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Supplementary Note 1. </w:t>
      </w:r>
      <w:r>
        <w:rPr>
          <w:rFonts w:hint="eastAsia" w:ascii="Times New Roman" w:hAnsi="Times New Roman" w:cs="Times New Roman"/>
          <w:sz w:val="24"/>
          <w:szCs w:val="24"/>
          <w:lang w:val="en-US" w:eastAsia="zh-CN"/>
        </w:rPr>
        <w:t>Fluoride</w:t>
      </w:r>
      <w:r>
        <w:rPr>
          <w:rFonts w:hint="default" w:ascii="Times New Roman" w:hAnsi="Times New Roman" w:cs="Times New Roman"/>
          <w:sz w:val="24"/>
          <w:szCs w:val="24"/>
        </w:rPr>
        <w:t xml:space="preserve"> dosing</w:t>
      </w:r>
    </w:p>
    <w:p>
      <w:pPr>
        <w:keepNext w:val="0"/>
        <w:keepLines w:val="0"/>
        <w:pageBreakBefore w:val="0"/>
        <w:widowControl w:val="0"/>
        <w:suppressLineNumbers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The selected dose in this study (100ppm) was based on four criteria. 1). The range of fluoride dosing in this study was intentionally consistent with other studies in mice (Table S1). 2) Animal experiments usually use shorter time to simulate human fluoride exposure, so the exposure dose in animal is higher than that in human for more possible to observe </w:t>
      </w:r>
      <w:bookmarkStart w:id="0" w:name="OLE_LINK15"/>
      <w:r>
        <w:rPr>
          <w:rFonts w:hint="eastAsia" w:ascii="Times New Roman" w:hAnsi="Times New Roman" w:cs="Times New Roman"/>
          <w:sz w:val="24"/>
          <w:szCs w:val="24"/>
          <w:lang w:val="en-US" w:eastAsia="zh-CN"/>
        </w:rPr>
        <w:t>the potential damage</w:t>
      </w:r>
      <w:bookmarkEnd w:id="0"/>
      <w:r>
        <w:rPr>
          <w:rFonts w:hint="eastAsia" w:ascii="Times New Roman" w:hAnsi="Times New Roman" w:cs="Times New Roman"/>
          <w:sz w:val="24"/>
          <w:szCs w:val="24"/>
          <w:lang w:val="en-US" w:eastAsia="zh-CN"/>
        </w:rPr>
        <w:t>. 3) The range of fluoride dose in adult is 0.84-27.1 mg per day, which convert to ppm is 0.19-6.02ppm (based on a 55 kg person drinking 4.5 L of water per day) (Table S2). 4) Because animals and humans have different surface areas, an reasonable conversion must be done to equalize dosages between animals and humans. The FDA suggests an dose equivalent equation to convert a human equivalent dose (HED) in drug exposure studies</w:t>
      </w:r>
      <w:r>
        <w:rPr>
          <w:rFonts w:hint="eastAsia" w:ascii="Times New Roman" w:hAnsi="Times New Roman" w:cs="Times New Roman" w:eastAsiaTheme="minorEastAsia"/>
          <w:kern w:val="2"/>
          <w:sz w:val="24"/>
          <w:szCs w:val="24"/>
          <w:vertAlign w:val="baseline"/>
          <w:lang w:val="en-US" w:eastAsia="zh-CN" w:bidi="ar-SA"/>
        </w:rPr>
        <w:t>[1]</w:t>
      </w:r>
      <w:r>
        <w:rPr>
          <w:rFonts w:hint="eastAsia" w:ascii="Times New Roman" w:hAnsi="Times New Roman" w:cs="Times New Roman"/>
          <w:sz w:val="24"/>
          <w:szCs w:val="24"/>
          <w:lang w:val="en-US" w:eastAsia="zh-CN"/>
        </w:rPr>
        <w:t>:</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both"/>
        <w:textAlignment w:val="auto"/>
        <w:rPr>
          <w:rFonts w:hint="eastAsia" w:ascii="Times New Roman" w:hAnsi="Times New Roman" w:cs="Times New Roman"/>
          <w:i/>
          <w:iCs/>
          <w:sz w:val="24"/>
          <w:szCs w:val="24"/>
          <w:lang w:val="en-US" w:eastAsia="zh-CN"/>
        </w:rPr>
      </w:pPr>
      <w:r>
        <w:rPr>
          <w:rFonts w:hint="eastAsia" w:ascii="Times New Roman" w:hAnsi="Times New Roman" w:cs="Times New Roman"/>
          <w:sz w:val="24"/>
          <w:szCs w:val="24"/>
          <w:lang w:val="en-US" w:eastAsia="zh-CN"/>
        </w:rPr>
        <w:t>HED (</w:t>
      </w:r>
      <w:bookmarkStart w:id="1" w:name="OLE_LINK10"/>
      <w:r>
        <w:rPr>
          <w:rFonts w:hint="eastAsia" w:ascii="Times New Roman" w:hAnsi="Times New Roman" w:cs="Times New Roman"/>
          <w:sz w:val="24"/>
          <w:szCs w:val="24"/>
          <w:lang w:val="en-US" w:eastAsia="zh-CN"/>
        </w:rPr>
        <w:t>mg/kg</w:t>
      </w:r>
      <w:bookmarkEnd w:id="1"/>
      <w:r>
        <w:rPr>
          <w:rFonts w:hint="eastAsia" w:ascii="Times New Roman" w:hAnsi="Times New Roman" w:cs="Times New Roman"/>
          <w:sz w:val="24"/>
          <w:szCs w:val="24"/>
          <w:lang w:val="en-US" w:eastAsia="zh-CN"/>
        </w:rPr>
        <w:t xml:space="preserve">)=Animal dose (mg/kg) multiplied by </w:t>
      </w:r>
      <w:r>
        <w:rPr>
          <w:rFonts w:hint="eastAsia" w:ascii="Times New Roman" w:hAnsi="Times New Roman" w:cs="Times New Roman"/>
          <w:i/>
          <w:iCs/>
          <w:sz w:val="24"/>
          <w:szCs w:val="24"/>
          <w:lang w:val="en-US" w:eastAsia="zh-CN"/>
        </w:rPr>
        <w:t xml:space="preserve">Animal </w:t>
      </w:r>
      <w:bookmarkStart w:id="2" w:name="OLE_LINK11"/>
      <w:r>
        <w:rPr>
          <w:rFonts w:hint="eastAsia" w:ascii="Times New Roman" w:hAnsi="Times New Roman" w:cs="Times New Roman"/>
          <w:i/>
          <w:iCs/>
          <w:sz w:val="24"/>
          <w:szCs w:val="24"/>
          <w:lang w:val="en-US" w:eastAsia="zh-CN"/>
        </w:rPr>
        <w:t>km</w:t>
      </w:r>
      <w:bookmarkEnd w:id="2"/>
      <w:r>
        <w:rPr>
          <w:rFonts w:hint="eastAsia" w:ascii="Times New Roman" w:hAnsi="Times New Roman" w:cs="Times New Roman"/>
          <w:sz w:val="24"/>
          <w:szCs w:val="24"/>
          <w:lang w:val="en-US" w:eastAsia="zh-CN"/>
        </w:rPr>
        <w:t>/</w:t>
      </w:r>
      <w:r>
        <w:rPr>
          <w:rFonts w:hint="eastAsia" w:ascii="Times New Roman" w:hAnsi="Times New Roman" w:cs="Times New Roman"/>
          <w:i/>
          <w:iCs/>
          <w:sz w:val="24"/>
          <w:szCs w:val="24"/>
          <w:lang w:val="en-US" w:eastAsia="zh-CN"/>
        </w:rPr>
        <w:t>Human km</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both"/>
        <w:textAlignment w:val="auto"/>
        <w:rPr>
          <w:rFonts w:hint="eastAsia" w:ascii="Times New Roman" w:hAnsi="Times New Roman" w:cs="Times New Roman"/>
          <w:i w:val="0"/>
          <w:iCs w:val="0"/>
          <w:sz w:val="24"/>
          <w:szCs w:val="24"/>
          <w:lang w:val="en-US" w:eastAsia="zh-CN"/>
        </w:rPr>
      </w:pPr>
      <w:r>
        <w:rPr>
          <w:rFonts w:hint="default" w:ascii="Times New Roman" w:hAnsi="Times New Roman" w:cs="Times New Roman"/>
          <w:i/>
          <w:iCs/>
          <w:sz w:val="24"/>
          <w:szCs w:val="24"/>
          <w:lang w:val="en-US" w:eastAsia="zh-CN"/>
        </w:rPr>
        <w:t>Km</w:t>
      </w:r>
      <w:r>
        <w:rPr>
          <w:rFonts w:hint="default" w:ascii="Times New Roman" w:hAnsi="Times New Roman" w:cs="Times New Roman"/>
          <w:i w:val="0"/>
          <w:iCs w:val="0"/>
          <w:sz w:val="24"/>
          <w:szCs w:val="24"/>
          <w:lang w:val="en-US" w:eastAsia="zh-CN"/>
        </w:rPr>
        <w:t xml:space="preserve"> values are the ratio of body weight to surface area (mouse Km = 3, human Km = 37)</w:t>
      </w:r>
      <w:r>
        <w:rPr>
          <w:rFonts w:hint="eastAsia" w:ascii="Times New Roman" w:hAnsi="Times New Roman" w:cs="Times New Roman"/>
          <w:i w:val="0"/>
          <w:iCs w:val="0"/>
          <w:sz w:val="24"/>
          <w:szCs w:val="24"/>
          <w:lang w:val="en-US" w:eastAsia="zh-CN"/>
        </w:rPr>
        <w:t>. Using this equation, 100 ppm exposures in mice correspond to HEDs of 8.108 ppm in humans.</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b/>
          <w:bCs/>
          <w:sz w:val="24"/>
          <w:szCs w:val="24"/>
          <w:lang w:val="en-US" w:eastAsia="zh-CN"/>
        </w:rPr>
        <w:t>REFERENCES</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line="480" w:lineRule="auto"/>
        <w:ind w:left="480" w:hanging="480" w:hangingChars="200"/>
        <w:jc w:val="both"/>
        <w:textAlignment w:val="auto"/>
        <w:rPr>
          <w:rFonts w:hint="default" w:ascii="Times New Roman" w:hAnsi="Times New Roman" w:cs="Times New Roman" w:eastAsiaTheme="minorEastAsia"/>
          <w:kern w:val="2"/>
          <w:sz w:val="24"/>
          <w:szCs w:val="24"/>
          <w:lang w:val="en-US" w:eastAsia="zh-CN" w:bidi="ar-SA"/>
        </w:rPr>
      </w:pPr>
      <w:bookmarkStart w:id="3" w:name="OLE_LINK16"/>
      <w:bookmarkStart w:id="4" w:name="OLE_LINK17"/>
      <w:r>
        <w:rPr>
          <w:rFonts w:hint="default" w:ascii="Times New Roman" w:hAnsi="Times New Roman" w:cs="Times New Roman" w:eastAsiaTheme="minorEastAsia"/>
          <w:kern w:val="2"/>
          <w:sz w:val="24"/>
          <w:szCs w:val="24"/>
          <w:lang w:val="en-US" w:eastAsia="zh-CN" w:bidi="ar-SA"/>
        </w:rPr>
        <w:t>Coryell,</w:t>
      </w:r>
      <w:r>
        <w:rPr>
          <w:rFonts w:hint="eastAsia" w:ascii="Times New Roman" w:hAnsi="Times New Roman" w:cs="Times New Roman" w:eastAsiaTheme="minorEastAsia"/>
          <w:kern w:val="2"/>
          <w:sz w:val="24"/>
          <w:szCs w:val="24"/>
          <w:lang w:val="en-US" w:eastAsia="zh-CN" w:bidi="ar-SA"/>
        </w:rPr>
        <w:t xml:space="preserve"> </w:t>
      </w:r>
      <w:r>
        <w:rPr>
          <w:rFonts w:hint="default" w:ascii="Times New Roman" w:hAnsi="Times New Roman" w:cs="Times New Roman" w:eastAsiaTheme="minorEastAsia"/>
          <w:kern w:val="2"/>
          <w:sz w:val="24"/>
          <w:szCs w:val="24"/>
          <w:lang w:val="en-US" w:eastAsia="zh-CN" w:bidi="ar-SA"/>
        </w:rPr>
        <w:t>M</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McAlpine, M</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Pinkham, N</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V.</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McDermott</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T</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R.</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Walk</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S</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T.  </w:t>
      </w:r>
      <w:r>
        <w:rPr>
          <w:rFonts w:hint="default" w:ascii="Times New Roman" w:hAnsi="Times New Roman" w:cs="Times New Roman" w:eastAsiaTheme="minorEastAsia"/>
          <w:i w:val="0"/>
          <w:iCs/>
          <w:kern w:val="2"/>
          <w:sz w:val="24"/>
          <w:szCs w:val="24"/>
          <w:lang w:val="en-US" w:eastAsia="zh-CN" w:bidi="ar-SA"/>
        </w:rPr>
        <w:t>The</w:t>
      </w:r>
      <w:r>
        <w:rPr>
          <w:rFonts w:hint="eastAsia" w:ascii="Times New Roman" w:hAnsi="Times New Roman" w:cs="Times New Roman" w:eastAsiaTheme="minorEastAsia"/>
          <w:i w:val="0"/>
          <w:iCs/>
          <w:kern w:val="2"/>
          <w:sz w:val="24"/>
          <w:szCs w:val="24"/>
          <w:lang w:val="en-US" w:eastAsia="zh-CN" w:bidi="ar-SA"/>
        </w:rPr>
        <w:t xml:space="preserve"> </w:t>
      </w:r>
      <w:r>
        <w:rPr>
          <w:rFonts w:hint="default" w:ascii="Times New Roman" w:hAnsi="Times New Roman" w:cs="Times New Roman" w:eastAsiaTheme="minorEastAsia"/>
          <w:i w:val="0"/>
          <w:iCs/>
          <w:kern w:val="2"/>
          <w:sz w:val="24"/>
          <w:szCs w:val="24"/>
          <w:lang w:val="en-US" w:eastAsia="zh-CN" w:bidi="ar-SA"/>
        </w:rPr>
        <w:t xml:space="preserve">gut microbiome is required for full protection against acute arsenic toxicity in mouse models. </w:t>
      </w:r>
      <w:r>
        <w:rPr>
          <w:rFonts w:hint="default" w:ascii="Times New Roman" w:hAnsi="Times New Roman" w:cs="Times New Roman" w:eastAsiaTheme="minorEastAsia"/>
          <w:i/>
          <w:iCs w:val="0"/>
          <w:kern w:val="2"/>
          <w:sz w:val="24"/>
          <w:szCs w:val="24"/>
          <w:lang w:val="en-US" w:eastAsia="zh-CN" w:bidi="ar-SA"/>
        </w:rPr>
        <w:t xml:space="preserve">Nature </w:t>
      </w:r>
      <w:r>
        <w:rPr>
          <w:rFonts w:hint="eastAsia" w:ascii="Times New Roman" w:hAnsi="Times New Roman" w:cs="Times New Roman" w:eastAsiaTheme="minorEastAsia"/>
          <w:i/>
          <w:iCs w:val="0"/>
          <w:kern w:val="2"/>
          <w:sz w:val="24"/>
          <w:szCs w:val="24"/>
          <w:lang w:val="en-US" w:eastAsia="zh-CN" w:bidi="ar-SA"/>
        </w:rPr>
        <w:t>c</w:t>
      </w:r>
      <w:r>
        <w:rPr>
          <w:rFonts w:hint="default" w:ascii="Times New Roman" w:hAnsi="Times New Roman" w:cs="Times New Roman" w:eastAsiaTheme="minorEastAsia"/>
          <w:i/>
          <w:iCs w:val="0"/>
          <w:kern w:val="2"/>
          <w:sz w:val="24"/>
          <w:szCs w:val="24"/>
          <w:lang w:val="en-US" w:eastAsia="zh-CN" w:bidi="ar-SA"/>
        </w:rPr>
        <w:t>ommunications</w:t>
      </w:r>
      <w:r>
        <w:rPr>
          <w:rFonts w:hint="eastAsia" w:ascii="Times New Roman" w:hAnsi="Times New Roman" w:cs="Times New Roman" w:eastAsiaTheme="minorEastAsia"/>
          <w:i w:val="0"/>
          <w:iCs/>
          <w:kern w:val="2"/>
          <w:sz w:val="24"/>
          <w:szCs w:val="24"/>
          <w:lang w:val="en-US" w:eastAsia="zh-CN" w:bidi="ar-SA"/>
        </w:rPr>
        <w:t xml:space="preserve">. </w:t>
      </w:r>
      <w:r>
        <w:rPr>
          <w:rFonts w:hint="default" w:ascii="Times New Roman" w:hAnsi="Times New Roman" w:cs="Times New Roman" w:eastAsiaTheme="minorEastAsia"/>
          <w:kern w:val="2"/>
          <w:sz w:val="24"/>
          <w:szCs w:val="24"/>
          <w:lang w:val="en-US" w:eastAsia="zh-CN" w:bidi="ar-SA"/>
        </w:rPr>
        <w:t>2018</w:t>
      </w:r>
      <w:r>
        <w:rPr>
          <w:rFonts w:hint="eastAsia" w:ascii="Times New Roman" w:hAnsi="Times New Roman" w:cs="Times New Roman" w:eastAsiaTheme="minorEastAsia"/>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 xml:space="preserve"> </w:t>
      </w:r>
      <w:r>
        <w:rPr>
          <w:rFonts w:hint="default" w:ascii="Times New Roman" w:hAnsi="Times New Roman" w:cs="Times New Roman" w:eastAsiaTheme="minorEastAsia"/>
          <w:b/>
          <w:i/>
          <w:iCs/>
          <w:kern w:val="2"/>
          <w:sz w:val="24"/>
          <w:szCs w:val="24"/>
          <w:lang w:val="en-US" w:eastAsia="zh-CN" w:bidi="ar-SA"/>
        </w:rPr>
        <w:t>9</w:t>
      </w:r>
      <w:r>
        <w:rPr>
          <w:rFonts w:hint="eastAsia" w:ascii="Times New Roman" w:hAnsi="Times New Roman" w:cs="Times New Roman" w:eastAsiaTheme="minorEastAsia"/>
          <w:kern w:val="2"/>
          <w:sz w:val="24"/>
          <w:szCs w:val="24"/>
          <w:lang w:val="en-US" w:eastAsia="zh-CN" w:bidi="ar-SA"/>
        </w:rPr>
        <w:t>.</w:t>
      </w:r>
      <w:bookmarkEnd w:id="3"/>
      <w:bookmarkStart w:id="5" w:name="_GoBack"/>
      <w:bookmarkEnd w:id="5"/>
    </w:p>
    <w:bookmarkEnd w:id="4"/>
    <w:p>
      <w:pPr>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6FDE7"/>
    <w:multiLevelType w:val="singleLevel"/>
    <w:tmpl w:val="1A56FDE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22D19"/>
    <w:rsid w:val="188A229C"/>
    <w:rsid w:val="26F07E74"/>
    <w:rsid w:val="65022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宋体" w:cs="Times New Roman"/>
      <w:kern w:val="2"/>
      <w:sz w:val="2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2020-09-23T06:42:00Z</dcterms:created>
  <dc:creator>辛金鸽</dc:creator>
  <cp:lastModifiedBy>辛金鸽</cp:lastModifiedBy>
  <dcterms:modified xsi:type="dcterms:W3CDTF">2020-09-23T06:48:14Z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