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uppressLineNumbers w:val="0"/>
        <w:kinsoku/>
        <w:wordWrap/>
        <w:overflowPunct/>
        <w:topLinePunct w:val="0"/>
        <w:autoSpaceDE/>
        <w:autoSpaceDN/>
        <w:bidi w:val="0"/>
        <w:adjustRightInd/>
        <w:snapToGrid/>
        <w:spacing w:before="313" w:beforeLines="100" w:line="480" w:lineRule="auto"/>
        <w:jc w:val="center"/>
        <w:textAlignment w:val="auto"/>
        <w:rPr>
          <w:rFonts w:hint="eastAsia" w:ascii="Times New Roman" w:hAnsi="Times New Roman" w:cs="Times New Roman" w:eastAsiaTheme="minorEastAsia"/>
          <w:b w:val="0"/>
          <w:bCs w:val="0"/>
          <w:kern w:val="2"/>
          <w:sz w:val="24"/>
          <w:szCs w:val="24"/>
          <w:highlight w:val="none"/>
          <w:vertAlign w:val="baseline"/>
          <w:lang w:val="en-US" w:eastAsia="zh-CN" w:bidi="ar-SA"/>
        </w:rPr>
      </w:pPr>
      <w:r>
        <w:rPr>
          <w:rFonts w:hint="eastAsia" w:ascii="Times New Roman" w:hAnsi="Times New Roman" w:cs="Times New Roman"/>
          <w:b w:val="0"/>
          <w:bCs w:val="0"/>
          <w:sz w:val="24"/>
          <w:szCs w:val="24"/>
          <w:lang w:val="en-US" w:eastAsia="zh-CN"/>
        </w:rPr>
        <w:t>Table S1. Estimated intakes of fluoride in adults</w:t>
      </w:r>
      <w:r>
        <w:rPr>
          <w:rFonts w:hint="eastAsia" w:ascii="Times New Roman" w:hAnsi="Times New Roman" w:cs="Times New Roman" w:eastAsiaTheme="minorEastAsia"/>
          <w:b w:val="0"/>
          <w:bCs w:val="0"/>
          <w:kern w:val="2"/>
          <w:sz w:val="24"/>
          <w:szCs w:val="24"/>
          <w:highlight w:val="none"/>
          <w:vertAlign w:val="baseline"/>
          <w:lang w:val="en-US" w:eastAsia="zh-CN" w:bidi="ar-SA"/>
        </w:rPr>
        <w:t>[1]</w:t>
      </w:r>
      <w:bookmarkStart w:id="2" w:name="_GoBack"/>
      <w:bookmarkEnd w:id="2"/>
    </w:p>
    <w:tbl>
      <w:tblPr>
        <w:tblStyle w:val="3"/>
        <w:tblW w:w="9556"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44"/>
        <w:gridCol w:w="1350"/>
        <w:gridCol w:w="1729"/>
        <w:gridCol w:w="483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4" w:type="dxa"/>
            <w:tcBorders>
              <w:bottom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sz w:val="24"/>
                <w:szCs w:val="24"/>
                <w:lang w:val="en-US" w:eastAsia="zh-CN"/>
              </w:rPr>
              <w:t>Area</w:t>
            </w:r>
          </w:p>
        </w:tc>
        <w:tc>
          <w:tcPr>
            <w:tcW w:w="1350" w:type="dxa"/>
            <w:tcBorders>
              <w:bottom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sz w:val="24"/>
                <w:szCs w:val="24"/>
                <w:lang w:val="en-US" w:eastAsia="zh-CN"/>
              </w:rPr>
              <w:t>Age group</w:t>
            </w:r>
          </w:p>
        </w:tc>
        <w:tc>
          <w:tcPr>
            <w:tcW w:w="1729" w:type="dxa"/>
            <w:tcBorders>
              <w:bottom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eastAsiaTheme="minorEastAsia"/>
                <w:b/>
                <w:bCs/>
                <w:sz w:val="24"/>
                <w:szCs w:val="24"/>
                <w:vertAlign w:val="baseline"/>
                <w:lang w:val="en-US" w:eastAsia="zh-CN"/>
              </w:rPr>
            </w:pPr>
            <w:r>
              <w:rPr>
                <w:rFonts w:hint="default" w:ascii="Times New Roman" w:hAnsi="Times New Roman" w:cs="Times New Roman"/>
                <w:sz w:val="24"/>
                <w:szCs w:val="24"/>
              </w:rPr>
              <w:t>Estimated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fluoride</w:t>
            </w:r>
            <w:r>
              <w:rPr>
                <w:rFonts w:hint="eastAsia" w:ascii="Times New Roman" w:hAnsi="Times New Roman" w:cs="Times New Roman"/>
                <w:sz w:val="24"/>
                <w:szCs w:val="24"/>
                <w:lang w:val="en-US" w:eastAsia="zh-CN"/>
              </w:rPr>
              <w:t xml:space="preserve"> intake, mg/day</w:t>
            </w:r>
            <w:r>
              <w:rPr>
                <w:rFonts w:hint="eastAsia" w:ascii="Times New Roman" w:hAnsi="Times New Roman" w:cs="Times New Roman"/>
                <w:i/>
                <w:iCs/>
                <w:sz w:val="24"/>
                <w:szCs w:val="24"/>
                <w:vertAlign w:val="superscript"/>
                <w:lang w:val="en-US" w:eastAsia="zh-CN"/>
              </w:rPr>
              <w:t>a</w:t>
            </w:r>
          </w:p>
        </w:tc>
        <w:tc>
          <w:tcPr>
            <w:tcW w:w="4833" w:type="dxa"/>
            <w:tcBorders>
              <w:bottom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Comment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4" w:type="dxa"/>
            <w:tcBorders>
              <w:top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sz w:val="24"/>
                <w:szCs w:val="24"/>
                <w:lang w:val="en-US" w:eastAsia="zh-CN"/>
              </w:rPr>
              <w:t>Canada</w:t>
            </w:r>
          </w:p>
        </w:tc>
        <w:tc>
          <w:tcPr>
            <w:tcW w:w="1350" w:type="dxa"/>
            <w:tcBorders>
              <w:top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Adults </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(20+ years)</w:t>
            </w:r>
          </w:p>
        </w:tc>
        <w:tc>
          <w:tcPr>
            <w:tcW w:w="1729" w:type="dxa"/>
            <w:tcBorders>
              <w:top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2.2–4.1</w:t>
            </w:r>
          </w:p>
        </w:tc>
        <w:tc>
          <w:tcPr>
            <w:tcW w:w="4833" w:type="dxa"/>
            <w:tcBorders>
              <w:top w:val="single" w:color="auto" w:sz="4" w:space="0"/>
            </w:tcBorders>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 Estimated total intakes by multimedia exposure analysis based upon ranges of mean concentrations of fluoride in ambient air, fluoridated or non-fluoridated drinking-water and soil; levels of fluoride in survey of 109 foodstuffs in Canada, breast milk, infant formula and average level of fluoride in dentifrice available in Canada, as well as assigned reference values for body weight, inhalation of air, and consumption of water, soil and foodstuffs, by various age groups of the population of Canada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4"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China</w:t>
            </w:r>
          </w:p>
        </w:tc>
        <w:tc>
          <w:tcPr>
            <w:tcW w:w="1350"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Adults</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 (16+ years)</w:t>
            </w:r>
          </w:p>
        </w:tc>
        <w:tc>
          <w:tcPr>
            <w:tcW w:w="1729"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1.61–7.51</w:t>
            </w:r>
          </w:p>
        </w:tc>
        <w:tc>
          <w:tcPr>
            <w:tcW w:w="4833"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 Estimated intakes based upon levels of fluoride in ambient air, local supplies of drinking-water and levels in a limited variety of locally grown foodstuffs in an area of China with known elevated levels of fluoride in local water supplies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4"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China</w:t>
            </w:r>
          </w:p>
        </w:tc>
        <w:tc>
          <w:tcPr>
            <w:tcW w:w="1350"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Adults </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(16+ years)</w:t>
            </w:r>
          </w:p>
        </w:tc>
        <w:tc>
          <w:tcPr>
            <w:tcW w:w="1729"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1.79–17</w:t>
            </w:r>
          </w:p>
        </w:tc>
        <w:tc>
          <w:tcPr>
            <w:tcW w:w="4833"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Estimated intakes based upon levels of fluoride in ambient air, local supplies of drinking-water and levels fluoride in a limited variety of locally grown foodstuffs in four areas of China where fluoridecontaining coal is burned for heating and cooking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2" w:hRule="atLeast"/>
          <w:jc w:val="center"/>
        </w:trPr>
        <w:tc>
          <w:tcPr>
            <w:tcW w:w="1644" w:type="dxa"/>
            <w:vMerge w:val="restart"/>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Tibetan and Han peoples residing in Sichuan province in China (levels of fluoride in drinking-water were low [0.1 mg L</w:t>
            </w:r>
            <w:r>
              <w:rPr>
                <w:rFonts w:hint="default" w:ascii="Times New Roman" w:hAnsi="Times New Roman" w:cs="Times New Roman"/>
                <w:b w:val="0"/>
                <w:bCs w:val="0"/>
                <w:sz w:val="24"/>
                <w:szCs w:val="24"/>
                <w:vertAlign w:val="superscript"/>
                <w:lang w:val="en-US" w:eastAsia="zh-CN"/>
              </w:rPr>
              <w:t>–1</w:t>
            </w:r>
            <w:r>
              <w:rPr>
                <w:rFonts w:hint="default" w:ascii="Times New Roman" w:hAnsi="Times New Roman" w:cs="Times New Roman"/>
                <w:b w:val="0"/>
                <w:bCs w:val="0"/>
                <w:sz w:val="24"/>
                <w:szCs w:val="24"/>
                <w:vertAlign w:val="baseli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sz w:val="24"/>
                <w:szCs w:val="24"/>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sz w:val="24"/>
                <w:szCs w:val="24"/>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p>
        </w:tc>
        <w:tc>
          <w:tcPr>
            <w:tcW w:w="1350"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Tibetan</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(&gt;15 years)</w:t>
            </w:r>
          </w:p>
        </w:tc>
        <w:tc>
          <w:tcPr>
            <w:tcW w:w="1729"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10.43</w:t>
            </w:r>
          </w:p>
        </w:tc>
        <w:tc>
          <w:tcPr>
            <w:tcW w:w="4833" w:type="dxa"/>
            <w:vMerge w:val="restart"/>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Increased intake of fluoride by Tibetans based upon their consumption of a local type of prepared barley and brick tea; foodstuffs not consumed by Han residing in this area; prevalence of dental and skeletal fluorosis greater among Tibetans than among Han</w:t>
            </w: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eastAsia" w:ascii="Arial" w:hAnsi="Arial" w:eastAsia="宋体" w:cs="Arial"/>
                <w:color w:val="231F2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auto"/>
              <w:jc w:val="left"/>
              <w:rPr>
                <w:rFonts w:hint="default"/>
                <w:sz w:val="24"/>
                <w:szCs w:val="24"/>
                <w:lang w:val="en-US"/>
              </w:rPr>
            </w:pP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44" w:type="dxa"/>
            <w:vMerge w:val="continue"/>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sz w:val="24"/>
                <w:szCs w:val="24"/>
              </w:rPr>
            </w:pPr>
          </w:p>
        </w:tc>
        <w:tc>
          <w:tcPr>
            <w:tcW w:w="1350"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Han</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(&gt;15 years)</w:t>
            </w:r>
          </w:p>
        </w:tc>
        <w:tc>
          <w:tcPr>
            <w:tcW w:w="1729"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2.54</w:t>
            </w:r>
          </w:p>
        </w:tc>
        <w:tc>
          <w:tcPr>
            <w:tcW w:w="4833" w:type="dxa"/>
            <w:vMerge w:val="continue"/>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bCs/>
                <w:sz w:val="24"/>
                <w:szCs w:val="24"/>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6" w:hRule="atLeast"/>
          <w:jc w:val="center"/>
        </w:trPr>
        <w:tc>
          <w:tcPr>
            <w:tcW w:w="1644" w:type="dxa"/>
            <w:vMerge w:val="restart"/>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Drinking-water and food in normal or fluorotic villages in India</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p>
        </w:tc>
        <w:tc>
          <w:tcPr>
            <w:tcW w:w="1350" w:type="dxa"/>
            <w:vMerge w:val="restart"/>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Adults </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(age not specified)</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p>
        </w:tc>
        <w:tc>
          <w:tcPr>
            <w:tcW w:w="1729"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 0.84–4.69</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(normal)</w:t>
            </w:r>
          </w:p>
        </w:tc>
        <w:tc>
          <w:tcPr>
            <w:tcW w:w="4833" w:type="dxa"/>
            <w:vMerge w:val="restart"/>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 xml:space="preserve">Range of intakes based upon consumed foodstuffs and local supplies of drinking-water from rural areas in India considered either normal or fluorotic, based upon the absence or occurrence </w:t>
            </w:r>
            <w:r>
              <w:rPr>
                <w:rFonts w:hint="default" w:ascii="Times New Roman" w:hAnsi="Times New Roman" w:cs="Times New Roman"/>
                <w:b w:val="0"/>
                <w:bCs w:val="0"/>
                <w:sz w:val="24"/>
                <w:szCs w:val="24"/>
                <w:vertAlign w:val="baseline"/>
                <w:lang w:val="en-US" w:eastAsia="zh-CN"/>
              </w:rPr>
              <w:t>of endemic skeletal fluorosis in these areas, respectively</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9" w:hRule="atLeast"/>
          <w:jc w:val="center"/>
        </w:trPr>
        <w:tc>
          <w:tcPr>
            <w:tcW w:w="1644" w:type="dxa"/>
            <w:vMerge w:val="continue"/>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sz w:val="24"/>
                <w:szCs w:val="24"/>
              </w:rPr>
            </w:pPr>
          </w:p>
        </w:tc>
        <w:tc>
          <w:tcPr>
            <w:tcW w:w="1350" w:type="dxa"/>
            <w:vMerge w:val="continue"/>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p>
        </w:tc>
        <w:tc>
          <w:tcPr>
            <w:tcW w:w="1729" w:type="dxa"/>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3.40–27.1</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r>
              <w:rPr>
                <w:rFonts w:hint="eastAsia" w:ascii="Times New Roman" w:hAnsi="Times New Roman" w:cs="Times New Roman"/>
                <w:b w:val="0"/>
                <w:bCs w:val="0"/>
                <w:sz w:val="24"/>
                <w:szCs w:val="24"/>
                <w:vertAlign w:val="baseline"/>
                <w:lang w:val="en-US" w:eastAsia="zh-CN"/>
              </w:rPr>
              <w:t>(fluorotic)</w:t>
            </w:r>
          </w:p>
        </w:tc>
        <w:tc>
          <w:tcPr>
            <w:tcW w:w="4833" w:type="dxa"/>
            <w:vMerge w:val="continue"/>
            <w:vAlign w:val="top"/>
          </w:tcPr>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eastAsia" w:ascii="Times New Roman" w:hAnsi="Times New Roman" w:cs="Times New Roman"/>
                <w:b w:val="0"/>
                <w:bCs w:val="0"/>
                <w:sz w:val="24"/>
                <w:szCs w:val="24"/>
                <w:vertAlign w:val="baseline"/>
                <w:lang w:val="en-US" w:eastAsia="zh-CN"/>
              </w:rPr>
            </w:pPr>
          </w:p>
        </w:tc>
      </w:tr>
    </w:tbl>
    <w:p>
      <w:pPr>
        <w:keepNext w:val="0"/>
        <w:keepLines w:val="0"/>
        <w:pageBreakBefore w:val="0"/>
        <w:suppressLineNumbers w:val="0"/>
        <w:kinsoku/>
        <w:wordWrap/>
        <w:overflowPunct/>
        <w:topLinePunct w:val="0"/>
        <w:autoSpaceDE/>
        <w:autoSpaceDN/>
        <w:bidi w:val="0"/>
        <w:adjustRightInd/>
        <w:snapToGrid/>
        <w:spacing w:before="313" w:beforeLines="100" w:line="480" w:lineRule="auto"/>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b w:val="0"/>
          <w:bCs w:val="0"/>
          <w:sz w:val="24"/>
          <w:szCs w:val="24"/>
          <w:vertAlign w:val="superscript"/>
          <w:lang w:val="en-US" w:eastAsia="zh-CN"/>
        </w:rPr>
        <w:t>a</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sz w:val="24"/>
          <w:szCs w:val="24"/>
          <w:lang w:val="en-US" w:eastAsia="zh-CN"/>
        </w:rPr>
        <w:t>If the e</w:t>
      </w:r>
      <w:r>
        <w:rPr>
          <w:rFonts w:hint="default" w:ascii="Times New Roman" w:hAnsi="Times New Roman" w:cs="Times New Roman"/>
          <w:sz w:val="24"/>
          <w:szCs w:val="24"/>
        </w:rPr>
        <w:t>stimated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fluoride</w:t>
      </w:r>
      <w:r>
        <w:rPr>
          <w:rFonts w:hint="eastAsia" w:ascii="Times New Roman" w:hAnsi="Times New Roman" w:cs="Times New Roman"/>
          <w:sz w:val="24"/>
          <w:szCs w:val="24"/>
          <w:lang w:val="en-US" w:eastAsia="zh-CN"/>
        </w:rPr>
        <w:t xml:space="preserve"> intake was converted from mg per day to ppm in water based on a 55 kg person drinking 4.5 L of water per day, the exposed dose was </w:t>
      </w:r>
      <w:bookmarkStart w:id="0" w:name="OLE_LINK13"/>
      <w:r>
        <w:rPr>
          <w:rFonts w:hint="eastAsia" w:ascii="Times New Roman" w:hAnsi="Times New Roman" w:cs="Times New Roman"/>
          <w:sz w:val="24"/>
          <w:szCs w:val="24"/>
          <w:lang w:val="en-US" w:eastAsia="zh-CN"/>
        </w:rPr>
        <w:t>0.19-6.02ppm</w:t>
      </w:r>
      <w:bookmarkEnd w:id="0"/>
      <w:r>
        <w:rPr>
          <w:rFonts w:hint="eastAsia"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sz w:val="24"/>
          <w:szCs w:val="24"/>
          <w:lang w:val="en-US" w:eastAsia="zh-CN"/>
        </w:rPr>
      </w:pPr>
      <w:bookmarkStart w:id="1" w:name="OLE_LINK20"/>
      <w:r>
        <w:rPr>
          <w:rFonts w:hint="default" w:ascii="Times New Roman" w:hAnsi="Times New Roman" w:cs="Times New Roman"/>
          <w:b/>
          <w:bCs/>
          <w:sz w:val="24"/>
          <w:szCs w:val="24"/>
          <w:lang w:val="en-US" w:eastAsia="zh-CN"/>
        </w:rPr>
        <w:t>R</w:t>
      </w:r>
      <w:r>
        <w:rPr>
          <w:rFonts w:hint="eastAsia" w:ascii="Times New Roman" w:hAnsi="Times New Roman" w:cs="Times New Roman"/>
          <w:b/>
          <w:bCs/>
          <w:sz w:val="24"/>
          <w:szCs w:val="24"/>
          <w:lang w:val="en-US" w:eastAsia="zh-CN"/>
        </w:rPr>
        <w:t>eferences</w:t>
      </w:r>
      <w:bookmarkEnd w:id="1"/>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line="480" w:lineRule="auto"/>
        <w:ind w:left="480" w:leftChars="0" w:hanging="480" w:hanging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Fawell, J.; Bailey, K.; Chilton, J.; Dahi, E.; Fewtrell L.; Magara. Y. Fluoride in Drinking-water. </w:t>
      </w:r>
      <w:r>
        <w:rPr>
          <w:rFonts w:hint="eastAsia" w:ascii="Times New Roman" w:hAnsi="Times New Roman" w:cs="Times New Roman"/>
          <w:i/>
          <w:iCs/>
          <w:sz w:val="24"/>
          <w:szCs w:val="24"/>
          <w:lang w:val="en-US" w:eastAsia="zh-CN"/>
        </w:rPr>
        <w:t>WHO</w:t>
      </w:r>
      <w:r>
        <w:rPr>
          <w:rFonts w:hint="eastAsia" w:ascii="Times New Roman" w:hAnsi="Times New Roman" w:cs="Times New Roman"/>
          <w:sz w:val="24"/>
          <w:szCs w:val="24"/>
          <w:lang w:val="en-US" w:eastAsia="zh-CN"/>
        </w:rPr>
        <w:t>. 2006.</w:t>
      </w:r>
    </w:p>
    <w:p>
      <w:pPr>
        <w:keepNext w:val="0"/>
        <w:keepLines w:val="0"/>
        <w:pageBreakBefore w:val="0"/>
        <w:suppressLineNumbers w:val="0"/>
        <w:kinsoku/>
        <w:wordWrap/>
        <w:overflowPunct/>
        <w:topLinePunct w:val="0"/>
        <w:autoSpaceDE/>
        <w:autoSpaceDN/>
        <w:bidi w:val="0"/>
        <w:adjustRightInd/>
        <w:snapToGrid/>
        <w:spacing w:before="313" w:beforeLines="100" w:line="480" w:lineRule="auto"/>
        <w:jc w:val="left"/>
        <w:textAlignment w:val="auto"/>
        <w:rPr>
          <w:rFonts w:hint="default" w:ascii="Times New Roman" w:hAnsi="Times New Roman" w:cs="Times New Roman" w:eastAsiaTheme="minorEastAsia"/>
          <w:b w:val="0"/>
          <w:bCs w:val="0"/>
          <w:kern w:val="2"/>
          <w:sz w:val="24"/>
          <w:szCs w:val="24"/>
          <w:highlight w:val="none"/>
          <w:vertAlign w:val="baseline"/>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0F4022"/>
    <w:multiLevelType w:val="singleLevel"/>
    <w:tmpl w:val="4D0F402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28501F"/>
    <w:rsid w:val="0E28501F"/>
    <w:rsid w:val="25697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宋体" w:cs="Times New Roman"/>
      <w:kern w:val="2"/>
      <w:sz w:val="20"/>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2020-09-23T06:54:00Z</dcterms:created>
  <dc:creator>辛金鸽</dc:creator>
  <cp:lastModifiedBy>辛金鸽</cp:lastModifiedBy>
  <dcterms:modified xsi:type="dcterms:W3CDTF">2020-09-23T09:10:47Z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