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C38E9" w14:textId="77777777" w:rsidR="00455B1A" w:rsidRDefault="00000000">
      <w:pPr>
        <w:jc w:val="center"/>
        <w:rPr>
          <w:rFonts w:ascii="Times New Roman" w:hAnsi="Times New Roman" w:cs="Times New Roman"/>
          <w:b/>
          <w:bCs/>
          <w:sz w:val="28"/>
          <w:szCs w:val="28"/>
        </w:rPr>
      </w:pPr>
      <w:r>
        <w:rPr>
          <w:rFonts w:ascii="Times New Roman" w:hAnsi="Times New Roman" w:cs="Times New Roman"/>
          <w:b/>
          <w:bCs/>
          <w:sz w:val="28"/>
          <w:szCs w:val="28"/>
        </w:rPr>
        <w:t>Extended Data for</w:t>
      </w:r>
    </w:p>
    <w:p w14:paraId="7EC01330" w14:textId="77777777" w:rsidR="00455B1A" w:rsidRDefault="00455B1A">
      <w:pPr>
        <w:jc w:val="center"/>
        <w:rPr>
          <w:rFonts w:ascii="Times New Roman" w:hAnsi="Times New Roman" w:cs="Times New Roman"/>
          <w:b/>
          <w:bCs/>
        </w:rPr>
      </w:pPr>
    </w:p>
    <w:p w14:paraId="29AD22C2" w14:textId="77777777" w:rsidR="00455B1A" w:rsidRDefault="00455B1A">
      <w:pPr>
        <w:jc w:val="center"/>
        <w:rPr>
          <w:rFonts w:ascii="Times New Roman" w:hAnsi="Times New Roman" w:cs="Times New Roman"/>
        </w:rPr>
      </w:pPr>
    </w:p>
    <w:p w14:paraId="721B2BF0" w14:textId="77777777" w:rsidR="00455B1A" w:rsidRDefault="00000000">
      <w:pPr>
        <w:pStyle w:val="Authors"/>
        <w:rPr>
          <w:b/>
          <w:bCs/>
          <w:color w:val="000000" w:themeColor="text1"/>
          <w:kern w:val="28"/>
        </w:rPr>
      </w:pPr>
      <w:r>
        <w:rPr>
          <w:b/>
          <w:bCs/>
          <w:color w:val="000000" w:themeColor="text1"/>
          <w:kern w:val="28"/>
        </w:rPr>
        <w:t>Concurrence of ferroelectricity and metallicity in perovskite ultrathin films</w:t>
      </w:r>
    </w:p>
    <w:p w14:paraId="177190A0" w14:textId="77777777" w:rsidR="00455B1A" w:rsidRDefault="00000000">
      <w:pPr>
        <w:jc w:val="center"/>
        <w:rPr>
          <w:rFonts w:ascii="Times New Roman" w:hAnsi="Times New Roman" w:cs="Times New Roman"/>
          <w:color w:val="000000" w:themeColor="text1"/>
        </w:rPr>
      </w:pPr>
      <w:proofErr w:type="spellStart"/>
      <w:r>
        <w:rPr>
          <w:rFonts w:ascii="Times New Roman" w:hAnsi="Times New Roman" w:cs="Times New Roman"/>
          <w:color w:val="000000" w:themeColor="text1"/>
        </w:rPr>
        <w:t>Hongxu</w:t>
      </w:r>
      <w:proofErr w:type="spellEnd"/>
      <w:r>
        <w:rPr>
          <w:rFonts w:ascii="Times New Roman" w:hAnsi="Times New Roman" w:cs="Times New Roman"/>
          <w:color w:val="000000" w:themeColor="text1"/>
        </w:rPr>
        <w:t xml:space="preserve"> Duan</w:t>
      </w:r>
      <w:r>
        <w:rPr>
          <w:rFonts w:ascii="Times New Roman" w:hAnsi="Times New Roman" w:cs="Times New Roman"/>
          <w:color w:val="000000" w:themeColor="text1"/>
          <w:vertAlign w:val="superscript"/>
        </w:rPr>
        <w:t>1</w:t>
      </w:r>
      <w:r>
        <w:rPr>
          <w:rFonts w:ascii="Times New Roman" w:hAnsi="Times New Roman" w:cs="Times New Roman"/>
          <w:color w:val="000000" w:themeColor="text1"/>
        </w:rPr>
        <w:t>†, Zhihao Gao</w:t>
      </w:r>
      <w:r>
        <w:rPr>
          <w:rFonts w:ascii="Times New Roman" w:hAnsi="Times New Roman" w:cs="Times New Roman"/>
          <w:color w:val="000000" w:themeColor="text1"/>
          <w:vertAlign w:val="superscript"/>
        </w:rPr>
        <w:t>2,3</w:t>
      </w:r>
      <w:r>
        <w:rPr>
          <w:rFonts w:ascii="Times New Roman" w:hAnsi="Times New Roman" w:cs="Times New Roman"/>
          <w:color w:val="000000" w:themeColor="text1"/>
        </w:rPr>
        <w:t>†, Tao Li</w:t>
      </w:r>
      <w:r>
        <w:rPr>
          <w:rFonts w:ascii="Times New Roman" w:hAnsi="Times New Roman" w:cs="Times New Roman"/>
          <w:color w:val="000000" w:themeColor="text1"/>
          <w:vertAlign w:val="superscript"/>
        </w:rPr>
        <w:t>1, 4*</w:t>
      </w:r>
      <w:r>
        <w:rPr>
          <w:rFonts w:ascii="Times New Roman" w:hAnsi="Times New Roman" w:cs="Times New Roman"/>
          <w:color w:val="000000" w:themeColor="text1"/>
        </w:rPr>
        <w:t>, Yan Li</w:t>
      </w:r>
      <w:r>
        <w:rPr>
          <w:rFonts w:ascii="Times New Roman" w:hAnsi="Times New Roman" w:cs="Times New Roman"/>
          <w:color w:val="000000" w:themeColor="text1"/>
          <w:vertAlign w:val="superscript"/>
        </w:rPr>
        <w:t>1</w:t>
      </w:r>
      <w:r>
        <w:rPr>
          <w:rFonts w:ascii="Times New Roman" w:hAnsi="Times New Roman" w:cs="Times New Roman"/>
          <w:color w:val="000000" w:themeColor="text1"/>
        </w:rPr>
        <w:t>,</w:t>
      </w:r>
      <w:r>
        <w:rPr>
          <w:rFonts w:ascii="Times New Roman" w:hAnsi="Times New Roman" w:cs="Times New Roman"/>
          <w:color w:val="000000" w:themeColor="text1"/>
          <w:vertAlign w:val="superscript"/>
        </w:rPr>
        <w:t xml:space="preserve"> </w:t>
      </w:r>
      <w:proofErr w:type="spellStart"/>
      <w:r>
        <w:rPr>
          <w:rFonts w:ascii="Times New Roman" w:hAnsi="Times New Roman" w:cs="Times New Roman"/>
          <w:color w:val="000000" w:themeColor="text1"/>
        </w:rPr>
        <w:t>Feiyan</w:t>
      </w:r>
      <w:proofErr w:type="spellEnd"/>
      <w:r>
        <w:rPr>
          <w:rFonts w:ascii="Times New Roman" w:hAnsi="Times New Roman" w:cs="Times New Roman"/>
          <w:color w:val="000000" w:themeColor="text1"/>
        </w:rPr>
        <w:t xml:space="preserve"> Hou</w:t>
      </w:r>
      <w:r>
        <w:rPr>
          <w:rFonts w:ascii="Times New Roman" w:hAnsi="Times New Roman" w:cs="Times New Roman"/>
          <w:color w:val="000000" w:themeColor="text1"/>
          <w:vertAlign w:val="superscript"/>
        </w:rPr>
        <w:t>1</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Junying</w:t>
      </w:r>
      <w:proofErr w:type="spellEnd"/>
      <w:r>
        <w:rPr>
          <w:rFonts w:ascii="Times New Roman" w:hAnsi="Times New Roman" w:cs="Times New Roman"/>
          <w:color w:val="000000" w:themeColor="text1"/>
        </w:rPr>
        <w:t xml:space="preserve"> Zhang</w:t>
      </w:r>
      <w:r>
        <w:rPr>
          <w:rFonts w:ascii="Times New Roman" w:hAnsi="Times New Roman" w:cs="Times New Roman"/>
          <w:color w:val="000000" w:themeColor="text1"/>
          <w:vertAlign w:val="superscript"/>
        </w:rPr>
        <w:t>5</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Yifeng</w:t>
      </w:r>
      <w:proofErr w:type="spellEnd"/>
      <w:r>
        <w:rPr>
          <w:rFonts w:ascii="Times New Roman" w:hAnsi="Times New Roman" w:cs="Times New Roman"/>
          <w:color w:val="000000" w:themeColor="text1"/>
        </w:rPr>
        <w:t xml:space="preserve"> Ren</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 Yue Liu</w:t>
      </w:r>
      <w:r>
        <w:rPr>
          <w:rFonts w:ascii="Times New Roman" w:hAnsi="Times New Roman" w:cs="Times New Roman"/>
          <w:color w:val="000000" w:themeColor="text1"/>
          <w:vertAlign w:val="superscript"/>
        </w:rPr>
        <w:t>1</w:t>
      </w:r>
      <w:r>
        <w:rPr>
          <w:rFonts w:ascii="Times New Roman" w:hAnsi="Times New Roman" w:cs="Times New Roman"/>
          <w:color w:val="000000" w:themeColor="text1"/>
        </w:rPr>
        <w:t>, Yuhao Qiu</w:t>
      </w:r>
      <w:r>
        <w:rPr>
          <w:rFonts w:ascii="Times New Roman" w:hAnsi="Times New Roman" w:cs="Times New Roman"/>
          <w:color w:val="000000" w:themeColor="text1"/>
          <w:vertAlign w:val="superscript"/>
        </w:rPr>
        <w:t>6</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Shenghao</w:t>
      </w:r>
      <w:proofErr w:type="spellEnd"/>
      <w:r>
        <w:rPr>
          <w:rFonts w:ascii="Times New Roman" w:hAnsi="Times New Roman" w:cs="Times New Roman"/>
          <w:color w:val="000000" w:themeColor="text1"/>
        </w:rPr>
        <w:t xml:space="preserve"> Cai</w:t>
      </w:r>
      <w:r>
        <w:rPr>
          <w:rFonts w:ascii="Times New Roman" w:hAnsi="Times New Roman" w:cs="Times New Roman"/>
          <w:color w:val="000000" w:themeColor="text1"/>
          <w:vertAlign w:val="superscript"/>
        </w:rPr>
        <w:t>6</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Yaolin</w:t>
      </w:r>
      <w:proofErr w:type="spellEnd"/>
      <w:r>
        <w:rPr>
          <w:rFonts w:ascii="Times New Roman" w:hAnsi="Times New Roman" w:cs="Times New Roman"/>
          <w:color w:val="000000" w:themeColor="text1"/>
        </w:rPr>
        <w:t xml:space="preserve"> Wang</w:t>
      </w:r>
      <w:r>
        <w:rPr>
          <w:rFonts w:ascii="Times New Roman" w:hAnsi="Times New Roman" w:cs="Times New Roman"/>
          <w:color w:val="000000" w:themeColor="text1"/>
          <w:vertAlign w:val="superscript"/>
        </w:rPr>
        <w:t>1</w:t>
      </w:r>
      <w:r>
        <w:rPr>
          <w:rFonts w:ascii="Times New Roman" w:hAnsi="Times New Roman" w:cs="Times New Roman"/>
          <w:color w:val="000000" w:themeColor="text1"/>
        </w:rPr>
        <w:t>, Xi Deng</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 Shaohao Wang</w:t>
      </w:r>
      <w:r>
        <w:rPr>
          <w:rFonts w:ascii="Times New Roman" w:hAnsi="Times New Roman" w:cs="Times New Roman"/>
          <w:color w:val="000000" w:themeColor="text1"/>
          <w:vertAlign w:val="superscript"/>
        </w:rPr>
        <w:t>4</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Tiaoyang</w:t>
      </w:r>
      <w:proofErr w:type="spellEnd"/>
      <w:r>
        <w:rPr>
          <w:rFonts w:ascii="Times New Roman" w:hAnsi="Times New Roman" w:cs="Times New Roman"/>
          <w:color w:val="000000" w:themeColor="text1"/>
        </w:rPr>
        <w:t xml:space="preserve"> Li</w:t>
      </w:r>
      <w:r>
        <w:rPr>
          <w:rFonts w:ascii="Times New Roman" w:hAnsi="Times New Roman" w:cs="Times New Roman"/>
          <w:color w:val="000000" w:themeColor="text1"/>
          <w:vertAlign w:val="superscript"/>
        </w:rPr>
        <w:t>4</w:t>
      </w:r>
      <w:r>
        <w:rPr>
          <w:rFonts w:ascii="Times New Roman" w:hAnsi="Times New Roman" w:cs="Times New Roman"/>
          <w:color w:val="000000" w:themeColor="text1"/>
        </w:rPr>
        <w:t>, Yanqing Wu</w:t>
      </w:r>
      <w:r>
        <w:rPr>
          <w:rFonts w:ascii="Times New Roman" w:hAnsi="Times New Roman" w:cs="Times New Roman"/>
          <w:color w:val="000000" w:themeColor="text1"/>
          <w:vertAlign w:val="superscript"/>
        </w:rPr>
        <w:t>4, 7</w:t>
      </w:r>
      <w:r>
        <w:rPr>
          <w:rFonts w:ascii="Times New Roman" w:hAnsi="Times New Roman" w:cs="Times New Roman"/>
          <w:color w:val="000000" w:themeColor="text1"/>
        </w:rPr>
        <w:t>, Yu Deng</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Jiangjing</w:t>
      </w:r>
      <w:proofErr w:type="spellEnd"/>
      <w:r>
        <w:rPr>
          <w:rFonts w:ascii="Times New Roman" w:hAnsi="Times New Roman" w:cs="Times New Roman"/>
          <w:color w:val="000000" w:themeColor="text1"/>
        </w:rPr>
        <w:t xml:space="preserve"> Wang</w:t>
      </w:r>
      <w:r>
        <w:rPr>
          <w:rFonts w:ascii="Times New Roman" w:hAnsi="Times New Roman" w:cs="Times New Roman"/>
          <w:color w:val="000000" w:themeColor="text1"/>
          <w:vertAlign w:val="superscript"/>
        </w:rPr>
        <w:t>5</w:t>
      </w:r>
      <w:r>
        <w:rPr>
          <w:rFonts w:ascii="Times New Roman" w:hAnsi="Times New Roman" w:cs="Times New Roman"/>
          <w:color w:val="000000" w:themeColor="text1"/>
        </w:rPr>
        <w:t>, Di Wu</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 Xuegang Chen</w:t>
      </w:r>
      <w:r>
        <w:rPr>
          <w:rFonts w:ascii="Times New Roman" w:hAnsi="Times New Roman" w:cs="Times New Roman"/>
          <w:color w:val="000000" w:themeColor="text1"/>
          <w:vertAlign w:val="superscript"/>
        </w:rPr>
        <w:t>6</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Yuefeng</w:t>
      </w:r>
      <w:proofErr w:type="spellEnd"/>
      <w:r>
        <w:rPr>
          <w:rFonts w:ascii="Times New Roman" w:hAnsi="Times New Roman" w:cs="Times New Roman"/>
          <w:color w:val="000000" w:themeColor="text1"/>
        </w:rPr>
        <w:t xml:space="preserve"> Nie</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Hongtao</w:t>
      </w:r>
      <w:proofErr w:type="spellEnd"/>
      <w:r>
        <w:rPr>
          <w:rFonts w:ascii="Times New Roman" w:hAnsi="Times New Roman" w:cs="Times New Roman"/>
          <w:color w:val="000000" w:themeColor="text1"/>
        </w:rPr>
        <w:t xml:space="preserve"> Yuan</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 Fei Li</w:t>
      </w:r>
      <w:r>
        <w:rPr>
          <w:rFonts w:ascii="Times New Roman" w:hAnsi="Times New Roman" w:cs="Times New Roman"/>
          <w:color w:val="000000" w:themeColor="text1"/>
          <w:vertAlign w:val="superscript"/>
        </w:rPr>
        <w:t>8</w:t>
      </w:r>
      <w:r>
        <w:rPr>
          <w:rFonts w:ascii="Times New Roman" w:hAnsi="Times New Roman" w:cs="Times New Roman"/>
          <w:color w:val="000000" w:themeColor="text1"/>
        </w:rPr>
        <w:t>, Yurong Yang</w:t>
      </w:r>
      <w:r>
        <w:rPr>
          <w:rFonts w:ascii="Times New Roman" w:hAnsi="Times New Roman" w:cs="Times New Roman"/>
          <w:color w:val="000000" w:themeColor="text1"/>
          <w:vertAlign w:val="superscript"/>
        </w:rPr>
        <w:t>3*</w:t>
      </w:r>
      <w:r>
        <w:rPr>
          <w:rFonts w:ascii="Times New Roman" w:hAnsi="Times New Roman" w:cs="Times New Roman"/>
          <w:color w:val="000000" w:themeColor="text1"/>
        </w:rPr>
        <w:t>, Tai Min</w:t>
      </w:r>
      <w:r>
        <w:rPr>
          <w:rFonts w:ascii="Times New Roman" w:hAnsi="Times New Roman" w:cs="Times New Roman"/>
          <w:color w:val="000000" w:themeColor="text1"/>
          <w:vertAlign w:val="superscript"/>
        </w:rPr>
        <w:t>1, 2, 3,4*</w:t>
      </w:r>
    </w:p>
    <w:p w14:paraId="7AC5F61B" w14:textId="77777777" w:rsidR="00455B1A" w:rsidRDefault="00000000">
      <w:pPr>
        <w:pStyle w:val="Paragraph"/>
        <w:tabs>
          <w:tab w:val="left" w:pos="8130"/>
        </w:tabs>
        <w:ind w:firstLine="0"/>
        <w:rPr>
          <w:b/>
          <w:color w:val="000000" w:themeColor="text1"/>
          <w:lang w:eastAsia="zh-CN"/>
        </w:rPr>
      </w:pPr>
      <w:r>
        <w:rPr>
          <w:b/>
          <w:color w:val="000000" w:themeColor="text1"/>
        </w:rPr>
        <w:tab/>
      </w:r>
    </w:p>
    <w:p w14:paraId="177F5B8D" w14:textId="77777777" w:rsidR="00455B1A" w:rsidRDefault="00000000">
      <w:pPr>
        <w:ind w:left="142"/>
        <w:jc w:val="both"/>
        <w:rPr>
          <w:rFonts w:ascii="Times New Roman" w:hAnsi="Times New Roman" w:cs="Times New Roman"/>
          <w:color w:val="000000" w:themeColor="text1"/>
        </w:rPr>
      </w:pPr>
      <w:bookmarkStart w:id="0" w:name="_Hlk62201654"/>
      <w:r>
        <w:rPr>
          <w:rFonts w:ascii="Times New Roman" w:hAnsi="Times New Roman" w:cs="Times New Roman"/>
          <w:color w:val="000000" w:themeColor="text1"/>
          <w:vertAlign w:val="superscript"/>
        </w:rPr>
        <w:t>1</w:t>
      </w:r>
      <w:r>
        <w:rPr>
          <w:rFonts w:ascii="Times New Roman" w:hAnsi="Times New Roman" w:cs="Times New Roman"/>
          <w:color w:val="000000" w:themeColor="text1"/>
        </w:rPr>
        <w:t xml:space="preserve">Center for Spintronics and Quantum Systems (CSQS), State Key Laboratory for Mechanical Behavior of Materials and School of Materials Science and Engineering, Xi’an </w:t>
      </w:r>
      <w:proofErr w:type="spellStart"/>
      <w:r>
        <w:rPr>
          <w:rFonts w:ascii="Times New Roman" w:hAnsi="Times New Roman" w:cs="Times New Roman"/>
          <w:color w:val="000000" w:themeColor="text1"/>
        </w:rPr>
        <w:t>Jiaotong</w:t>
      </w:r>
      <w:proofErr w:type="spellEnd"/>
      <w:r>
        <w:rPr>
          <w:rFonts w:ascii="Times New Roman" w:hAnsi="Times New Roman" w:cs="Times New Roman"/>
          <w:color w:val="000000" w:themeColor="text1"/>
        </w:rPr>
        <w:t xml:space="preserve"> University, Xi’an, Shaanxi 710049, China.</w:t>
      </w:r>
    </w:p>
    <w:p w14:paraId="0BE7FFE0" w14:textId="77777777" w:rsidR="00455B1A" w:rsidRDefault="00000000">
      <w:pPr>
        <w:ind w:left="142"/>
        <w:jc w:val="both"/>
        <w:rPr>
          <w:rFonts w:ascii="Times New Roman" w:hAnsi="Times New Roman" w:cs="Times New Roman"/>
          <w:color w:val="000000" w:themeColor="text1"/>
        </w:rPr>
      </w:pPr>
      <w:r>
        <w:rPr>
          <w:rFonts w:ascii="Times New Roman" w:hAnsi="Times New Roman" w:cs="Times New Roman"/>
          <w:color w:val="000000" w:themeColor="text1"/>
          <w:vertAlign w:val="superscript"/>
        </w:rPr>
        <w:t>2</w:t>
      </w:r>
      <w:r>
        <w:rPr>
          <w:rFonts w:ascii="Times New Roman" w:hAnsi="Times New Roman" w:cs="Times New Roman"/>
          <w:color w:val="000000" w:themeColor="text1"/>
        </w:rPr>
        <w:t>School of Advanced Manufacturing Engineering, Nanjing University, Suzhou 215163, China.</w:t>
      </w:r>
    </w:p>
    <w:p w14:paraId="5E4FEB12" w14:textId="77777777" w:rsidR="00455B1A" w:rsidRDefault="00000000">
      <w:pPr>
        <w:ind w:left="142"/>
        <w:jc w:val="both"/>
        <w:rPr>
          <w:rFonts w:ascii="Times New Roman" w:hAnsi="Times New Roman" w:cs="Times New Roman"/>
          <w:color w:val="000000" w:themeColor="text1"/>
        </w:rPr>
      </w:pPr>
      <w:r>
        <w:rPr>
          <w:rFonts w:ascii="Times New Roman" w:hAnsi="Times New Roman" w:cs="Times New Roman"/>
          <w:color w:val="000000" w:themeColor="text1"/>
          <w:vertAlign w:val="superscript"/>
        </w:rPr>
        <w:t>3</w:t>
      </w:r>
      <w:r>
        <w:rPr>
          <w:rFonts w:ascii="Times New Roman" w:hAnsi="Times New Roman" w:cs="Times New Roman"/>
          <w:color w:val="000000" w:themeColor="text1"/>
        </w:rPr>
        <w:t xml:space="preserve">State Key Laboratory of </w:t>
      </w:r>
      <w:proofErr w:type="gramStart"/>
      <w:r>
        <w:rPr>
          <w:rFonts w:ascii="Times New Roman" w:hAnsi="Times New Roman" w:cs="Times New Roman"/>
          <w:color w:val="000000" w:themeColor="text1"/>
        </w:rPr>
        <w:t>Solid State</w:t>
      </w:r>
      <w:proofErr w:type="gramEnd"/>
      <w:r>
        <w:rPr>
          <w:rFonts w:ascii="Times New Roman" w:hAnsi="Times New Roman" w:cs="Times New Roman"/>
          <w:color w:val="000000" w:themeColor="text1"/>
        </w:rPr>
        <w:t xml:space="preserve"> Microstructures, Nanjing University, Nanjing 210093, China.</w:t>
      </w:r>
    </w:p>
    <w:p w14:paraId="3AFA024F" w14:textId="77777777" w:rsidR="00455B1A" w:rsidRDefault="00000000">
      <w:pPr>
        <w:ind w:left="142"/>
        <w:jc w:val="both"/>
        <w:rPr>
          <w:rFonts w:ascii="Times New Roman" w:hAnsi="Times New Roman" w:cs="Times New Roman"/>
        </w:rPr>
      </w:pPr>
      <w:r>
        <w:rPr>
          <w:rFonts w:ascii="Times New Roman" w:hAnsi="Times New Roman" w:cs="Times New Roman"/>
          <w:vertAlign w:val="superscript"/>
        </w:rPr>
        <w:t>4</w:t>
      </w:r>
      <w:r>
        <w:rPr>
          <w:rFonts w:ascii="Times New Roman" w:hAnsi="Times New Roman" w:cs="Times New Roman"/>
        </w:rPr>
        <w:t>FZU-Jinjiang Joint Institute of Microelectronics, Jinjiang Campus, Fuzhou University, Jinjiang 362200, China.</w:t>
      </w:r>
    </w:p>
    <w:p w14:paraId="24375257" w14:textId="77777777" w:rsidR="00455B1A" w:rsidRDefault="00000000">
      <w:pPr>
        <w:ind w:left="142"/>
        <w:jc w:val="both"/>
        <w:rPr>
          <w:rFonts w:ascii="Times New Roman" w:hAnsi="Times New Roman" w:cs="Times New Roman"/>
        </w:rPr>
      </w:pPr>
      <w:r>
        <w:rPr>
          <w:rFonts w:ascii="Times New Roman" w:hAnsi="Times New Roman" w:cs="Times New Roman"/>
          <w:vertAlign w:val="superscript"/>
        </w:rPr>
        <w:t>5</w:t>
      </w:r>
      <w:r>
        <w:rPr>
          <w:rFonts w:ascii="Times New Roman" w:hAnsi="Times New Roman" w:cs="Times New Roman"/>
        </w:rPr>
        <w:t xml:space="preserve">Center for Alloy Innovation and Design (CAID), State Key Laboratory for Mechanical Behavior of Materials, Xi'an </w:t>
      </w:r>
      <w:proofErr w:type="spellStart"/>
      <w:r>
        <w:rPr>
          <w:rFonts w:ascii="Times New Roman" w:hAnsi="Times New Roman" w:cs="Times New Roman"/>
        </w:rPr>
        <w:t>Jiaotong</w:t>
      </w:r>
      <w:proofErr w:type="spellEnd"/>
      <w:r>
        <w:rPr>
          <w:rFonts w:ascii="Times New Roman" w:hAnsi="Times New Roman" w:cs="Times New Roman"/>
        </w:rPr>
        <w:t xml:space="preserve"> University, Xi'an, </w:t>
      </w:r>
      <w:r>
        <w:rPr>
          <w:rFonts w:ascii="Times New Roman" w:hAnsi="Times New Roman" w:cs="Times New Roman"/>
          <w:color w:val="000000" w:themeColor="text1"/>
        </w:rPr>
        <w:t xml:space="preserve">Shaanxi 710049, </w:t>
      </w:r>
      <w:r>
        <w:rPr>
          <w:rFonts w:ascii="Times New Roman" w:hAnsi="Times New Roman" w:cs="Times New Roman"/>
        </w:rPr>
        <w:t>China.</w:t>
      </w:r>
    </w:p>
    <w:p w14:paraId="795E8B93" w14:textId="77777777" w:rsidR="00455B1A" w:rsidRDefault="00000000">
      <w:pPr>
        <w:ind w:left="142"/>
        <w:jc w:val="both"/>
        <w:rPr>
          <w:rFonts w:ascii="Times New Roman" w:hAnsi="Times New Roman" w:cs="Times New Roman"/>
        </w:rPr>
      </w:pPr>
      <w:r>
        <w:rPr>
          <w:rFonts w:ascii="Times New Roman" w:hAnsi="Times New Roman" w:cs="Times New Roman"/>
          <w:vertAlign w:val="superscript"/>
        </w:rPr>
        <w:t>6</w:t>
      </w:r>
      <w:r>
        <w:rPr>
          <w:rFonts w:ascii="Times New Roman" w:hAnsi="Times New Roman" w:cs="Times New Roman"/>
        </w:rPr>
        <w:t>Center of Free Electron Laser and High Magnetic Field, State Key Laboratory of Opto-Electronic Information Acquisition and Protection Technology, Anhui Provincial Key Laboratory of Magnetic Functional Materials and Devices, Anhui University, Hefei 230601, China.</w:t>
      </w:r>
    </w:p>
    <w:p w14:paraId="3B1D7A8B" w14:textId="77777777" w:rsidR="00455B1A" w:rsidRDefault="00000000">
      <w:pPr>
        <w:ind w:left="142" w:right="84"/>
        <w:jc w:val="both"/>
        <w:rPr>
          <w:rFonts w:ascii="Times New Roman" w:hAnsi="Times New Roman" w:cs="Times New Roman"/>
          <w:color w:val="000000" w:themeColor="text1"/>
        </w:rPr>
      </w:pPr>
      <w:r>
        <w:rPr>
          <w:rFonts w:ascii="Times New Roman" w:hAnsi="Times New Roman" w:cs="Times New Roman"/>
          <w:color w:val="000000" w:themeColor="text1"/>
          <w:vertAlign w:val="superscript"/>
        </w:rPr>
        <w:t>7</w:t>
      </w:r>
      <w:r>
        <w:rPr>
          <w:rFonts w:ascii="Times New Roman" w:hAnsi="Times New Roman" w:cs="Times New Roman"/>
          <w:color w:val="000000" w:themeColor="text1"/>
        </w:rPr>
        <w:t>School of Integrated Circuits and Beijing Advanced Innovation Center for Integrated Circuits, Peking University, Beijing 100871, China.</w:t>
      </w:r>
    </w:p>
    <w:p w14:paraId="74F2EEF3" w14:textId="77777777" w:rsidR="00455B1A" w:rsidRDefault="00000000">
      <w:pPr>
        <w:ind w:left="142"/>
        <w:jc w:val="both"/>
        <w:rPr>
          <w:rFonts w:ascii="Times New Roman" w:hAnsi="Times New Roman" w:cs="Times New Roman"/>
        </w:rPr>
      </w:pPr>
      <w:r>
        <w:rPr>
          <w:rFonts w:ascii="Times New Roman" w:hAnsi="Times New Roman" w:cs="Times New Roman"/>
          <w:vertAlign w:val="superscript"/>
        </w:rPr>
        <w:t>8</w:t>
      </w:r>
      <w:r>
        <w:rPr>
          <w:rFonts w:ascii="Times New Roman" w:hAnsi="Times New Roman" w:cs="Times New Roman"/>
        </w:rPr>
        <w:t xml:space="preserve">Electronic Materials Research Laboratory (Key Lab of Education Ministry), State Key Laboratory for Mechanical Behavior of Materials and School of Electronic and Information Engineering, Xi'an </w:t>
      </w:r>
      <w:proofErr w:type="spellStart"/>
      <w:r>
        <w:rPr>
          <w:rFonts w:ascii="Times New Roman" w:hAnsi="Times New Roman" w:cs="Times New Roman"/>
        </w:rPr>
        <w:t>Jiaotong</w:t>
      </w:r>
      <w:proofErr w:type="spellEnd"/>
      <w:r>
        <w:rPr>
          <w:rFonts w:ascii="Times New Roman" w:hAnsi="Times New Roman" w:cs="Times New Roman"/>
        </w:rPr>
        <w:t xml:space="preserve"> University, Xi’an, Shaanxi 710049, China.</w:t>
      </w:r>
    </w:p>
    <w:p w14:paraId="26C5D2EB" w14:textId="77777777" w:rsidR="00455B1A" w:rsidRDefault="00455B1A">
      <w:pPr>
        <w:jc w:val="both"/>
        <w:rPr>
          <w:rFonts w:ascii="Times New Roman" w:hAnsi="Times New Roman" w:cs="Times New Roman"/>
        </w:rPr>
      </w:pPr>
    </w:p>
    <w:p w14:paraId="0E3957EB" w14:textId="77777777" w:rsidR="00455B1A" w:rsidRDefault="00000000">
      <w:pPr>
        <w:pStyle w:val="Paragraph"/>
        <w:ind w:left="142" w:firstLine="0"/>
      </w:pPr>
      <w:r>
        <w:t xml:space="preserve">*Corresponding author. Email: </w:t>
      </w:r>
      <w:bookmarkEnd w:id="0"/>
      <w:r>
        <w:t>tai.min@nju.edu.cn (T.M.); yangyr@nju.edu.cn (Y.Y.); taoli66@xjtu.edu.cn (T.L.)</w:t>
      </w:r>
    </w:p>
    <w:p w14:paraId="48EE7DFB" w14:textId="77777777" w:rsidR="00455B1A" w:rsidRDefault="00455B1A">
      <w:pPr>
        <w:jc w:val="center"/>
        <w:rPr>
          <w:rFonts w:ascii="Times New Roman" w:hAnsi="Times New Roman" w:cs="Times New Roman"/>
        </w:rPr>
      </w:pPr>
    </w:p>
    <w:p w14:paraId="0063D516" w14:textId="77777777" w:rsidR="00455B1A" w:rsidRDefault="00455B1A">
      <w:pPr>
        <w:jc w:val="center"/>
        <w:rPr>
          <w:rFonts w:ascii="Times New Roman" w:hAnsi="Times New Roman" w:cs="Times New Roman"/>
        </w:rPr>
      </w:pPr>
    </w:p>
    <w:p w14:paraId="10F26ABC" w14:textId="77777777" w:rsidR="00455B1A" w:rsidRDefault="00455B1A">
      <w:pPr>
        <w:jc w:val="center"/>
        <w:rPr>
          <w:rFonts w:ascii="Times New Roman" w:hAnsi="Times New Roman" w:cs="Times New Roman"/>
        </w:rPr>
      </w:pPr>
    </w:p>
    <w:p w14:paraId="3EF57B8D" w14:textId="77777777" w:rsidR="00455B1A" w:rsidRDefault="00455B1A">
      <w:pPr>
        <w:jc w:val="center"/>
        <w:rPr>
          <w:rFonts w:ascii="Times New Roman" w:hAnsi="Times New Roman" w:cs="Times New Roman"/>
        </w:rPr>
      </w:pPr>
    </w:p>
    <w:p w14:paraId="6A919C7B" w14:textId="77777777" w:rsidR="00455B1A" w:rsidRDefault="00455B1A">
      <w:pPr>
        <w:jc w:val="center"/>
        <w:rPr>
          <w:rFonts w:ascii="Times New Roman" w:hAnsi="Times New Roman" w:cs="Times New Roman"/>
        </w:rPr>
      </w:pPr>
    </w:p>
    <w:p w14:paraId="6F2CF8F1" w14:textId="77777777" w:rsidR="00455B1A" w:rsidRDefault="00000000">
      <w:pPr>
        <w:jc w:val="center"/>
        <w:rPr>
          <w:rFonts w:ascii="Times New Roman" w:hAnsi="Times New Roman" w:cs="Times New Roman"/>
        </w:rPr>
      </w:pPr>
      <w:r>
        <w:rPr>
          <w:rFonts w:ascii="Times New Roman" w:hAnsi="Times New Roman" w:cs="Times New Roman"/>
        </w:rPr>
        <w:br w:type="page"/>
      </w:r>
    </w:p>
    <w:p w14:paraId="2B5722B9" w14:textId="77777777" w:rsidR="00455B1A" w:rsidRDefault="00000000">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35D00AA4" wp14:editId="0934FDD0">
            <wp:extent cx="5274945" cy="5151120"/>
            <wp:effectExtent l="0" t="0" r="0" b="5080"/>
            <wp:docPr id="279789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89714"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94768" cy="5170322"/>
                    </a:xfrm>
                    <a:prstGeom prst="rect">
                      <a:avLst/>
                    </a:prstGeom>
                    <a:noFill/>
                  </pic:spPr>
                </pic:pic>
              </a:graphicData>
            </a:graphic>
          </wp:inline>
        </w:drawing>
      </w:r>
    </w:p>
    <w:p w14:paraId="48DBDFB5" w14:textId="77777777" w:rsidR="00455B1A" w:rsidRDefault="00455B1A">
      <w:pPr>
        <w:rPr>
          <w:rFonts w:ascii="Times New Roman" w:hAnsi="Times New Roman" w:cs="Times New Roman"/>
        </w:rPr>
      </w:pPr>
    </w:p>
    <w:p w14:paraId="36220E0D" w14:textId="77777777" w:rsidR="00455B1A" w:rsidRDefault="00000000">
      <w:pPr>
        <w:jc w:val="both"/>
        <w:rPr>
          <w:rFonts w:ascii="Times New Roman" w:hAnsi="Times New Roman" w:cs="Times New Roman"/>
        </w:rPr>
      </w:pPr>
      <w:r>
        <w:rPr>
          <w:rFonts w:ascii="Times New Roman" w:hAnsi="Times New Roman" w:cs="Times New Roman"/>
          <w:b/>
          <w:bCs/>
        </w:rPr>
        <w:t>Extended Data Fig. 1 | Ozone-assisted PLD deposition of epitaxial NdNiO</w:t>
      </w:r>
      <w:r>
        <w:rPr>
          <w:rFonts w:ascii="Times New Roman" w:hAnsi="Times New Roman" w:cs="Times New Roman"/>
          <w:b/>
          <w:bCs/>
          <w:vertAlign w:val="subscript"/>
        </w:rPr>
        <w:t>3</w:t>
      </w:r>
      <w:r>
        <w:rPr>
          <w:rFonts w:ascii="Times New Roman" w:hAnsi="Times New Roman" w:cs="Times New Roman"/>
          <w:b/>
          <w:bCs/>
        </w:rPr>
        <w:t xml:space="preserve"> films on (001)-oriented LaAlO</w:t>
      </w:r>
      <w:r>
        <w:rPr>
          <w:rFonts w:ascii="Times New Roman" w:hAnsi="Times New Roman" w:cs="Times New Roman"/>
          <w:b/>
          <w:bCs/>
          <w:vertAlign w:val="subscript"/>
        </w:rPr>
        <w:t>3</w:t>
      </w:r>
      <w:r>
        <w:rPr>
          <w:rFonts w:ascii="Times New Roman" w:hAnsi="Times New Roman" w:cs="Times New Roman"/>
          <w:b/>
          <w:bCs/>
        </w:rPr>
        <w:t xml:space="preserve"> single crystal substrate.</w:t>
      </w:r>
      <w:r>
        <w:rPr>
          <w:rFonts w:ascii="Times New Roman" w:hAnsi="Times New Roman" w:cs="Times New Roman"/>
        </w:rPr>
        <w:t xml:space="preserve"> </w:t>
      </w:r>
      <w:r>
        <w:rPr>
          <w:rFonts w:ascii="Times New Roman" w:hAnsi="Times New Roman" w:cs="Times New Roman"/>
          <w:b/>
          <w:bCs/>
        </w:rPr>
        <w:t>a,</w:t>
      </w:r>
      <w:r>
        <w:rPr>
          <w:rFonts w:ascii="Times New Roman" w:hAnsi="Times New Roman" w:cs="Times New Roman"/>
        </w:rPr>
        <w:t xml:space="preserve"> RHEED intensity oscillation during the PLD deposition process of a representative NNO film with a thickness of </w:t>
      </w:r>
      <w:proofErr w:type="gramStart"/>
      <w:r>
        <w:rPr>
          <w:rFonts w:ascii="Times New Roman" w:hAnsi="Times New Roman" w:cs="Times New Roman"/>
        </w:rPr>
        <w:t>12 unit</w:t>
      </w:r>
      <w:proofErr w:type="gramEnd"/>
      <w:r>
        <w:rPr>
          <w:rFonts w:ascii="Times New Roman" w:hAnsi="Times New Roman" w:cs="Times New Roman"/>
        </w:rPr>
        <w:t xml:space="preserve"> cells. The insets show RHEED diffraction patterns from the LAO substrate before deposition and from the NNO film after PLD deposition, demonstrating a two-dimensional, layer-by-layer growth pattern. </w:t>
      </w:r>
      <w:r>
        <w:rPr>
          <w:rFonts w:ascii="Times New Roman" w:hAnsi="Times New Roman" w:cs="Times New Roman"/>
          <w:b/>
          <w:bCs/>
        </w:rPr>
        <w:t>b,</w:t>
      </w:r>
      <w:r>
        <w:rPr>
          <w:rFonts w:ascii="Times New Roman" w:hAnsi="Times New Roman" w:cs="Times New Roman"/>
        </w:rPr>
        <w:t xml:space="preserve"> An AFM morphology image of an as-grown NNO film with a root-mean-square roughness of 0.157 nm. </w:t>
      </w:r>
      <w:r>
        <w:rPr>
          <w:rFonts w:ascii="Times New Roman" w:hAnsi="Times New Roman" w:cs="Times New Roman"/>
          <w:b/>
          <w:bCs/>
        </w:rPr>
        <w:t>c,</w:t>
      </w:r>
      <w:r>
        <w:rPr>
          <w:rFonts w:ascii="Times New Roman" w:hAnsi="Times New Roman" w:cs="Times New Roman"/>
        </w:rPr>
        <w:t xml:space="preserve"> </w:t>
      </w:r>
      <w:proofErr w:type="gramStart"/>
      <w:r>
        <w:rPr>
          <w:rFonts w:ascii="Times New Roman" w:hAnsi="Times New Roman" w:cs="Times New Roman"/>
        </w:rPr>
        <w:t>The</w:t>
      </w:r>
      <w:proofErr w:type="gramEnd"/>
      <w:r>
        <w:rPr>
          <w:rFonts w:ascii="Times New Roman" w:hAnsi="Times New Roman" w:cs="Times New Roman"/>
        </w:rPr>
        <w:t xml:space="preserve"> full X-ray diffraction XRD spectra of 10, 14, and 20 unit-cell thick (001)-oriented NNO films,</w:t>
      </w:r>
      <w:r>
        <w:rPr>
          <w:rFonts w:ascii="Times New Roman" w:hAnsi="Times New Roman" w:cs="Times New Roman"/>
          <w:b/>
          <w:bCs/>
        </w:rPr>
        <w:t xml:space="preserve"> </w:t>
      </w:r>
      <w:r>
        <w:rPr>
          <w:rFonts w:ascii="Times New Roman" w:hAnsi="Times New Roman" w:cs="Times New Roman"/>
        </w:rPr>
        <w:t>with an enlarged view near the</w:t>
      </w:r>
      <w:r>
        <w:rPr>
          <w:rFonts w:ascii="Times New Roman" w:hAnsi="Times New Roman" w:cs="Times New Roman"/>
          <w:b/>
          <w:bCs/>
        </w:rPr>
        <w:t xml:space="preserve"> </w:t>
      </w:r>
      <w:r>
        <w:rPr>
          <w:rFonts w:ascii="Times New Roman" w:hAnsi="Times New Roman" w:cs="Times New Roman"/>
        </w:rPr>
        <w:t xml:space="preserve">(002) peaks shown below. The distinct peaks associated with the presence of the Laue fringe are indicated by the red arrow. </w:t>
      </w:r>
      <w:r>
        <w:rPr>
          <w:rFonts w:ascii="Times New Roman" w:hAnsi="Times New Roman" w:cs="Times New Roman"/>
          <w:b/>
          <w:bCs/>
        </w:rPr>
        <w:t>d, e,</w:t>
      </w:r>
      <w:r>
        <w:rPr>
          <w:rFonts w:ascii="Times New Roman" w:hAnsi="Times New Roman" w:cs="Times New Roman"/>
        </w:rPr>
        <w:t xml:space="preserve"> HAADF-STEM image of the heteroepitaxial NNO/LAO (</w:t>
      </w:r>
      <w:r w:rsidRPr="004D37B0">
        <w:rPr>
          <w:rFonts w:ascii="Times New Roman" w:hAnsi="Times New Roman" w:cs="Times New Roman"/>
          <w:b/>
          <w:bCs/>
        </w:rPr>
        <w:t>d</w:t>
      </w:r>
      <w:r>
        <w:rPr>
          <w:rFonts w:ascii="Times New Roman" w:hAnsi="Times New Roman" w:cs="Times New Roman"/>
        </w:rPr>
        <w:t>) and respective deformation of the in-plane lattice parameter of the NNO film with respect to the LAO substrate (</w:t>
      </w:r>
      <w:proofErr w:type="spellStart"/>
      <w:r>
        <w:rPr>
          <w:rFonts w:ascii="Times New Roman" w:hAnsi="Times New Roman" w:cs="Times New Roman"/>
          <w:i/>
          <w:iCs/>
        </w:rPr>
        <w:t>ε</w:t>
      </w:r>
      <w:r>
        <w:rPr>
          <w:rFonts w:ascii="Times New Roman" w:hAnsi="Times New Roman" w:cs="Times New Roman"/>
          <w:i/>
          <w:iCs/>
          <w:vertAlign w:val="subscript"/>
        </w:rPr>
        <w:t>xx</w:t>
      </w:r>
      <w:proofErr w:type="spellEnd"/>
      <w:r>
        <w:rPr>
          <w:rFonts w:ascii="Times New Roman" w:hAnsi="Times New Roman" w:cs="Times New Roman"/>
        </w:rPr>
        <w:t>, color scales) by geometrical phase analysis (GPA) (</w:t>
      </w:r>
      <w:r w:rsidRPr="004D37B0">
        <w:rPr>
          <w:rFonts w:ascii="Times New Roman" w:hAnsi="Times New Roman" w:cs="Times New Roman"/>
          <w:b/>
          <w:bCs/>
        </w:rPr>
        <w:t>e</w:t>
      </w:r>
      <w:r>
        <w:rPr>
          <w:rFonts w:ascii="Times New Roman" w:hAnsi="Times New Roman" w:cs="Times New Roman"/>
        </w:rPr>
        <w:t xml:space="preserve">). </w:t>
      </w:r>
      <w:proofErr w:type="spellStart"/>
      <w:r>
        <w:rPr>
          <w:rFonts w:ascii="Times New Roman" w:hAnsi="Times New Roman" w:cs="Times New Roman"/>
          <w:i/>
          <w:iCs/>
        </w:rPr>
        <w:t>ε</w:t>
      </w:r>
      <w:r>
        <w:rPr>
          <w:rFonts w:ascii="Times New Roman" w:hAnsi="Times New Roman" w:cs="Times New Roman"/>
          <w:i/>
          <w:iCs/>
          <w:vertAlign w:val="subscript"/>
        </w:rPr>
        <w:t>xx</w:t>
      </w:r>
      <w:proofErr w:type="spellEnd"/>
      <w:r>
        <w:rPr>
          <w:rFonts w:ascii="Times New Roman" w:hAnsi="Times New Roman" w:cs="Times New Roman"/>
        </w:rPr>
        <w:t xml:space="preserve"> is virtually zero throughout the NNO film, showing a good in-plane lattice match. </w:t>
      </w:r>
      <w:r>
        <w:rPr>
          <w:rFonts w:ascii="Times New Roman" w:hAnsi="Times New Roman" w:cs="Times New Roman"/>
          <w:b/>
          <w:bCs/>
        </w:rPr>
        <w:t>f-k,</w:t>
      </w:r>
      <w:r>
        <w:rPr>
          <w:rFonts w:ascii="Times New Roman" w:hAnsi="Times New Roman" w:cs="Times New Roman"/>
        </w:rPr>
        <w:t xml:space="preserve"> Cross-sectional HAADF-STEM image of the film and corresponding elemental mappings of full, Nd, Ni, Al, and La, respectively.</w:t>
      </w:r>
      <w:r>
        <w:rPr>
          <w:rFonts w:ascii="Times New Roman" w:hAnsi="Times New Roman" w:cs="Times New Roman"/>
        </w:rPr>
        <w:br w:type="page"/>
      </w:r>
    </w:p>
    <w:p w14:paraId="5381E6C2" w14:textId="77777777" w:rsidR="00455B1A" w:rsidRDefault="00455B1A">
      <w:pPr>
        <w:jc w:val="center"/>
        <w:rPr>
          <w:rFonts w:ascii="Times New Roman" w:hAnsi="Times New Roman" w:cs="Times New Roman"/>
          <w:b/>
          <w:bCs/>
        </w:rPr>
      </w:pPr>
    </w:p>
    <w:p w14:paraId="397E78BE" w14:textId="77777777" w:rsidR="00455B1A" w:rsidRDefault="00000000">
      <w:pPr>
        <w:jc w:val="center"/>
        <w:rPr>
          <w:rFonts w:ascii="Times New Roman" w:hAnsi="Times New Roman" w:cs="Times New Roman"/>
          <w:b/>
          <w:bCs/>
        </w:rPr>
      </w:pPr>
      <w:r>
        <w:rPr>
          <w:rFonts w:ascii="Times New Roman" w:hAnsi="Times New Roman" w:cs="Times New Roman"/>
          <w:b/>
          <w:bCs/>
          <w:noProof/>
        </w:rPr>
        <w:drawing>
          <wp:inline distT="0" distB="0" distL="0" distR="0" wp14:anchorId="50F9CBEF" wp14:editId="1A117295">
            <wp:extent cx="4905375" cy="5238750"/>
            <wp:effectExtent l="0" t="0" r="0" b="0"/>
            <wp:docPr id="1279432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32713" name="Picture 1"/>
                    <pic:cNvPicPr>
                      <a:picLocks noChangeAspect="1"/>
                    </pic:cNvPicPr>
                  </pic:nvPicPr>
                  <pic:blipFill>
                    <a:blip r:embed="rId7"/>
                    <a:stretch>
                      <a:fillRect/>
                    </a:stretch>
                  </pic:blipFill>
                  <pic:spPr>
                    <a:xfrm>
                      <a:off x="0" y="0"/>
                      <a:ext cx="4913476" cy="5247341"/>
                    </a:xfrm>
                    <a:prstGeom prst="rect">
                      <a:avLst/>
                    </a:prstGeom>
                  </pic:spPr>
                </pic:pic>
              </a:graphicData>
            </a:graphic>
          </wp:inline>
        </w:drawing>
      </w:r>
    </w:p>
    <w:p w14:paraId="43EAE9D0" w14:textId="77777777" w:rsidR="00455B1A" w:rsidRDefault="00455B1A">
      <w:pPr>
        <w:jc w:val="center"/>
        <w:rPr>
          <w:rFonts w:ascii="Times New Roman" w:hAnsi="Times New Roman" w:cs="Times New Roman"/>
          <w:b/>
          <w:bCs/>
        </w:rPr>
      </w:pPr>
    </w:p>
    <w:p w14:paraId="2618B3C5" w14:textId="77777777" w:rsidR="00455B1A" w:rsidRDefault="00000000">
      <w:pPr>
        <w:jc w:val="both"/>
        <w:rPr>
          <w:rFonts w:ascii="Times New Roman" w:hAnsi="Times New Roman" w:cs="Times New Roman"/>
        </w:rPr>
      </w:pPr>
      <w:r>
        <w:rPr>
          <w:rFonts w:ascii="Times New Roman" w:hAnsi="Times New Roman" w:cs="Times New Roman"/>
          <w:b/>
          <w:bCs/>
        </w:rPr>
        <w:t xml:space="preserve">Extended Data Fig. 2 | DC </w:t>
      </w:r>
      <w:r>
        <w:rPr>
          <w:rFonts w:ascii="Times New Roman" w:hAnsi="Times New Roman" w:cs="Times New Roman"/>
          <w:b/>
          <w:bCs/>
          <w:i/>
          <w:iCs/>
        </w:rPr>
        <w:t>I</w:t>
      </w:r>
      <w:r>
        <w:rPr>
          <w:rFonts w:ascii="Times New Roman" w:hAnsi="Times New Roman" w:cs="Times New Roman"/>
          <w:b/>
          <w:bCs/>
        </w:rPr>
        <w:t>-</w:t>
      </w:r>
      <w:r>
        <w:rPr>
          <w:rFonts w:ascii="Times New Roman" w:hAnsi="Times New Roman" w:cs="Times New Roman"/>
          <w:b/>
          <w:bCs/>
          <w:i/>
          <w:iCs/>
        </w:rPr>
        <w:t>V</w:t>
      </w:r>
      <w:r>
        <w:rPr>
          <w:rFonts w:ascii="Times New Roman" w:hAnsi="Times New Roman" w:cs="Times New Roman"/>
          <w:b/>
          <w:bCs/>
        </w:rPr>
        <w:t xml:space="preserve"> sweeps of (001)-oriented NNO films with different thicknesses. a,</w:t>
      </w:r>
      <w:r>
        <w:rPr>
          <w:rFonts w:ascii="Times New Roman" w:hAnsi="Times New Roman" w:cs="Times New Roman"/>
        </w:rPr>
        <w:t xml:space="preserve"> Schematic for DC </w:t>
      </w:r>
      <w:r>
        <w:rPr>
          <w:rFonts w:ascii="Times New Roman" w:hAnsi="Times New Roman" w:cs="Times New Roman"/>
          <w:i/>
          <w:iCs/>
        </w:rPr>
        <w:t>I-V</w:t>
      </w:r>
      <w:r>
        <w:rPr>
          <w:rFonts w:ascii="Times New Roman" w:hAnsi="Times New Roman" w:cs="Times New Roman"/>
        </w:rPr>
        <w:t xml:space="preserve"> sweep and PUND measurements.</w:t>
      </w:r>
      <w:r>
        <w:rPr>
          <w:rFonts w:ascii="Times New Roman" w:hAnsi="Times New Roman" w:cs="Times New Roman"/>
          <w:b/>
          <w:bCs/>
        </w:rPr>
        <w:t xml:space="preserve"> </w:t>
      </w:r>
      <w:r>
        <w:rPr>
          <w:rFonts w:ascii="Times New Roman" w:hAnsi="Times New Roman" w:cs="Times New Roman"/>
        </w:rPr>
        <w:t xml:space="preserve">The distance between the electrodes is 200 </w:t>
      </w:r>
      <w:proofErr w:type="spellStart"/>
      <w:r>
        <w:rPr>
          <w:rFonts w:ascii="Times New Roman" w:hAnsi="Times New Roman" w:cs="Times New Roman"/>
        </w:rPr>
        <w:t>μm</w:t>
      </w:r>
      <w:proofErr w:type="spellEnd"/>
      <w:r>
        <w:rPr>
          <w:rFonts w:ascii="Times New Roman" w:hAnsi="Times New Roman" w:cs="Times New Roman"/>
        </w:rPr>
        <w:t xml:space="preserve"> as labelled. </w:t>
      </w:r>
      <w:r>
        <w:rPr>
          <w:rFonts w:ascii="Times New Roman" w:hAnsi="Times New Roman" w:cs="Times New Roman"/>
          <w:b/>
          <w:bCs/>
        </w:rPr>
        <w:t>b-f,</w:t>
      </w:r>
      <w:r>
        <w:rPr>
          <w:rFonts w:ascii="Times New Roman" w:hAnsi="Times New Roman" w:cs="Times New Roman"/>
        </w:rPr>
        <w:t xml:space="preserve"> DC </w:t>
      </w:r>
      <w:r>
        <w:rPr>
          <w:rFonts w:ascii="Times New Roman" w:hAnsi="Times New Roman" w:cs="Times New Roman"/>
          <w:i/>
          <w:iCs/>
        </w:rPr>
        <w:t>I</w:t>
      </w:r>
      <w:r>
        <w:rPr>
          <w:rFonts w:ascii="Times New Roman" w:hAnsi="Times New Roman" w:cs="Times New Roman"/>
        </w:rPr>
        <w:t>-</w:t>
      </w:r>
      <w:r>
        <w:rPr>
          <w:rFonts w:ascii="Times New Roman" w:hAnsi="Times New Roman" w:cs="Times New Roman"/>
          <w:i/>
          <w:iCs/>
        </w:rPr>
        <w:t>V</w:t>
      </w:r>
      <w:r>
        <w:rPr>
          <w:rFonts w:ascii="Times New Roman" w:hAnsi="Times New Roman" w:cs="Times New Roman"/>
        </w:rPr>
        <w:t xml:space="preserve"> sweeps of (001)-oriented NNO films with thickness ranging from 7 to </w:t>
      </w:r>
      <w:proofErr w:type="gramStart"/>
      <w:r>
        <w:rPr>
          <w:rFonts w:ascii="Times New Roman" w:hAnsi="Times New Roman" w:cs="Times New Roman"/>
        </w:rPr>
        <w:t>18 unit</w:t>
      </w:r>
      <w:proofErr w:type="gramEnd"/>
      <w:r>
        <w:rPr>
          <w:rFonts w:ascii="Times New Roman" w:hAnsi="Times New Roman" w:cs="Times New Roman"/>
        </w:rPr>
        <w:t xml:space="preserve"> cells.</w:t>
      </w:r>
    </w:p>
    <w:p w14:paraId="1CB552ED" w14:textId="77777777" w:rsidR="00455B1A" w:rsidRDefault="00000000">
      <w:pPr>
        <w:jc w:val="both"/>
        <w:rPr>
          <w:rFonts w:ascii="Times New Roman" w:hAnsi="Times New Roman" w:cs="Times New Roman"/>
          <w:b/>
          <w:bCs/>
        </w:rPr>
      </w:pPr>
      <w:r>
        <w:rPr>
          <w:rFonts w:ascii="Times New Roman" w:hAnsi="Times New Roman" w:cs="Times New Roman"/>
          <w:b/>
          <w:bCs/>
        </w:rPr>
        <w:br w:type="page"/>
      </w:r>
    </w:p>
    <w:p w14:paraId="733B1713" w14:textId="77777777" w:rsidR="00455B1A" w:rsidRDefault="00000000">
      <w:pPr>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2A65810B" wp14:editId="5DE17BC1">
            <wp:extent cx="3712210" cy="4557395"/>
            <wp:effectExtent l="0" t="0" r="0" b="0"/>
            <wp:docPr id="17094676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67657"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712347" cy="4557600"/>
                    </a:xfrm>
                    <a:prstGeom prst="rect">
                      <a:avLst/>
                    </a:prstGeom>
                    <a:noFill/>
                  </pic:spPr>
                </pic:pic>
              </a:graphicData>
            </a:graphic>
          </wp:inline>
        </w:drawing>
      </w:r>
    </w:p>
    <w:p w14:paraId="3CF130F5" w14:textId="77777777" w:rsidR="00455B1A" w:rsidRDefault="00455B1A">
      <w:pPr>
        <w:jc w:val="center"/>
        <w:rPr>
          <w:rFonts w:ascii="Times New Roman" w:hAnsi="Times New Roman" w:cs="Times New Roman"/>
          <w:b/>
          <w:bCs/>
        </w:rPr>
      </w:pPr>
    </w:p>
    <w:p w14:paraId="0BF006FE" w14:textId="77777777" w:rsidR="00455B1A" w:rsidRDefault="00000000">
      <w:pPr>
        <w:jc w:val="both"/>
        <w:rPr>
          <w:rFonts w:ascii="Times New Roman" w:hAnsi="Times New Roman" w:cs="Times New Roman"/>
        </w:rPr>
      </w:pPr>
      <w:bookmarkStart w:id="1" w:name="_Hlk202203573"/>
      <w:r>
        <w:rPr>
          <w:rFonts w:ascii="Times New Roman" w:hAnsi="Times New Roman" w:cs="Times New Roman"/>
          <w:b/>
          <w:bCs/>
        </w:rPr>
        <w:t xml:space="preserve">Extended Data Fig. 3 | Double-wave measurements of (001)-oriented NNO thin film with a thickness of </w:t>
      </w:r>
      <w:proofErr w:type="gramStart"/>
      <w:r>
        <w:rPr>
          <w:rFonts w:ascii="Times New Roman" w:hAnsi="Times New Roman" w:cs="Times New Roman"/>
          <w:b/>
          <w:bCs/>
        </w:rPr>
        <w:t>10 unit</w:t>
      </w:r>
      <w:proofErr w:type="gramEnd"/>
      <w:r>
        <w:rPr>
          <w:rFonts w:ascii="Times New Roman" w:hAnsi="Times New Roman" w:cs="Times New Roman"/>
          <w:b/>
          <w:bCs/>
        </w:rPr>
        <w:t xml:space="preserve"> cells. a,</w:t>
      </w:r>
      <w:r>
        <w:rPr>
          <w:rFonts w:ascii="Times New Roman" w:hAnsi="Times New Roman" w:cs="Times New Roman"/>
        </w:rPr>
        <w:t xml:space="preserve"> Applied voltage window (0 to +15 V and 0 to −15 V) over time. The voltage waveform was applied twice at the positive and negative bias windows, respectively. </w:t>
      </w:r>
      <w:r>
        <w:rPr>
          <w:rFonts w:ascii="Times New Roman" w:hAnsi="Times New Roman" w:cs="Times New Roman"/>
          <w:b/>
          <w:bCs/>
        </w:rPr>
        <w:t>b</w:t>
      </w:r>
      <w:r>
        <w:rPr>
          <w:rFonts w:ascii="Times New Roman" w:eastAsia="NSimSun" w:hAnsi="Times New Roman" w:cs="Times New Roman"/>
          <w:b/>
          <w:bCs/>
        </w:rPr>
        <w:t>-</w:t>
      </w:r>
      <w:r>
        <w:rPr>
          <w:rFonts w:ascii="Times New Roman" w:hAnsi="Times New Roman" w:cs="Times New Roman"/>
          <w:b/>
          <w:bCs/>
        </w:rPr>
        <w:t>e,</w:t>
      </w:r>
      <w:r>
        <w:rPr>
          <w:rFonts w:ascii="Times New Roman" w:hAnsi="Times New Roman" w:cs="Times New Roman"/>
        </w:rPr>
        <w:t xml:space="preserve"> </w:t>
      </w:r>
      <w:r>
        <w:rPr>
          <w:rFonts w:ascii="Times New Roman" w:hAnsi="Times New Roman" w:cs="Times New Roman"/>
          <w:i/>
          <w:iCs/>
        </w:rPr>
        <w:t>I-V</w:t>
      </w:r>
      <w:r>
        <w:rPr>
          <w:rFonts w:ascii="Times New Roman" w:hAnsi="Times New Roman" w:cs="Times New Roman"/>
        </w:rPr>
        <w:t xml:space="preserve"> curves for different double wave sweeps labeled as (b)-(e) in a. The red and blue lines represent the first and second sweeps, respectively.</w:t>
      </w:r>
      <w:bookmarkEnd w:id="1"/>
      <w:r>
        <w:rPr>
          <w:rFonts w:ascii="Times New Roman" w:hAnsi="Times New Roman" w:cs="Times New Roman"/>
        </w:rPr>
        <w:t xml:space="preserve"> </w:t>
      </w:r>
    </w:p>
    <w:p w14:paraId="1248E58A" w14:textId="77777777" w:rsidR="00455B1A" w:rsidRDefault="00455B1A">
      <w:pPr>
        <w:jc w:val="center"/>
        <w:rPr>
          <w:rFonts w:ascii="Times New Roman" w:hAnsi="Times New Roman" w:cs="Times New Roman"/>
          <w:b/>
          <w:bCs/>
        </w:rPr>
      </w:pPr>
    </w:p>
    <w:p w14:paraId="119A9981" w14:textId="77777777" w:rsidR="00455B1A" w:rsidRDefault="00000000">
      <w:pPr>
        <w:rPr>
          <w:rFonts w:ascii="Times New Roman" w:hAnsi="Times New Roman" w:cs="Times New Roman"/>
          <w:b/>
          <w:bCs/>
        </w:rPr>
      </w:pPr>
      <w:r>
        <w:rPr>
          <w:rFonts w:ascii="Times New Roman" w:hAnsi="Times New Roman" w:cs="Times New Roman"/>
          <w:b/>
          <w:bCs/>
        </w:rPr>
        <w:br w:type="page"/>
      </w:r>
    </w:p>
    <w:p w14:paraId="72FFB071" w14:textId="77777777" w:rsidR="00455B1A" w:rsidRDefault="00455B1A">
      <w:pPr>
        <w:jc w:val="center"/>
        <w:rPr>
          <w:rFonts w:ascii="Times New Roman" w:hAnsi="Times New Roman" w:cs="Times New Roman"/>
        </w:rPr>
      </w:pPr>
    </w:p>
    <w:p w14:paraId="5620E34C" w14:textId="77777777" w:rsidR="00455B1A" w:rsidRDefault="00000000">
      <w:pPr>
        <w:jc w:val="center"/>
        <w:rPr>
          <w:rFonts w:ascii="Times New Roman" w:hAnsi="Times New Roman" w:cs="Times New Roman"/>
          <w:b/>
          <w:bCs/>
        </w:rPr>
      </w:pPr>
      <w:r>
        <w:rPr>
          <w:rFonts w:ascii="Times New Roman" w:hAnsi="Times New Roman" w:cs="Times New Roman"/>
          <w:b/>
          <w:bCs/>
          <w:noProof/>
        </w:rPr>
        <w:drawing>
          <wp:inline distT="0" distB="0" distL="0" distR="0" wp14:anchorId="0AA8640E" wp14:editId="79131565">
            <wp:extent cx="4713605" cy="3714115"/>
            <wp:effectExtent l="0" t="0" r="0" b="0"/>
            <wp:docPr id="422008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08170" name="Picture 1"/>
                    <pic:cNvPicPr>
                      <a:picLocks noChangeAspect="1"/>
                    </pic:cNvPicPr>
                  </pic:nvPicPr>
                  <pic:blipFill>
                    <a:blip r:embed="rId9"/>
                    <a:stretch>
                      <a:fillRect/>
                    </a:stretch>
                  </pic:blipFill>
                  <pic:spPr>
                    <a:xfrm>
                      <a:off x="0" y="0"/>
                      <a:ext cx="4734129" cy="3730150"/>
                    </a:xfrm>
                    <a:prstGeom prst="rect">
                      <a:avLst/>
                    </a:prstGeom>
                  </pic:spPr>
                </pic:pic>
              </a:graphicData>
            </a:graphic>
          </wp:inline>
        </w:drawing>
      </w:r>
      <w:r>
        <w:rPr>
          <w:rFonts w:ascii="Times New Roman" w:hAnsi="Times New Roman" w:cs="Times New Roman"/>
          <w:b/>
          <w:bCs/>
        </w:rPr>
        <w:t xml:space="preserve"> </w:t>
      </w:r>
    </w:p>
    <w:p w14:paraId="46BCCB60" w14:textId="37EF5DA1" w:rsidR="00455B1A" w:rsidRDefault="00000000">
      <w:pPr>
        <w:jc w:val="both"/>
        <w:rPr>
          <w:rFonts w:ascii="Times New Roman" w:hAnsi="Times New Roman" w:cs="Times New Roman"/>
          <w:b/>
          <w:bCs/>
        </w:rPr>
      </w:pPr>
      <w:r>
        <w:rPr>
          <w:rFonts w:ascii="Times New Roman" w:hAnsi="Times New Roman" w:cs="Times New Roman"/>
          <w:b/>
          <w:bCs/>
        </w:rPr>
        <w:t xml:space="preserve">Extended Data Fig. 4 | Positive up negative down (PUND) measurements. a, </w:t>
      </w:r>
      <w:r>
        <w:rPr>
          <w:rFonts w:ascii="Times New Roman" w:hAnsi="Times New Roman" w:cs="Times New Roman"/>
        </w:rPr>
        <w:t>PUND waveform (blue</w:t>
      </w:r>
      <w:proofErr w:type="gramStart"/>
      <w:r>
        <w:rPr>
          <w:rFonts w:ascii="Times New Roman" w:hAnsi="Times New Roman" w:cs="Times New Roman"/>
        </w:rPr>
        <w:t>)</w:t>
      </w:r>
      <w:proofErr w:type="gramEnd"/>
      <w:r>
        <w:rPr>
          <w:rFonts w:ascii="Times New Roman" w:hAnsi="Times New Roman" w:cs="Times New Roman"/>
        </w:rPr>
        <w:t xml:space="preserve"> and the observed raw current signal (red) from a 10 unit-cell thick (001)-oriented NNO film under a frequency of 100 Hz.</w:t>
      </w:r>
      <w:r>
        <w:rPr>
          <w:rFonts w:ascii="Times New Roman" w:hAnsi="Times New Roman" w:cs="Times New Roman"/>
          <w:b/>
          <w:bCs/>
        </w:rPr>
        <w:t xml:space="preserve"> b, </w:t>
      </w:r>
      <w:r>
        <w:rPr>
          <w:rFonts w:ascii="Times New Roman" w:hAnsi="Times New Roman" w:cs="Times New Roman"/>
          <w:i/>
          <w:iCs/>
        </w:rPr>
        <w:t>P-V</w:t>
      </w:r>
      <w:r>
        <w:rPr>
          <w:rFonts w:ascii="Times New Roman" w:hAnsi="Times New Roman" w:cs="Times New Roman"/>
        </w:rPr>
        <w:t xml:space="preserve"> loops obtained from different devices on NNO films with thicknesses of </w:t>
      </w:r>
      <w:proofErr w:type="gramStart"/>
      <w:r>
        <w:rPr>
          <w:rFonts w:ascii="Times New Roman" w:hAnsi="Times New Roman" w:cs="Times New Roman"/>
        </w:rPr>
        <w:t>10 unit</w:t>
      </w:r>
      <w:proofErr w:type="gramEnd"/>
      <w:r>
        <w:rPr>
          <w:rFonts w:ascii="Times New Roman" w:hAnsi="Times New Roman" w:cs="Times New Roman"/>
        </w:rPr>
        <w:t xml:space="preserve"> cells. The remanent polarization ranges from 2</w:t>
      </w:r>
      <w:r w:rsidR="000E0895">
        <w:rPr>
          <w:rFonts w:ascii="Times New Roman" w:hAnsi="Times New Roman" w:cs="Times New Roman" w:hint="eastAsia"/>
        </w:rPr>
        <w:t>4.5</w:t>
      </w:r>
      <w:r>
        <w:rPr>
          <w:rFonts w:ascii="Times New Roman" w:hAnsi="Times New Roman" w:cs="Times New Roman"/>
        </w:rPr>
        <w:t xml:space="preserve"> to 27.5 µC cm</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b/>
          <w:bCs/>
        </w:rPr>
        <w:t xml:space="preserve"> c, </w:t>
      </w:r>
      <w:r>
        <w:rPr>
          <w:rFonts w:ascii="Times New Roman" w:hAnsi="Times New Roman" w:cs="Times New Roman"/>
        </w:rPr>
        <w:t xml:space="preserve">Frequency-dependent </w:t>
      </w:r>
      <w:r>
        <w:rPr>
          <w:rFonts w:ascii="Times New Roman" w:hAnsi="Times New Roman" w:cs="Times New Roman"/>
          <w:i/>
          <w:iCs/>
        </w:rPr>
        <w:t>I-V</w:t>
      </w:r>
      <w:r>
        <w:rPr>
          <w:rFonts w:ascii="Times New Roman" w:hAnsi="Times New Roman" w:cs="Times New Roman"/>
        </w:rPr>
        <w:t xml:space="preserve"> curves after subtracting the </w:t>
      </w:r>
      <w:proofErr w:type="spellStart"/>
      <w:r>
        <w:rPr>
          <w:rFonts w:ascii="Times New Roman" w:hAnsi="Times New Roman" w:cs="Times New Roman"/>
        </w:rPr>
        <w:t>nonferroelectric</w:t>
      </w:r>
      <w:proofErr w:type="spellEnd"/>
      <w:r>
        <w:rPr>
          <w:rFonts w:ascii="Times New Roman" w:hAnsi="Times New Roman" w:cs="Times New Roman"/>
        </w:rPr>
        <w:t xml:space="preserve"> response in PUND measurements. The numbers and arrows indicate the sweeping sequence.</w:t>
      </w:r>
      <w:r>
        <w:rPr>
          <w:rFonts w:ascii="Times New Roman" w:hAnsi="Times New Roman" w:cs="Times New Roman"/>
          <w:b/>
          <w:bCs/>
        </w:rPr>
        <w:t xml:space="preserve"> d, </w:t>
      </w:r>
      <w:r>
        <w:rPr>
          <w:rFonts w:ascii="Times New Roman" w:hAnsi="Times New Roman" w:cs="Times New Roman"/>
        </w:rPr>
        <w:t>Coercive voltages (</w:t>
      </w:r>
      <w:r>
        <w:rPr>
          <w:rFonts w:ascii="Times New Roman" w:hAnsi="Times New Roman" w:cs="Times New Roman"/>
          <w:i/>
          <w:iCs/>
        </w:rPr>
        <w:t>V</w:t>
      </w:r>
      <w:r>
        <w:rPr>
          <w:rFonts w:ascii="Times New Roman" w:hAnsi="Times New Roman" w:cs="Times New Roman"/>
          <w:i/>
          <w:iCs/>
          <w:vertAlign w:val="subscript"/>
        </w:rPr>
        <w:t>C</w:t>
      </w:r>
      <w:r>
        <w:rPr>
          <w:rFonts w:ascii="Times New Roman" w:hAnsi="Times New Roman" w:cs="Times New Roman"/>
        </w:rPr>
        <w:t xml:space="preserve">), which correspond to the positive and negative current peaks, are plotted against the PUND measurement frequencies. </w:t>
      </w:r>
      <w:r>
        <w:rPr>
          <w:rFonts w:ascii="Times New Roman" w:hAnsi="Times New Roman" w:cs="Times New Roman"/>
          <w:b/>
          <w:bCs/>
        </w:rPr>
        <w:br w:type="page"/>
      </w:r>
    </w:p>
    <w:p w14:paraId="53D309E0" w14:textId="77777777" w:rsidR="00455B1A" w:rsidRDefault="00000000">
      <w:pPr>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6C28B940" wp14:editId="7157CC4D">
            <wp:extent cx="5943600" cy="1965960"/>
            <wp:effectExtent l="0" t="0" r="0" b="2540"/>
            <wp:docPr id="581645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45931" name="Picture 1"/>
                    <pic:cNvPicPr>
                      <a:picLocks noChangeAspect="1"/>
                    </pic:cNvPicPr>
                  </pic:nvPicPr>
                  <pic:blipFill>
                    <a:blip r:embed="rId10"/>
                    <a:stretch>
                      <a:fillRect/>
                    </a:stretch>
                  </pic:blipFill>
                  <pic:spPr>
                    <a:xfrm>
                      <a:off x="0" y="0"/>
                      <a:ext cx="5943600" cy="1965960"/>
                    </a:xfrm>
                    <a:prstGeom prst="rect">
                      <a:avLst/>
                    </a:prstGeom>
                  </pic:spPr>
                </pic:pic>
              </a:graphicData>
            </a:graphic>
          </wp:inline>
        </w:drawing>
      </w:r>
      <w:r>
        <w:rPr>
          <w:rFonts w:ascii="Times New Roman" w:hAnsi="Times New Roman" w:cs="Times New Roman"/>
          <w:b/>
          <w:bCs/>
        </w:rPr>
        <w:t xml:space="preserve"> </w:t>
      </w:r>
    </w:p>
    <w:p w14:paraId="622EB4B5" w14:textId="77777777" w:rsidR="00455B1A" w:rsidRDefault="00455B1A">
      <w:pPr>
        <w:jc w:val="both"/>
        <w:rPr>
          <w:rFonts w:ascii="Times New Roman" w:hAnsi="Times New Roman" w:cs="Times New Roman"/>
          <w:b/>
          <w:bCs/>
        </w:rPr>
      </w:pPr>
    </w:p>
    <w:p w14:paraId="34D777E5" w14:textId="77777777" w:rsidR="00455B1A" w:rsidRDefault="00000000">
      <w:pPr>
        <w:jc w:val="both"/>
        <w:rPr>
          <w:rFonts w:ascii="Times New Roman" w:hAnsi="Times New Roman" w:cs="Times New Roman"/>
        </w:rPr>
      </w:pPr>
      <w:r>
        <w:rPr>
          <w:rFonts w:ascii="Times New Roman" w:hAnsi="Times New Roman" w:cs="Times New Roman"/>
          <w:b/>
          <w:bCs/>
        </w:rPr>
        <w:t xml:space="preserve">Extended Data Fig. 5| Switching Spectroscopy PFM measurements. a, </w:t>
      </w:r>
      <w:r>
        <w:rPr>
          <w:rFonts w:ascii="Times New Roman" w:hAnsi="Times New Roman" w:cs="Times New Roman"/>
        </w:rPr>
        <w:t xml:space="preserve">Schematic of PFM measurement. The sample is grounded via the side of the NNO ultrathin films, while the electric bias is applied through the conductive probe. The local remanent ferroelectric hysteresis loops are acquired by the demonstrated triangular-square voltage waveform. </w:t>
      </w:r>
      <w:r>
        <w:rPr>
          <w:rFonts w:ascii="Times New Roman" w:hAnsi="Times New Roman" w:cs="Times New Roman"/>
          <w:b/>
          <w:bCs/>
        </w:rPr>
        <w:t>b,</w:t>
      </w:r>
      <w:r>
        <w:rPr>
          <w:rFonts w:ascii="Times New Roman" w:hAnsi="Times New Roman" w:cs="Times New Roman"/>
        </w:rPr>
        <w:t xml:space="preserve"> </w:t>
      </w:r>
      <w:proofErr w:type="gramStart"/>
      <w:r>
        <w:rPr>
          <w:rFonts w:ascii="Times New Roman" w:hAnsi="Times New Roman" w:cs="Times New Roman"/>
        </w:rPr>
        <w:t>No</w:t>
      </w:r>
      <w:proofErr w:type="gramEnd"/>
      <w:r>
        <w:rPr>
          <w:rFonts w:ascii="Times New Roman" w:hAnsi="Times New Roman" w:cs="Times New Roman"/>
        </w:rPr>
        <w:t xml:space="preserve"> hysteresis loops can be obtained on 1 unit-cell thick NNO films.</w:t>
      </w:r>
    </w:p>
    <w:p w14:paraId="491F547F" w14:textId="77777777" w:rsidR="00455B1A" w:rsidRDefault="00455B1A">
      <w:pPr>
        <w:jc w:val="both"/>
        <w:rPr>
          <w:rFonts w:ascii="Times New Roman" w:hAnsi="Times New Roman" w:cs="Times New Roman"/>
        </w:rPr>
      </w:pPr>
    </w:p>
    <w:p w14:paraId="51F970D7" w14:textId="77777777" w:rsidR="00455B1A" w:rsidRDefault="00000000">
      <w:pPr>
        <w:jc w:val="both"/>
        <w:rPr>
          <w:rFonts w:ascii="Times New Roman" w:hAnsi="Times New Roman" w:cs="Times New Roman"/>
          <w:b/>
          <w:bCs/>
        </w:rPr>
      </w:pPr>
      <w:r>
        <w:rPr>
          <w:rFonts w:ascii="Times New Roman" w:hAnsi="Times New Roman" w:cs="Times New Roman"/>
          <w:b/>
          <w:bCs/>
        </w:rPr>
        <w:br w:type="page"/>
      </w:r>
    </w:p>
    <w:p w14:paraId="696AC6BD" w14:textId="77777777" w:rsidR="00455B1A" w:rsidRDefault="00000000">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0459025" wp14:editId="17B7C41E">
            <wp:extent cx="4358640" cy="7230745"/>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4372937" cy="7254962"/>
                    </a:xfrm>
                    <a:prstGeom prst="rect">
                      <a:avLst/>
                    </a:prstGeom>
                  </pic:spPr>
                </pic:pic>
              </a:graphicData>
            </a:graphic>
          </wp:inline>
        </w:drawing>
      </w:r>
    </w:p>
    <w:p w14:paraId="40572A4F" w14:textId="77777777" w:rsidR="00455B1A" w:rsidRDefault="00455B1A">
      <w:pPr>
        <w:jc w:val="both"/>
        <w:rPr>
          <w:rFonts w:ascii="Times New Roman" w:hAnsi="Times New Roman" w:cs="Times New Roman"/>
          <w:b/>
          <w:bCs/>
        </w:rPr>
      </w:pPr>
    </w:p>
    <w:p w14:paraId="6AFEF6E2" w14:textId="77777777" w:rsidR="00455B1A" w:rsidRDefault="00000000">
      <w:pPr>
        <w:jc w:val="both"/>
        <w:rPr>
          <w:rFonts w:ascii="Times New Roman" w:hAnsi="Times New Roman" w:cs="Times New Roman"/>
        </w:rPr>
      </w:pPr>
      <w:r>
        <w:rPr>
          <w:rFonts w:ascii="Times New Roman" w:hAnsi="Times New Roman" w:cs="Times New Roman"/>
          <w:b/>
          <w:bCs/>
        </w:rPr>
        <w:t xml:space="preserve">Extended Data Fig. 6 | Electric poling and ferroelectric polarization retention measurements of (001)-oriented NNO thin film. </w:t>
      </w:r>
      <w:r>
        <w:rPr>
          <w:rFonts w:ascii="Times New Roman" w:hAnsi="Times New Roman" w:cs="Times New Roman"/>
        </w:rPr>
        <w:t xml:space="preserve">The morphology, amplitude, and phase evolution with time after domain poling using ±3 </w:t>
      </w:r>
      <w:r>
        <w:rPr>
          <w:rFonts w:ascii="Times New Roman" w:hAnsi="Times New Roman" w:cs="Times New Roman"/>
          <w:i/>
          <w:iCs/>
        </w:rPr>
        <w:t>V</w:t>
      </w:r>
      <w:r>
        <w:rPr>
          <w:rFonts w:ascii="Times New Roman" w:hAnsi="Times New Roman" w:cs="Times New Roman"/>
          <w:vertAlign w:val="subscript"/>
        </w:rPr>
        <w:t>DC</w:t>
      </w:r>
      <w:r>
        <w:rPr>
          <w:rFonts w:ascii="Times New Roman" w:hAnsi="Times New Roman" w:cs="Times New Roman"/>
        </w:rPr>
        <w:t xml:space="preserve"> voltages. </w:t>
      </w:r>
    </w:p>
    <w:p w14:paraId="5252224E" w14:textId="77777777" w:rsidR="00455B1A" w:rsidRDefault="00000000">
      <w:pPr>
        <w:jc w:val="both"/>
        <w:rPr>
          <w:rFonts w:ascii="Times New Roman" w:hAnsi="Times New Roman" w:cs="Times New Roman"/>
        </w:rPr>
      </w:pPr>
      <w:r>
        <w:rPr>
          <w:rFonts w:ascii="Times New Roman" w:hAnsi="Times New Roman" w:cs="Times New Roman"/>
        </w:rPr>
        <w:br w:type="page"/>
      </w:r>
    </w:p>
    <w:p w14:paraId="33FADAE3" w14:textId="77777777" w:rsidR="00455B1A" w:rsidRDefault="00000000">
      <w:pPr>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7FEB8338" wp14:editId="0915F0C3">
            <wp:extent cx="5939790" cy="3844925"/>
            <wp:effectExtent l="0" t="0" r="3810" b="3175"/>
            <wp:docPr id="7336268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2683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40000" cy="3845354"/>
                    </a:xfrm>
                    <a:prstGeom prst="rect">
                      <a:avLst/>
                    </a:prstGeom>
                    <a:noFill/>
                  </pic:spPr>
                </pic:pic>
              </a:graphicData>
            </a:graphic>
          </wp:inline>
        </w:drawing>
      </w:r>
    </w:p>
    <w:p w14:paraId="39ABF40E" w14:textId="77777777" w:rsidR="00455B1A" w:rsidRDefault="00455B1A">
      <w:pPr>
        <w:jc w:val="both"/>
        <w:rPr>
          <w:rFonts w:ascii="Times New Roman" w:hAnsi="Times New Roman" w:cs="Times New Roman"/>
          <w:b/>
          <w:bCs/>
        </w:rPr>
      </w:pPr>
    </w:p>
    <w:p w14:paraId="14BEA2C4" w14:textId="77777777" w:rsidR="00455B1A" w:rsidRDefault="00000000">
      <w:pPr>
        <w:jc w:val="both"/>
        <w:rPr>
          <w:rFonts w:ascii="Times New Roman" w:hAnsi="Times New Roman" w:cs="Times New Roman"/>
        </w:rPr>
      </w:pPr>
      <w:r>
        <w:rPr>
          <w:rFonts w:ascii="Times New Roman" w:hAnsi="Times New Roman" w:cs="Times New Roman"/>
          <w:b/>
          <w:bCs/>
        </w:rPr>
        <w:t xml:space="preserve">Extended Data Fig. 7 | SHG measurements of NNO ultrathin films with a thickness of </w:t>
      </w:r>
      <w:proofErr w:type="gramStart"/>
      <w:r>
        <w:rPr>
          <w:rFonts w:ascii="Times New Roman" w:hAnsi="Times New Roman" w:cs="Times New Roman"/>
          <w:b/>
          <w:bCs/>
        </w:rPr>
        <w:t>10 unit</w:t>
      </w:r>
      <w:proofErr w:type="gramEnd"/>
      <w:r>
        <w:rPr>
          <w:rFonts w:ascii="Times New Roman" w:hAnsi="Times New Roman" w:cs="Times New Roman"/>
          <w:b/>
          <w:bCs/>
        </w:rPr>
        <w:t xml:space="preserve"> cells. a, b, </w:t>
      </w:r>
      <w:r>
        <w:rPr>
          <w:rFonts w:ascii="Times New Roman" w:hAnsi="Times New Roman" w:cs="Times New Roman"/>
        </w:rPr>
        <w:t>Schematic diagrams of SHG measurements of the normal incidence configuration (</w:t>
      </w:r>
      <w:r w:rsidRPr="004D37B0">
        <w:rPr>
          <w:rFonts w:ascii="Times New Roman" w:hAnsi="Times New Roman" w:cs="Times New Roman"/>
          <w:b/>
          <w:bCs/>
        </w:rPr>
        <w:t>a</w:t>
      </w:r>
      <w:r>
        <w:rPr>
          <w:rFonts w:ascii="Times New Roman" w:hAnsi="Times New Roman" w:cs="Times New Roman"/>
        </w:rPr>
        <w:t>) and oblique incidence configuration (</w:t>
      </w:r>
      <w:r w:rsidRPr="004D37B0">
        <w:rPr>
          <w:rFonts w:ascii="Times New Roman" w:hAnsi="Times New Roman" w:cs="Times New Roman"/>
          <w:b/>
          <w:bCs/>
        </w:rPr>
        <w:t>b</w:t>
      </w:r>
      <w:r>
        <w:rPr>
          <w:rFonts w:ascii="Times New Roman" w:hAnsi="Times New Roman" w:cs="Times New Roman"/>
        </w:rPr>
        <w:t xml:space="preserve">). </w:t>
      </w:r>
      <w:r>
        <w:rPr>
          <w:rFonts w:ascii="Times New Roman" w:hAnsi="Times New Roman" w:cs="Times New Roman"/>
          <w:i/>
          <w:iCs/>
        </w:rPr>
        <w:t>θ</w:t>
      </w:r>
      <w:r>
        <w:rPr>
          <w:rFonts w:ascii="Times New Roman" w:hAnsi="Times New Roman" w:cs="Times New Roman"/>
        </w:rPr>
        <w:t xml:space="preserve"> and </w:t>
      </w:r>
      <w:r>
        <w:rPr>
          <w:rFonts w:ascii="Times New Roman" w:hAnsi="Times New Roman" w:cs="Times New Roman"/>
          <w:i/>
          <w:iCs/>
        </w:rPr>
        <w:t>φ</w:t>
      </w:r>
      <w:r>
        <w:rPr>
          <w:rFonts w:ascii="Times New Roman" w:hAnsi="Times New Roman" w:cs="Times New Roman"/>
        </w:rPr>
        <w:t xml:space="preserve"> denote the incident angle and the polarization angle of the fundamental laser beam, respectively.</w:t>
      </w:r>
      <w:r>
        <w:rPr>
          <w:rFonts w:ascii="Times New Roman" w:hAnsi="Times New Roman" w:cs="Times New Roman"/>
          <w:b/>
          <w:bCs/>
        </w:rPr>
        <w:t xml:space="preserve"> c,</w:t>
      </w:r>
      <w:r>
        <w:rPr>
          <w:rFonts w:ascii="Times New Roman" w:hAnsi="Times New Roman" w:cs="Times New Roman"/>
        </w:rPr>
        <w:t xml:space="preserve"> </w:t>
      </w:r>
      <w:r>
        <w:rPr>
          <w:rFonts w:ascii="Times New Roman" w:hAnsi="Times New Roman" w:cs="Times New Roman"/>
          <w:color w:val="000000" w:themeColor="text1"/>
        </w:rPr>
        <w:t>Schematic illustration of the six possible domain variants (X+, X-, Y+, Y-, Z+, and Z-) in the x-y-z space, along with the corresponding crystal axes (U</w:t>
      </w:r>
      <w:r>
        <w:rPr>
          <w:rFonts w:ascii="Times New Roman" w:hAnsi="Times New Roman" w:cs="Times New Roman"/>
          <w:color w:val="000000" w:themeColor="text1"/>
          <w:vertAlign w:val="subscript"/>
        </w:rPr>
        <w:t>1</w:t>
      </w:r>
      <w:r>
        <w:rPr>
          <w:rFonts w:ascii="Times New Roman" w:hAnsi="Times New Roman" w:cs="Times New Roman"/>
          <w:color w:val="000000" w:themeColor="text1"/>
        </w:rPr>
        <w:t>, U</w:t>
      </w:r>
      <w:r>
        <w:rPr>
          <w:rFonts w:ascii="Times New Roman" w:hAnsi="Times New Roman" w:cs="Times New Roman"/>
          <w:color w:val="000000" w:themeColor="text1"/>
          <w:vertAlign w:val="subscript"/>
        </w:rPr>
        <w:t>2</w:t>
      </w:r>
      <w:r>
        <w:rPr>
          <w:rFonts w:ascii="Times New Roman" w:hAnsi="Times New Roman" w:cs="Times New Roman"/>
          <w:color w:val="000000" w:themeColor="text1"/>
        </w:rPr>
        <w:t>, U</w:t>
      </w:r>
      <w:r>
        <w:rPr>
          <w:rFonts w:ascii="Times New Roman" w:hAnsi="Times New Roman" w:cs="Times New Roman"/>
          <w:color w:val="000000" w:themeColor="text1"/>
          <w:vertAlign w:val="subscript"/>
        </w:rPr>
        <w:t>3</w:t>
      </w:r>
      <w:r>
        <w:rPr>
          <w:rFonts w:ascii="Times New Roman" w:hAnsi="Times New Roman" w:cs="Times New Roman"/>
          <w:color w:val="000000" w:themeColor="text1"/>
        </w:rPr>
        <w:t xml:space="preserve">) for each variant. The incident light </w:t>
      </w:r>
      <w:r w:rsidRPr="004D37B0">
        <w:rPr>
          <w:rFonts w:ascii="Times New Roman" w:hAnsi="Times New Roman" w:cs="Times New Roman"/>
          <w:i/>
          <w:iCs/>
          <w:color w:val="000000" w:themeColor="text1"/>
        </w:rPr>
        <w:t>E</w:t>
      </w:r>
      <w:r>
        <w:rPr>
          <w:rFonts w:ascii="Times New Roman" w:hAnsi="Times New Roman" w:cs="Times New Roman"/>
          <w:color w:val="000000" w:themeColor="text1"/>
          <w:vertAlign w:val="subscript"/>
        </w:rPr>
        <w:t>0</w:t>
      </w:r>
      <w:r>
        <w:rPr>
          <w:rFonts w:ascii="Times New Roman" w:hAnsi="Times New Roman" w:cs="Times New Roman"/>
          <w:color w:val="000000" w:themeColor="text1"/>
        </w:rPr>
        <w:t xml:space="preserve"> is linearly polarized, with the azimuthal angle between the direction of </w:t>
      </w:r>
      <w:r w:rsidRPr="004D37B0">
        <w:rPr>
          <w:rFonts w:ascii="Times New Roman" w:hAnsi="Times New Roman" w:cs="Times New Roman"/>
          <w:i/>
          <w:iCs/>
          <w:color w:val="000000" w:themeColor="text1"/>
        </w:rPr>
        <w:t>E</w:t>
      </w:r>
      <w:r>
        <w:rPr>
          <w:rFonts w:ascii="Times New Roman" w:hAnsi="Times New Roman" w:cs="Times New Roman"/>
          <w:color w:val="000000" w:themeColor="text1"/>
          <w:vertAlign w:val="subscript"/>
        </w:rPr>
        <w:t>0</w:t>
      </w:r>
      <w:r>
        <w:rPr>
          <w:rFonts w:ascii="Times New Roman" w:hAnsi="Times New Roman" w:cs="Times New Roman"/>
          <w:color w:val="000000" w:themeColor="text1"/>
        </w:rPr>
        <w:t xml:space="preserve"> and the y-axis defined as </w:t>
      </w:r>
      <w:r w:rsidRPr="004D37B0">
        <w:rPr>
          <w:rFonts w:ascii="Times New Roman" w:hAnsi="Times New Roman" w:cs="Times New Roman"/>
          <w:i/>
          <w:iCs/>
          <w:color w:val="000000" w:themeColor="text1"/>
        </w:rPr>
        <w:t>φ</w:t>
      </w:r>
      <w:r>
        <w:rPr>
          <w:rFonts w:ascii="Times New Roman" w:hAnsi="Times New Roman" w:cs="Times New Roman"/>
          <w:color w:val="000000" w:themeColor="text1"/>
        </w:rPr>
        <w:t xml:space="preserve">. </w:t>
      </w:r>
      <w:r>
        <w:rPr>
          <w:rFonts w:ascii="Times New Roman" w:hAnsi="Times New Roman" w:cs="Times New Roman"/>
          <w:b/>
          <w:bCs/>
          <w:color w:val="000000" w:themeColor="text1"/>
        </w:rPr>
        <w:t>d,</w:t>
      </w:r>
      <w:r>
        <w:rPr>
          <w:rFonts w:ascii="Times New Roman" w:hAnsi="Times New Roman" w:cs="Times New Roman"/>
          <w:color w:val="000000" w:themeColor="text1"/>
        </w:rPr>
        <w:t xml:space="preserve"> Schematic of the emitted second harmonic wave, showing the two polarization configurations (</w:t>
      </w:r>
      <w:r w:rsidRPr="00BD08FB">
        <w:rPr>
          <w:rFonts w:ascii="Times New Roman" w:hAnsi="Times New Roman" w:cs="Times New Roman"/>
          <w:i/>
          <w:iCs/>
          <w:color w:val="000000" w:themeColor="text1"/>
        </w:rPr>
        <w:t>P</w:t>
      </w:r>
      <w:r>
        <w:rPr>
          <w:rFonts w:ascii="Times New Roman" w:hAnsi="Times New Roman" w:cs="Times New Roman"/>
          <w:color w:val="000000" w:themeColor="text1"/>
          <w:vertAlign w:val="subscript"/>
        </w:rPr>
        <w:t>p</w:t>
      </w:r>
      <w:r>
        <w:rPr>
          <w:rFonts w:ascii="Times New Roman" w:hAnsi="Times New Roman" w:cs="Times New Roman"/>
          <w:color w:val="000000" w:themeColor="text1"/>
        </w:rPr>
        <w:t xml:space="preserve"> and </w:t>
      </w:r>
      <w:r w:rsidRPr="00BD08FB">
        <w:rPr>
          <w:rFonts w:ascii="Times New Roman" w:hAnsi="Times New Roman" w:cs="Times New Roman"/>
          <w:i/>
          <w:iCs/>
          <w:color w:val="000000" w:themeColor="text1"/>
        </w:rPr>
        <w:t>P</w:t>
      </w:r>
      <w:r>
        <w:rPr>
          <w:rFonts w:ascii="Times New Roman" w:hAnsi="Times New Roman" w:cs="Times New Roman"/>
          <w:color w:val="000000" w:themeColor="text1"/>
          <w:vertAlign w:val="subscript"/>
        </w:rPr>
        <w:t>s</w:t>
      </w:r>
      <w:r>
        <w:rPr>
          <w:rFonts w:ascii="Times New Roman" w:hAnsi="Times New Roman" w:cs="Times New Roman"/>
          <w:color w:val="000000" w:themeColor="text1"/>
        </w:rPr>
        <w:t>) for the analyzer.</w:t>
      </w:r>
      <w:r>
        <w:rPr>
          <w:rFonts w:ascii="Times New Roman" w:hAnsi="Times New Roman" w:cs="Times New Roman"/>
        </w:rPr>
        <w:t xml:space="preserve"> </w:t>
      </w:r>
      <w:r>
        <w:rPr>
          <w:rFonts w:ascii="Times New Roman" w:hAnsi="Times New Roman" w:cs="Times New Roman"/>
          <w:b/>
          <w:bCs/>
        </w:rPr>
        <w:t>e-h,</w:t>
      </w:r>
      <w:r>
        <w:rPr>
          <w:rFonts w:ascii="Times New Roman" w:hAnsi="Times New Roman" w:cs="Times New Roman"/>
        </w:rPr>
        <w:t xml:space="preserve"> SHG polar plot fittings using point group </w:t>
      </w:r>
      <w:r w:rsidRPr="004D37B0">
        <w:rPr>
          <w:rFonts w:ascii="Times New Roman" w:hAnsi="Times New Roman" w:cs="Times New Roman"/>
          <w:i/>
          <w:iCs/>
        </w:rPr>
        <w:t>C</w:t>
      </w:r>
      <w:r>
        <w:rPr>
          <w:rFonts w:ascii="Times New Roman" w:hAnsi="Times New Roman" w:cs="Times New Roman"/>
          <w:vertAlign w:val="subscript"/>
        </w:rPr>
        <w:t>4</w:t>
      </w:r>
      <w:r>
        <w:rPr>
          <w:rFonts w:ascii="Times New Roman" w:hAnsi="Times New Roman" w:cs="Times New Roman"/>
        </w:rPr>
        <w:t>. When the sample is rotated by 90° in-plane (</w:t>
      </w:r>
      <w:r w:rsidRPr="004D37B0">
        <w:rPr>
          <w:rFonts w:ascii="Times New Roman" w:hAnsi="Times New Roman" w:cs="Times New Roman"/>
          <w:b/>
          <w:bCs/>
        </w:rPr>
        <w:t>f, h</w:t>
      </w:r>
      <w:r>
        <w:rPr>
          <w:rFonts w:ascii="Times New Roman" w:hAnsi="Times New Roman" w:cs="Times New Roman"/>
        </w:rPr>
        <w:t xml:space="preserve">), the polar plots do not satisfy </w:t>
      </w:r>
      <w:r w:rsidRPr="004D37B0">
        <w:rPr>
          <w:rFonts w:ascii="Times New Roman" w:hAnsi="Times New Roman" w:cs="Times New Roman"/>
          <w:i/>
          <w:iCs/>
        </w:rPr>
        <w:t>C</w:t>
      </w:r>
      <w:r>
        <w:rPr>
          <w:rFonts w:ascii="Times New Roman" w:hAnsi="Times New Roman" w:cs="Times New Roman"/>
          <w:vertAlign w:val="subscript"/>
        </w:rPr>
        <w:t>4</w:t>
      </w:r>
      <w:r>
        <w:rPr>
          <w:rFonts w:ascii="Times New Roman" w:hAnsi="Times New Roman" w:cs="Times New Roman"/>
        </w:rPr>
        <w:t xml:space="preserve"> symmetry. </w:t>
      </w:r>
      <w:proofErr w:type="spellStart"/>
      <w:r>
        <w:rPr>
          <w:rFonts w:ascii="Times New Roman" w:hAnsi="Times New Roman" w:cs="Times New Roman"/>
          <w:b/>
          <w:bCs/>
        </w:rPr>
        <w:t>i</w:t>
      </w:r>
      <w:proofErr w:type="spellEnd"/>
      <w:r>
        <w:rPr>
          <w:rFonts w:ascii="Times New Roman" w:hAnsi="Times New Roman" w:cs="Times New Roman"/>
          <w:b/>
          <w:bCs/>
        </w:rPr>
        <w:t>-l,</w:t>
      </w:r>
      <w:r>
        <w:rPr>
          <w:rFonts w:ascii="Times New Roman" w:hAnsi="Times New Roman" w:cs="Times New Roman"/>
        </w:rPr>
        <w:t xml:space="preserve"> SHG polar plot fittings using point group </w:t>
      </w:r>
      <w:r w:rsidRPr="004D37B0">
        <w:rPr>
          <w:rFonts w:ascii="Times New Roman" w:hAnsi="Times New Roman" w:cs="Times New Roman"/>
          <w:i/>
          <w:iCs/>
        </w:rPr>
        <w:t>C</w:t>
      </w:r>
      <w:r>
        <w:rPr>
          <w:rFonts w:ascii="Times New Roman" w:hAnsi="Times New Roman" w:cs="Times New Roman"/>
          <w:vertAlign w:val="subscript"/>
        </w:rPr>
        <w:t>4v</w:t>
      </w:r>
      <w:r>
        <w:rPr>
          <w:rFonts w:ascii="Times New Roman" w:hAnsi="Times New Roman" w:cs="Times New Roman"/>
        </w:rPr>
        <w:t>. When the sample is rotated by 90° in-plane (</w:t>
      </w:r>
      <w:r w:rsidRPr="004D37B0">
        <w:rPr>
          <w:rFonts w:ascii="Times New Roman" w:hAnsi="Times New Roman" w:cs="Times New Roman"/>
          <w:b/>
          <w:bCs/>
        </w:rPr>
        <w:t>j, l</w:t>
      </w:r>
      <w:r>
        <w:rPr>
          <w:rFonts w:ascii="Times New Roman" w:hAnsi="Times New Roman" w:cs="Times New Roman"/>
        </w:rPr>
        <w:t xml:space="preserve">), the polar plots do not satisfy </w:t>
      </w:r>
      <w:r w:rsidRPr="004D37B0">
        <w:rPr>
          <w:rFonts w:ascii="Times New Roman" w:hAnsi="Times New Roman" w:cs="Times New Roman"/>
          <w:i/>
          <w:iCs/>
        </w:rPr>
        <w:t>C</w:t>
      </w:r>
      <w:r>
        <w:rPr>
          <w:rFonts w:ascii="Times New Roman" w:hAnsi="Times New Roman" w:cs="Times New Roman"/>
          <w:vertAlign w:val="subscript"/>
        </w:rPr>
        <w:t>4v</w:t>
      </w:r>
      <w:r>
        <w:rPr>
          <w:rFonts w:ascii="Times New Roman" w:hAnsi="Times New Roman" w:cs="Times New Roman"/>
        </w:rPr>
        <w:t xml:space="preserve"> symmetry.  </w:t>
      </w:r>
    </w:p>
    <w:p w14:paraId="7076FF55" w14:textId="77777777" w:rsidR="00455B1A" w:rsidRDefault="00455B1A">
      <w:pPr>
        <w:jc w:val="both"/>
        <w:rPr>
          <w:rFonts w:ascii="Times New Roman" w:hAnsi="Times New Roman" w:cs="Times New Roman"/>
        </w:rPr>
      </w:pPr>
    </w:p>
    <w:p w14:paraId="202E60AF" w14:textId="77777777" w:rsidR="00455B1A" w:rsidRDefault="00000000">
      <w:pPr>
        <w:jc w:val="both"/>
        <w:rPr>
          <w:rFonts w:ascii="Times New Roman" w:hAnsi="Times New Roman" w:cs="Times New Roman"/>
        </w:rPr>
      </w:pPr>
      <w:r>
        <w:rPr>
          <w:rFonts w:ascii="Times New Roman" w:hAnsi="Times New Roman" w:cs="Times New Roman"/>
        </w:rPr>
        <w:br w:type="page"/>
      </w:r>
    </w:p>
    <w:p w14:paraId="2E3FD658" w14:textId="77777777" w:rsidR="00455B1A" w:rsidRDefault="00000000">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9C20E3B" wp14:editId="14A8B96A">
            <wp:extent cx="4734560" cy="1938655"/>
            <wp:effectExtent l="0" t="0" r="0" b="0"/>
            <wp:docPr id="1139232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32600" name="Picture 1"/>
                    <pic:cNvPicPr>
                      <a:picLocks noChangeAspect="1"/>
                    </pic:cNvPicPr>
                  </pic:nvPicPr>
                  <pic:blipFill>
                    <a:blip r:embed="rId13"/>
                    <a:stretch>
                      <a:fillRect/>
                    </a:stretch>
                  </pic:blipFill>
                  <pic:spPr>
                    <a:xfrm>
                      <a:off x="0" y="0"/>
                      <a:ext cx="4776771" cy="1956129"/>
                    </a:xfrm>
                    <a:prstGeom prst="rect">
                      <a:avLst/>
                    </a:prstGeom>
                  </pic:spPr>
                </pic:pic>
              </a:graphicData>
            </a:graphic>
          </wp:inline>
        </w:drawing>
      </w:r>
    </w:p>
    <w:p w14:paraId="620EAD5B" w14:textId="77777777" w:rsidR="00455B1A" w:rsidRDefault="00455B1A">
      <w:pPr>
        <w:jc w:val="center"/>
        <w:rPr>
          <w:rFonts w:ascii="Times New Roman" w:hAnsi="Times New Roman" w:cs="Times New Roman"/>
        </w:rPr>
      </w:pPr>
    </w:p>
    <w:p w14:paraId="681D6F85" w14:textId="77777777" w:rsidR="00455B1A" w:rsidRDefault="00000000">
      <w:pPr>
        <w:jc w:val="both"/>
        <w:rPr>
          <w:rFonts w:ascii="Times New Roman" w:hAnsi="Times New Roman" w:cs="Times New Roman"/>
        </w:rPr>
      </w:pPr>
      <w:r>
        <w:rPr>
          <w:rFonts w:ascii="Times New Roman" w:hAnsi="Times New Roman" w:cs="Times New Roman"/>
          <w:b/>
          <w:bCs/>
        </w:rPr>
        <w:t xml:space="preserve">Extended Data Fig. 8 | Multivalent Ni ions in NNO thin film. a, </w:t>
      </w:r>
      <w:r>
        <w:rPr>
          <w:rFonts w:ascii="Times New Roman" w:hAnsi="Times New Roman" w:cs="Times New Roman"/>
        </w:rPr>
        <w:t>XPS spectrum of Ni 2</w:t>
      </w:r>
      <w:r>
        <w:rPr>
          <w:rFonts w:ascii="Times New Roman" w:hAnsi="Times New Roman" w:cs="Times New Roman"/>
          <w:i/>
          <w:iCs/>
        </w:rPr>
        <w:t>p</w:t>
      </w:r>
      <w:r>
        <w:rPr>
          <w:rFonts w:ascii="Times New Roman" w:hAnsi="Times New Roman" w:cs="Times New Roman"/>
        </w:rPr>
        <w:t xml:space="preserve"> in (001)-oriented NNO film with thicknesses of </w:t>
      </w:r>
      <w:proofErr w:type="gramStart"/>
      <w:r>
        <w:rPr>
          <w:rFonts w:ascii="Times New Roman" w:hAnsi="Times New Roman" w:cs="Times New Roman"/>
        </w:rPr>
        <w:t>15 unit</w:t>
      </w:r>
      <w:proofErr w:type="gramEnd"/>
      <w:r>
        <w:rPr>
          <w:rFonts w:ascii="Times New Roman" w:hAnsi="Times New Roman" w:cs="Times New Roman"/>
        </w:rPr>
        <w:t xml:space="preserve"> cells. Revealed the multivalency of Ni ions. </w:t>
      </w:r>
      <w:r>
        <w:rPr>
          <w:rFonts w:ascii="Times New Roman" w:hAnsi="Times New Roman" w:cs="Times New Roman"/>
          <w:b/>
          <w:bCs/>
        </w:rPr>
        <w:t>b,</w:t>
      </w:r>
      <w:r>
        <w:rPr>
          <w:rFonts w:ascii="Times New Roman" w:hAnsi="Times New Roman" w:cs="Times New Roman"/>
        </w:rPr>
        <w:t xml:space="preserve"> Schematic of the nonequilibrium geometrically stabilized structure of the NNO unit cell. </w:t>
      </w:r>
      <w:bookmarkStart w:id="2" w:name="_Hlk219448247"/>
      <w:r>
        <w:rPr>
          <w:rFonts w:ascii="Times New Roman" w:hAnsi="Times New Roman" w:cs="Times New Roman"/>
        </w:rPr>
        <w:t xml:space="preserve">Green, yellow, grey, and purple balls represent </w:t>
      </w:r>
      <w:r>
        <w:rPr>
          <w:rFonts w:ascii="Times New Roman" w:hAnsi="Times New Roman" w:cs="Times New Roman"/>
          <w:lang w:bidi="ar"/>
        </w:rPr>
        <w:t>Ni</w:t>
      </w:r>
      <w:r>
        <w:rPr>
          <w:rFonts w:ascii="Times New Roman" w:hAnsi="Times New Roman" w:cs="Times New Roman"/>
          <w:vertAlign w:val="superscript"/>
          <w:lang w:bidi="ar"/>
        </w:rPr>
        <w:t>3+δ</w:t>
      </w:r>
      <w:r>
        <w:rPr>
          <w:rFonts w:ascii="Times New Roman" w:hAnsi="Times New Roman" w:cs="Times New Roman"/>
          <w:lang w:bidi="ar"/>
        </w:rPr>
        <w:t>, Ni</w:t>
      </w:r>
      <w:r>
        <w:rPr>
          <w:rFonts w:ascii="Times New Roman" w:hAnsi="Times New Roman" w:cs="Times New Roman"/>
          <w:vertAlign w:val="superscript"/>
          <w:lang w:bidi="ar"/>
        </w:rPr>
        <w:t>3-δ</w:t>
      </w:r>
      <w:r>
        <w:rPr>
          <w:rFonts w:ascii="Times New Roman" w:hAnsi="Times New Roman" w:cs="Times New Roman"/>
        </w:rPr>
        <w:t>, Nd</w:t>
      </w:r>
      <w:r>
        <w:rPr>
          <w:rFonts w:ascii="Times New Roman" w:hAnsi="Times New Roman" w:cs="Times New Roman"/>
          <w:vertAlign w:val="superscript"/>
        </w:rPr>
        <w:t>3+</w:t>
      </w:r>
      <w:r>
        <w:rPr>
          <w:rFonts w:ascii="Times New Roman" w:hAnsi="Times New Roman" w:cs="Times New Roman"/>
        </w:rPr>
        <w:t>, and O</w:t>
      </w:r>
      <w:r>
        <w:rPr>
          <w:rFonts w:ascii="Times New Roman" w:hAnsi="Times New Roman" w:cs="Times New Roman"/>
          <w:vertAlign w:val="superscript"/>
        </w:rPr>
        <w:t>2-</w:t>
      </w:r>
      <w:r>
        <w:rPr>
          <w:rFonts w:ascii="Times New Roman" w:hAnsi="Times New Roman" w:cs="Times New Roman"/>
        </w:rPr>
        <w:t xml:space="preserve"> ions, respectively.</w:t>
      </w:r>
      <w:bookmarkEnd w:id="2"/>
    </w:p>
    <w:p w14:paraId="4C4C3DFF" w14:textId="77777777" w:rsidR="00455B1A" w:rsidRDefault="00000000">
      <w:pPr>
        <w:jc w:val="both"/>
        <w:rPr>
          <w:rFonts w:ascii="Times New Roman" w:hAnsi="Times New Roman" w:cs="Times New Roman"/>
        </w:rPr>
      </w:pPr>
      <w:r>
        <w:rPr>
          <w:rFonts w:ascii="Times New Roman" w:hAnsi="Times New Roman" w:cs="Times New Roman"/>
        </w:rPr>
        <w:br w:type="page"/>
      </w:r>
    </w:p>
    <w:p w14:paraId="23F34312" w14:textId="77777777" w:rsidR="00455B1A" w:rsidRDefault="00000000">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7DDD207" wp14:editId="03CF2B11">
            <wp:extent cx="5943600" cy="7006590"/>
            <wp:effectExtent l="0" t="0" r="0" b="0"/>
            <wp:docPr id="221487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87877" name="Picture 1"/>
                    <pic:cNvPicPr>
                      <a:picLocks noChangeAspect="1"/>
                    </pic:cNvPicPr>
                  </pic:nvPicPr>
                  <pic:blipFill>
                    <a:blip r:embed="rId14"/>
                    <a:stretch>
                      <a:fillRect/>
                    </a:stretch>
                  </pic:blipFill>
                  <pic:spPr>
                    <a:xfrm>
                      <a:off x="0" y="0"/>
                      <a:ext cx="5943600" cy="7006590"/>
                    </a:xfrm>
                    <a:prstGeom prst="rect">
                      <a:avLst/>
                    </a:prstGeom>
                  </pic:spPr>
                </pic:pic>
              </a:graphicData>
            </a:graphic>
          </wp:inline>
        </w:drawing>
      </w:r>
    </w:p>
    <w:p w14:paraId="4660BE70" w14:textId="77777777" w:rsidR="00455B1A" w:rsidRDefault="00455B1A">
      <w:pPr>
        <w:jc w:val="center"/>
        <w:rPr>
          <w:rFonts w:ascii="Times New Roman" w:hAnsi="Times New Roman" w:cs="Times New Roman"/>
        </w:rPr>
      </w:pPr>
    </w:p>
    <w:p w14:paraId="0876B1AC" w14:textId="77777777" w:rsidR="00455B1A" w:rsidRDefault="00000000">
      <w:pPr>
        <w:jc w:val="both"/>
        <w:rPr>
          <w:rFonts w:ascii="Times New Roman" w:hAnsi="Times New Roman" w:cs="Times New Roman"/>
        </w:rPr>
      </w:pPr>
      <w:r>
        <w:rPr>
          <w:rFonts w:ascii="Times New Roman" w:hAnsi="Times New Roman" w:cs="Times New Roman"/>
          <w:b/>
          <w:bCs/>
        </w:rPr>
        <w:t>Extended Data Fig. 9 | Temperature-dependent PFM hysteresis loops in amplitude and phase of 14 unit-cell thick (001)-oriented NNO thin film.</w:t>
      </w:r>
      <w:r>
        <w:rPr>
          <w:rFonts w:ascii="Times New Roman" w:hAnsi="Times New Roman" w:cs="Times New Roman"/>
        </w:rPr>
        <w:t xml:space="preserve"> The gray arrow indicates the temperature-varying sequence.</w:t>
      </w:r>
    </w:p>
    <w:p w14:paraId="4C8AC4F0" w14:textId="77777777" w:rsidR="00455B1A" w:rsidRDefault="00000000">
      <w:pPr>
        <w:jc w:val="both"/>
        <w:rPr>
          <w:rFonts w:ascii="Times New Roman" w:hAnsi="Times New Roman" w:cs="Times New Roman"/>
          <w:b/>
          <w:bCs/>
        </w:rPr>
      </w:pPr>
      <w:r>
        <w:rPr>
          <w:rFonts w:ascii="Times New Roman" w:hAnsi="Times New Roman" w:cs="Times New Roman"/>
          <w:b/>
          <w:bCs/>
        </w:rPr>
        <w:br w:type="page"/>
      </w:r>
    </w:p>
    <w:p w14:paraId="02B20089" w14:textId="77777777" w:rsidR="00455B1A" w:rsidRDefault="00000000">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3DB3DA75" wp14:editId="37D08595">
            <wp:extent cx="5943600" cy="6292215"/>
            <wp:effectExtent l="0" t="0" r="0" b="0"/>
            <wp:docPr id="1916163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63776" name="Picture 1"/>
                    <pic:cNvPicPr>
                      <a:picLocks noChangeAspect="1"/>
                    </pic:cNvPicPr>
                  </pic:nvPicPr>
                  <pic:blipFill>
                    <a:blip r:embed="rId15"/>
                    <a:stretch>
                      <a:fillRect/>
                    </a:stretch>
                  </pic:blipFill>
                  <pic:spPr>
                    <a:xfrm>
                      <a:off x="0" y="0"/>
                      <a:ext cx="5943600" cy="6292215"/>
                    </a:xfrm>
                    <a:prstGeom prst="rect">
                      <a:avLst/>
                    </a:prstGeom>
                  </pic:spPr>
                </pic:pic>
              </a:graphicData>
            </a:graphic>
          </wp:inline>
        </w:drawing>
      </w:r>
      <w:r>
        <w:rPr>
          <w:rFonts w:ascii="Times New Roman" w:hAnsi="Times New Roman" w:cs="Times New Roman"/>
          <w:b/>
          <w:bCs/>
        </w:rPr>
        <w:t xml:space="preserve"> </w:t>
      </w:r>
    </w:p>
    <w:p w14:paraId="01CB36FA" w14:textId="77777777" w:rsidR="00455B1A" w:rsidRDefault="00455B1A">
      <w:pPr>
        <w:jc w:val="center"/>
        <w:rPr>
          <w:rFonts w:ascii="Times New Roman" w:hAnsi="Times New Roman" w:cs="Times New Roman"/>
        </w:rPr>
      </w:pPr>
    </w:p>
    <w:p w14:paraId="6C08D8EE" w14:textId="77777777" w:rsidR="00455B1A" w:rsidRDefault="00000000">
      <w:pPr>
        <w:jc w:val="both"/>
        <w:rPr>
          <w:rFonts w:ascii="Times New Roman" w:hAnsi="Times New Roman" w:cs="Times New Roman"/>
        </w:rPr>
      </w:pPr>
      <w:r>
        <w:rPr>
          <w:rFonts w:ascii="Times New Roman" w:hAnsi="Times New Roman" w:cs="Times New Roman"/>
          <w:b/>
          <w:bCs/>
        </w:rPr>
        <w:t>Extended Data Fig. 10 | Comprehensive analysis of layer-dependent checkerboard charge order in (001)-oriented NNO thin films. a</w:t>
      </w:r>
      <w:r>
        <w:rPr>
          <w:rFonts w:ascii="Times New Roman" w:hAnsi="Times New Roman" w:cs="Times New Roman"/>
        </w:rPr>
        <w:t>, Spatial mapping of oxygen octahedron volumes, showing an intralayer checkerboard pattern with variation across layers 1–3 (bottom to top). </w:t>
      </w:r>
      <w:r>
        <w:rPr>
          <w:rFonts w:ascii="Times New Roman" w:hAnsi="Times New Roman" w:cs="Times New Roman"/>
          <w:b/>
          <w:bCs/>
        </w:rPr>
        <w:t>b</w:t>
      </w:r>
      <w:r>
        <w:rPr>
          <w:rFonts w:ascii="Times New Roman" w:hAnsi="Times New Roman" w:cs="Times New Roman"/>
        </w:rPr>
        <w:t>, Quantified layer-resolved trend of the octahedron volume extracted from panel (</w:t>
      </w:r>
      <w:r w:rsidRPr="009E53B6">
        <w:rPr>
          <w:rFonts w:ascii="Times New Roman" w:hAnsi="Times New Roman" w:cs="Times New Roman"/>
          <w:b/>
          <w:bCs/>
        </w:rPr>
        <w:t>a</w:t>
      </w:r>
      <w:r>
        <w:rPr>
          <w:rFonts w:ascii="Times New Roman" w:hAnsi="Times New Roman" w:cs="Times New Roman"/>
        </w:rPr>
        <w:t>). </w:t>
      </w:r>
      <w:r>
        <w:rPr>
          <w:rFonts w:ascii="Times New Roman" w:hAnsi="Times New Roman" w:cs="Times New Roman"/>
          <w:b/>
          <w:bCs/>
        </w:rPr>
        <w:t>c</w:t>
      </w:r>
      <w:r>
        <w:rPr>
          <w:rFonts w:ascii="Times New Roman" w:hAnsi="Times New Roman" w:cs="Times New Roman"/>
        </w:rPr>
        <w:t>, Spatial mapping of the local magnetic moment on each Ni ion. </w:t>
      </w:r>
      <w:r>
        <w:rPr>
          <w:rFonts w:ascii="Times New Roman" w:hAnsi="Times New Roman" w:cs="Times New Roman"/>
          <w:b/>
          <w:bCs/>
        </w:rPr>
        <w:t>d</w:t>
      </w:r>
      <w:r>
        <w:rPr>
          <w:rFonts w:ascii="Times New Roman" w:hAnsi="Times New Roman" w:cs="Times New Roman"/>
        </w:rPr>
        <w:t>, Quantified layer-resolved trend of the Ni magnetic moment extracted from panel (</w:t>
      </w:r>
      <w:r>
        <w:rPr>
          <w:rFonts w:ascii="Times New Roman" w:hAnsi="Times New Roman" w:cs="Times New Roman"/>
          <w:b/>
          <w:bCs/>
        </w:rPr>
        <w:t>c</w:t>
      </w:r>
      <w:r w:rsidRPr="009E53B6">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b/>
          <w:bCs/>
        </w:rPr>
        <w:t xml:space="preserve">e, </w:t>
      </w:r>
      <w:r>
        <w:rPr>
          <w:rFonts w:ascii="Times New Roman" w:hAnsi="Times New Roman" w:cs="Times New Roman"/>
        </w:rPr>
        <w:t xml:space="preserve">Schematic of the charge-ordered states of the </w:t>
      </w:r>
      <w:proofErr w:type="gramStart"/>
      <w:r>
        <w:rPr>
          <w:rFonts w:ascii="Times New Roman" w:hAnsi="Times New Roman" w:cs="Times New Roman"/>
        </w:rPr>
        <w:t>3 unit</w:t>
      </w:r>
      <w:proofErr w:type="gramEnd"/>
      <w:r>
        <w:rPr>
          <w:rFonts w:ascii="Times New Roman" w:hAnsi="Times New Roman" w:cs="Times New Roman"/>
        </w:rPr>
        <w:t xml:space="preserve"> cells thick NNO film along the charge transfer process. The </w:t>
      </w:r>
      <w:proofErr w:type="spellStart"/>
      <w:r>
        <w:rPr>
          <w:rFonts w:ascii="Times New Roman" w:hAnsi="Times New Roman" w:cs="Times New Roman"/>
          <w:i/>
          <w:iCs/>
        </w:rPr>
        <w:t>η</w:t>
      </w:r>
      <w:r>
        <w:rPr>
          <w:rFonts w:ascii="Times New Roman" w:hAnsi="Times New Roman" w:cs="Times New Roman"/>
          <w:vertAlign w:val="subscript"/>
        </w:rPr>
        <w:t>x</w:t>
      </w:r>
      <w:proofErr w:type="spellEnd"/>
      <w:r>
        <w:rPr>
          <w:rFonts w:ascii="Times New Roman" w:hAnsi="Times New Roman" w:cs="Times New Roman"/>
        </w:rPr>
        <w:t xml:space="preserve"> (x = 1, 2, 3) represents the base charge, and </w:t>
      </w:r>
      <w:r>
        <w:rPr>
          <w:rFonts w:ascii="Cambria Math" w:hAnsi="Cambria Math" w:cs="Cambria Math"/>
          <w:i/>
          <w:iCs/>
        </w:rPr>
        <w:t>𝛿</w:t>
      </w:r>
      <w:r>
        <w:rPr>
          <w:rFonts w:ascii="Times New Roman" w:hAnsi="Times New Roman" w:cs="Times New Roman"/>
          <w:vertAlign w:val="subscript"/>
        </w:rPr>
        <w:t>x</w:t>
      </w:r>
      <w:r>
        <w:rPr>
          <w:rFonts w:ascii="Times New Roman" w:hAnsi="Times New Roman" w:cs="Times New Roman"/>
        </w:rPr>
        <w:t xml:space="preserve"> (x = 1, 2, 3) represents the charge transfer for each corresponding layer. </w:t>
      </w:r>
    </w:p>
    <w:p w14:paraId="2A771792" w14:textId="77777777" w:rsidR="00455B1A" w:rsidRDefault="00455B1A">
      <w:pPr>
        <w:rPr>
          <w:rFonts w:ascii="Times New Roman" w:hAnsi="Times New Roman" w:cs="Times New Roman"/>
        </w:rPr>
      </w:pPr>
    </w:p>
    <w:sectPr w:rsidR="00455B1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A6A06" w14:textId="77777777" w:rsidR="002E7406" w:rsidRDefault="002E7406" w:rsidP="004D37B0">
      <w:r>
        <w:separator/>
      </w:r>
    </w:p>
  </w:endnote>
  <w:endnote w:type="continuationSeparator" w:id="0">
    <w:p w14:paraId="319D324A" w14:textId="77777777" w:rsidR="002E7406" w:rsidRDefault="002E7406" w:rsidP="004D3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NSimSun">
    <w:panose1 w:val="02010609030101010101"/>
    <w:charset w:val="86"/>
    <w:family w:val="modern"/>
    <w:pitch w:val="fixed"/>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09C9B" w14:textId="77777777" w:rsidR="002E7406" w:rsidRDefault="002E7406" w:rsidP="004D37B0">
      <w:r>
        <w:separator/>
      </w:r>
    </w:p>
  </w:footnote>
  <w:footnote w:type="continuationSeparator" w:id="0">
    <w:p w14:paraId="6C3FF098" w14:textId="77777777" w:rsidR="002E7406" w:rsidRDefault="002E7406" w:rsidP="004D37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E21"/>
    <w:rsid w:val="000011BA"/>
    <w:rsid w:val="0000652E"/>
    <w:rsid w:val="00006CBC"/>
    <w:rsid w:val="00011B17"/>
    <w:rsid w:val="00023660"/>
    <w:rsid w:val="00024150"/>
    <w:rsid w:val="000303C7"/>
    <w:rsid w:val="0004256E"/>
    <w:rsid w:val="00043211"/>
    <w:rsid w:val="00045D9B"/>
    <w:rsid w:val="00046E7F"/>
    <w:rsid w:val="000540E4"/>
    <w:rsid w:val="000616EA"/>
    <w:rsid w:val="00072F88"/>
    <w:rsid w:val="00074978"/>
    <w:rsid w:val="000916D2"/>
    <w:rsid w:val="00093D0E"/>
    <w:rsid w:val="000A63A3"/>
    <w:rsid w:val="000B185A"/>
    <w:rsid w:val="000B5E65"/>
    <w:rsid w:val="000C76BB"/>
    <w:rsid w:val="000C7FAF"/>
    <w:rsid w:val="000D0FE2"/>
    <w:rsid w:val="000D7C23"/>
    <w:rsid w:val="000E0895"/>
    <w:rsid w:val="000E29D9"/>
    <w:rsid w:val="000F016E"/>
    <w:rsid w:val="000F142A"/>
    <w:rsid w:val="000F26A6"/>
    <w:rsid w:val="000F7E21"/>
    <w:rsid w:val="001109BC"/>
    <w:rsid w:val="00117AED"/>
    <w:rsid w:val="00123FDF"/>
    <w:rsid w:val="00127380"/>
    <w:rsid w:val="00131758"/>
    <w:rsid w:val="001339B4"/>
    <w:rsid w:val="00150040"/>
    <w:rsid w:val="00152629"/>
    <w:rsid w:val="0015266E"/>
    <w:rsid w:val="00156F40"/>
    <w:rsid w:val="00174775"/>
    <w:rsid w:val="00174B3F"/>
    <w:rsid w:val="001761F7"/>
    <w:rsid w:val="001834D7"/>
    <w:rsid w:val="00190386"/>
    <w:rsid w:val="001B5E30"/>
    <w:rsid w:val="001D4E62"/>
    <w:rsid w:val="001D5034"/>
    <w:rsid w:val="001D6C7B"/>
    <w:rsid w:val="001D6E98"/>
    <w:rsid w:val="001E2717"/>
    <w:rsid w:val="001F42A2"/>
    <w:rsid w:val="001F4463"/>
    <w:rsid w:val="001F4C7D"/>
    <w:rsid w:val="001F7273"/>
    <w:rsid w:val="0020545C"/>
    <w:rsid w:val="00207B04"/>
    <w:rsid w:val="00221912"/>
    <w:rsid w:val="00224384"/>
    <w:rsid w:val="00225EE6"/>
    <w:rsid w:val="002338F0"/>
    <w:rsid w:val="002340EA"/>
    <w:rsid w:val="00263074"/>
    <w:rsid w:val="00273918"/>
    <w:rsid w:val="00281C4F"/>
    <w:rsid w:val="0029100A"/>
    <w:rsid w:val="00291305"/>
    <w:rsid w:val="002A03F0"/>
    <w:rsid w:val="002A052F"/>
    <w:rsid w:val="002A2DB2"/>
    <w:rsid w:val="002B35E6"/>
    <w:rsid w:val="002B5944"/>
    <w:rsid w:val="002C4458"/>
    <w:rsid w:val="002E68DE"/>
    <w:rsid w:val="002E7406"/>
    <w:rsid w:val="002F1718"/>
    <w:rsid w:val="002F1ECC"/>
    <w:rsid w:val="00305926"/>
    <w:rsid w:val="00306223"/>
    <w:rsid w:val="00313961"/>
    <w:rsid w:val="00345983"/>
    <w:rsid w:val="0035323F"/>
    <w:rsid w:val="00357D4E"/>
    <w:rsid w:val="00360C9B"/>
    <w:rsid w:val="00366385"/>
    <w:rsid w:val="003731D9"/>
    <w:rsid w:val="00374B43"/>
    <w:rsid w:val="00382182"/>
    <w:rsid w:val="0038473E"/>
    <w:rsid w:val="00390826"/>
    <w:rsid w:val="003933D4"/>
    <w:rsid w:val="003974B0"/>
    <w:rsid w:val="003A37FF"/>
    <w:rsid w:val="003A5B66"/>
    <w:rsid w:val="003B4984"/>
    <w:rsid w:val="003B700E"/>
    <w:rsid w:val="003B7C2D"/>
    <w:rsid w:val="003C0F71"/>
    <w:rsid w:val="003C6A31"/>
    <w:rsid w:val="003D1DB4"/>
    <w:rsid w:val="003E1673"/>
    <w:rsid w:val="003E16CF"/>
    <w:rsid w:val="003E5070"/>
    <w:rsid w:val="003F421D"/>
    <w:rsid w:val="00403110"/>
    <w:rsid w:val="00406716"/>
    <w:rsid w:val="004071EF"/>
    <w:rsid w:val="004101E6"/>
    <w:rsid w:val="00410428"/>
    <w:rsid w:val="00417872"/>
    <w:rsid w:val="00426A27"/>
    <w:rsid w:val="00434A2E"/>
    <w:rsid w:val="00435592"/>
    <w:rsid w:val="004358DB"/>
    <w:rsid w:val="0044137A"/>
    <w:rsid w:val="00446A61"/>
    <w:rsid w:val="0045160B"/>
    <w:rsid w:val="00455B1A"/>
    <w:rsid w:val="00456FB8"/>
    <w:rsid w:val="00457545"/>
    <w:rsid w:val="00480643"/>
    <w:rsid w:val="004823D3"/>
    <w:rsid w:val="00483A9E"/>
    <w:rsid w:val="00485B0A"/>
    <w:rsid w:val="004919C4"/>
    <w:rsid w:val="00493F85"/>
    <w:rsid w:val="00495944"/>
    <w:rsid w:val="004963A7"/>
    <w:rsid w:val="004968A1"/>
    <w:rsid w:val="004A4378"/>
    <w:rsid w:val="004B34CA"/>
    <w:rsid w:val="004C54E9"/>
    <w:rsid w:val="004C605A"/>
    <w:rsid w:val="004C756F"/>
    <w:rsid w:val="004D0AE7"/>
    <w:rsid w:val="004D1336"/>
    <w:rsid w:val="004D180A"/>
    <w:rsid w:val="004D37B0"/>
    <w:rsid w:val="004E009C"/>
    <w:rsid w:val="004F3AF3"/>
    <w:rsid w:val="004F5E56"/>
    <w:rsid w:val="005011C5"/>
    <w:rsid w:val="00502AE1"/>
    <w:rsid w:val="00504E36"/>
    <w:rsid w:val="00516881"/>
    <w:rsid w:val="005233C3"/>
    <w:rsid w:val="00546B25"/>
    <w:rsid w:val="00553B1D"/>
    <w:rsid w:val="00561300"/>
    <w:rsid w:val="00570939"/>
    <w:rsid w:val="00572872"/>
    <w:rsid w:val="00576C52"/>
    <w:rsid w:val="00577A58"/>
    <w:rsid w:val="00583B64"/>
    <w:rsid w:val="0059608A"/>
    <w:rsid w:val="0059666A"/>
    <w:rsid w:val="005A1618"/>
    <w:rsid w:val="005A6504"/>
    <w:rsid w:val="005A6BEA"/>
    <w:rsid w:val="005C06AF"/>
    <w:rsid w:val="005C3FA2"/>
    <w:rsid w:val="005C6C2F"/>
    <w:rsid w:val="005E5193"/>
    <w:rsid w:val="005E5C25"/>
    <w:rsid w:val="005F0EAF"/>
    <w:rsid w:val="005F15D5"/>
    <w:rsid w:val="005F4F0B"/>
    <w:rsid w:val="00600D39"/>
    <w:rsid w:val="006047FB"/>
    <w:rsid w:val="00626746"/>
    <w:rsid w:val="00627FEA"/>
    <w:rsid w:val="00636181"/>
    <w:rsid w:val="0064276D"/>
    <w:rsid w:val="00646895"/>
    <w:rsid w:val="00647D6E"/>
    <w:rsid w:val="00651FDF"/>
    <w:rsid w:val="00654E53"/>
    <w:rsid w:val="00657223"/>
    <w:rsid w:val="0066636B"/>
    <w:rsid w:val="00667825"/>
    <w:rsid w:val="006708FB"/>
    <w:rsid w:val="0067390D"/>
    <w:rsid w:val="00685350"/>
    <w:rsid w:val="006854EE"/>
    <w:rsid w:val="0068559C"/>
    <w:rsid w:val="00687B75"/>
    <w:rsid w:val="006A1977"/>
    <w:rsid w:val="006A1FCD"/>
    <w:rsid w:val="006A31AC"/>
    <w:rsid w:val="006A3D2B"/>
    <w:rsid w:val="006A4463"/>
    <w:rsid w:val="006A4AAF"/>
    <w:rsid w:val="006B3EA0"/>
    <w:rsid w:val="006B5A68"/>
    <w:rsid w:val="006C52A4"/>
    <w:rsid w:val="006E0C20"/>
    <w:rsid w:val="006E1E4C"/>
    <w:rsid w:val="006E7973"/>
    <w:rsid w:val="006F0EC1"/>
    <w:rsid w:val="006F4E44"/>
    <w:rsid w:val="0070274B"/>
    <w:rsid w:val="007048B9"/>
    <w:rsid w:val="0070507B"/>
    <w:rsid w:val="00711AD7"/>
    <w:rsid w:val="007143C1"/>
    <w:rsid w:val="007169A3"/>
    <w:rsid w:val="0072248E"/>
    <w:rsid w:val="00723EA9"/>
    <w:rsid w:val="00726235"/>
    <w:rsid w:val="007277D2"/>
    <w:rsid w:val="00731051"/>
    <w:rsid w:val="00731915"/>
    <w:rsid w:val="00736800"/>
    <w:rsid w:val="007378F6"/>
    <w:rsid w:val="00741499"/>
    <w:rsid w:val="00743064"/>
    <w:rsid w:val="00747945"/>
    <w:rsid w:val="00750DC0"/>
    <w:rsid w:val="00751C3C"/>
    <w:rsid w:val="007544D0"/>
    <w:rsid w:val="007650F8"/>
    <w:rsid w:val="00773373"/>
    <w:rsid w:val="00774E63"/>
    <w:rsid w:val="007776B2"/>
    <w:rsid w:val="00777FA4"/>
    <w:rsid w:val="007824DF"/>
    <w:rsid w:val="00786F9D"/>
    <w:rsid w:val="007B0F86"/>
    <w:rsid w:val="007B23A9"/>
    <w:rsid w:val="007B263D"/>
    <w:rsid w:val="007B2C5C"/>
    <w:rsid w:val="007B3AD4"/>
    <w:rsid w:val="007D089B"/>
    <w:rsid w:val="007D22C1"/>
    <w:rsid w:val="007E3718"/>
    <w:rsid w:val="007E385C"/>
    <w:rsid w:val="007E3ECD"/>
    <w:rsid w:val="007E60A0"/>
    <w:rsid w:val="007F0210"/>
    <w:rsid w:val="007F4B69"/>
    <w:rsid w:val="007F4FC0"/>
    <w:rsid w:val="0080295D"/>
    <w:rsid w:val="008038F9"/>
    <w:rsid w:val="008130D1"/>
    <w:rsid w:val="00816C2C"/>
    <w:rsid w:val="00817D45"/>
    <w:rsid w:val="00833A93"/>
    <w:rsid w:val="00843FC9"/>
    <w:rsid w:val="008444D9"/>
    <w:rsid w:val="0085017A"/>
    <w:rsid w:val="008601CF"/>
    <w:rsid w:val="008631DB"/>
    <w:rsid w:val="0087593E"/>
    <w:rsid w:val="008804F2"/>
    <w:rsid w:val="00881F9C"/>
    <w:rsid w:val="00884A62"/>
    <w:rsid w:val="00891B15"/>
    <w:rsid w:val="00892A03"/>
    <w:rsid w:val="008A066C"/>
    <w:rsid w:val="008A51E0"/>
    <w:rsid w:val="008B38D6"/>
    <w:rsid w:val="008B407D"/>
    <w:rsid w:val="008B70E0"/>
    <w:rsid w:val="008D79C2"/>
    <w:rsid w:val="008E102C"/>
    <w:rsid w:val="008E4C06"/>
    <w:rsid w:val="008F0B2F"/>
    <w:rsid w:val="008F1C7F"/>
    <w:rsid w:val="008F4048"/>
    <w:rsid w:val="00904854"/>
    <w:rsid w:val="00913840"/>
    <w:rsid w:val="009142FF"/>
    <w:rsid w:val="009155E6"/>
    <w:rsid w:val="00920D7D"/>
    <w:rsid w:val="00933872"/>
    <w:rsid w:val="009369C3"/>
    <w:rsid w:val="00945F25"/>
    <w:rsid w:val="00950537"/>
    <w:rsid w:val="0095082F"/>
    <w:rsid w:val="009511BB"/>
    <w:rsid w:val="00954AFF"/>
    <w:rsid w:val="00957BBD"/>
    <w:rsid w:val="00961412"/>
    <w:rsid w:val="0097008A"/>
    <w:rsid w:val="00977563"/>
    <w:rsid w:val="00977646"/>
    <w:rsid w:val="009920AD"/>
    <w:rsid w:val="00992ED5"/>
    <w:rsid w:val="00995ECD"/>
    <w:rsid w:val="009A0BCC"/>
    <w:rsid w:val="009B4693"/>
    <w:rsid w:val="009D3916"/>
    <w:rsid w:val="009D3C8F"/>
    <w:rsid w:val="009E53B6"/>
    <w:rsid w:val="009F1A53"/>
    <w:rsid w:val="00A10406"/>
    <w:rsid w:val="00A31B6B"/>
    <w:rsid w:val="00A32FC2"/>
    <w:rsid w:val="00A34513"/>
    <w:rsid w:val="00A40A17"/>
    <w:rsid w:val="00A5172B"/>
    <w:rsid w:val="00A60186"/>
    <w:rsid w:val="00A63031"/>
    <w:rsid w:val="00A73959"/>
    <w:rsid w:val="00A81842"/>
    <w:rsid w:val="00A83E77"/>
    <w:rsid w:val="00A86525"/>
    <w:rsid w:val="00A94A24"/>
    <w:rsid w:val="00AB2BE7"/>
    <w:rsid w:val="00AC3E71"/>
    <w:rsid w:val="00AC5E8C"/>
    <w:rsid w:val="00AC78A0"/>
    <w:rsid w:val="00AD2679"/>
    <w:rsid w:val="00AD393F"/>
    <w:rsid w:val="00AD4AD0"/>
    <w:rsid w:val="00AF0DDD"/>
    <w:rsid w:val="00AF2E8F"/>
    <w:rsid w:val="00AF2ECD"/>
    <w:rsid w:val="00B008EA"/>
    <w:rsid w:val="00B0739B"/>
    <w:rsid w:val="00B07C04"/>
    <w:rsid w:val="00B11413"/>
    <w:rsid w:val="00B14CC2"/>
    <w:rsid w:val="00B201AD"/>
    <w:rsid w:val="00B213C0"/>
    <w:rsid w:val="00B3724E"/>
    <w:rsid w:val="00B45FCE"/>
    <w:rsid w:val="00B46812"/>
    <w:rsid w:val="00B50563"/>
    <w:rsid w:val="00B522EF"/>
    <w:rsid w:val="00B52307"/>
    <w:rsid w:val="00B5248F"/>
    <w:rsid w:val="00B5553D"/>
    <w:rsid w:val="00B63D7C"/>
    <w:rsid w:val="00B6565E"/>
    <w:rsid w:val="00B67CEE"/>
    <w:rsid w:val="00B708D9"/>
    <w:rsid w:val="00B909C1"/>
    <w:rsid w:val="00B94DF3"/>
    <w:rsid w:val="00BA19BE"/>
    <w:rsid w:val="00BB6373"/>
    <w:rsid w:val="00BC0B8E"/>
    <w:rsid w:val="00BD08FB"/>
    <w:rsid w:val="00BD28AA"/>
    <w:rsid w:val="00BD57FC"/>
    <w:rsid w:val="00BD7B31"/>
    <w:rsid w:val="00BE31B3"/>
    <w:rsid w:val="00BE4B7A"/>
    <w:rsid w:val="00BF1136"/>
    <w:rsid w:val="00BF641D"/>
    <w:rsid w:val="00BF6AF2"/>
    <w:rsid w:val="00C00E21"/>
    <w:rsid w:val="00C11278"/>
    <w:rsid w:val="00C11C5C"/>
    <w:rsid w:val="00C13A4D"/>
    <w:rsid w:val="00C34C41"/>
    <w:rsid w:val="00C37AFD"/>
    <w:rsid w:val="00C55D12"/>
    <w:rsid w:val="00C60434"/>
    <w:rsid w:val="00C6277A"/>
    <w:rsid w:val="00C703B5"/>
    <w:rsid w:val="00C75B14"/>
    <w:rsid w:val="00C76778"/>
    <w:rsid w:val="00C90AC1"/>
    <w:rsid w:val="00C90B87"/>
    <w:rsid w:val="00C929DD"/>
    <w:rsid w:val="00C9429A"/>
    <w:rsid w:val="00CA4649"/>
    <w:rsid w:val="00CA4F3B"/>
    <w:rsid w:val="00CB190E"/>
    <w:rsid w:val="00CC1972"/>
    <w:rsid w:val="00CC198E"/>
    <w:rsid w:val="00CC2228"/>
    <w:rsid w:val="00CC3508"/>
    <w:rsid w:val="00CC515D"/>
    <w:rsid w:val="00CC6887"/>
    <w:rsid w:val="00CC6D5B"/>
    <w:rsid w:val="00CD1E50"/>
    <w:rsid w:val="00CD5AF7"/>
    <w:rsid w:val="00CE304C"/>
    <w:rsid w:val="00CE5D5F"/>
    <w:rsid w:val="00D118D8"/>
    <w:rsid w:val="00D1190A"/>
    <w:rsid w:val="00D22AF9"/>
    <w:rsid w:val="00D26075"/>
    <w:rsid w:val="00D26F0F"/>
    <w:rsid w:val="00D379F1"/>
    <w:rsid w:val="00D50E72"/>
    <w:rsid w:val="00D50EDA"/>
    <w:rsid w:val="00D51754"/>
    <w:rsid w:val="00D545EE"/>
    <w:rsid w:val="00D550B3"/>
    <w:rsid w:val="00D615A5"/>
    <w:rsid w:val="00D66677"/>
    <w:rsid w:val="00D73712"/>
    <w:rsid w:val="00D83806"/>
    <w:rsid w:val="00D83DBE"/>
    <w:rsid w:val="00D84057"/>
    <w:rsid w:val="00D848F2"/>
    <w:rsid w:val="00D90FC7"/>
    <w:rsid w:val="00D91611"/>
    <w:rsid w:val="00D941F1"/>
    <w:rsid w:val="00D9556A"/>
    <w:rsid w:val="00DA0965"/>
    <w:rsid w:val="00DA2E1E"/>
    <w:rsid w:val="00DA41CE"/>
    <w:rsid w:val="00DA753B"/>
    <w:rsid w:val="00DB4131"/>
    <w:rsid w:val="00DB7DB1"/>
    <w:rsid w:val="00DD0348"/>
    <w:rsid w:val="00DD14F4"/>
    <w:rsid w:val="00DD737C"/>
    <w:rsid w:val="00DE4EB2"/>
    <w:rsid w:val="00DE75F8"/>
    <w:rsid w:val="00E0523D"/>
    <w:rsid w:val="00E12EC1"/>
    <w:rsid w:val="00E165A1"/>
    <w:rsid w:val="00E23224"/>
    <w:rsid w:val="00E23D18"/>
    <w:rsid w:val="00E37436"/>
    <w:rsid w:val="00E41D9E"/>
    <w:rsid w:val="00E4488F"/>
    <w:rsid w:val="00E57540"/>
    <w:rsid w:val="00E60520"/>
    <w:rsid w:val="00E60FA3"/>
    <w:rsid w:val="00E6254C"/>
    <w:rsid w:val="00E64E78"/>
    <w:rsid w:val="00E66F65"/>
    <w:rsid w:val="00E72175"/>
    <w:rsid w:val="00E73443"/>
    <w:rsid w:val="00E74061"/>
    <w:rsid w:val="00E751BD"/>
    <w:rsid w:val="00E762AA"/>
    <w:rsid w:val="00E81B0D"/>
    <w:rsid w:val="00E83370"/>
    <w:rsid w:val="00E83A44"/>
    <w:rsid w:val="00E8493F"/>
    <w:rsid w:val="00E8666F"/>
    <w:rsid w:val="00E95692"/>
    <w:rsid w:val="00EA6E8E"/>
    <w:rsid w:val="00EB05B3"/>
    <w:rsid w:val="00EB2C9E"/>
    <w:rsid w:val="00EC6A4A"/>
    <w:rsid w:val="00ED17EA"/>
    <w:rsid w:val="00ED7481"/>
    <w:rsid w:val="00EE5CEE"/>
    <w:rsid w:val="00EE7D9A"/>
    <w:rsid w:val="00EF4515"/>
    <w:rsid w:val="00F01589"/>
    <w:rsid w:val="00F068A1"/>
    <w:rsid w:val="00F11447"/>
    <w:rsid w:val="00F21411"/>
    <w:rsid w:val="00F249B1"/>
    <w:rsid w:val="00F35E13"/>
    <w:rsid w:val="00F42EF3"/>
    <w:rsid w:val="00F43654"/>
    <w:rsid w:val="00F47363"/>
    <w:rsid w:val="00F50EFC"/>
    <w:rsid w:val="00F51703"/>
    <w:rsid w:val="00F63840"/>
    <w:rsid w:val="00F6526B"/>
    <w:rsid w:val="00F673A0"/>
    <w:rsid w:val="00F67648"/>
    <w:rsid w:val="00F7456A"/>
    <w:rsid w:val="00F76126"/>
    <w:rsid w:val="00F80858"/>
    <w:rsid w:val="00F914AD"/>
    <w:rsid w:val="00F967A8"/>
    <w:rsid w:val="00F97759"/>
    <w:rsid w:val="00FA37E1"/>
    <w:rsid w:val="00FB30C0"/>
    <w:rsid w:val="00FB317E"/>
    <w:rsid w:val="00FB4030"/>
    <w:rsid w:val="00FB42B3"/>
    <w:rsid w:val="00FB4348"/>
    <w:rsid w:val="00FB547F"/>
    <w:rsid w:val="00FB740E"/>
    <w:rsid w:val="00FC3242"/>
    <w:rsid w:val="00FD574B"/>
    <w:rsid w:val="00FD72EB"/>
    <w:rsid w:val="00FF4FAF"/>
    <w:rsid w:val="1E4278B3"/>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729253"/>
  <w15:docId w15:val="{83C39F8B-26A0-4514-8ECC-B66D4A9D0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pPr>
      <w:spacing w:after="160"/>
    </w:pPr>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kern w:val="0"/>
      <w:sz w:val="40"/>
      <w:szCs w:val="40"/>
      <w:lang w:val="en-US"/>
      <w14:ligatures w14:val="none"/>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kern w:val="0"/>
      <w:sz w:val="28"/>
      <w:szCs w:val="28"/>
      <w:lang w:val="en-US"/>
      <w14:ligatures w14:val="none"/>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kern w:val="0"/>
      <w:lang w:val="en-US"/>
      <w14:ligatures w14:val="none"/>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kern w:val="0"/>
      <w:lang w:val="en-US"/>
      <w14:ligatures w14:val="none"/>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kern w:val="0"/>
      <w:lang w:val="en-US"/>
      <w14:ligatures w14:val="none"/>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kern w:val="0"/>
      <w:lang w:val="en-US"/>
      <w14:ligatures w14:val="none"/>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kern w:val="0"/>
      <w:lang w:val="en-US"/>
      <w14:ligatures w14:val="none"/>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kern w:val="0"/>
      <w:lang w:val="en-US"/>
      <w14:ligatures w14:val="none"/>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US"/>
      <w14:ligatures w14:val="none"/>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kern w:val="0"/>
      <w:sz w:val="28"/>
      <w:szCs w:val="28"/>
      <w:lang w:val="en-US"/>
      <w14:ligatures w14:val="none"/>
    </w:rPr>
  </w:style>
  <w:style w:type="paragraph" w:styleId="Quote">
    <w:name w:val="Quote"/>
    <w:basedOn w:val="Normal"/>
    <w:next w:val="Normal"/>
    <w:link w:val="QuoteChar"/>
    <w:uiPriority w:val="29"/>
    <w:qFormat/>
    <w:pPr>
      <w:spacing w:before="160" w:after="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kern w:val="0"/>
      <w:lang w:val="en-US"/>
      <w14:ligatures w14:val="none"/>
    </w:rPr>
  </w:style>
  <w:style w:type="paragraph" w:styleId="ListParagraph">
    <w:name w:val="List Paragraph"/>
    <w:basedOn w:val="Normal"/>
    <w:uiPriority w:val="34"/>
    <w:qFormat/>
    <w:pPr>
      <w:ind w:left="720"/>
      <w:contextualSpacing/>
    </w:pPr>
  </w:style>
  <w:style w:type="character" w:customStyle="1" w:styleId="1">
    <w:name w:val="明显强调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kern w:val="0"/>
      <w:lang w:val="en-US"/>
      <w14:ligatures w14:val="none"/>
    </w:rPr>
  </w:style>
  <w:style w:type="character" w:customStyle="1" w:styleId="10">
    <w:name w:val="明显参考1"/>
    <w:basedOn w:val="DefaultParagraphFont"/>
    <w:uiPriority w:val="32"/>
    <w:qFormat/>
    <w:rPr>
      <w:b/>
      <w:bCs/>
      <w:smallCaps/>
      <w:color w:val="2F5496" w:themeColor="accent1" w:themeShade="BF"/>
      <w:spacing w:val="5"/>
    </w:rPr>
  </w:style>
  <w:style w:type="paragraph" w:customStyle="1" w:styleId="Authors">
    <w:name w:val="Authors"/>
    <w:basedOn w:val="Normal"/>
    <w:qFormat/>
    <w:pPr>
      <w:spacing w:before="120" w:after="360"/>
      <w:jc w:val="center"/>
    </w:pPr>
    <w:rPr>
      <w:rFonts w:ascii="Times New Roman" w:eastAsia="Times New Roman" w:hAnsi="Times New Roman" w:cs="Times New Roman"/>
      <w:lang w:eastAsia="en-US"/>
    </w:rPr>
  </w:style>
  <w:style w:type="paragraph" w:customStyle="1" w:styleId="Paragraph">
    <w:name w:val="Paragraph"/>
    <w:basedOn w:val="Normal"/>
    <w:qFormat/>
    <w:pPr>
      <w:spacing w:before="120"/>
      <w:ind w:firstLine="720"/>
    </w:pPr>
    <w:rPr>
      <w:rFonts w:ascii="Times New Roman" w:eastAsia="Times New Roman" w:hAnsi="Times New Roman" w:cs="Times New Roman"/>
      <w:lang w:eastAsia="en-US"/>
    </w:rPr>
  </w:style>
  <w:style w:type="paragraph" w:customStyle="1" w:styleId="SOMContent">
    <w:name w:val="SOMContent"/>
    <w:basedOn w:val="Normal"/>
    <w:qFormat/>
    <w:pPr>
      <w:spacing w:before="120"/>
    </w:pPr>
    <w:rPr>
      <w:rFonts w:ascii="Times New Roman" w:eastAsia="Times New Roman" w:hAnsi="Times New Roman" w:cs="Times New Roman"/>
      <w:lang w:eastAsia="en-US"/>
    </w:rPr>
  </w:style>
  <w:style w:type="paragraph" w:styleId="Header">
    <w:name w:val="header"/>
    <w:basedOn w:val="Normal"/>
    <w:link w:val="HeaderChar"/>
    <w:uiPriority w:val="99"/>
    <w:unhideWhenUsed/>
    <w:rsid w:val="004D37B0"/>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D37B0"/>
    <w:rPr>
      <w:sz w:val="18"/>
      <w:szCs w:val="18"/>
    </w:rPr>
  </w:style>
  <w:style w:type="paragraph" w:styleId="Footer">
    <w:name w:val="footer"/>
    <w:basedOn w:val="Normal"/>
    <w:link w:val="FooterChar"/>
    <w:uiPriority w:val="99"/>
    <w:unhideWhenUsed/>
    <w:rsid w:val="004D37B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D37B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11</Pages>
  <Words>1133</Words>
  <Characters>6461</Characters>
  <Application>Microsoft Office Word</Application>
  <DocSecurity>0</DocSecurity>
  <Lines>53</Lines>
  <Paragraphs>15</Paragraphs>
  <ScaleCrop>false</ScaleCrop>
  <Company/>
  <LinksUpToDate>false</LinksUpToDate>
  <CharactersWithSpaces>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30</cp:revision>
  <dcterms:created xsi:type="dcterms:W3CDTF">2026-01-31T02:37:00Z</dcterms:created>
  <dcterms:modified xsi:type="dcterms:W3CDTF">2026-01-31T05:36:00Z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2052-12.1.0.25186</vt:lpwstr>
  </property>
  <property fmtid="{D5CDD505-2E9C-101B-9397-08002B2CF9AE}" pid="3" name="ICV">
    <vt:lpwstr>5C1E3734E73B4194A580CF85B5434917_13</vt:lpwstr>
  </property>
</Properties>
</file>