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4409" w:type="pct"/>
        <w:tblInd w:w="0" w:type="dxa"/>
        <w:tblLayout w:type="autofit"/>
        <w:tblCellMar>
          <w:top w:w="0" w:type="dxa"/>
          <w:left w:w="108" w:type="dxa"/>
          <w:bottom w:w="0" w:type="dxa"/>
          <w:right w:w="108" w:type="dxa"/>
        </w:tblCellMar>
      </w:tblPr>
      <w:tblGrid>
        <w:gridCol w:w="2351"/>
        <w:gridCol w:w="656"/>
        <w:gridCol w:w="1878"/>
        <w:gridCol w:w="1096"/>
        <w:gridCol w:w="766"/>
        <w:gridCol w:w="768"/>
      </w:tblGrid>
      <w:tr>
        <w:tblPrEx>
          <w:tblCellMar>
            <w:top w:w="0" w:type="dxa"/>
            <w:left w:w="108" w:type="dxa"/>
            <w:bottom w:w="0" w:type="dxa"/>
            <w:right w:w="108" w:type="dxa"/>
          </w:tblCellMar>
        </w:tblPrEx>
        <w:trPr>
          <w:trHeight w:val="980" w:hRule="atLeast"/>
        </w:trPr>
        <w:tc>
          <w:tcPr>
            <w:tcW w:w="5000" w:type="pct"/>
            <w:gridSpan w:val="6"/>
            <w:tcBorders>
              <w:bottom w:val="single" w:color="auto" w:sz="12" w:space="0"/>
              <w:tl2br w:val="nil"/>
              <w:tr2bl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Additional</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Table1.Convergent Validity of the Measurement Model of Executive Function among Operating Room Nurses</w:t>
            </w:r>
          </w:p>
        </w:tc>
      </w:tr>
      <w:tr>
        <w:tblPrEx>
          <w:tblCellMar>
            <w:top w:w="0" w:type="dxa"/>
            <w:left w:w="108" w:type="dxa"/>
            <w:bottom w:w="0" w:type="dxa"/>
            <w:right w:w="108" w:type="dxa"/>
          </w:tblCellMar>
        </w:tblPrEx>
        <w:trPr>
          <w:trHeight w:val="338" w:hRule="atLeast"/>
        </w:trPr>
        <w:tc>
          <w:tcPr>
            <w:tcW w:w="3251" w:type="pct"/>
            <w:gridSpan w:val="3"/>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Path</w:t>
            </w:r>
          </w:p>
        </w:tc>
        <w:tc>
          <w:tcPr>
            <w:tcW w:w="729" w:type="pct"/>
            <w:tcBorders>
              <w:top w:val="single" w:color="auto" w:sz="12" w:space="0"/>
              <w:bottom w:val="single" w:color="auto" w:sz="6" w:space="0"/>
            </w:tcBorders>
            <w:vAlign w:val="center"/>
          </w:tcPr>
          <w:p>
            <w:pPr>
              <w:widowControl/>
              <w:jc w:val="righ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Estimate</w:t>
            </w:r>
          </w:p>
        </w:tc>
        <w:tc>
          <w:tcPr>
            <w:tcW w:w="509" w:type="pct"/>
            <w:tcBorders>
              <w:top w:val="single" w:color="auto" w:sz="12" w:space="0"/>
              <w:bottom w:val="single" w:color="auto" w:sz="6"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AVE</w:t>
            </w:r>
          </w:p>
        </w:tc>
        <w:tc>
          <w:tcPr>
            <w:tcW w:w="509" w:type="pct"/>
            <w:tcBorders>
              <w:top w:val="single" w:color="auto" w:sz="12" w:space="0"/>
              <w:bottom w:val="single" w:color="auto" w:sz="6" w:space="0"/>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CR</w:t>
            </w:r>
          </w:p>
        </w:tc>
      </w:tr>
      <w:tr>
        <w:tblPrEx>
          <w:tblCellMar>
            <w:top w:w="0" w:type="dxa"/>
            <w:left w:w="108" w:type="dxa"/>
            <w:bottom w:w="0" w:type="dxa"/>
            <w:right w:w="108" w:type="dxa"/>
          </w:tblCellMar>
        </w:tblPrEx>
        <w:trPr>
          <w:trHeight w:val="338" w:hRule="atLeast"/>
        </w:trPr>
        <w:tc>
          <w:tcPr>
            <w:tcW w:w="1565" w:type="pct"/>
            <w:tcBorders>
              <w:top w:val="single" w:color="auto" w:sz="6"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P1Q6</w:t>
            </w:r>
          </w:p>
        </w:tc>
        <w:tc>
          <w:tcPr>
            <w:tcW w:w="436" w:type="pct"/>
            <w:tcBorders>
              <w:top w:val="single" w:color="auto" w:sz="6" w:space="0"/>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op w:val="single" w:color="auto" w:sz="6"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729" w:type="pct"/>
            <w:tcBorders>
              <w:top w:val="single" w:color="auto" w:sz="6" w:space="0"/>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0.867</w:t>
            </w:r>
          </w:p>
        </w:tc>
        <w:tc>
          <w:tcPr>
            <w:tcW w:w="509" w:type="pct"/>
            <w:vMerge w:val="restart"/>
            <w:tcBorders>
              <w:top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0.589</w:t>
            </w:r>
          </w:p>
        </w:tc>
        <w:tc>
          <w:tcPr>
            <w:tcW w:w="509" w:type="pct"/>
            <w:vMerge w:val="restart"/>
            <w:tcBorders>
              <w:top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0.895</w:t>
            </w: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P1Q5</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0.723</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P1Q4</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0.702</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P1Q3</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0.766</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9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P1Q2</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0.809</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P1Q1</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0.727</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P2Q1</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XPSS2</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0.612</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0.538</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0.821</w:t>
            </w: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P2Q2</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XPSS2</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0.697</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P2Q3</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XPSS2</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0.787</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P2Q4</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XPSS2</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0.819</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C1</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MPSQI</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0.837</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0.505</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0.799</w:t>
            </w: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C2</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MPSQI</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0.589</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C5</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MPSQI</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0.591</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C7</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MPSQI</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0.789</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D1</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0.929</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0.771</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0.943</w:t>
            </w: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D2</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0.898</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D3</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0.914</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D4</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0.818</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D5</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0.826</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E1Q6</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0.865</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0.684</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0.928</w:t>
            </w: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E1Q5</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0.882</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E1Q4</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0.835</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E1Q3</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0.829</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E1Q2</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E1Q1</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0.745</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E2Q4</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WE2</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0.817</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0.514</w:t>
            </w:r>
          </w:p>
        </w:tc>
        <w:tc>
          <w:tcPr>
            <w:tcW w:w="509" w:type="pct"/>
            <w:vMerge w:val="restart"/>
            <w:tcBorders>
              <w:tl2br w:val="nil"/>
              <w:tr2bl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0.757</w:t>
            </w: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E2Q3</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WE2</w:t>
            </w:r>
          </w:p>
        </w:tc>
        <w:tc>
          <w:tcPr>
            <w:tcW w:w="729" w:type="pct"/>
            <w:tcBorders>
              <w:tl2br w:val="nil"/>
              <w:tr2bl w:val="nil"/>
            </w:tcBorders>
            <w:vAlign w:val="center"/>
          </w:tcPr>
          <w:p>
            <w:pPr>
              <w:widowControl/>
              <w:jc w:val="right"/>
              <w:textAlignment w:val="center"/>
              <w:rPr>
                <w:rFonts w:hint="eastAsia" w:ascii="宋体" w:hAnsi="宋体" w:eastAsia="宋体" w:cs="宋体"/>
                <w:color w:val="0000FF"/>
                <w:sz w:val="22"/>
                <w:szCs w:val="22"/>
                <w:u w:val="single"/>
              </w:rPr>
            </w:pPr>
            <w:r>
              <w:rPr>
                <w:rFonts w:hint="eastAsia" w:ascii="宋体" w:hAnsi="宋体" w:eastAsia="宋体" w:cs="宋体"/>
                <w:color w:val="0000FF"/>
                <w:kern w:val="0"/>
                <w:sz w:val="22"/>
                <w:szCs w:val="22"/>
                <w:u w:val="single"/>
                <w:lang w:bidi="ar"/>
              </w:rPr>
              <w:t>0.732</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1565"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E2Q1</w:t>
            </w:r>
          </w:p>
        </w:tc>
        <w:tc>
          <w:tcPr>
            <w:tcW w:w="436" w:type="pct"/>
            <w:tcBorders>
              <w:tl2br w:val="nil"/>
              <w:tr2bl w:val="nil"/>
            </w:tcBorders>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&lt;---</w:t>
            </w:r>
          </w:p>
        </w:tc>
        <w:tc>
          <w:tcPr>
            <w:tcW w:w="1249" w:type="pct"/>
            <w:tcBorders>
              <w:tl2br w:val="nil"/>
              <w:tr2bl w:val="nil"/>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WE2</w:t>
            </w:r>
          </w:p>
        </w:tc>
        <w:tc>
          <w:tcPr>
            <w:tcW w:w="729" w:type="pct"/>
            <w:tcBorders>
              <w:tl2br w:val="nil"/>
              <w:tr2bl w:val="nil"/>
            </w:tcBorders>
            <w:vAlign w:val="center"/>
          </w:tcPr>
          <w:p>
            <w:pPr>
              <w:widowControl/>
              <w:jc w:val="righ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0.582</w:t>
            </w: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c>
          <w:tcPr>
            <w:tcW w:w="509" w:type="pct"/>
            <w:vMerge w:val="continue"/>
            <w:tcBorders>
              <w:tl2br w:val="nil"/>
              <w:tr2bl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trPr>
        <w:tc>
          <w:tcPr>
            <w:tcW w:w="5000" w:type="pct"/>
            <w:gridSpan w:val="6"/>
            <w:tcBorders>
              <w:top w:val="single" w:color="auto" w:sz="12" w:space="0"/>
              <w:tl2br w:val="nil"/>
              <w:tr2bl w:val="nil"/>
            </w:tcBorders>
            <w:vAlign w:val="center"/>
          </w:tcPr>
          <w:p>
            <w:pPr>
              <w:rPr>
                <w:rFonts w:ascii="宋体" w:hAnsi="宋体" w:eastAsia="宋体" w:cs="宋体"/>
                <w:color w:val="000000"/>
                <w:sz w:val="22"/>
                <w:szCs w:val="22"/>
              </w:rPr>
            </w:pPr>
            <w:r>
              <w:rPr>
                <w:rFonts w:ascii="宋体" w:hAnsi="宋体" w:eastAsia="宋体" w:cs="宋体"/>
                <w:color w:val="000000"/>
                <w:sz w:val="22"/>
                <w:szCs w:val="22"/>
              </w:rPr>
              <w:t xml:space="preserve">Note. XPSS1 and XPSS2 refer to two dimensions of the Perceived Stress Scale (PSS): XPSS1 represents Perceived Helplessness(items P1Q1–P1Q6), and XPSS2 represents Perceived Self-Efficacy (items P2Q1–P2Q4). WE1 and WE2 represent two dimensions of the Emotion Regulation Questionnaire (ERQ), where WE1 denotes Cognitive Reappraisal(items E1Q1–E1Q6) and WE2 denotes Expressive Suppression (items E2Q1, E2Q3, E2Q4).  </w:t>
            </w:r>
          </w:p>
          <w:p>
            <w:pPr>
              <w:rPr>
                <w:rFonts w:ascii="宋体" w:hAnsi="宋体" w:eastAsia="宋体" w:cs="宋体"/>
                <w:color w:val="000000"/>
                <w:sz w:val="22"/>
                <w:szCs w:val="22"/>
              </w:rPr>
            </w:pPr>
            <w:r>
              <w:rPr>
                <w:rFonts w:ascii="宋体" w:hAnsi="宋体" w:eastAsia="宋体" w:cs="宋体"/>
                <w:color w:val="000000"/>
                <w:sz w:val="22"/>
                <w:szCs w:val="22"/>
              </w:rPr>
              <w:t>MPSQI denotes the Pittsburgh Sleep Quality Index (PSQI), with four retained components—C1 (Subjective Sleep Quality), C2 (Sleep Latency), C5 (Sleep Disturbances), and C7 (Daytime Dysfunction). Items C3 and C6 were removed due to low factor loadings (&lt; 0.50). YDEX represents the Dysexecutive Questionnaire (DEX), with five dimensions—D1 (Inhibition), D2 (Intentionality), D3 (Cognitive Disorganization), D4 (Resistance), and D5 (Social Behavior Regulation). Additionally, one ERQ item (E2Q2) under the Expressive Suppression factor was deleted due to a low factor loading (&lt; 0.50).</w:t>
            </w:r>
          </w:p>
          <w:p>
            <w:pPr>
              <w:rPr>
                <w:rFonts w:ascii="宋体" w:hAnsi="宋体" w:eastAsia="宋体" w:cs="宋体"/>
                <w:color w:val="000000"/>
                <w:sz w:val="22"/>
                <w:szCs w:val="22"/>
              </w:rPr>
            </w:pPr>
            <w:r>
              <w:rPr>
                <w:rFonts w:ascii="宋体" w:hAnsi="宋体" w:eastAsia="宋体" w:cs="宋体"/>
                <w:color w:val="000000"/>
                <w:sz w:val="22"/>
                <w:szCs w:val="22"/>
              </w:rPr>
              <w:t>All scale constructs demonstrated acceptable convergent validity, with AVE &gt; 0.50 and CR &gt; 0.70, supporting the adequacy of the measurement model for subsequent structural modeling analyses.</w:t>
            </w:r>
          </w:p>
        </w:tc>
      </w:tr>
    </w:tbl>
    <w:p>
      <w:pPr>
        <w:rPr>
          <w:rFonts w:ascii="宋体" w:hAnsi="宋体" w:eastAsia="宋体" w:cs="宋体"/>
          <w:color w:val="000000"/>
          <w:sz w:val="22"/>
          <w:szCs w:val="22"/>
        </w:rPr>
      </w:pPr>
    </w:p>
    <w:p>
      <w:pPr>
        <w:rPr>
          <w:rFonts w:ascii="宋体" w:hAnsi="宋体" w:eastAsia="宋体" w:cs="宋体"/>
          <w:color w:val="000000"/>
          <w:sz w:val="22"/>
          <w:szCs w:val="22"/>
        </w:rPr>
      </w:pPr>
    </w:p>
    <w:tbl>
      <w:tblPr>
        <w:tblStyle w:val="13"/>
        <w:tblW w:w="5000" w:type="pct"/>
        <w:tblInd w:w="0" w:type="dxa"/>
        <w:tblLayout w:type="fixed"/>
        <w:tblCellMar>
          <w:top w:w="0" w:type="dxa"/>
          <w:left w:w="108" w:type="dxa"/>
          <w:bottom w:w="0" w:type="dxa"/>
          <w:right w:w="108" w:type="dxa"/>
        </w:tblCellMar>
      </w:tblPr>
      <w:tblGrid>
        <w:gridCol w:w="1789"/>
        <w:gridCol w:w="975"/>
        <w:gridCol w:w="946"/>
        <w:gridCol w:w="964"/>
        <w:gridCol w:w="1350"/>
        <w:gridCol w:w="1250"/>
        <w:gridCol w:w="1248"/>
      </w:tblGrid>
      <w:tr>
        <w:tblPrEx>
          <w:tblCellMar>
            <w:top w:w="0" w:type="dxa"/>
            <w:left w:w="108" w:type="dxa"/>
            <w:bottom w:w="0" w:type="dxa"/>
            <w:right w:w="108" w:type="dxa"/>
          </w:tblCellMar>
        </w:tblPrEx>
        <w:tc>
          <w:tcPr>
            <w:tcW w:w="5000" w:type="pct"/>
            <w:gridSpan w:val="7"/>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Additional</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Table2. Discriminant Validity of the Measurement Model Executive Function among Operating Room Nurses</w:t>
            </w:r>
          </w:p>
        </w:tc>
      </w:tr>
      <w:tr>
        <w:tblPrEx>
          <w:tblCellMar>
            <w:top w:w="0" w:type="dxa"/>
            <w:left w:w="108" w:type="dxa"/>
            <w:bottom w:w="0" w:type="dxa"/>
            <w:right w:w="108" w:type="dxa"/>
          </w:tblCellMar>
        </w:tblPrEx>
        <w:tc>
          <w:tcPr>
            <w:tcW w:w="1050"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Variables</w:t>
            </w:r>
          </w:p>
        </w:tc>
        <w:tc>
          <w:tcPr>
            <w:tcW w:w="572"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555"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XPSS2</w:t>
            </w:r>
          </w:p>
        </w:tc>
        <w:tc>
          <w:tcPr>
            <w:tcW w:w="566"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792"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WE2</w:t>
            </w:r>
          </w:p>
        </w:tc>
        <w:tc>
          <w:tcPr>
            <w:tcW w:w="733"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PSQI</w:t>
            </w:r>
          </w:p>
        </w:tc>
        <w:tc>
          <w:tcPr>
            <w:tcW w:w="729"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r>
      <w:tr>
        <w:tblPrEx>
          <w:tblCellMar>
            <w:top w:w="0" w:type="dxa"/>
            <w:left w:w="108" w:type="dxa"/>
            <w:bottom w:w="0" w:type="dxa"/>
            <w:right w:w="108" w:type="dxa"/>
          </w:tblCellMar>
        </w:tblPrEx>
        <w:tc>
          <w:tcPr>
            <w:tcW w:w="1050"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XPSS1</w:t>
            </w:r>
          </w:p>
        </w:tc>
        <w:tc>
          <w:tcPr>
            <w:tcW w:w="572"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0.589</w:t>
            </w:r>
          </w:p>
        </w:tc>
        <w:tc>
          <w:tcPr>
            <w:tcW w:w="555" w:type="pct"/>
            <w:tcBorders>
              <w:top w:val="single" w:color="auto" w:sz="6" w:space="0"/>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0.2</w:t>
            </w:r>
          </w:p>
        </w:tc>
        <w:tc>
          <w:tcPr>
            <w:tcW w:w="566"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-0.066</w:t>
            </w:r>
          </w:p>
        </w:tc>
        <w:tc>
          <w:tcPr>
            <w:tcW w:w="792" w:type="pct"/>
            <w:tcBorders>
              <w:top w:val="single" w:color="auto" w:sz="6" w:space="0"/>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0.332</w:t>
            </w:r>
          </w:p>
        </w:tc>
        <w:tc>
          <w:tcPr>
            <w:tcW w:w="733" w:type="pct"/>
            <w:tcBorders>
              <w:top w:val="single" w:color="auto" w:sz="6" w:space="0"/>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0.579</w:t>
            </w:r>
          </w:p>
        </w:tc>
        <w:tc>
          <w:tcPr>
            <w:tcW w:w="729" w:type="pct"/>
            <w:tcBorders>
              <w:top w:val="single" w:color="auto" w:sz="6" w:space="0"/>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0.587</w:t>
            </w:r>
          </w:p>
        </w:tc>
      </w:tr>
      <w:tr>
        <w:tblPrEx>
          <w:tblCellMar>
            <w:top w:w="0" w:type="dxa"/>
            <w:left w:w="108" w:type="dxa"/>
            <w:bottom w:w="0" w:type="dxa"/>
            <w:right w:w="108" w:type="dxa"/>
          </w:tblCellMar>
        </w:tblPrEx>
        <w:tc>
          <w:tcPr>
            <w:tcW w:w="105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XPSS2</w:t>
            </w:r>
          </w:p>
        </w:tc>
        <w:tc>
          <w:tcPr>
            <w:tcW w:w="572" w:type="pct"/>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555" w:type="pct"/>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0.538</w:t>
            </w:r>
          </w:p>
        </w:tc>
        <w:tc>
          <w:tcPr>
            <w:tcW w:w="56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-0.678</w:t>
            </w:r>
          </w:p>
        </w:tc>
        <w:tc>
          <w:tcPr>
            <w:tcW w:w="79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-0.283</w:t>
            </w:r>
          </w:p>
        </w:tc>
        <w:tc>
          <w:tcPr>
            <w:tcW w:w="733" w:type="pc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0.205</w:t>
            </w:r>
          </w:p>
        </w:tc>
        <w:tc>
          <w:tcPr>
            <w:tcW w:w="729" w:type="pc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0.055</w:t>
            </w:r>
          </w:p>
        </w:tc>
      </w:tr>
      <w:tr>
        <w:tblPrEx>
          <w:tblCellMar>
            <w:top w:w="0" w:type="dxa"/>
            <w:left w:w="108" w:type="dxa"/>
            <w:bottom w:w="0" w:type="dxa"/>
            <w:right w:w="108" w:type="dxa"/>
          </w:tblCellMar>
        </w:tblPrEx>
        <w:tc>
          <w:tcPr>
            <w:tcW w:w="105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WE1</w:t>
            </w:r>
          </w:p>
        </w:tc>
        <w:tc>
          <w:tcPr>
            <w:tcW w:w="57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55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566" w:type="pct"/>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0.684</w:t>
            </w:r>
          </w:p>
        </w:tc>
        <w:tc>
          <w:tcPr>
            <w:tcW w:w="792" w:type="pc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0.432</w:t>
            </w:r>
          </w:p>
        </w:tc>
        <w:tc>
          <w:tcPr>
            <w:tcW w:w="73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-0.15</w:t>
            </w:r>
          </w:p>
        </w:tc>
        <w:tc>
          <w:tcPr>
            <w:tcW w:w="729"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-0.024</w:t>
            </w:r>
          </w:p>
        </w:tc>
      </w:tr>
      <w:tr>
        <w:tblPrEx>
          <w:tblCellMar>
            <w:top w:w="0" w:type="dxa"/>
            <w:left w:w="108" w:type="dxa"/>
            <w:bottom w:w="0" w:type="dxa"/>
            <w:right w:w="108" w:type="dxa"/>
          </w:tblCellMar>
        </w:tblPrEx>
        <w:tc>
          <w:tcPr>
            <w:tcW w:w="105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WE2</w:t>
            </w:r>
          </w:p>
        </w:tc>
        <w:tc>
          <w:tcPr>
            <w:tcW w:w="572" w:type="pct"/>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555" w:type="pct"/>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56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792" w:type="pct"/>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0.514</w:t>
            </w:r>
          </w:p>
        </w:tc>
        <w:tc>
          <w:tcPr>
            <w:tcW w:w="733" w:type="pc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0.077</w:t>
            </w:r>
          </w:p>
        </w:tc>
        <w:tc>
          <w:tcPr>
            <w:tcW w:w="729" w:type="pc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0.424</w:t>
            </w:r>
          </w:p>
        </w:tc>
      </w:tr>
      <w:tr>
        <w:tblPrEx>
          <w:tblCellMar>
            <w:top w:w="0" w:type="dxa"/>
            <w:left w:w="108" w:type="dxa"/>
            <w:bottom w:w="0" w:type="dxa"/>
            <w:right w:w="108" w:type="dxa"/>
          </w:tblCellMar>
        </w:tblPrEx>
        <w:tc>
          <w:tcPr>
            <w:tcW w:w="105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PSQI</w:t>
            </w:r>
          </w:p>
        </w:tc>
        <w:tc>
          <w:tcPr>
            <w:tcW w:w="57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55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56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79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733" w:type="pct"/>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0.505</w:t>
            </w:r>
          </w:p>
        </w:tc>
        <w:tc>
          <w:tcPr>
            <w:tcW w:w="729" w:type="pc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0.35</w:t>
            </w:r>
          </w:p>
        </w:tc>
      </w:tr>
      <w:tr>
        <w:tblPrEx>
          <w:tblCellMar>
            <w:top w:w="0" w:type="dxa"/>
            <w:left w:w="108" w:type="dxa"/>
            <w:bottom w:w="0" w:type="dxa"/>
            <w:right w:w="108" w:type="dxa"/>
          </w:tblCellMar>
        </w:tblPrEx>
        <w:tc>
          <w:tcPr>
            <w:tcW w:w="105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YDEX</w:t>
            </w:r>
          </w:p>
        </w:tc>
        <w:tc>
          <w:tcPr>
            <w:tcW w:w="57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55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56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79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733"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729" w:type="pct"/>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0.771</w:t>
            </w:r>
          </w:p>
        </w:tc>
      </w:tr>
      <w:tr>
        <w:tblPrEx>
          <w:tblCellMar>
            <w:top w:w="0" w:type="dxa"/>
            <w:left w:w="108" w:type="dxa"/>
            <w:bottom w:w="0" w:type="dxa"/>
            <w:right w:w="108" w:type="dxa"/>
          </w:tblCellMar>
        </w:tblPrEx>
        <w:tc>
          <w:tcPr>
            <w:tcW w:w="1050"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Square root of AVE</w:t>
            </w:r>
          </w:p>
        </w:tc>
        <w:tc>
          <w:tcPr>
            <w:tcW w:w="572"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0.767</w:t>
            </w:r>
          </w:p>
        </w:tc>
        <w:tc>
          <w:tcPr>
            <w:tcW w:w="555"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0.733</w:t>
            </w:r>
          </w:p>
        </w:tc>
        <w:tc>
          <w:tcPr>
            <w:tcW w:w="566"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0.827</w:t>
            </w:r>
          </w:p>
        </w:tc>
        <w:tc>
          <w:tcPr>
            <w:tcW w:w="792"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0.717</w:t>
            </w:r>
          </w:p>
        </w:tc>
        <w:tc>
          <w:tcPr>
            <w:tcW w:w="733"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0.711</w:t>
            </w:r>
          </w:p>
        </w:tc>
        <w:tc>
          <w:tcPr>
            <w:tcW w:w="729"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0.878</w:t>
            </w:r>
          </w:p>
        </w:tc>
      </w:tr>
      <w:tr>
        <w:tblPrEx>
          <w:tblCellMar>
            <w:top w:w="0" w:type="dxa"/>
            <w:left w:w="108" w:type="dxa"/>
            <w:bottom w:w="0" w:type="dxa"/>
            <w:right w:w="108" w:type="dxa"/>
          </w:tblCellMar>
        </w:tblPrEx>
        <w:tc>
          <w:tcPr>
            <w:tcW w:w="5000" w:type="pct"/>
            <w:gridSpan w:val="7"/>
            <w:tcBorders>
              <w:top w:val="single" w:color="auto" w:sz="12" w:space="0"/>
              <w:left w:val="nil"/>
              <w:bottom w:val="nil"/>
              <w:right w:val="nil"/>
            </w:tcBorders>
            <w:noWrap/>
            <w:vAlign w:val="center"/>
          </w:tcPr>
          <w:p>
            <w:pPr>
              <w:widowControl/>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Note.XPSS1 and XPSS2 represent the two dimensions of the Perceived Stress Scale (PSS), where XPSS1 refers to Perceived Helplessness and XPSS2 refers to Perceived Self</w:t>
            </w:r>
            <w:r>
              <w:rPr>
                <w:rFonts w:ascii="Cambria Math" w:hAnsi="Cambria Math" w:eastAsia="宋体" w:cs="Cambria Math"/>
                <w:color w:val="000000"/>
                <w:sz w:val="22"/>
                <w:szCs w:val="22"/>
              </w:rPr>
              <w:t>‑</w:t>
            </w:r>
            <w:r>
              <w:rPr>
                <w:rFonts w:hint="eastAsia" w:ascii="宋体" w:hAnsi="宋体" w:eastAsia="宋体" w:cs="宋体"/>
                <w:color w:val="000000"/>
                <w:sz w:val="22"/>
                <w:szCs w:val="22"/>
              </w:rPr>
              <w:t xml:space="preserve">Efficacy;WE1 and WE2 represent the two dimensions of the Emotion Regulation Questionnaire (ERQ), where WE1 denotes Cognitive Reappraisal and WE2 denotes Expressive Suppression;PSQI indicates the Pittsburgh Sleep Quality Index;YDEX indicates the Dysexecutive Questionnaire measuring executive dysfunction.The bold diagonal values indicate the AVE results for each construct, and the square root of AVE values are presented in the final row.  </w:t>
            </w:r>
          </w:p>
          <w:p>
            <w:pPr>
              <w:widowControl/>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sz w:val="22"/>
                <w:szCs w:val="22"/>
              </w:rPr>
              <w:t>Discriminant validity is supported when the square root of AVE for each construct (diagonal values) exceeds its correlations with other constructs.</w:t>
            </w:r>
          </w:p>
        </w:tc>
      </w:tr>
    </w:tbl>
    <w:p>
      <w:pPr>
        <w:rPr>
          <w:rFonts w:ascii="宋体" w:hAnsi="宋体" w:eastAsia="宋体" w:cs="宋体"/>
          <w:color w:val="000000"/>
          <w:sz w:val="22"/>
          <w:szCs w:val="22"/>
        </w:rPr>
      </w:pPr>
      <w:bookmarkStart w:id="10" w:name="_GoBack"/>
      <w:bookmarkEnd w:id="10"/>
    </w:p>
    <w:tbl>
      <w:tblPr>
        <w:tblStyle w:val="13"/>
        <w:tblpPr w:leftFromText="180" w:rightFromText="180" w:vertAnchor="text" w:horzAnchor="margin" w:tblpY="216"/>
        <w:tblW w:w="5000" w:type="pct"/>
        <w:tblInd w:w="0" w:type="dxa"/>
        <w:tblLayout w:type="fixed"/>
        <w:tblCellMar>
          <w:top w:w="0" w:type="dxa"/>
          <w:left w:w="108" w:type="dxa"/>
          <w:bottom w:w="0" w:type="dxa"/>
          <w:right w:w="108" w:type="dxa"/>
        </w:tblCellMar>
      </w:tblPr>
      <w:tblGrid>
        <w:gridCol w:w="1001"/>
        <w:gridCol w:w="911"/>
        <w:gridCol w:w="912"/>
        <w:gridCol w:w="912"/>
        <w:gridCol w:w="912"/>
        <w:gridCol w:w="917"/>
        <w:gridCol w:w="1415"/>
        <w:gridCol w:w="1541"/>
      </w:tblGrid>
      <w:tr>
        <w:tblPrEx>
          <w:tblCellMar>
            <w:top w:w="0" w:type="dxa"/>
            <w:left w:w="108" w:type="dxa"/>
            <w:bottom w:w="0" w:type="dxa"/>
            <w:right w:w="108" w:type="dxa"/>
          </w:tblCellMar>
        </w:tblPrEx>
        <w:tc>
          <w:tcPr>
            <w:tcW w:w="5000" w:type="pct"/>
            <w:gridSpan w:val="8"/>
            <w:tcBorders>
              <w:bottom w:val="single" w:color="auto" w:sz="12"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Additional</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Table 3.</w:t>
            </w:r>
            <w:r>
              <w:rPr>
                <w:rFonts w:hint="eastAsia" w:ascii="宋体" w:hAnsi="宋体" w:eastAsia="宋体" w:cs="宋体"/>
                <w:color w:val="0000FF"/>
                <w:sz w:val="22"/>
                <w:szCs w:val="22"/>
              </w:rPr>
              <w:t xml:space="preserve"> </w:t>
            </w:r>
            <w:r>
              <w:rPr>
                <w:rFonts w:hint="eastAsia" w:ascii="宋体" w:hAnsi="宋体" w:eastAsia="宋体" w:cs="宋体"/>
                <w:color w:val="000000"/>
                <w:sz w:val="22"/>
                <w:szCs w:val="22"/>
              </w:rPr>
              <w:t>Model Fit Results of the Measurement Model of Executive Function among Operating Room Nurses</w:t>
            </w:r>
          </w:p>
        </w:tc>
      </w:tr>
      <w:tr>
        <w:tblPrEx>
          <w:tblCellMar>
            <w:top w:w="0" w:type="dxa"/>
            <w:left w:w="108" w:type="dxa"/>
            <w:bottom w:w="0" w:type="dxa"/>
            <w:right w:w="108" w:type="dxa"/>
          </w:tblCellMar>
        </w:tblPrEx>
        <w:tc>
          <w:tcPr>
            <w:tcW w:w="588" w:type="pct"/>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Fit Index</w:t>
            </w:r>
          </w:p>
        </w:tc>
        <w:tc>
          <w:tcPr>
            <w:tcW w:w="535" w:type="pct"/>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NFI</w:t>
            </w:r>
          </w:p>
        </w:tc>
        <w:tc>
          <w:tcPr>
            <w:tcW w:w="535" w:type="pct"/>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RFI</w:t>
            </w:r>
          </w:p>
        </w:tc>
        <w:tc>
          <w:tcPr>
            <w:tcW w:w="535" w:type="pct"/>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IFI</w:t>
            </w:r>
          </w:p>
        </w:tc>
        <w:tc>
          <w:tcPr>
            <w:tcW w:w="535" w:type="pct"/>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TLI</w:t>
            </w:r>
          </w:p>
        </w:tc>
        <w:tc>
          <w:tcPr>
            <w:tcW w:w="538" w:type="pct"/>
            <w:tcBorders>
              <w:top w:val="single" w:color="auto" w:sz="12" w:space="0"/>
              <w:bottom w:val="single" w:color="auto" w:sz="6"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CFI</w:t>
            </w:r>
          </w:p>
        </w:tc>
        <w:tc>
          <w:tcPr>
            <w:tcW w:w="830" w:type="pct"/>
            <w:tcBorders>
              <w:top w:val="single" w:color="auto" w:sz="12" w:space="0"/>
              <w:bottom w:val="single" w:color="auto" w:sz="6" w:space="0"/>
            </w:tcBorders>
            <w:noWrap/>
            <w:vAlign w:val="center"/>
          </w:tcPr>
          <w:p>
            <w:pPr>
              <w:widowControl/>
              <w:jc w:val="center"/>
              <w:textAlignment w:val="center"/>
              <w:rPr>
                <w:rFonts w:ascii="Times New Roman" w:hAnsi="Times New Roman" w:eastAsia="宋体" w:cs="Times New Roman"/>
                <w:i/>
                <w:iCs/>
                <w:color w:val="222222"/>
                <w:sz w:val="27"/>
                <w:szCs w:val="27"/>
              </w:rPr>
            </w:pPr>
            <w:r>
              <w:rPr>
                <w:rFonts w:ascii="Times New Roman" w:hAnsi="Times New Roman" w:eastAsia="宋体" w:cs="Times New Roman"/>
                <w:i/>
                <w:iCs/>
                <w:color w:val="222222"/>
                <w:kern w:val="0"/>
                <w:sz w:val="27"/>
                <w:szCs w:val="27"/>
                <w:lang w:bidi="ar"/>
              </w:rPr>
              <w:t>χ</w:t>
            </w:r>
            <w:r>
              <w:rPr>
                <w:rStyle w:val="33"/>
                <w:rFonts w:eastAsia="宋体"/>
                <w:b w:val="0"/>
                <w:bCs w:val="0"/>
                <w:lang w:bidi="ar"/>
              </w:rPr>
              <w:t>2</w:t>
            </w:r>
            <w:r>
              <w:rPr>
                <w:rStyle w:val="34"/>
                <w:rFonts w:eastAsia="宋体"/>
                <w:lang w:bidi="ar"/>
              </w:rPr>
              <w:t>/df</w:t>
            </w:r>
          </w:p>
        </w:tc>
        <w:tc>
          <w:tcPr>
            <w:tcW w:w="903" w:type="pct"/>
            <w:tcBorders>
              <w:top w:val="single" w:color="auto" w:sz="12" w:space="0"/>
              <w:bottom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RMSE</w:t>
            </w:r>
          </w:p>
        </w:tc>
      </w:tr>
      <w:tr>
        <w:tblPrEx>
          <w:tblCellMar>
            <w:top w:w="0" w:type="dxa"/>
            <w:left w:w="108" w:type="dxa"/>
            <w:bottom w:w="0" w:type="dxa"/>
            <w:right w:w="108" w:type="dxa"/>
          </w:tblCellMar>
        </w:tblPrEx>
        <w:tc>
          <w:tcPr>
            <w:tcW w:w="588" w:type="pct"/>
            <w:tcBorders>
              <w:top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Recommended value</w:t>
            </w:r>
          </w:p>
        </w:tc>
        <w:tc>
          <w:tcPr>
            <w:tcW w:w="2678" w:type="pct"/>
            <w:gridSpan w:val="5"/>
            <w:tcBorders>
              <w:top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0.90 = excellent; ＞ 0.80 = acceptable</w:t>
            </w:r>
          </w:p>
        </w:tc>
        <w:tc>
          <w:tcPr>
            <w:tcW w:w="830" w:type="pct"/>
            <w:tcBorders>
              <w:top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r>
              <w:rPr>
                <w:rFonts w:hint="eastAsia" w:ascii="宋体" w:hAnsi="宋体" w:eastAsia="宋体" w:cs="宋体"/>
                <w:color w:val="000000"/>
                <w:sz w:val="22"/>
                <w:szCs w:val="22"/>
              </w:rPr>
              <w:t>= excellent</w:t>
            </w:r>
          </w:p>
        </w:tc>
        <w:tc>
          <w:tcPr>
            <w:tcW w:w="903" w:type="pct"/>
            <w:tcBorders>
              <w:top w:val="single" w:color="auto" w:sz="6"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＜0.05</w:t>
            </w:r>
            <w:r>
              <w:rPr>
                <w:rFonts w:hint="eastAsia" w:ascii="宋体" w:hAnsi="宋体" w:eastAsia="宋体" w:cs="宋体"/>
                <w:color w:val="000000"/>
                <w:sz w:val="22"/>
                <w:szCs w:val="22"/>
              </w:rPr>
              <w:t>= excellent</w:t>
            </w:r>
            <w:r>
              <w:rPr>
                <w:rFonts w:hint="eastAsia" w:ascii="宋体" w:hAnsi="宋体" w:eastAsia="宋体" w:cs="宋体"/>
                <w:color w:val="000000"/>
                <w:kern w:val="0"/>
                <w:sz w:val="22"/>
                <w:szCs w:val="22"/>
                <w:lang w:bidi="ar"/>
              </w:rPr>
              <w:t>，＜0.08</w:t>
            </w:r>
            <w:r>
              <w:rPr>
                <w:rFonts w:hint="eastAsia" w:ascii="宋体" w:hAnsi="宋体" w:eastAsia="宋体" w:cs="宋体"/>
                <w:color w:val="000000"/>
                <w:sz w:val="22"/>
                <w:szCs w:val="22"/>
              </w:rPr>
              <w:t>= excellent</w:t>
            </w:r>
          </w:p>
        </w:tc>
      </w:tr>
      <w:tr>
        <w:tblPrEx>
          <w:tblCellMar>
            <w:top w:w="0" w:type="dxa"/>
            <w:left w:w="108" w:type="dxa"/>
            <w:bottom w:w="0" w:type="dxa"/>
            <w:right w:w="108" w:type="dxa"/>
          </w:tblCellMar>
        </w:tblPrEx>
        <w:tc>
          <w:tcPr>
            <w:tcW w:w="588" w:type="pct"/>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Observed value</w:t>
            </w:r>
          </w:p>
        </w:tc>
        <w:tc>
          <w:tcPr>
            <w:tcW w:w="535" w:type="pct"/>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0.865</w:t>
            </w:r>
          </w:p>
        </w:tc>
        <w:tc>
          <w:tcPr>
            <w:tcW w:w="535" w:type="pct"/>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0.848</w:t>
            </w:r>
          </w:p>
        </w:tc>
        <w:tc>
          <w:tcPr>
            <w:tcW w:w="535" w:type="pct"/>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0.94</w:t>
            </w:r>
          </w:p>
        </w:tc>
        <w:tc>
          <w:tcPr>
            <w:tcW w:w="535" w:type="pct"/>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0.931</w:t>
            </w:r>
          </w:p>
        </w:tc>
        <w:tc>
          <w:tcPr>
            <w:tcW w:w="538" w:type="pct"/>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0.939</w:t>
            </w:r>
          </w:p>
        </w:tc>
        <w:tc>
          <w:tcPr>
            <w:tcW w:w="830" w:type="pct"/>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1.699</w:t>
            </w:r>
          </w:p>
        </w:tc>
        <w:tc>
          <w:tcPr>
            <w:tcW w:w="903" w:type="pct"/>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0.057</w:t>
            </w:r>
          </w:p>
        </w:tc>
      </w:tr>
      <w:tr>
        <w:tblPrEx>
          <w:tblCellMar>
            <w:top w:w="0" w:type="dxa"/>
            <w:left w:w="108" w:type="dxa"/>
            <w:bottom w:w="0" w:type="dxa"/>
            <w:right w:w="108" w:type="dxa"/>
          </w:tblCellMar>
        </w:tblPrEx>
        <w:tc>
          <w:tcPr>
            <w:tcW w:w="588"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Model evaluation</w:t>
            </w:r>
          </w:p>
        </w:tc>
        <w:tc>
          <w:tcPr>
            <w:tcW w:w="535"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Acceptable </w:t>
            </w:r>
          </w:p>
        </w:tc>
        <w:tc>
          <w:tcPr>
            <w:tcW w:w="535"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Acceptable</w:t>
            </w:r>
          </w:p>
        </w:tc>
        <w:tc>
          <w:tcPr>
            <w:tcW w:w="535"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Excellent</w:t>
            </w:r>
          </w:p>
        </w:tc>
        <w:tc>
          <w:tcPr>
            <w:tcW w:w="535"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Excellent</w:t>
            </w:r>
          </w:p>
        </w:tc>
        <w:tc>
          <w:tcPr>
            <w:tcW w:w="538"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Excellent</w:t>
            </w:r>
          </w:p>
        </w:tc>
        <w:tc>
          <w:tcPr>
            <w:tcW w:w="830" w:type="pct"/>
            <w:tcBorders>
              <w:bottom w:val="single" w:color="auto" w:sz="12" w:space="0"/>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Excellent</w:t>
            </w:r>
          </w:p>
        </w:tc>
        <w:tc>
          <w:tcPr>
            <w:tcW w:w="903" w:type="pct"/>
            <w:tcBorders>
              <w:bottom w:val="single" w:color="auto" w:sz="12" w:space="0"/>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Acceptable</w:t>
            </w:r>
          </w:p>
        </w:tc>
      </w:tr>
    </w:tbl>
    <w:p>
      <w:pPr>
        <w:rPr>
          <w:rFonts w:ascii="宋体" w:hAnsi="宋体" w:eastAsia="宋体" w:cs="宋体"/>
          <w:color w:val="000000"/>
          <w:sz w:val="22"/>
          <w:szCs w:val="22"/>
        </w:rPr>
      </w:pPr>
    </w:p>
    <w:p>
      <w:pPr>
        <w:rPr>
          <w:rFonts w:ascii="宋体" w:hAnsi="宋体" w:eastAsia="宋体" w:cs="宋体"/>
          <w:color w:val="000000"/>
          <w:sz w:val="22"/>
          <w:szCs w:val="22"/>
        </w:rPr>
      </w:pPr>
    </w:p>
    <w:tbl>
      <w:tblPr>
        <w:tblStyle w:val="13"/>
        <w:tblW w:w="5000" w:type="pct"/>
        <w:jc w:val="center"/>
        <w:tblLayout w:type="fixed"/>
        <w:tblCellMar>
          <w:top w:w="0" w:type="dxa"/>
          <w:left w:w="108" w:type="dxa"/>
          <w:bottom w:w="0" w:type="dxa"/>
          <w:right w:w="108" w:type="dxa"/>
        </w:tblCellMar>
      </w:tblPr>
      <w:tblGrid>
        <w:gridCol w:w="2164"/>
        <w:gridCol w:w="1650"/>
        <w:gridCol w:w="1255"/>
        <w:gridCol w:w="1387"/>
        <w:gridCol w:w="992"/>
        <w:gridCol w:w="1074"/>
      </w:tblGrid>
      <w:tr>
        <w:tblPrEx>
          <w:tblCellMar>
            <w:top w:w="0" w:type="dxa"/>
            <w:left w:w="108" w:type="dxa"/>
            <w:bottom w:w="0" w:type="dxa"/>
            <w:right w:w="108" w:type="dxa"/>
          </w:tblCellMar>
        </w:tblPrEx>
        <w:trPr>
          <w:trHeight w:val="272" w:hRule="atLeast"/>
          <w:jc w:val="center"/>
        </w:trPr>
        <w:tc>
          <w:tcPr>
            <w:tcW w:w="5000" w:type="pct"/>
            <w:gridSpan w:val="6"/>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Additional</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Table 4. Comparison of executive dysfunction scores by demographic characteristics among operating room nurses (n = 216)</w:t>
            </w:r>
          </w:p>
        </w:tc>
      </w:tr>
      <w:tr>
        <w:tblPrEx>
          <w:tblCellMar>
            <w:top w:w="0" w:type="dxa"/>
            <w:left w:w="108" w:type="dxa"/>
            <w:bottom w:w="0" w:type="dxa"/>
            <w:right w:w="108" w:type="dxa"/>
          </w:tblCellMar>
        </w:tblPrEx>
        <w:trPr>
          <w:trHeight w:val="272" w:hRule="atLeast"/>
          <w:jc w:val="center"/>
        </w:trPr>
        <w:tc>
          <w:tcPr>
            <w:tcW w:w="1270" w:type="pct"/>
            <w:tcBorders>
              <w:top w:val="single" w:color="auto" w:sz="12" w:space="0"/>
              <w:left w:val="nil"/>
              <w:bottom w:val="single" w:color="auto" w:sz="6" w:space="0"/>
              <w:right w:val="nil"/>
            </w:tcBorders>
            <w:noWrap/>
            <w:vAlign w:val="center"/>
          </w:tcPr>
          <w:p>
            <w:pPr>
              <w:spacing w:line="320" w:lineRule="atLeast"/>
              <w:ind w:left="60" w:right="6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Variable</w:t>
            </w:r>
          </w:p>
        </w:tc>
        <w:tc>
          <w:tcPr>
            <w:tcW w:w="968" w:type="pct"/>
            <w:tcBorders>
              <w:top w:val="single" w:color="auto" w:sz="12" w:space="0"/>
              <w:left w:val="nil"/>
              <w:bottom w:val="single" w:color="auto" w:sz="6" w:space="0"/>
              <w:right w:val="nil"/>
            </w:tcBorders>
            <w:noWrap/>
            <w:vAlign w:val="center"/>
          </w:tcPr>
          <w:p>
            <w:pPr>
              <w:spacing w:line="320" w:lineRule="atLeast"/>
              <w:ind w:left="60" w:right="6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Category</w:t>
            </w:r>
          </w:p>
        </w:tc>
        <w:tc>
          <w:tcPr>
            <w:tcW w:w="736" w:type="pct"/>
            <w:tcBorders>
              <w:top w:val="single" w:color="auto" w:sz="12" w:space="0"/>
              <w:left w:val="nil"/>
              <w:bottom w:val="single" w:color="auto" w:sz="6" w:space="0"/>
              <w:right w:val="nil"/>
            </w:tcBorders>
            <w:noWrap/>
            <w:vAlign w:val="center"/>
          </w:tcPr>
          <w:p>
            <w:pPr>
              <w:spacing w:line="320" w:lineRule="atLeast"/>
              <w:ind w:left="60" w:right="6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n (%)</w:t>
            </w:r>
          </w:p>
        </w:tc>
        <w:tc>
          <w:tcPr>
            <w:tcW w:w="814" w:type="pct"/>
            <w:tcBorders>
              <w:top w:val="single" w:color="auto" w:sz="12" w:space="0"/>
              <w:left w:val="nil"/>
              <w:bottom w:val="single" w:color="auto" w:sz="6" w:space="0"/>
              <w:right w:val="nil"/>
            </w:tcBorders>
            <w:noWrap/>
            <w:vAlign w:val="center"/>
          </w:tcPr>
          <w:p>
            <w:pPr>
              <w:spacing w:line="320" w:lineRule="atLeast"/>
              <w:ind w:left="60" w:right="6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Mean ± SD</w:t>
            </w:r>
          </w:p>
        </w:tc>
        <w:tc>
          <w:tcPr>
            <w:tcW w:w="582" w:type="pct"/>
            <w:tcBorders>
              <w:top w:val="single" w:color="auto" w:sz="12" w:space="0"/>
              <w:left w:val="nil"/>
              <w:bottom w:val="single" w:color="auto" w:sz="6" w:space="0"/>
              <w:right w:val="nil"/>
            </w:tcBorders>
            <w:noWrap/>
            <w:vAlign w:val="center"/>
          </w:tcPr>
          <w:p>
            <w:pPr>
              <w:spacing w:line="320" w:lineRule="atLeast"/>
              <w:ind w:left="60" w:right="6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t/F</w:t>
            </w:r>
          </w:p>
        </w:tc>
        <w:tc>
          <w:tcPr>
            <w:tcW w:w="630" w:type="pct"/>
            <w:tcBorders>
              <w:top w:val="single" w:color="auto" w:sz="12" w:space="0"/>
              <w:left w:val="nil"/>
              <w:bottom w:val="single" w:color="auto" w:sz="6" w:space="0"/>
              <w:right w:val="nil"/>
            </w:tcBorders>
            <w:noWrap/>
            <w:vAlign w:val="center"/>
          </w:tcPr>
          <w:p>
            <w:pPr>
              <w:spacing w:line="320" w:lineRule="atLeast"/>
              <w:ind w:left="60" w:right="6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P value</w:t>
            </w:r>
          </w:p>
        </w:tc>
      </w:tr>
      <w:tr>
        <w:tblPrEx>
          <w:tblCellMar>
            <w:top w:w="0" w:type="dxa"/>
            <w:left w:w="108" w:type="dxa"/>
            <w:bottom w:w="0" w:type="dxa"/>
            <w:right w:w="108" w:type="dxa"/>
          </w:tblCellMar>
        </w:tblPrEx>
        <w:trPr>
          <w:trHeight w:val="272" w:hRule="atLeast"/>
          <w:jc w:val="center"/>
        </w:trPr>
        <w:tc>
          <w:tcPr>
            <w:tcW w:w="1270" w:type="pct"/>
            <w:vMerge w:val="restart"/>
            <w:tcBorders>
              <w:top w:val="single" w:color="auto" w:sz="6" w:space="0"/>
              <w:left w:val="nil"/>
              <w:bottom w:val="nil"/>
              <w:right w:val="nil"/>
            </w:tcBorders>
            <w:noWrap/>
            <w:vAlign w:val="center"/>
          </w:tcPr>
          <w:p>
            <w:pPr>
              <w:widowControl/>
              <w:jc w:val="center"/>
              <w:rPr>
                <w:rFonts w:hint="eastAsia" w:ascii="宋体" w:hAnsi="宋体" w:eastAsia="宋体" w:cs="宋体"/>
                <w:color w:val="000000"/>
                <w:sz w:val="22"/>
                <w:szCs w:val="22"/>
              </w:rPr>
            </w:pPr>
            <w:r>
              <w:rPr>
                <w:rFonts w:ascii="宋体" w:hAnsi="宋体" w:eastAsia="宋体" w:cs="宋体"/>
                <w:color w:val="000000"/>
                <w:sz w:val="22"/>
                <w:szCs w:val="22"/>
              </w:rPr>
              <w:t>Gender</w:t>
            </w:r>
          </w:p>
        </w:tc>
        <w:tc>
          <w:tcPr>
            <w:tcW w:w="968" w:type="pct"/>
            <w:tcBorders>
              <w:top w:val="single" w:color="auto" w:sz="6" w:space="0"/>
              <w:left w:val="nil"/>
              <w:bottom w:val="nil"/>
              <w:right w:val="nil"/>
            </w:tcBorders>
            <w:noWrap/>
            <w:vAlign w:val="center"/>
          </w:tcPr>
          <w:p>
            <w:pPr>
              <w:widowControl/>
              <w:jc w:val="center"/>
              <w:rPr>
                <w:rFonts w:hint="eastAsia" w:ascii="宋体" w:hAnsi="宋体" w:eastAsia="宋体" w:cs="宋体"/>
                <w:color w:val="000000"/>
                <w:sz w:val="22"/>
                <w:szCs w:val="22"/>
              </w:rPr>
            </w:pPr>
            <w:r>
              <w:rPr>
                <w:rFonts w:ascii="宋体" w:hAnsi="宋体" w:eastAsia="宋体" w:cs="宋体"/>
                <w:color w:val="000000"/>
                <w:sz w:val="22"/>
                <w:szCs w:val="22"/>
              </w:rPr>
              <w:t>Male</w:t>
            </w:r>
          </w:p>
        </w:tc>
        <w:tc>
          <w:tcPr>
            <w:tcW w:w="736"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 (16.67%)</w:t>
            </w:r>
          </w:p>
        </w:tc>
        <w:tc>
          <w:tcPr>
            <w:tcW w:w="814"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27.69±17.08</w:t>
            </w:r>
          </w:p>
        </w:tc>
        <w:tc>
          <w:tcPr>
            <w:tcW w:w="582"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1.714</w:t>
            </w:r>
          </w:p>
        </w:tc>
        <w:tc>
          <w:tcPr>
            <w:tcW w:w="630"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0.088</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Female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180 (83.33%)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23.25±13.57</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rPr>
              <w:t>Working hours（h/d）</w:t>
            </w: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 (34.72%)</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21.97±12.41</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-1.613</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0.108</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141 (65.28%)</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25.06±15.09</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Age（yars）</w:t>
            </w: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18-25</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 (8.80%)</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20.42±10.76</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0.877</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0.478</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26-30</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59 (27.31%)</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25.31±13.44</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31-40</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105 (48.61%)</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24.47±15.15</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41-50</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 (12.96%)</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23.32±15.19</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 (2.31%)</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15.80±9.65</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rPr>
              <w:t>Education level</w:t>
            </w: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Bachelor’s degree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195 (90.28%)</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24.25±14.29</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0.422</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0.656</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Master’s degree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(1.39%)</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18.33±14.57</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Associate degree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 (8.33%)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22.11±14.5</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Marital status</w:t>
            </w: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Married</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164 (75.93%)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24.35±14.85</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0.544</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0.581</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rPr>
              <w:t>Unm</w:t>
            </w:r>
            <w:r>
              <w:rPr>
                <w:rFonts w:hint="eastAsia" w:asciiTheme="minorEastAsia" w:hAnsiTheme="minorEastAsia" w:cstheme="minorEastAsia"/>
                <w:szCs w:val="21"/>
                <w:lang w:eastAsia="en-US"/>
              </w:rPr>
              <w:t>arried</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 (22.69%)</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23.27±12.49</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Divorced</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 (1.39%)</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16.33±7.77</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color w:val="000000"/>
                <w:sz w:val="24"/>
              </w:rPr>
              <w:t>Years of service(years)</w:t>
            </w: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 (13.43%)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23.93±11.61</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0.041</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0.96</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5--10</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119 (55.09%)</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24.23±15.49</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 (31.48%)</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23.6±13.18</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color w:val="000000"/>
                <w:sz w:val="24"/>
              </w:rPr>
              <w:t>Professional title</w:t>
            </w: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Nurse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 (5.56%)</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27.67±13.73</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1.065</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0.375</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Junior nurse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81 (37.50%)</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24.11±14.81</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Senior nurse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109 (50.46%)</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24.25±14.29</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Associate chief</w:t>
            </w:r>
            <w:r>
              <w:rPr>
                <w:rFonts w:hint="eastAsia" w:asciiTheme="minorEastAsia" w:hAnsiTheme="minorEastAsia" w:cstheme="minorEastAsia"/>
                <w:szCs w:val="21"/>
              </w:rPr>
              <w:t xml:space="preserve"> </w:t>
            </w:r>
            <w:r>
              <w:rPr>
                <w:rFonts w:hint="eastAsia" w:asciiTheme="minorEastAsia" w:hAnsiTheme="minorEastAsia" w:cstheme="minorEastAsia"/>
                <w:szCs w:val="21"/>
                <w:lang w:eastAsia="en-US"/>
              </w:rPr>
              <w:t>nurse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 (5.56%)</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19.75±10.30</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Chief nurse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 (0.93%)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8.50±7.78</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color w:val="000000"/>
                <w:sz w:val="24"/>
              </w:rPr>
              <w:t>Position</w:t>
            </w: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Staff nurs</w:t>
            </w:r>
            <w:r>
              <w:rPr>
                <w:rFonts w:hint="eastAsia" w:asciiTheme="minorEastAsia" w:hAnsiTheme="minorEastAsia" w:cstheme="minorEastAsia"/>
                <w:szCs w:val="21"/>
              </w:rPr>
              <w:t>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161 (74.54%)</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24.81±15.09</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1.052</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0.351</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Team leader</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 (17.13%)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21.84±11.98</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Head nurse</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 (8.33%)</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21.11±10.02</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color w:val="000000"/>
                <w:sz w:val="24"/>
              </w:rPr>
              <w:t>Physical exercise</w:t>
            </w: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Never</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34 (15.74%)</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24.68±14.52</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0.786</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0.503</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Occasionally</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140 (64.81%)</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20.55±11.96</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Frequently</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 (14.35%)</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22.45±17.99</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Daily</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 (5.09%)</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23.99±14.27</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restart"/>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Theme="minorEastAsia" w:hAnsiTheme="minorEastAsia" w:cstheme="minorEastAsia"/>
                <w:color w:val="000000"/>
                <w:sz w:val="24"/>
              </w:rPr>
              <w:t>Caffeine intake</w:t>
            </w: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Never</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 (10.19%)</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28.45±17.34</w:t>
            </w:r>
          </w:p>
        </w:tc>
        <w:tc>
          <w:tcPr>
            <w:tcW w:w="58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0.761</w:t>
            </w:r>
          </w:p>
        </w:tc>
        <w:tc>
          <w:tcPr>
            <w:tcW w:w="63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0.521</w:t>
            </w: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Occasionally</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116 (53.70%)</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23.25±13.1</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nil"/>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nil"/>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Frequently</w:t>
            </w:r>
          </w:p>
        </w:tc>
        <w:tc>
          <w:tcPr>
            <w:tcW w:w="73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 (24.54%)</w:t>
            </w:r>
          </w:p>
        </w:tc>
        <w:tc>
          <w:tcPr>
            <w:tcW w:w="81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22.87±12.43</w:t>
            </w:r>
          </w:p>
        </w:tc>
        <w:tc>
          <w:tcPr>
            <w:tcW w:w="58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1270" w:type="pct"/>
            <w:vMerge w:val="continue"/>
            <w:tcBorders>
              <w:top w:val="nil"/>
              <w:left w:val="nil"/>
              <w:bottom w:val="single" w:color="auto" w:sz="12" w:space="0"/>
              <w:right w:val="nil"/>
            </w:tcBorders>
            <w:vAlign w:val="center"/>
          </w:tcPr>
          <w:p>
            <w:pPr>
              <w:jc w:val="center"/>
              <w:rPr>
                <w:rFonts w:hint="eastAsia" w:ascii="宋体" w:hAnsi="宋体" w:eastAsia="宋体" w:cs="宋体"/>
                <w:color w:val="000000"/>
                <w:sz w:val="22"/>
                <w:szCs w:val="22"/>
              </w:rPr>
            </w:pPr>
          </w:p>
        </w:tc>
        <w:tc>
          <w:tcPr>
            <w:tcW w:w="968" w:type="pct"/>
            <w:tcBorders>
              <w:top w:val="nil"/>
              <w:left w:val="nil"/>
              <w:bottom w:val="single" w:color="auto" w:sz="12" w:space="0"/>
              <w:right w:val="nil"/>
            </w:tcBorders>
            <w:noWrap/>
            <w:vAlign w:val="center"/>
          </w:tcPr>
          <w:p>
            <w:pPr>
              <w:widowControl/>
              <w:pBdr>
                <w:top w:val="none" w:color="000000" w:sz="0" w:space="0"/>
                <w:left w:val="none" w:color="000000" w:sz="0" w:space="0"/>
                <w:bottom w:val="none" w:color="000000" w:sz="0" w:space="0"/>
                <w:right w:val="none" w:color="000000" w:sz="0" w:space="0"/>
              </w:pBdr>
              <w:spacing w:before="100" w:after="100"/>
              <w:ind w:right="102"/>
              <w:jc w:val="center"/>
              <w:rPr>
                <w:rFonts w:hint="eastAsia" w:ascii="宋体" w:hAnsi="宋体" w:eastAsia="宋体" w:cs="宋体"/>
                <w:color w:val="000000"/>
                <w:sz w:val="22"/>
                <w:szCs w:val="22"/>
              </w:rPr>
            </w:pPr>
            <w:r>
              <w:rPr>
                <w:rFonts w:hint="eastAsia" w:asciiTheme="minorEastAsia" w:hAnsiTheme="minorEastAsia" w:cstheme="minorEastAsia"/>
                <w:szCs w:val="21"/>
                <w:lang w:eastAsia="en-US"/>
              </w:rPr>
              <w:t>Daily</w:t>
            </w:r>
          </w:p>
        </w:tc>
        <w:tc>
          <w:tcPr>
            <w:tcW w:w="736"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 (11.57%)</w:t>
            </w:r>
          </w:p>
        </w:tc>
        <w:tc>
          <w:tcPr>
            <w:tcW w:w="814"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25.88±19.37</w:t>
            </w:r>
          </w:p>
        </w:tc>
        <w:tc>
          <w:tcPr>
            <w:tcW w:w="582" w:type="pct"/>
            <w:tcBorders>
              <w:top w:val="nil"/>
              <w:left w:val="nil"/>
              <w:bottom w:val="single" w:color="auto" w:sz="12" w:space="0"/>
              <w:right w:val="nil"/>
            </w:tcBorders>
            <w:noWrap/>
            <w:vAlign w:val="center"/>
          </w:tcPr>
          <w:p>
            <w:pPr>
              <w:jc w:val="center"/>
              <w:rPr>
                <w:rFonts w:hint="eastAsia" w:ascii="宋体" w:hAnsi="宋体" w:eastAsia="宋体" w:cs="宋体"/>
                <w:color w:val="000000"/>
                <w:sz w:val="22"/>
                <w:szCs w:val="22"/>
              </w:rPr>
            </w:pPr>
          </w:p>
        </w:tc>
        <w:tc>
          <w:tcPr>
            <w:tcW w:w="630" w:type="pct"/>
            <w:tcBorders>
              <w:top w:val="nil"/>
              <w:left w:val="nil"/>
              <w:bottom w:val="single" w:color="auto" w:sz="12" w:space="0"/>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000" w:type="pct"/>
            <w:gridSpan w:val="6"/>
            <w:tcBorders>
              <w:top w:val="single" w:color="auto" w:sz="12" w:space="0"/>
              <w:left w:val="nil"/>
              <w:bottom w:val="nil"/>
              <w:right w:val="nil"/>
            </w:tcBorders>
            <w:vAlign w:val="center"/>
          </w:tcPr>
          <w:p>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Data are presented as mean ± standard deviation (SD). Independent‑sample t‑test or one‑way ANOVA was used as appropriate.</w:t>
            </w:r>
          </w:p>
        </w:tc>
      </w:tr>
    </w:tbl>
    <w:p>
      <w:pPr>
        <w:rPr>
          <w:color w:val="0000FF"/>
          <w:sz w:val="24"/>
        </w:rPr>
      </w:pPr>
    </w:p>
    <w:p>
      <w:pPr>
        <w:pStyle w:val="4"/>
        <w:widowControl/>
        <w:shd w:val="clear" w:color="auto" w:fill="FFFFFF"/>
        <w:spacing w:before="252" w:after="126" w:line="9" w:lineRule="atLeast"/>
        <w:jc w:val="center"/>
        <w:rPr>
          <w:rFonts w:ascii="Segoe UI" w:hAnsi="Segoe UI" w:eastAsia="Segoe UI" w:cs="Segoe UI"/>
          <w:b/>
          <w:bCs/>
          <w:sz w:val="23"/>
          <w:szCs w:val="23"/>
          <w:shd w:val="clear" w:color="auto" w:fill="FFFFFF"/>
        </w:rPr>
        <w:sectPr>
          <w:pgSz w:w="11906" w:h="16838"/>
          <w:pgMar w:top="1440" w:right="1800" w:bottom="1440" w:left="1800" w:header="851" w:footer="992" w:gutter="0"/>
          <w:cols w:space="425" w:num="1"/>
          <w:docGrid w:type="lines" w:linePitch="312" w:charSpace="0"/>
        </w:sectPr>
      </w:pPr>
    </w:p>
    <w:tbl>
      <w:tblPr>
        <w:tblStyle w:val="13"/>
        <w:tblW w:w="5000" w:type="pct"/>
        <w:jc w:val="center"/>
        <w:tblLayout w:type="fixed"/>
        <w:tblCellMar>
          <w:top w:w="0" w:type="dxa"/>
          <w:left w:w="108" w:type="dxa"/>
          <w:bottom w:w="0" w:type="dxa"/>
          <w:right w:w="108" w:type="dxa"/>
        </w:tblCellMar>
      </w:tblPr>
      <w:tblGrid>
        <w:gridCol w:w="2200"/>
        <w:gridCol w:w="749"/>
        <w:gridCol w:w="749"/>
        <w:gridCol w:w="1954"/>
        <w:gridCol w:w="1159"/>
        <w:gridCol w:w="1231"/>
        <w:gridCol w:w="1451"/>
        <w:gridCol w:w="2097"/>
        <w:gridCol w:w="1590"/>
        <w:gridCol w:w="749"/>
        <w:gridCol w:w="1594"/>
        <w:gridCol w:w="1637"/>
        <w:gridCol w:w="749"/>
        <w:gridCol w:w="1416"/>
        <w:gridCol w:w="1823"/>
      </w:tblGrid>
      <w:tr>
        <w:tblPrEx>
          <w:tblCellMar>
            <w:top w:w="0" w:type="dxa"/>
            <w:left w:w="108" w:type="dxa"/>
            <w:bottom w:w="0" w:type="dxa"/>
            <w:right w:w="108" w:type="dxa"/>
          </w:tblCellMar>
        </w:tblPrEx>
        <w:trPr>
          <w:trHeight w:val="272" w:hRule="atLeast"/>
          <w:jc w:val="center"/>
        </w:trPr>
        <w:tc>
          <w:tcPr>
            <w:tcW w:w="5000" w:type="pct"/>
            <w:gridSpan w:val="15"/>
            <w:tcBorders>
              <w:top w:val="nil"/>
              <w:left w:val="nil"/>
              <w:bottom w:val="single" w:color="auto" w:sz="12" w:space="0"/>
              <w:right w:val="nil"/>
            </w:tcBorders>
            <w:noWrap/>
            <w:vAlign w:val="center"/>
          </w:tcPr>
          <w:p>
            <w:pPr>
              <w:pStyle w:val="4"/>
              <w:widowControl/>
              <w:shd w:val="clear" w:color="auto" w:fill="FFFFFF"/>
              <w:spacing w:before="252" w:after="126" w:line="9" w:lineRule="atLeast"/>
              <w:jc w:val="center"/>
              <w:rPr>
                <w:color w:val="000000"/>
                <w:sz w:val="22"/>
                <w:szCs w:val="22"/>
              </w:rPr>
            </w:pPr>
            <w:r>
              <w:rPr>
                <w:rFonts w:hint="eastAsia" w:ascii="宋体" w:hAnsi="宋体" w:eastAsia="宋体" w:cs="宋体"/>
                <w:color w:val="000000"/>
                <w:sz w:val="22"/>
                <w:szCs w:val="22"/>
                <w14:ligatures w14:val="none"/>
              </w:rPr>
              <w:t>Additional</w:t>
            </w:r>
            <w:r>
              <w:rPr>
                <w:rFonts w:hint="eastAsia" w:ascii="宋体" w:hAnsi="宋体" w:eastAsia="宋体" w:cs="宋体"/>
                <w:color w:val="000000"/>
                <w:sz w:val="22"/>
                <w:szCs w:val="22"/>
                <w:lang w:val="en-US" w:eastAsia="zh-CN"/>
                <w14:ligatures w14:val="none"/>
              </w:rPr>
              <w:t xml:space="preserve"> </w:t>
            </w:r>
            <w:r>
              <w:rPr>
                <w:rFonts w:ascii="宋体" w:hAnsi="宋体" w:eastAsia="宋体" w:cs="宋体"/>
                <w:color w:val="000000"/>
                <w:sz w:val="22"/>
                <w:szCs w:val="22"/>
                <w14:ligatures w14:val="none"/>
              </w:rPr>
              <w:t>Table</w:t>
            </w:r>
            <w:r>
              <w:rPr>
                <w:rFonts w:ascii="Times New Roman" w:hAnsi="Times New Roman" w:eastAsia="宋体" w:cs="Times New Roman"/>
                <w:color w:val="000000"/>
                <w:sz w:val="22"/>
                <w:szCs w:val="22"/>
                <w14:ligatures w14:val="none"/>
              </w:rPr>
              <w:t> </w:t>
            </w:r>
            <w:r>
              <w:rPr>
                <w:rFonts w:ascii="宋体" w:hAnsi="宋体" w:eastAsia="宋体" w:cs="宋体"/>
                <w:color w:val="000000"/>
                <w:sz w:val="22"/>
                <w:szCs w:val="22"/>
                <w14:ligatures w14:val="none"/>
              </w:rPr>
              <w:t>5.</w:t>
            </w:r>
            <w:r>
              <w:rPr>
                <w:rFonts w:ascii="Times New Roman" w:hAnsi="Times New Roman" w:eastAsia="宋体" w:cs="Times New Roman"/>
                <w:color w:val="000000"/>
                <w:sz w:val="22"/>
                <w:szCs w:val="22"/>
                <w14:ligatures w14:val="none"/>
              </w:rPr>
              <w:t> </w:t>
            </w:r>
            <w:r>
              <w:rPr>
                <w:rFonts w:ascii="宋体" w:hAnsi="宋体" w:eastAsia="宋体" w:cs="宋体"/>
                <w:color w:val="000000"/>
                <w:sz w:val="22"/>
                <w:szCs w:val="22"/>
                <w14:ligatures w14:val="none"/>
              </w:rPr>
              <w:t>Correlations between sleep quality, perceived stress, emotion regulation, and executive dysfunction among operating room nurses</w:t>
            </w:r>
            <w:r>
              <w:rPr>
                <w:rFonts w:ascii="Times New Roman" w:hAnsi="Times New Roman" w:eastAsia="宋体" w:cs="Times New Roman"/>
                <w:color w:val="000000"/>
                <w:sz w:val="22"/>
                <w:szCs w:val="22"/>
                <w14:ligatures w14:val="none"/>
              </w:rPr>
              <w:t> </w:t>
            </w:r>
            <w:r>
              <w:rPr>
                <w:rFonts w:ascii="宋体" w:hAnsi="宋体" w:eastAsia="宋体" w:cs="宋体"/>
                <w:color w:val="000000"/>
                <w:sz w:val="22"/>
                <w:szCs w:val="22"/>
                <w14:ligatures w14:val="none"/>
              </w:rPr>
              <w:t>(n</w:t>
            </w:r>
            <w:r>
              <w:rPr>
                <w:rFonts w:ascii="Times New Roman" w:hAnsi="Times New Roman" w:eastAsia="宋体" w:cs="Times New Roman"/>
                <w:color w:val="000000"/>
                <w:sz w:val="22"/>
                <w:szCs w:val="22"/>
                <w14:ligatures w14:val="none"/>
              </w:rPr>
              <w:t> </w:t>
            </w:r>
            <w:r>
              <w:rPr>
                <w:rFonts w:ascii="宋体" w:hAnsi="宋体" w:eastAsia="宋体" w:cs="宋体"/>
                <w:color w:val="000000"/>
                <w:sz w:val="22"/>
                <w:szCs w:val="22"/>
                <w14:ligatures w14:val="none"/>
              </w:rPr>
              <w:t>=</w:t>
            </w:r>
            <w:r>
              <w:rPr>
                <w:rFonts w:ascii="Times New Roman" w:hAnsi="Times New Roman" w:eastAsia="宋体" w:cs="Times New Roman"/>
                <w:color w:val="000000"/>
                <w:sz w:val="22"/>
                <w:szCs w:val="22"/>
                <w14:ligatures w14:val="none"/>
              </w:rPr>
              <w:t> </w:t>
            </w:r>
            <w:r>
              <w:rPr>
                <w:rFonts w:ascii="宋体" w:hAnsi="宋体" w:eastAsia="宋体" w:cs="宋体"/>
                <w:color w:val="000000"/>
                <w:sz w:val="22"/>
                <w:szCs w:val="22"/>
                <w14:ligatures w14:val="none"/>
              </w:rPr>
              <w:t>216)</w:t>
            </w:r>
          </w:p>
        </w:tc>
      </w:tr>
      <w:tr>
        <w:tblPrEx>
          <w:tblCellMar>
            <w:top w:w="0" w:type="dxa"/>
            <w:left w:w="108" w:type="dxa"/>
            <w:bottom w:w="0" w:type="dxa"/>
            <w:right w:w="108" w:type="dxa"/>
          </w:tblCellMar>
        </w:tblPrEx>
        <w:trPr>
          <w:trHeight w:val="272" w:hRule="atLeast"/>
          <w:jc w:val="center"/>
        </w:trPr>
        <w:tc>
          <w:tcPr>
            <w:tcW w:w="520"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Variable</w:t>
            </w:r>
          </w:p>
        </w:tc>
        <w:tc>
          <w:tcPr>
            <w:tcW w:w="177"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DEX</w:t>
            </w:r>
          </w:p>
        </w:tc>
        <w:tc>
          <w:tcPr>
            <w:tcW w:w="177"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PISQ</w:t>
            </w:r>
          </w:p>
        </w:tc>
        <w:tc>
          <w:tcPr>
            <w:tcW w:w="462"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0" w:name="OLE_LINK1"/>
            <w:r>
              <w:rPr>
                <w:rFonts w:hint="eastAsia" w:ascii="宋体" w:hAnsi="宋体" w:eastAsia="宋体" w:cs="宋体"/>
                <w:color w:val="000000"/>
                <w:kern w:val="0"/>
                <w:sz w:val="22"/>
                <w:szCs w:val="22"/>
                <w:lang w:bidi="ar"/>
              </w:rPr>
              <w:t>Subjective sleep quality</w:t>
            </w:r>
            <w:bookmarkEnd w:id="0"/>
          </w:p>
        </w:tc>
        <w:tc>
          <w:tcPr>
            <w:tcW w:w="274"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1" w:name="OLE_LINK2"/>
            <w:r>
              <w:rPr>
                <w:rFonts w:hint="eastAsia" w:ascii="宋体" w:hAnsi="宋体" w:eastAsia="宋体" w:cs="宋体"/>
                <w:color w:val="000000"/>
                <w:kern w:val="0"/>
                <w:sz w:val="22"/>
                <w:szCs w:val="22"/>
                <w:lang w:bidi="ar"/>
              </w:rPr>
              <w:t>Sleep latency</w:t>
            </w:r>
            <w:bookmarkEnd w:id="1"/>
          </w:p>
        </w:tc>
        <w:tc>
          <w:tcPr>
            <w:tcW w:w="291"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2" w:name="OLE_LINK3"/>
            <w:r>
              <w:rPr>
                <w:rFonts w:hint="eastAsia" w:ascii="宋体" w:hAnsi="宋体" w:eastAsia="宋体" w:cs="宋体"/>
                <w:color w:val="000000"/>
                <w:kern w:val="0"/>
                <w:sz w:val="22"/>
                <w:szCs w:val="22"/>
                <w:lang w:bidi="ar"/>
              </w:rPr>
              <w:t>Sleep duration</w:t>
            </w:r>
            <w:bookmarkEnd w:id="2"/>
          </w:p>
        </w:tc>
        <w:tc>
          <w:tcPr>
            <w:tcW w:w="343"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3" w:name="OLE_LINK4"/>
            <w:r>
              <w:rPr>
                <w:rFonts w:hint="eastAsia" w:ascii="宋体" w:hAnsi="宋体" w:eastAsia="宋体" w:cs="宋体"/>
                <w:color w:val="000000"/>
                <w:kern w:val="0"/>
                <w:sz w:val="22"/>
                <w:szCs w:val="22"/>
                <w:lang w:bidi="ar"/>
              </w:rPr>
              <w:t>Sleep disturbance</w:t>
            </w:r>
            <w:bookmarkEnd w:id="3"/>
          </w:p>
        </w:tc>
        <w:tc>
          <w:tcPr>
            <w:tcW w:w="496"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4" w:name="OLE_LINK5"/>
            <w:r>
              <w:rPr>
                <w:rFonts w:hint="eastAsia" w:ascii="宋体" w:hAnsi="宋体" w:eastAsia="宋体" w:cs="宋体"/>
                <w:color w:val="000000"/>
                <w:kern w:val="0"/>
                <w:sz w:val="22"/>
                <w:szCs w:val="22"/>
                <w:lang w:bidi="ar"/>
              </w:rPr>
              <w:t>Use of sleeping medication</w:t>
            </w:r>
            <w:bookmarkEnd w:id="4"/>
          </w:p>
        </w:tc>
        <w:tc>
          <w:tcPr>
            <w:tcW w:w="376"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5" w:name="OLE_LINK6"/>
            <w:r>
              <w:rPr>
                <w:rFonts w:hint="eastAsia" w:ascii="宋体" w:hAnsi="宋体" w:eastAsia="宋体" w:cs="宋体"/>
                <w:color w:val="000000"/>
                <w:kern w:val="0"/>
                <w:sz w:val="22"/>
                <w:szCs w:val="22"/>
                <w:lang w:bidi="ar"/>
              </w:rPr>
              <w:t>Daytime dysfunction</w:t>
            </w:r>
            <w:bookmarkEnd w:id="5"/>
          </w:p>
        </w:tc>
        <w:tc>
          <w:tcPr>
            <w:tcW w:w="177"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PSS</w:t>
            </w:r>
          </w:p>
        </w:tc>
        <w:tc>
          <w:tcPr>
            <w:tcW w:w="377"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6" w:name="OLE_LINK7"/>
            <w:r>
              <w:rPr>
                <w:rFonts w:hint="eastAsia" w:ascii="宋体" w:hAnsi="宋体" w:eastAsia="宋体" w:cs="宋体"/>
                <w:color w:val="000000"/>
                <w:kern w:val="0"/>
                <w:sz w:val="22"/>
                <w:szCs w:val="22"/>
                <w:lang w:bidi="ar"/>
              </w:rPr>
              <w:t>Perceived helplessness</w:t>
            </w:r>
            <w:bookmarkEnd w:id="6"/>
          </w:p>
        </w:tc>
        <w:tc>
          <w:tcPr>
            <w:tcW w:w="387"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7" w:name="OLE_LINK8"/>
            <w:r>
              <w:rPr>
                <w:rFonts w:hint="eastAsia" w:ascii="宋体" w:hAnsi="宋体" w:eastAsia="宋体" w:cs="宋体"/>
                <w:color w:val="000000"/>
                <w:kern w:val="0"/>
                <w:sz w:val="22"/>
                <w:szCs w:val="22"/>
                <w:lang w:bidi="ar"/>
              </w:rPr>
              <w:t>Perceived</w:t>
            </w:r>
          </w:p>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self‑efficacy</w:t>
            </w:r>
            <w:bookmarkEnd w:id="7"/>
          </w:p>
        </w:tc>
        <w:tc>
          <w:tcPr>
            <w:tcW w:w="177"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ERQ</w:t>
            </w:r>
          </w:p>
        </w:tc>
        <w:tc>
          <w:tcPr>
            <w:tcW w:w="335"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8" w:name="OLE_LINK9"/>
            <w:r>
              <w:rPr>
                <w:rFonts w:hint="eastAsia" w:ascii="宋体" w:hAnsi="宋体" w:eastAsia="宋体" w:cs="宋体"/>
                <w:color w:val="000000"/>
                <w:kern w:val="0"/>
                <w:sz w:val="22"/>
                <w:szCs w:val="22"/>
                <w:lang w:bidi="ar"/>
              </w:rPr>
              <w:t>Cognitive Reappraisal</w:t>
            </w:r>
            <w:bookmarkEnd w:id="8"/>
          </w:p>
        </w:tc>
        <w:tc>
          <w:tcPr>
            <w:tcW w:w="431" w:type="pct"/>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bookmarkStart w:id="9" w:name="OLE_LINK10"/>
            <w:r>
              <w:rPr>
                <w:rFonts w:hint="eastAsia" w:ascii="宋体" w:hAnsi="宋体" w:eastAsia="宋体" w:cs="宋体"/>
                <w:color w:val="000000"/>
                <w:kern w:val="0"/>
                <w:sz w:val="22"/>
                <w:szCs w:val="22"/>
                <w:lang w:bidi="ar"/>
              </w:rPr>
              <w:t>Expressive Suppression</w:t>
            </w:r>
            <w:bookmarkEnd w:id="9"/>
          </w:p>
        </w:tc>
      </w:tr>
      <w:tr>
        <w:tblPrEx>
          <w:tblCellMar>
            <w:top w:w="0" w:type="dxa"/>
            <w:left w:w="108" w:type="dxa"/>
            <w:bottom w:w="0" w:type="dxa"/>
            <w:right w:w="108" w:type="dxa"/>
          </w:tblCellMar>
        </w:tblPrEx>
        <w:trPr>
          <w:trHeight w:val="272" w:hRule="atLeast"/>
          <w:jc w:val="center"/>
        </w:trPr>
        <w:tc>
          <w:tcPr>
            <w:tcW w:w="520"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DEX</w:t>
            </w:r>
          </w:p>
        </w:tc>
        <w:tc>
          <w:tcPr>
            <w:tcW w:w="177" w:type="pct"/>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7"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462"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274"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291"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343"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496"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376"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single" w:color="auto" w:sz="6" w:space="0"/>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PISQ</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.359**</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62"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274"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29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43"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9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cs="宋体"/>
                <w:sz w:val="24"/>
              </w:rPr>
              <w:t>Subjective sleep quality</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.274**</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.871**</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74"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29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43"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9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Sleep latency</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.198**</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.691**</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.530**</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9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43"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9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Sleep duration</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.159*</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.576**</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.372**</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.216**</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43"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9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Sleep disturbance</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.310**</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.622**</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.480**</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.449**</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.173*</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9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kern w:val="0"/>
                <w:sz w:val="22"/>
                <w:szCs w:val="22"/>
                <w:lang w:bidi="ar"/>
              </w:rPr>
            </w:pP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Use of sleeping medication</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.298**</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.412**</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.334**</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.184**</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.228**</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.285**</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76"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Daytime dysfunction</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.330**</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.830**</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.682**</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.405**</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.469**</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.426**</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.251**</w:t>
            </w:r>
          </w:p>
        </w:tc>
        <w:tc>
          <w:tcPr>
            <w:tcW w:w="37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PSS</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.474**</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.455**</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.359**</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.325**</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.155*</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.363**</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.308**</w:t>
            </w:r>
          </w:p>
        </w:tc>
        <w:tc>
          <w:tcPr>
            <w:tcW w:w="37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.404**</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Perceived helplessness</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.494**</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.486**</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.393**</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.308**</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.189**</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.373**</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.260**</w:t>
            </w:r>
          </w:p>
        </w:tc>
        <w:tc>
          <w:tcPr>
            <w:tcW w:w="37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.475**</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.825**</w:t>
            </w:r>
          </w:p>
        </w:tc>
        <w:tc>
          <w:tcPr>
            <w:tcW w:w="3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Perceived</w:t>
            </w:r>
          </w:p>
          <w:p>
            <w:pPr>
              <w:widowControl/>
              <w:jc w:val="center"/>
              <w:textAlignment w:val="center"/>
              <w:rPr>
                <w:rFonts w:hint="eastAsia" w:ascii="宋体" w:hAnsi="宋体" w:cs="宋体"/>
                <w:sz w:val="24"/>
              </w:rPr>
            </w:pPr>
            <w:r>
              <w:rPr>
                <w:rFonts w:hint="eastAsia" w:ascii="宋体" w:hAnsi="宋体" w:cs="宋体"/>
                <w:sz w:val="24"/>
              </w:rPr>
              <w:t>self‑efficacy</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.179**</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.202**</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.143*</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.196**</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0.084</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.141*</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.160*</w:t>
            </w:r>
          </w:p>
        </w:tc>
        <w:tc>
          <w:tcPr>
            <w:tcW w:w="37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.141*</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.651**</w:t>
            </w:r>
          </w:p>
        </w:tc>
        <w:tc>
          <w:tcPr>
            <w:tcW w:w="3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.187**</w:t>
            </w:r>
          </w:p>
        </w:tc>
        <w:tc>
          <w:tcPr>
            <w:tcW w:w="38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7"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6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ERQ</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0.037</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-0.122</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-.157*</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-0.046</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-0.084</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-0.073</w:t>
            </w:r>
          </w:p>
        </w:tc>
        <w:tc>
          <w:tcPr>
            <w:tcW w:w="37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-0.054</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-.212**</w:t>
            </w:r>
          </w:p>
        </w:tc>
        <w:tc>
          <w:tcPr>
            <w:tcW w:w="3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0.028</w:t>
            </w:r>
          </w:p>
        </w:tc>
        <w:tc>
          <w:tcPr>
            <w:tcW w:w="38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-.492**</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35"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nil"/>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Cognitive Reappraisal</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-.195**</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-.218**</w:t>
            </w:r>
          </w:p>
        </w:tc>
        <w:tc>
          <w:tcPr>
            <w:tcW w:w="462"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274"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-.232**</w:t>
            </w:r>
          </w:p>
        </w:tc>
        <w:tc>
          <w:tcPr>
            <w:tcW w:w="291"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-0.102</w:t>
            </w:r>
          </w:p>
        </w:tc>
        <w:tc>
          <w:tcPr>
            <w:tcW w:w="343"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-.148*</w:t>
            </w:r>
          </w:p>
        </w:tc>
        <w:tc>
          <w:tcPr>
            <w:tcW w:w="49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-.162*</w:t>
            </w:r>
          </w:p>
        </w:tc>
        <w:tc>
          <w:tcPr>
            <w:tcW w:w="376"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-0.121</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-.383**</w:t>
            </w:r>
          </w:p>
        </w:tc>
        <w:tc>
          <w:tcPr>
            <w:tcW w:w="3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-0.131</w:t>
            </w:r>
          </w:p>
        </w:tc>
        <w:tc>
          <w:tcPr>
            <w:tcW w:w="38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-.573**</w:t>
            </w:r>
          </w:p>
        </w:tc>
        <w:tc>
          <w:tcPr>
            <w:tcW w:w="177"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.839**</w:t>
            </w:r>
          </w:p>
        </w:tc>
        <w:tc>
          <w:tcPr>
            <w:tcW w:w="335" w:type="pct"/>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31" w:type="pct"/>
            <w:tcBorders>
              <w:top w:val="nil"/>
              <w:left w:val="nil"/>
              <w:bottom w:val="nil"/>
              <w:right w:val="nil"/>
            </w:tcBorders>
            <w:noWrap/>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2" w:hRule="atLeast"/>
          <w:jc w:val="center"/>
        </w:trPr>
        <w:tc>
          <w:tcPr>
            <w:tcW w:w="520" w:type="pct"/>
            <w:tcBorders>
              <w:top w:val="nil"/>
              <w:left w:val="nil"/>
              <w:bottom w:val="single" w:color="auto" w:sz="12" w:space="0"/>
              <w:right w:val="nil"/>
            </w:tcBorders>
            <w:noWrap/>
            <w:vAlign w:val="center"/>
          </w:tcPr>
          <w:p>
            <w:pPr>
              <w:widowControl/>
              <w:jc w:val="center"/>
              <w:textAlignment w:val="center"/>
              <w:rPr>
                <w:rFonts w:hint="eastAsia" w:ascii="宋体" w:hAnsi="宋体" w:cs="宋体"/>
                <w:sz w:val="24"/>
              </w:rPr>
            </w:pPr>
            <w:r>
              <w:rPr>
                <w:rFonts w:hint="eastAsia" w:ascii="宋体" w:hAnsi="宋体" w:cs="宋体"/>
                <w:sz w:val="24"/>
              </w:rPr>
              <w:t>Expressive Suppression</w:t>
            </w:r>
          </w:p>
        </w:tc>
        <w:tc>
          <w:tcPr>
            <w:tcW w:w="177"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.358**</w:t>
            </w:r>
          </w:p>
        </w:tc>
        <w:tc>
          <w:tcPr>
            <w:tcW w:w="177"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0.076</w:t>
            </w:r>
          </w:p>
        </w:tc>
        <w:tc>
          <w:tcPr>
            <w:tcW w:w="462"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0.04</w:t>
            </w:r>
          </w:p>
        </w:tc>
        <w:tc>
          <w:tcPr>
            <w:tcW w:w="274"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-0.002</w:t>
            </w:r>
          </w:p>
        </w:tc>
        <w:tc>
          <w:tcPr>
            <w:tcW w:w="291"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0.035</w:t>
            </w:r>
          </w:p>
        </w:tc>
        <w:tc>
          <w:tcPr>
            <w:tcW w:w="343"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0.086</w:t>
            </w:r>
          </w:p>
        </w:tc>
        <w:tc>
          <w:tcPr>
            <w:tcW w:w="496"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0.078</w:t>
            </w:r>
          </w:p>
        </w:tc>
        <w:tc>
          <w:tcPr>
            <w:tcW w:w="376"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0.086</w:t>
            </w:r>
          </w:p>
        </w:tc>
        <w:tc>
          <w:tcPr>
            <w:tcW w:w="177"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0.113</w:t>
            </w:r>
          </w:p>
        </w:tc>
        <w:tc>
          <w:tcPr>
            <w:tcW w:w="377"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.267**</w:t>
            </w:r>
          </w:p>
        </w:tc>
        <w:tc>
          <w:tcPr>
            <w:tcW w:w="387"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-.187**</w:t>
            </w:r>
          </w:p>
        </w:tc>
        <w:tc>
          <w:tcPr>
            <w:tcW w:w="177"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.711**</w:t>
            </w:r>
          </w:p>
        </w:tc>
        <w:tc>
          <w:tcPr>
            <w:tcW w:w="335"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.254**</w:t>
            </w:r>
          </w:p>
        </w:tc>
        <w:tc>
          <w:tcPr>
            <w:tcW w:w="431" w:type="pct"/>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r>
      <w:tr>
        <w:tblPrEx>
          <w:tblCellMar>
            <w:top w:w="0" w:type="dxa"/>
            <w:left w:w="108" w:type="dxa"/>
            <w:bottom w:w="0" w:type="dxa"/>
            <w:right w:w="108" w:type="dxa"/>
          </w:tblCellMar>
        </w:tblPrEx>
        <w:trPr>
          <w:trHeight w:val="272" w:hRule="atLeast"/>
          <w:jc w:val="center"/>
        </w:trPr>
        <w:tc>
          <w:tcPr>
            <w:tcW w:w="5000" w:type="pct"/>
            <w:gridSpan w:val="15"/>
            <w:tcBorders>
              <w:top w:val="single" w:color="auto" w:sz="12" w:space="0"/>
              <w:left w:val="nil"/>
              <w:bottom w:val="nil"/>
              <w:right w:val="nil"/>
            </w:tcBorders>
            <w:noWrap/>
            <w:vAlign w:val="center"/>
          </w:tcPr>
          <w:p>
            <w:pPr>
              <w:widowControl/>
              <w:wordWrap w:val="0"/>
              <w:jc w:val="left"/>
              <w:textAlignment w:val="center"/>
              <w:rPr>
                <w:rFonts w:hint="eastAsia" w:ascii="宋体" w:hAnsi="宋体" w:eastAsia="宋体" w:cs="宋体"/>
                <w:color w:val="000000"/>
                <w:kern w:val="0"/>
                <w:sz w:val="22"/>
                <w:szCs w:val="22"/>
                <w:lang w:bidi="ar"/>
              </w:rPr>
            </w:pPr>
            <w:r>
              <w:rPr>
                <w:rFonts w:hint="eastAsia" w:ascii="宋体" w:hAnsi="宋体" w:cs="宋体"/>
                <w:sz w:val="24"/>
              </w:rPr>
              <w:t>Note: Values represent Pearson correlation coefficients.</w:t>
            </w:r>
            <w:r>
              <w:rPr>
                <w:rFonts w:ascii="宋体" w:hAnsi="宋体" w:cs="宋体"/>
                <w:sz w:val="24"/>
              </w:rPr>
              <w:t>P&lt; 0.05 (), P &lt; 0.01 (**). DEX: Dysexecutive Questionnaire; PSQI: Pittsburgh Sleep Quality Index; PSS: Perceived Stress Scale; ERQ: Emotion Regulation Questionnaire.</w:t>
            </w:r>
          </w:p>
        </w:tc>
      </w:tr>
    </w:tbl>
    <w:p>
      <w:pPr>
        <w:rPr>
          <w:rFonts w:hint="eastAsia"/>
          <w:color w:val="0000FF"/>
          <w:sz w:val="24"/>
        </w:rPr>
        <w:sectPr>
          <w:pgSz w:w="23811" w:h="16838" w:orient="landscape"/>
          <w:pgMar w:top="1797" w:right="1440" w:bottom="1797" w:left="1440" w:header="851" w:footer="992" w:gutter="0"/>
          <w:cols w:space="425" w:num="1"/>
          <w:docGrid w:type="linesAndChars" w:linePitch="312" w:charSpace="0"/>
        </w:sectPr>
      </w:pPr>
    </w:p>
    <w:tbl>
      <w:tblPr>
        <w:tblStyle w:val="13"/>
        <w:tblpPr w:leftFromText="180" w:rightFromText="180" w:horzAnchor="margin" w:tblpY="551"/>
        <w:tblW w:w="7403" w:type="dxa"/>
        <w:tblInd w:w="0" w:type="dxa"/>
        <w:tblLayout w:type="autofit"/>
        <w:tblCellMar>
          <w:top w:w="0" w:type="dxa"/>
          <w:left w:w="108" w:type="dxa"/>
          <w:bottom w:w="0" w:type="dxa"/>
          <w:right w:w="108" w:type="dxa"/>
        </w:tblCellMar>
      </w:tblPr>
      <w:tblGrid>
        <w:gridCol w:w="1206"/>
        <w:gridCol w:w="4331"/>
        <w:gridCol w:w="1866"/>
      </w:tblGrid>
      <w:tr>
        <w:tblPrEx>
          <w:tblCellMar>
            <w:top w:w="0" w:type="dxa"/>
            <w:left w:w="108" w:type="dxa"/>
            <w:bottom w:w="0" w:type="dxa"/>
            <w:right w:w="108" w:type="dxa"/>
          </w:tblCellMar>
        </w:tblPrEx>
        <w:trPr>
          <w:trHeight w:val="270" w:hRule="atLeast"/>
        </w:trPr>
        <w:tc>
          <w:tcPr>
            <w:tcW w:w="7403" w:type="dxa"/>
            <w:gridSpan w:val="3"/>
            <w:tcBorders>
              <w:top w:val="single" w:color="auto" w:sz="12" w:space="0"/>
              <w:left w:val="nil"/>
              <w:bottom w:val="single" w:color="auto" w:sz="6"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Additional</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Table</w:t>
            </w:r>
            <w:r>
              <w:rPr>
                <w:rFonts w:hint="eastAsia" w:ascii="宋体" w:hAnsi="宋体" w:eastAsia="宋体" w:cs="宋体"/>
                <w:color w:val="000000"/>
                <w:sz w:val="22"/>
                <w:szCs w:val="22"/>
                <w:lang w:val="en-US" w:eastAsia="zh-CN"/>
              </w:rPr>
              <w:t>6</w:t>
            </w:r>
            <w:r>
              <w:rPr>
                <w:rFonts w:hint="eastAsia" w:ascii="宋体" w:hAnsi="宋体" w:eastAsia="宋体" w:cs="宋体"/>
                <w:color w:val="000000"/>
                <w:sz w:val="22"/>
                <w:szCs w:val="22"/>
              </w:rPr>
              <w:t>.Model Fit</w:t>
            </w:r>
          </w:p>
        </w:tc>
      </w:tr>
      <w:tr>
        <w:tblPrEx>
          <w:tblCellMar>
            <w:top w:w="0" w:type="dxa"/>
            <w:left w:w="108" w:type="dxa"/>
            <w:bottom w:w="0" w:type="dxa"/>
            <w:right w:w="108" w:type="dxa"/>
          </w:tblCellMar>
        </w:tblPrEx>
        <w:trPr>
          <w:trHeight w:val="577" w:hRule="atLeast"/>
        </w:trPr>
        <w:tc>
          <w:tcPr>
            <w:tcW w:w="0" w:type="auto"/>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Indicator</w:t>
            </w:r>
          </w:p>
        </w:tc>
        <w:tc>
          <w:tcPr>
            <w:tcW w:w="0" w:type="auto"/>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Reference Standard</w:t>
            </w:r>
          </w:p>
        </w:tc>
        <w:tc>
          <w:tcPr>
            <w:tcW w:w="0" w:type="auto"/>
            <w:tcBorders>
              <w:top w:val="single" w:color="auto" w:sz="6" w:space="0"/>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Measured Result</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ascii="Times New Roman" w:hAnsi="Times New Roman" w:eastAsia="宋体" w:cs="Times New Roman"/>
                <w:i/>
                <w:iCs/>
                <w:color w:val="222222"/>
                <w:kern w:val="0"/>
                <w:sz w:val="27"/>
                <w:szCs w:val="27"/>
                <w:lang w:bidi="ar"/>
              </w:rPr>
              <w:t>χ</w:t>
            </w:r>
            <w:r>
              <w:rPr>
                <w:rStyle w:val="33"/>
                <w:rFonts w:eastAsia="宋体"/>
                <w:b w:val="0"/>
                <w:bCs w:val="0"/>
                <w:lang w:bidi="ar"/>
              </w:rPr>
              <w:t>2</w:t>
            </w:r>
            <w:r>
              <w:rPr>
                <w:rStyle w:val="34"/>
                <w:rFonts w:eastAsia="宋体"/>
                <w:lang w:bidi="ar"/>
              </w:rPr>
              <w:t>/df</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r>
              <w:rPr>
                <w:rFonts w:hint="eastAsia" w:ascii="宋体" w:hAnsi="宋体" w:eastAsia="宋体" w:cs="宋体"/>
                <w:color w:val="000000"/>
                <w:sz w:val="22"/>
                <w:szCs w:val="22"/>
              </w:rPr>
              <w:t> = excellent</w:t>
            </w:r>
            <w:r>
              <w:rPr>
                <w:rFonts w:hint="eastAsia" w:ascii="宋体" w:hAnsi="宋体" w:eastAsia="宋体" w:cs="宋体"/>
                <w:color w:val="000000"/>
                <w:kern w:val="0"/>
                <w:sz w:val="22"/>
                <w:szCs w:val="22"/>
                <w:lang w:bidi="ar"/>
              </w:rPr>
              <w:t>，3-5</w:t>
            </w:r>
            <w:r>
              <w:rPr>
                <w:rFonts w:hint="eastAsia" w:ascii="宋体" w:hAnsi="宋体" w:eastAsia="宋体" w:cs="宋体"/>
                <w:color w:val="000000"/>
                <w:sz w:val="22"/>
                <w:szCs w:val="22"/>
              </w:rPr>
              <w:t>= acceptable</w:t>
            </w:r>
          </w:p>
        </w:tc>
        <w:tc>
          <w:tcPr>
            <w:tcW w:w="0" w:type="auto"/>
            <w:tcBorders>
              <w:top w:val="nil"/>
              <w:left w:val="nil"/>
              <w:bottom w:val="nil"/>
              <w:right w:val="nil"/>
            </w:tcBorders>
            <w:noWrap/>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1.7</w:t>
            </w:r>
            <w:r>
              <w:rPr>
                <w:rFonts w:hint="eastAsia" w:ascii="宋体" w:hAnsi="宋体" w:eastAsia="宋体" w:cs="宋体"/>
                <w:color w:val="000000"/>
                <w:kern w:val="0"/>
                <w:sz w:val="22"/>
                <w:szCs w:val="22"/>
                <w:lang w:val="en-US" w:eastAsia="zh-CN" w:bidi="ar"/>
              </w:rPr>
              <w:t>28</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RMSEA</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＜0.05</w:t>
            </w:r>
            <w:r>
              <w:rPr>
                <w:rFonts w:hint="eastAsia" w:ascii="宋体" w:hAnsi="宋体" w:eastAsia="宋体" w:cs="宋体"/>
                <w:color w:val="000000"/>
                <w:sz w:val="22"/>
                <w:szCs w:val="22"/>
              </w:rPr>
              <w:t> = excellent</w:t>
            </w:r>
            <w:r>
              <w:rPr>
                <w:rFonts w:hint="eastAsia" w:ascii="宋体" w:hAnsi="宋体" w:eastAsia="宋体" w:cs="宋体"/>
                <w:color w:val="000000"/>
                <w:kern w:val="0"/>
                <w:sz w:val="22"/>
                <w:szCs w:val="22"/>
                <w:lang w:bidi="ar"/>
              </w:rPr>
              <w:t>，＜0.08</w:t>
            </w:r>
            <w:r>
              <w:rPr>
                <w:rFonts w:hint="eastAsia" w:ascii="宋体" w:hAnsi="宋体" w:eastAsia="宋体" w:cs="宋体"/>
                <w:color w:val="000000"/>
                <w:sz w:val="22"/>
                <w:szCs w:val="22"/>
              </w:rPr>
              <w:t>= acceptable</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0.058</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IFI</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0.90 = excellent; ＞ 0.80 = acceptable</w:t>
            </w:r>
          </w:p>
        </w:tc>
        <w:tc>
          <w:tcPr>
            <w:tcW w:w="1866"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0.937</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TLI</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0.90 = excellent; ＞ 0.80 = acceptable</w:t>
            </w:r>
          </w:p>
        </w:tc>
        <w:tc>
          <w:tcPr>
            <w:tcW w:w="1866"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bidi="ar"/>
              </w:rPr>
              <w:t>0.92</w:t>
            </w:r>
            <w:r>
              <w:rPr>
                <w:rFonts w:hint="eastAsia" w:ascii="宋体" w:hAnsi="宋体" w:eastAsia="宋体" w:cs="宋体"/>
                <w:color w:val="000000"/>
                <w:kern w:val="0"/>
                <w:sz w:val="22"/>
                <w:szCs w:val="22"/>
                <w:lang w:val="en-US" w:eastAsia="zh-CN" w:bidi="ar"/>
              </w:rPr>
              <w:t>9</w:t>
            </w:r>
          </w:p>
        </w:tc>
      </w:tr>
      <w:tr>
        <w:tblPrEx>
          <w:tblCellMar>
            <w:top w:w="0" w:type="dxa"/>
            <w:left w:w="108" w:type="dxa"/>
            <w:bottom w:w="0" w:type="dxa"/>
            <w:right w:w="108" w:type="dxa"/>
          </w:tblCellMar>
        </w:tblPrEx>
        <w:trPr>
          <w:trHeight w:val="270" w:hRule="atLeast"/>
        </w:trPr>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CFI</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0.90 = excellent; ＞ 0.80 = acceptable</w:t>
            </w:r>
          </w:p>
        </w:tc>
        <w:tc>
          <w:tcPr>
            <w:tcW w:w="1866"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0.936</w:t>
            </w:r>
          </w:p>
        </w:tc>
      </w:tr>
      <w:tr>
        <w:tblPrEx>
          <w:tblCellMar>
            <w:top w:w="0" w:type="dxa"/>
            <w:left w:w="108" w:type="dxa"/>
            <w:bottom w:w="0" w:type="dxa"/>
            <w:right w:w="108" w:type="dxa"/>
          </w:tblCellMar>
        </w:tblPrEx>
        <w:trPr>
          <w:trHeight w:val="270" w:hRule="atLeast"/>
        </w:trPr>
        <w:tc>
          <w:tcPr>
            <w:tcW w:w="1206"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NFI</w:t>
            </w:r>
          </w:p>
        </w:tc>
        <w:tc>
          <w:tcPr>
            <w:tcW w:w="0" w:type="auto"/>
            <w:tcBorders>
              <w:top w:val="nil"/>
              <w:left w:val="nil"/>
              <w:bottom w:val="nil"/>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0.90 = excellent; ＞ 0.80 = acceptable</w:t>
            </w:r>
          </w:p>
        </w:tc>
        <w:tc>
          <w:tcPr>
            <w:tcW w:w="1866" w:type="dxa"/>
            <w:tcBorders>
              <w:top w:val="nil"/>
              <w:left w:val="nil"/>
              <w:bottom w:val="nil"/>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0.862</w:t>
            </w:r>
          </w:p>
        </w:tc>
      </w:tr>
      <w:tr>
        <w:tblPrEx>
          <w:tblCellMar>
            <w:top w:w="0" w:type="dxa"/>
            <w:left w:w="108" w:type="dxa"/>
            <w:bottom w:w="0" w:type="dxa"/>
            <w:right w:w="108" w:type="dxa"/>
          </w:tblCellMar>
        </w:tblPrEx>
        <w:trPr>
          <w:trHeight w:val="270" w:hRule="atLeast"/>
        </w:trPr>
        <w:tc>
          <w:tcPr>
            <w:tcW w:w="1206" w:type="dxa"/>
            <w:tcBorders>
              <w:top w:val="nil"/>
              <w:left w:val="nil"/>
              <w:bottom w:val="single" w:color="auto" w:sz="12" w:space="0"/>
              <w:right w:val="nil"/>
            </w:tcBorders>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RFI</w:t>
            </w:r>
          </w:p>
        </w:tc>
        <w:tc>
          <w:tcPr>
            <w:tcW w:w="0" w:type="auto"/>
            <w:tcBorders>
              <w:top w:val="nil"/>
              <w:left w:val="nil"/>
              <w:bottom w:val="single" w:color="auto" w:sz="12" w:space="0"/>
              <w:right w:val="nil"/>
            </w:tcBorders>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 0.90 = excellent; ＞ 0.80 = acceptable</w:t>
            </w:r>
          </w:p>
        </w:tc>
        <w:tc>
          <w:tcPr>
            <w:tcW w:w="1866" w:type="dxa"/>
            <w:tcBorders>
              <w:top w:val="nil"/>
              <w:left w:val="nil"/>
              <w:bottom w:val="single" w:color="auto" w:sz="12" w:space="0"/>
              <w:right w:val="nil"/>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bidi="ar"/>
              </w:rPr>
              <w:t>0.84</w:t>
            </w:r>
            <w:r>
              <w:rPr>
                <w:rFonts w:hint="eastAsia" w:ascii="宋体" w:hAnsi="宋体" w:eastAsia="宋体" w:cs="宋体"/>
                <w:color w:val="000000"/>
                <w:kern w:val="0"/>
                <w:sz w:val="22"/>
                <w:szCs w:val="22"/>
                <w:lang w:val="en-US" w:eastAsia="zh-CN" w:bidi="ar"/>
              </w:rPr>
              <w:t>6</w:t>
            </w:r>
          </w:p>
        </w:tc>
      </w:tr>
    </w:tbl>
    <w:p>
      <w:pPr>
        <w:rPr>
          <w:color w:val="0000FF"/>
          <w:sz w:val="24"/>
        </w:rPr>
      </w:pPr>
    </w:p>
    <w:p>
      <w:pPr>
        <w:rPr>
          <w:rFonts w:ascii="宋体" w:hAnsi="宋体" w:eastAsia="宋体" w:cs="宋体"/>
          <w:color w:val="000000"/>
          <w:sz w:val="22"/>
          <w:szCs w:val="22"/>
        </w:rPr>
      </w:pPr>
    </w:p>
    <w:p>
      <w:pPr>
        <w:rPr>
          <w:rFonts w:hint="eastAsia" w:ascii="宋体" w:hAnsi="宋体" w:eastAsia="宋体" w:cs="宋体"/>
          <w:color w:val="000000"/>
          <w:sz w:val="22"/>
          <w:szCs w:val="22"/>
        </w:rPr>
      </w:pPr>
    </w:p>
    <w:p>
      <w:pPr>
        <w:rPr>
          <w:rFonts w:hint="eastAsia" w:ascii="宋体" w:hAnsi="宋体" w:eastAsia="宋体" w:cs="宋体"/>
          <w:color w:val="000000"/>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545"/>
    <w:rsid w:val="00623DDC"/>
    <w:rsid w:val="00696545"/>
    <w:rsid w:val="007063FD"/>
    <w:rsid w:val="09CB7EB0"/>
    <w:rsid w:val="14C60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cstheme="majorBidi"/>
      <w:color w:val="2F5597" w:themeColor="accent1" w:themeShade="BF"/>
      <w:sz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cstheme="majorBidi"/>
      <w:b/>
      <w:bCs/>
      <w:color w:val="2F5597" w:themeColor="accent1" w:themeShade="BF"/>
      <w:sz w:val="22"/>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qFormat/>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sz w:val="22"/>
      <w14:ligatures w14:val="standardContextual"/>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14:ligatures w14:val="standardContextual"/>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 w:type="character" w:customStyle="1" w:styleId="33">
    <w:name w:val="font31"/>
    <w:basedOn w:val="14"/>
    <w:qFormat/>
    <w:uiPriority w:val="0"/>
    <w:rPr>
      <w:rFonts w:hint="default" w:ascii="Times New Roman" w:hAnsi="Times New Roman" w:cs="Times New Roman"/>
      <w:b/>
      <w:bCs/>
      <w:i/>
      <w:iCs/>
      <w:color w:val="222222"/>
      <w:sz w:val="22"/>
      <w:szCs w:val="22"/>
      <w:u w:val="none"/>
      <w:vertAlign w:val="superscript"/>
    </w:rPr>
  </w:style>
  <w:style w:type="character" w:customStyle="1" w:styleId="34">
    <w:name w:val="font21"/>
    <w:basedOn w:val="14"/>
    <w:qFormat/>
    <w:uiPriority w:val="0"/>
    <w:rPr>
      <w:rFonts w:hint="default" w:ascii="Times New Roman" w:hAnsi="Times New Roman" w:cs="Times New Roman"/>
      <w:b/>
      <w:bCs/>
      <w:i/>
      <w:iCs/>
      <w:color w:val="222222"/>
      <w:sz w:val="27"/>
      <w:szCs w:val="27"/>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1072</Words>
  <Characters>6082</Characters>
  <Lines>471</Lines>
  <Paragraphs>351</Paragraphs>
  <TotalTime>4</TotalTime>
  <ScaleCrop>false</ScaleCrop>
  <LinksUpToDate>false</LinksUpToDate>
  <CharactersWithSpaces>6522</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2025-11-20T05:50:00Z</dcterms:created>
  <dc:creator>巧巧 李</dc:creator>
  <cp:lastModifiedBy>forgive myself</cp:lastModifiedBy>
  <dcterms:modified xsi:type="dcterms:W3CDTF">2025-12-10T02:22:38Z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DFE4134DA1C34ACE839001B3451EFD6C</vt:lpwstr>
  </property>
</Properties>
</file>