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C6D578" w14:textId="77777777" w:rsidR="00C95600" w:rsidRDefault="00C95600" w:rsidP="00C95600">
      <w:pPr>
        <w:pStyle w:val="Heading3"/>
        <w:spacing w:before="0" w:after="0" w:line="240" w:lineRule="auto"/>
        <w:rPr>
          <w:rStyle w:val="Strong"/>
          <w:rFonts w:ascii="Arial" w:hAnsi="Arial" w:cs="Arial"/>
          <w:color w:val="000000" w:themeColor="text1"/>
          <w:sz w:val="22"/>
          <w:szCs w:val="22"/>
        </w:rPr>
      </w:pPr>
      <w:r w:rsidRPr="75F074B2">
        <w:rPr>
          <w:rStyle w:val="Strong"/>
          <w:rFonts w:ascii="Arial" w:hAnsi="Arial" w:cs="Arial"/>
          <w:color w:val="000000" w:themeColor="text1"/>
          <w:sz w:val="22"/>
          <w:szCs w:val="22"/>
        </w:rPr>
        <w:t>Supplementary Methods – In silico prediction and structural modeling</w:t>
      </w:r>
    </w:p>
    <w:p w14:paraId="24F8499E" w14:textId="77777777" w:rsidR="00C95600" w:rsidRDefault="00C95600" w:rsidP="00C95600">
      <w:pPr>
        <w:pStyle w:val="NormalWeb"/>
        <w:spacing w:before="0" w:beforeAutospacing="0" w:after="0" w:afterAutospacing="0"/>
        <w:rPr>
          <w:rFonts w:ascii="Arial" w:hAnsi="Arial" w:cs="Arial"/>
          <w:color w:val="000000" w:themeColor="text1"/>
          <w:sz w:val="22"/>
          <w:szCs w:val="22"/>
        </w:rPr>
      </w:pPr>
      <w:r w:rsidRPr="42538A82">
        <w:rPr>
          <w:rFonts w:ascii="Arial" w:hAnsi="Arial" w:cs="Arial"/>
          <w:color w:val="000000" w:themeColor="text1"/>
          <w:sz w:val="22"/>
          <w:szCs w:val="22"/>
        </w:rPr>
        <w:t xml:space="preserve">The pathogenicity of the DAW1 variants was assessed using multiple computational algorithms accessed through the dbNSFP v4.3 database and its related resources. The following prediction tools were used: </w:t>
      </w:r>
      <w:r w:rsidRPr="42538A82">
        <w:rPr>
          <w:rStyle w:val="Strong"/>
          <w:rFonts w:ascii="Arial" w:eastAsiaTheme="majorEastAsia" w:hAnsi="Arial" w:cs="Arial"/>
          <w:color w:val="000000" w:themeColor="text1"/>
          <w:sz w:val="22"/>
          <w:szCs w:val="22"/>
        </w:rPr>
        <w:t>Revel, AlphaMissense, MutationAssessor, SIFT, MutationTaster, FATHMM, DANN, MetaLR, and PrimateAI</w:t>
      </w:r>
      <w:r w:rsidRPr="42538A82">
        <w:rPr>
          <w:rFonts w:ascii="Arial" w:hAnsi="Arial" w:cs="Arial"/>
          <w:b/>
          <w:bCs/>
          <w:color w:val="000000" w:themeColor="text1"/>
          <w:sz w:val="22"/>
          <w:szCs w:val="22"/>
        </w:rPr>
        <w:t>.</w:t>
      </w:r>
      <w:r w:rsidRPr="42538A82">
        <w:rPr>
          <w:rFonts w:ascii="Arial" w:hAnsi="Arial" w:cs="Arial"/>
          <w:color w:val="000000" w:themeColor="text1"/>
          <w:sz w:val="22"/>
          <w:szCs w:val="22"/>
        </w:rPr>
        <w:t xml:space="preserve"> For the splice-site variant, splicing algorithms </w:t>
      </w:r>
      <w:r w:rsidRPr="42538A82">
        <w:rPr>
          <w:rStyle w:val="Strong"/>
          <w:rFonts w:ascii="Arial" w:eastAsiaTheme="majorEastAsia" w:hAnsi="Arial" w:cs="Arial"/>
          <w:color w:val="000000" w:themeColor="text1"/>
          <w:sz w:val="22"/>
          <w:szCs w:val="22"/>
        </w:rPr>
        <w:t>SpliceAI, dbscSNV Ada, and dbscSNV RF</w:t>
      </w:r>
      <w:r w:rsidRPr="42538A82">
        <w:rPr>
          <w:rFonts w:ascii="Arial" w:hAnsi="Arial" w:cs="Arial"/>
          <w:color w:val="000000" w:themeColor="text1"/>
          <w:sz w:val="22"/>
          <w:szCs w:val="22"/>
        </w:rPr>
        <w:t xml:space="preserve"> were applied. All scores were reported in their original scales and interpreted according to tool-specific guidelines. The MetaLR logistic regression ensemble score integrates ten predictors (SIFT, PolyPhen-2 HDIV, PolyPhen-2 HVAR, GERP++, MutationTaster, MutationAssessor, FATHMM, LRT, SiPhy, PhyloP) and 1000 Genomes allele frequencies.</w:t>
      </w:r>
    </w:p>
    <w:p w14:paraId="642CF0E3" w14:textId="77777777" w:rsidR="00C95600" w:rsidRDefault="00C95600" w:rsidP="00C95600">
      <w:pPr>
        <w:pStyle w:val="NormalWeb"/>
        <w:spacing w:before="0" w:beforeAutospacing="0" w:after="0" w:afterAutospacing="0"/>
        <w:rPr>
          <w:rFonts w:ascii="Arial" w:hAnsi="Arial" w:cs="Arial"/>
          <w:color w:val="000000" w:themeColor="text1"/>
          <w:sz w:val="22"/>
          <w:szCs w:val="22"/>
        </w:rPr>
      </w:pPr>
    </w:p>
    <w:p w14:paraId="2B22210A" w14:textId="77777777" w:rsidR="00C95600" w:rsidRDefault="00C95600" w:rsidP="00C95600">
      <w:pPr>
        <w:pStyle w:val="NormalWeb"/>
        <w:spacing w:before="0" w:beforeAutospacing="0" w:after="0" w:afterAutospacing="0"/>
        <w:rPr>
          <w:rFonts w:ascii="Arial" w:hAnsi="Arial" w:cs="Arial"/>
          <w:color w:val="000000" w:themeColor="text1"/>
          <w:sz w:val="22"/>
          <w:szCs w:val="22"/>
        </w:rPr>
      </w:pPr>
      <w:r w:rsidRPr="42538A82">
        <w:rPr>
          <w:rFonts w:ascii="Arial" w:hAnsi="Arial" w:cs="Arial"/>
          <w:b/>
          <w:bCs/>
          <w:color w:val="000000" w:themeColor="text1"/>
          <w:sz w:val="22"/>
          <w:szCs w:val="22"/>
        </w:rPr>
        <w:t>Table S1: Summary of all reported DAW1 variants and their associated phenotypes.</w:t>
      </w:r>
      <w:r>
        <w:br/>
      </w:r>
      <w:r w:rsidRPr="42538A82">
        <w:rPr>
          <w:rFonts w:ascii="Arial" w:hAnsi="Arial" w:cs="Arial"/>
          <w:color w:val="000000" w:themeColor="text1"/>
          <w:sz w:val="22"/>
          <w:szCs w:val="22"/>
        </w:rPr>
        <w:t xml:space="preserve">Previously reported families </w:t>
      </w:r>
      <w:r>
        <w:rPr>
          <w:rFonts w:ascii="Arial" w:hAnsi="Arial" w:cs="Arial"/>
          <w:color w:val="000000" w:themeColor="text1"/>
          <w:sz w:val="22"/>
          <w:szCs w:val="22"/>
        </w:rPr>
        <w:t xml:space="preserve">in </w:t>
      </w:r>
      <w:r w:rsidRPr="42538A82">
        <w:rPr>
          <w:rFonts w:ascii="Arial" w:hAnsi="Arial" w:cs="Arial"/>
          <w:color w:val="000000" w:themeColor="text1"/>
          <w:sz w:val="22"/>
          <w:szCs w:val="22"/>
        </w:rPr>
        <w:t>Leslie et al., 2022</w:t>
      </w:r>
      <w:r>
        <w:rPr>
          <w:rFonts w:ascii="Arial" w:hAnsi="Arial" w:cs="Arial"/>
          <w:color w:val="000000" w:themeColor="text1"/>
          <w:sz w:val="22"/>
          <w:szCs w:val="22"/>
        </w:rPr>
        <w:t xml:space="preserve"> and</w:t>
      </w:r>
      <w:r w:rsidRPr="42538A82">
        <w:rPr>
          <w:rFonts w:ascii="Arial" w:hAnsi="Arial" w:cs="Arial"/>
          <w:color w:val="000000" w:themeColor="text1"/>
          <w:sz w:val="22"/>
          <w:szCs w:val="22"/>
        </w:rPr>
        <w:t xml:space="preserve"> Jin et al., 2017 include individuals with homozygous and compound heterozygous variants, presenting with variable features of laterality defects, congenital heart disease (CHD), and respiratory issues. Functional assays in zebrafish distinguished complete loss-of-function alleles (e.g., p.(Asn143Asp), p.(Ser364Thr)) from hypomorphs (e.g., p.(Trp372Cys)). The proband in this study carried compound heterozygous variants (p.(Arg114Gln)/splice-site c.648+1G&gt;A) and exhibited HTX and complex CHD without respiratory disease.</w:t>
      </w:r>
      <w:r w:rsidRPr="42538A82">
        <w:rPr>
          <w:rFonts w:ascii="Arial" w:hAnsi="Arial" w:cs="Arial"/>
          <w:i/>
          <w:iCs/>
          <w:color w:val="000000" w:themeColor="text1"/>
          <w:sz w:val="22"/>
          <w:szCs w:val="22"/>
        </w:rPr>
        <w:t xml:space="preserve"> Xenopus tropicalis</w:t>
      </w:r>
      <w:r w:rsidRPr="42538A82">
        <w:rPr>
          <w:rFonts w:ascii="Arial" w:hAnsi="Arial" w:cs="Arial"/>
          <w:color w:val="000000" w:themeColor="text1"/>
          <w:sz w:val="22"/>
          <w:szCs w:val="22"/>
        </w:rPr>
        <w:t xml:space="preserve"> assays showed that p.(Arg114Gln) functions as a context-specific hypomorph affecting LRO cilia but not MCCs, while the splice-site variant indicates a complete loss-of-function. These results collectively expand the DAW1-related disease spectrum.</w:t>
      </w:r>
    </w:p>
    <w:p w14:paraId="575A37AD" w14:textId="77777777" w:rsidR="00C95600" w:rsidRDefault="00C95600" w:rsidP="00C95600">
      <w:pPr>
        <w:pStyle w:val="NormalWeb"/>
        <w:spacing w:before="0" w:beforeAutospacing="0" w:after="0" w:afterAutospacing="0"/>
        <w:rPr>
          <w:rFonts w:ascii="Arial" w:hAnsi="Arial" w:cs="Arial"/>
          <w:color w:val="000000" w:themeColor="text1"/>
          <w:sz w:val="22"/>
          <w:szCs w:val="22"/>
        </w:rPr>
      </w:pPr>
    </w:p>
    <w:tbl>
      <w:tblPr>
        <w:tblW w:w="0" w:type="auto"/>
        <w:tblLook w:val="04A0" w:firstRow="1" w:lastRow="0" w:firstColumn="1" w:lastColumn="0" w:noHBand="0" w:noVBand="1"/>
      </w:tblPr>
      <w:tblGrid>
        <w:gridCol w:w="718"/>
        <w:gridCol w:w="895"/>
        <w:gridCol w:w="1894"/>
        <w:gridCol w:w="2250"/>
        <w:gridCol w:w="1461"/>
        <w:gridCol w:w="1094"/>
        <w:gridCol w:w="1032"/>
      </w:tblGrid>
      <w:tr w:rsidR="00C95600" w14:paraId="375E26FC" w14:textId="77777777" w:rsidTr="00E34620">
        <w:trPr>
          <w:trHeight w:val="165"/>
        </w:trPr>
        <w:tc>
          <w:tcPr>
            <w:tcW w:w="75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B0B3B2"/>
            <w:tcMar>
              <w:top w:w="60" w:type="dxa"/>
              <w:left w:w="60" w:type="dxa"/>
              <w:bottom w:w="60" w:type="dxa"/>
              <w:right w:w="60" w:type="dxa"/>
            </w:tcMar>
          </w:tcPr>
          <w:p w14:paraId="3B16C6C8" w14:textId="77777777" w:rsidR="00C95600" w:rsidRDefault="00C95600" w:rsidP="00E34620">
            <w:pPr>
              <w:spacing w:after="0" w:line="240" w:lineRule="auto"/>
              <w:rPr>
                <w:rFonts w:ascii="Arial" w:eastAsia="Times New Roman" w:hAnsi="Arial" w:cs="Arial"/>
                <w:sz w:val="20"/>
                <w:szCs w:val="20"/>
              </w:rPr>
            </w:pPr>
            <w:r w:rsidRPr="42538A82">
              <w:rPr>
                <w:rFonts w:ascii="Arial" w:eastAsia="Times New Roman" w:hAnsi="Arial" w:cs="Arial"/>
                <w:b/>
                <w:bCs/>
                <w:color w:val="000000" w:themeColor="text1"/>
                <w:sz w:val="20"/>
                <w:szCs w:val="20"/>
              </w:rPr>
              <w:t>Family</w:t>
            </w:r>
          </w:p>
        </w:tc>
        <w:tc>
          <w:tcPr>
            <w:tcW w:w="943"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B0B3B2"/>
            <w:tcMar>
              <w:top w:w="60" w:type="dxa"/>
              <w:left w:w="60" w:type="dxa"/>
              <w:bottom w:w="60" w:type="dxa"/>
              <w:right w:w="60" w:type="dxa"/>
            </w:tcMar>
          </w:tcPr>
          <w:p w14:paraId="73D4C5D0" w14:textId="77777777" w:rsidR="00C95600" w:rsidRDefault="00C95600" w:rsidP="00E34620">
            <w:pPr>
              <w:spacing w:after="0" w:line="240" w:lineRule="auto"/>
              <w:rPr>
                <w:rFonts w:ascii="Arial" w:eastAsia="Times New Roman" w:hAnsi="Arial" w:cs="Arial"/>
                <w:sz w:val="20"/>
                <w:szCs w:val="20"/>
              </w:rPr>
            </w:pPr>
            <w:r w:rsidRPr="42538A82">
              <w:rPr>
                <w:rFonts w:ascii="Arial" w:eastAsia="Times New Roman" w:hAnsi="Arial" w:cs="Arial"/>
                <w:b/>
                <w:bCs/>
                <w:color w:val="000000" w:themeColor="text1"/>
                <w:sz w:val="20"/>
                <w:szCs w:val="20"/>
              </w:rPr>
              <w:t>Zygosity</w:t>
            </w:r>
          </w:p>
        </w:tc>
        <w:tc>
          <w:tcPr>
            <w:tcW w:w="2033"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B0B3B2"/>
            <w:tcMar>
              <w:top w:w="60" w:type="dxa"/>
              <w:left w:w="60" w:type="dxa"/>
              <w:bottom w:w="60" w:type="dxa"/>
              <w:right w:w="60" w:type="dxa"/>
            </w:tcMar>
          </w:tcPr>
          <w:p w14:paraId="44B5B0A0" w14:textId="77777777" w:rsidR="00C95600" w:rsidRDefault="00C95600" w:rsidP="00E34620">
            <w:pPr>
              <w:spacing w:after="0" w:line="240" w:lineRule="auto"/>
              <w:rPr>
                <w:rFonts w:ascii="Arial" w:eastAsia="Times New Roman" w:hAnsi="Arial" w:cs="Arial"/>
                <w:sz w:val="20"/>
                <w:szCs w:val="20"/>
              </w:rPr>
            </w:pPr>
            <w:r w:rsidRPr="42538A82">
              <w:rPr>
                <w:rFonts w:ascii="Arial" w:eastAsia="Times New Roman" w:hAnsi="Arial" w:cs="Arial"/>
                <w:b/>
                <w:bCs/>
                <w:color w:val="000000" w:themeColor="text1"/>
                <w:sz w:val="20"/>
                <w:szCs w:val="20"/>
              </w:rPr>
              <w:t>cDNA Change</w:t>
            </w:r>
          </w:p>
        </w:tc>
        <w:tc>
          <w:tcPr>
            <w:tcW w:w="2388"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B0B3B2"/>
            <w:tcMar>
              <w:top w:w="60" w:type="dxa"/>
              <w:left w:w="60" w:type="dxa"/>
              <w:bottom w:w="60" w:type="dxa"/>
              <w:right w:w="60" w:type="dxa"/>
            </w:tcMar>
          </w:tcPr>
          <w:p w14:paraId="0945D1E8" w14:textId="77777777" w:rsidR="00C95600" w:rsidRDefault="00C95600" w:rsidP="00E34620">
            <w:pPr>
              <w:spacing w:after="0" w:line="240" w:lineRule="auto"/>
              <w:rPr>
                <w:rFonts w:ascii="Arial" w:eastAsia="Times New Roman" w:hAnsi="Arial" w:cs="Arial"/>
                <w:sz w:val="20"/>
                <w:szCs w:val="20"/>
              </w:rPr>
            </w:pPr>
            <w:r w:rsidRPr="42538A82">
              <w:rPr>
                <w:rFonts w:ascii="Arial" w:eastAsia="Times New Roman" w:hAnsi="Arial" w:cs="Arial"/>
                <w:b/>
                <w:bCs/>
                <w:color w:val="000000" w:themeColor="text1"/>
                <w:sz w:val="20"/>
                <w:szCs w:val="20"/>
              </w:rPr>
              <w:t>Protein Change</w:t>
            </w:r>
          </w:p>
        </w:tc>
        <w:tc>
          <w:tcPr>
            <w:tcW w:w="1952"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B0B3B2"/>
            <w:tcMar>
              <w:top w:w="60" w:type="dxa"/>
              <w:left w:w="60" w:type="dxa"/>
              <w:bottom w:w="60" w:type="dxa"/>
              <w:right w:w="60" w:type="dxa"/>
            </w:tcMar>
          </w:tcPr>
          <w:p w14:paraId="56925459" w14:textId="77777777" w:rsidR="00C95600" w:rsidRDefault="00C95600" w:rsidP="00E34620">
            <w:pPr>
              <w:spacing w:after="0" w:line="240" w:lineRule="auto"/>
              <w:rPr>
                <w:rFonts w:ascii="Arial" w:eastAsia="Times New Roman" w:hAnsi="Arial" w:cs="Arial"/>
                <w:sz w:val="20"/>
                <w:szCs w:val="20"/>
              </w:rPr>
            </w:pPr>
            <w:r w:rsidRPr="42538A82">
              <w:rPr>
                <w:rFonts w:ascii="Arial" w:eastAsia="Times New Roman" w:hAnsi="Arial" w:cs="Arial"/>
                <w:b/>
                <w:bCs/>
                <w:color w:val="000000" w:themeColor="text1"/>
                <w:sz w:val="20"/>
                <w:szCs w:val="20"/>
              </w:rPr>
              <w:t>Phenotype</w:t>
            </w:r>
          </w:p>
        </w:tc>
        <w:tc>
          <w:tcPr>
            <w:tcW w:w="1617"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B0B3B2"/>
            <w:tcMar>
              <w:top w:w="60" w:type="dxa"/>
              <w:left w:w="60" w:type="dxa"/>
              <w:bottom w:w="60" w:type="dxa"/>
              <w:right w:w="60" w:type="dxa"/>
            </w:tcMar>
          </w:tcPr>
          <w:p w14:paraId="46BAB478" w14:textId="77777777" w:rsidR="00C95600" w:rsidRDefault="00C95600" w:rsidP="00E34620">
            <w:pPr>
              <w:spacing w:after="0" w:line="240" w:lineRule="auto"/>
              <w:rPr>
                <w:rFonts w:ascii="Arial" w:eastAsia="Times New Roman" w:hAnsi="Arial" w:cs="Arial"/>
                <w:sz w:val="20"/>
                <w:szCs w:val="20"/>
              </w:rPr>
            </w:pPr>
            <w:r w:rsidRPr="42538A82">
              <w:rPr>
                <w:rFonts w:ascii="Arial" w:eastAsia="Times New Roman" w:hAnsi="Arial" w:cs="Arial"/>
                <w:b/>
                <w:bCs/>
                <w:color w:val="000000" w:themeColor="text1"/>
                <w:sz w:val="20"/>
                <w:szCs w:val="20"/>
              </w:rPr>
              <w:t>Functional Evidence</w:t>
            </w:r>
          </w:p>
        </w:tc>
        <w:tc>
          <w:tcPr>
            <w:tcW w:w="1096"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B0B3B2"/>
            <w:tcMar>
              <w:top w:w="60" w:type="dxa"/>
              <w:left w:w="60" w:type="dxa"/>
              <w:bottom w:w="60" w:type="dxa"/>
              <w:right w:w="60" w:type="dxa"/>
            </w:tcMar>
          </w:tcPr>
          <w:p w14:paraId="03AA4D25" w14:textId="77777777" w:rsidR="00C95600" w:rsidRDefault="00C95600" w:rsidP="00E34620">
            <w:pPr>
              <w:spacing w:after="0" w:line="240" w:lineRule="auto"/>
              <w:rPr>
                <w:rFonts w:ascii="Arial" w:eastAsia="Times New Roman" w:hAnsi="Arial" w:cs="Arial"/>
                <w:sz w:val="20"/>
                <w:szCs w:val="20"/>
              </w:rPr>
            </w:pPr>
            <w:r w:rsidRPr="42538A82">
              <w:rPr>
                <w:rFonts w:ascii="Arial" w:eastAsia="Times New Roman" w:hAnsi="Arial" w:cs="Arial"/>
                <w:b/>
                <w:bCs/>
                <w:color w:val="000000" w:themeColor="text1"/>
                <w:sz w:val="20"/>
                <w:szCs w:val="20"/>
              </w:rPr>
              <w:t>Reference</w:t>
            </w:r>
          </w:p>
        </w:tc>
      </w:tr>
      <w:tr w:rsidR="00C95600" w14:paraId="232A58E9" w14:textId="77777777" w:rsidTr="00E34620">
        <w:trPr>
          <w:trHeight w:val="180"/>
        </w:trPr>
        <w:tc>
          <w:tcPr>
            <w:tcW w:w="75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4D4D4"/>
            <w:tcMar>
              <w:top w:w="60" w:type="dxa"/>
              <w:left w:w="60" w:type="dxa"/>
              <w:bottom w:w="60" w:type="dxa"/>
              <w:right w:w="60" w:type="dxa"/>
            </w:tcMar>
          </w:tcPr>
          <w:p w14:paraId="320A6146" w14:textId="77777777" w:rsidR="00C95600" w:rsidRDefault="00C95600" w:rsidP="00E34620">
            <w:pPr>
              <w:spacing w:after="0" w:line="240" w:lineRule="auto"/>
              <w:rPr>
                <w:rFonts w:ascii="Arial" w:eastAsia="Times New Roman" w:hAnsi="Arial" w:cs="Arial"/>
                <w:sz w:val="20"/>
                <w:szCs w:val="20"/>
              </w:rPr>
            </w:pPr>
            <w:r w:rsidRPr="42538A82">
              <w:rPr>
                <w:rFonts w:ascii="Arial" w:eastAsia="Times New Roman" w:hAnsi="Arial" w:cs="Arial"/>
                <w:b/>
                <w:bCs/>
                <w:color w:val="000000" w:themeColor="text1"/>
                <w:sz w:val="20"/>
                <w:szCs w:val="20"/>
              </w:rPr>
              <w:t>1</w:t>
            </w:r>
          </w:p>
        </w:tc>
        <w:tc>
          <w:tcPr>
            <w:tcW w:w="943"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tcPr>
          <w:p w14:paraId="53427818" w14:textId="77777777" w:rsidR="00C95600" w:rsidRDefault="00C95600" w:rsidP="00E34620">
            <w:pPr>
              <w:spacing w:after="0" w:line="240" w:lineRule="auto"/>
              <w:rPr>
                <w:rFonts w:ascii="Arial" w:eastAsia="Times New Roman" w:hAnsi="Arial" w:cs="Arial"/>
                <w:sz w:val="20"/>
                <w:szCs w:val="20"/>
              </w:rPr>
            </w:pPr>
            <w:r w:rsidRPr="42538A82">
              <w:rPr>
                <w:rFonts w:ascii="Arial" w:eastAsia="Times New Roman" w:hAnsi="Arial" w:cs="Arial"/>
                <w:color w:val="000000" w:themeColor="text1"/>
                <w:sz w:val="20"/>
                <w:szCs w:val="20"/>
              </w:rPr>
              <w:t>Hom</w:t>
            </w:r>
          </w:p>
        </w:tc>
        <w:tc>
          <w:tcPr>
            <w:tcW w:w="2033"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tcPr>
          <w:p w14:paraId="38061D5E" w14:textId="77777777" w:rsidR="00C95600" w:rsidRDefault="00C95600" w:rsidP="00E34620">
            <w:pPr>
              <w:spacing w:after="0" w:line="240" w:lineRule="auto"/>
              <w:rPr>
                <w:rFonts w:ascii="Arial" w:eastAsia="Times New Roman" w:hAnsi="Arial" w:cs="Arial"/>
                <w:sz w:val="20"/>
                <w:szCs w:val="20"/>
              </w:rPr>
            </w:pPr>
            <w:r w:rsidRPr="42538A82">
              <w:rPr>
                <w:rFonts w:ascii="Arial" w:eastAsia="Times New Roman" w:hAnsi="Arial" w:cs="Arial"/>
                <w:color w:val="000000" w:themeColor="text1"/>
                <w:sz w:val="20"/>
                <w:szCs w:val="20"/>
              </w:rPr>
              <w:t>c.427A&gt;G</w:t>
            </w:r>
          </w:p>
        </w:tc>
        <w:tc>
          <w:tcPr>
            <w:tcW w:w="2388"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tcPr>
          <w:p w14:paraId="5DA16129" w14:textId="77777777" w:rsidR="00C95600" w:rsidRDefault="00C95600" w:rsidP="00E34620">
            <w:pPr>
              <w:spacing w:after="0" w:line="240" w:lineRule="auto"/>
              <w:rPr>
                <w:rFonts w:ascii="Arial" w:eastAsia="Times New Roman" w:hAnsi="Arial" w:cs="Arial"/>
                <w:sz w:val="20"/>
                <w:szCs w:val="20"/>
              </w:rPr>
            </w:pPr>
            <w:r w:rsidRPr="42538A82">
              <w:rPr>
                <w:rFonts w:ascii="Arial" w:eastAsia="Times New Roman" w:hAnsi="Arial" w:cs="Arial"/>
                <w:color w:val="000000" w:themeColor="text1"/>
                <w:sz w:val="20"/>
                <w:szCs w:val="20"/>
              </w:rPr>
              <w:t>p.(Asn143Asp)</w:t>
            </w:r>
          </w:p>
        </w:tc>
        <w:tc>
          <w:tcPr>
            <w:tcW w:w="1952"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tcPr>
          <w:p w14:paraId="13193CB6" w14:textId="77777777" w:rsidR="00C95600" w:rsidRDefault="00C95600" w:rsidP="00E34620">
            <w:pPr>
              <w:spacing w:after="0" w:line="240" w:lineRule="auto"/>
              <w:rPr>
                <w:rFonts w:ascii="Arial" w:eastAsia="Times New Roman" w:hAnsi="Arial" w:cs="Arial"/>
                <w:sz w:val="20"/>
                <w:szCs w:val="20"/>
              </w:rPr>
            </w:pPr>
            <w:r w:rsidRPr="42538A82">
              <w:rPr>
                <w:rFonts w:ascii="Arial" w:eastAsia="Times New Roman" w:hAnsi="Arial" w:cs="Arial"/>
                <w:color w:val="000000" w:themeColor="text1"/>
                <w:sz w:val="20"/>
                <w:szCs w:val="20"/>
              </w:rPr>
              <w:t>Situs inversus (2 patients, no respiratory); 1 patient respiratory only</w:t>
            </w:r>
          </w:p>
        </w:tc>
        <w:tc>
          <w:tcPr>
            <w:tcW w:w="1617"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tcPr>
          <w:p w14:paraId="4A3ACB4A" w14:textId="77777777" w:rsidR="00C95600" w:rsidRDefault="00C95600" w:rsidP="00E34620">
            <w:pPr>
              <w:spacing w:after="0" w:line="240" w:lineRule="auto"/>
              <w:rPr>
                <w:rFonts w:ascii="Arial" w:eastAsia="Times New Roman" w:hAnsi="Arial" w:cs="Arial"/>
                <w:sz w:val="20"/>
                <w:szCs w:val="20"/>
              </w:rPr>
            </w:pPr>
            <w:r w:rsidRPr="42538A82">
              <w:rPr>
                <w:rFonts w:ascii="Arial" w:eastAsia="Times New Roman" w:hAnsi="Arial" w:cs="Arial"/>
                <w:color w:val="000000" w:themeColor="text1"/>
                <w:sz w:val="20"/>
                <w:szCs w:val="20"/>
              </w:rPr>
              <w:t>Zebrafish LOF (no rescue of cardiac looping or KV motility)</w:t>
            </w:r>
          </w:p>
        </w:tc>
        <w:tc>
          <w:tcPr>
            <w:tcW w:w="1096"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tcPr>
          <w:p w14:paraId="4C95A010" w14:textId="77777777" w:rsidR="00C95600" w:rsidRDefault="00C95600" w:rsidP="00E34620">
            <w:pPr>
              <w:spacing w:after="0" w:line="240" w:lineRule="auto"/>
              <w:rPr>
                <w:rFonts w:ascii="Arial" w:eastAsia="Times New Roman" w:hAnsi="Arial" w:cs="Arial"/>
                <w:sz w:val="20"/>
                <w:szCs w:val="20"/>
              </w:rPr>
            </w:pPr>
            <w:r w:rsidRPr="42538A82">
              <w:rPr>
                <w:rFonts w:ascii="Arial" w:eastAsia="Times New Roman" w:hAnsi="Arial" w:cs="Arial"/>
                <w:color w:val="000000" w:themeColor="text1"/>
                <w:sz w:val="20"/>
                <w:szCs w:val="20"/>
              </w:rPr>
              <w:t>Leslie et al., 2022</w:t>
            </w:r>
          </w:p>
        </w:tc>
      </w:tr>
      <w:tr w:rsidR="00C95600" w14:paraId="35CC1906" w14:textId="77777777" w:rsidTr="00E34620">
        <w:trPr>
          <w:trHeight w:val="165"/>
        </w:trPr>
        <w:tc>
          <w:tcPr>
            <w:tcW w:w="75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4D4D4"/>
            <w:tcMar>
              <w:top w:w="60" w:type="dxa"/>
              <w:left w:w="60" w:type="dxa"/>
              <w:bottom w:w="60" w:type="dxa"/>
              <w:right w:w="60" w:type="dxa"/>
            </w:tcMar>
          </w:tcPr>
          <w:p w14:paraId="2AA1A6FB" w14:textId="77777777" w:rsidR="00C95600" w:rsidRDefault="00C95600" w:rsidP="00E34620">
            <w:pPr>
              <w:spacing w:after="0" w:line="240" w:lineRule="auto"/>
              <w:rPr>
                <w:rFonts w:ascii="Arial" w:eastAsia="Times New Roman" w:hAnsi="Arial" w:cs="Arial"/>
                <w:sz w:val="20"/>
                <w:szCs w:val="20"/>
              </w:rPr>
            </w:pPr>
            <w:r w:rsidRPr="42538A82">
              <w:rPr>
                <w:rFonts w:ascii="Arial" w:eastAsia="Times New Roman" w:hAnsi="Arial" w:cs="Arial"/>
                <w:b/>
                <w:bCs/>
                <w:color w:val="000000" w:themeColor="text1"/>
                <w:sz w:val="20"/>
                <w:szCs w:val="20"/>
              </w:rPr>
              <w:t>2</w:t>
            </w:r>
          </w:p>
        </w:tc>
        <w:tc>
          <w:tcPr>
            <w:tcW w:w="943"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tcPr>
          <w:p w14:paraId="168FB7D7" w14:textId="77777777" w:rsidR="00C95600" w:rsidRDefault="00C95600" w:rsidP="00E34620">
            <w:pPr>
              <w:spacing w:after="0" w:line="240" w:lineRule="auto"/>
              <w:rPr>
                <w:rFonts w:ascii="Arial" w:eastAsia="Times New Roman" w:hAnsi="Arial" w:cs="Arial"/>
                <w:sz w:val="20"/>
                <w:szCs w:val="20"/>
              </w:rPr>
            </w:pPr>
            <w:r w:rsidRPr="42538A82">
              <w:rPr>
                <w:rFonts w:ascii="Arial" w:eastAsia="Times New Roman" w:hAnsi="Arial" w:cs="Arial"/>
                <w:color w:val="000000" w:themeColor="text1"/>
                <w:sz w:val="20"/>
                <w:szCs w:val="20"/>
              </w:rPr>
              <w:t>Hom</w:t>
            </w:r>
          </w:p>
        </w:tc>
        <w:tc>
          <w:tcPr>
            <w:tcW w:w="2033"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tcPr>
          <w:p w14:paraId="228C5F9D" w14:textId="77777777" w:rsidR="00C95600" w:rsidRDefault="00C95600" w:rsidP="00E34620">
            <w:pPr>
              <w:spacing w:after="0" w:line="240" w:lineRule="auto"/>
              <w:rPr>
                <w:rFonts w:ascii="Arial" w:eastAsia="Times New Roman" w:hAnsi="Arial" w:cs="Arial"/>
                <w:sz w:val="20"/>
                <w:szCs w:val="20"/>
              </w:rPr>
            </w:pPr>
            <w:r w:rsidRPr="42538A82">
              <w:rPr>
                <w:rFonts w:ascii="Arial" w:eastAsia="Times New Roman" w:hAnsi="Arial" w:cs="Arial"/>
                <w:color w:val="000000" w:themeColor="text1"/>
                <w:sz w:val="20"/>
                <w:szCs w:val="20"/>
              </w:rPr>
              <w:t>c.356G&gt;A</w:t>
            </w:r>
          </w:p>
        </w:tc>
        <w:tc>
          <w:tcPr>
            <w:tcW w:w="2388"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tcPr>
          <w:p w14:paraId="7E3CDFD3" w14:textId="77777777" w:rsidR="00C95600" w:rsidRDefault="00C95600" w:rsidP="00E34620">
            <w:pPr>
              <w:spacing w:after="0" w:line="240" w:lineRule="auto"/>
              <w:rPr>
                <w:rFonts w:ascii="Arial" w:eastAsia="Times New Roman" w:hAnsi="Arial" w:cs="Arial"/>
                <w:sz w:val="20"/>
                <w:szCs w:val="20"/>
              </w:rPr>
            </w:pPr>
            <w:r w:rsidRPr="42538A82">
              <w:rPr>
                <w:rFonts w:ascii="Arial" w:eastAsia="Times New Roman" w:hAnsi="Arial" w:cs="Arial"/>
                <w:color w:val="000000" w:themeColor="text1"/>
                <w:sz w:val="20"/>
                <w:szCs w:val="20"/>
              </w:rPr>
              <w:t>p.(Trp119*)</w:t>
            </w:r>
          </w:p>
        </w:tc>
        <w:tc>
          <w:tcPr>
            <w:tcW w:w="1952"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tcPr>
          <w:p w14:paraId="0063A109" w14:textId="77777777" w:rsidR="00C95600" w:rsidRDefault="00C95600" w:rsidP="00E34620">
            <w:pPr>
              <w:spacing w:after="0" w:line="240" w:lineRule="auto"/>
              <w:rPr>
                <w:rFonts w:ascii="Arial" w:eastAsia="Times New Roman" w:hAnsi="Arial" w:cs="Arial"/>
                <w:sz w:val="20"/>
                <w:szCs w:val="20"/>
              </w:rPr>
            </w:pPr>
            <w:r w:rsidRPr="42538A82">
              <w:rPr>
                <w:rFonts w:ascii="Arial" w:eastAsia="Times New Roman" w:hAnsi="Arial" w:cs="Arial"/>
                <w:color w:val="000000" w:themeColor="text1"/>
                <w:sz w:val="20"/>
                <w:szCs w:val="20"/>
              </w:rPr>
              <w:t>Complex CHD, situs ambiguous, transverse liver, right-sided spleen; no respiratory</w:t>
            </w:r>
          </w:p>
        </w:tc>
        <w:tc>
          <w:tcPr>
            <w:tcW w:w="1617"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tcPr>
          <w:p w14:paraId="092581A8" w14:textId="77777777" w:rsidR="00C95600" w:rsidRDefault="00C95600" w:rsidP="00E34620">
            <w:pPr>
              <w:spacing w:after="0" w:line="240" w:lineRule="auto"/>
              <w:rPr>
                <w:rFonts w:ascii="Arial" w:eastAsia="Times New Roman" w:hAnsi="Arial" w:cs="Arial"/>
                <w:sz w:val="20"/>
                <w:szCs w:val="20"/>
              </w:rPr>
            </w:pPr>
            <w:r w:rsidRPr="42538A82">
              <w:rPr>
                <w:rFonts w:ascii="Arial" w:eastAsia="Times New Roman" w:hAnsi="Arial" w:cs="Arial"/>
                <w:color w:val="000000" w:themeColor="text1"/>
                <w:sz w:val="20"/>
                <w:szCs w:val="20"/>
              </w:rPr>
              <w:t>Predicted LOF nonsense allele</w:t>
            </w:r>
          </w:p>
        </w:tc>
        <w:tc>
          <w:tcPr>
            <w:tcW w:w="1096"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tcPr>
          <w:p w14:paraId="7EEBC406" w14:textId="77777777" w:rsidR="00C95600" w:rsidRDefault="00C95600" w:rsidP="00E34620">
            <w:pPr>
              <w:spacing w:after="0" w:line="240" w:lineRule="auto"/>
              <w:rPr>
                <w:rFonts w:ascii="Arial" w:eastAsia="Times New Roman" w:hAnsi="Arial" w:cs="Arial"/>
                <w:sz w:val="20"/>
                <w:szCs w:val="20"/>
              </w:rPr>
            </w:pPr>
            <w:r w:rsidRPr="42538A82">
              <w:rPr>
                <w:rFonts w:ascii="Arial" w:eastAsia="Times New Roman" w:hAnsi="Arial" w:cs="Arial"/>
                <w:color w:val="000000" w:themeColor="text1"/>
                <w:sz w:val="20"/>
                <w:szCs w:val="20"/>
              </w:rPr>
              <w:t>Leslie et al., 2022</w:t>
            </w:r>
          </w:p>
        </w:tc>
      </w:tr>
      <w:tr w:rsidR="00C95600" w14:paraId="09122A0E" w14:textId="77777777" w:rsidTr="00E34620">
        <w:trPr>
          <w:trHeight w:val="165"/>
        </w:trPr>
        <w:tc>
          <w:tcPr>
            <w:tcW w:w="75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4D4D4"/>
            <w:tcMar>
              <w:top w:w="60" w:type="dxa"/>
              <w:left w:w="60" w:type="dxa"/>
              <w:bottom w:w="60" w:type="dxa"/>
              <w:right w:w="60" w:type="dxa"/>
            </w:tcMar>
          </w:tcPr>
          <w:p w14:paraId="71E8D9A9" w14:textId="77777777" w:rsidR="00C95600" w:rsidRDefault="00C95600" w:rsidP="00E34620">
            <w:pPr>
              <w:spacing w:after="0" w:line="240" w:lineRule="auto"/>
              <w:rPr>
                <w:rFonts w:ascii="Arial" w:eastAsia="Times New Roman" w:hAnsi="Arial" w:cs="Arial"/>
                <w:sz w:val="20"/>
                <w:szCs w:val="20"/>
              </w:rPr>
            </w:pPr>
            <w:r w:rsidRPr="42538A82">
              <w:rPr>
                <w:rFonts w:ascii="Arial" w:eastAsia="Times New Roman" w:hAnsi="Arial" w:cs="Arial"/>
                <w:b/>
                <w:bCs/>
                <w:color w:val="000000" w:themeColor="text1"/>
                <w:sz w:val="20"/>
                <w:szCs w:val="20"/>
              </w:rPr>
              <w:t>3</w:t>
            </w:r>
          </w:p>
        </w:tc>
        <w:tc>
          <w:tcPr>
            <w:tcW w:w="943"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tcPr>
          <w:p w14:paraId="0CF32A79" w14:textId="77777777" w:rsidR="00C95600" w:rsidRDefault="00C95600" w:rsidP="00E34620">
            <w:pPr>
              <w:spacing w:after="0" w:line="240" w:lineRule="auto"/>
              <w:rPr>
                <w:rFonts w:ascii="Arial" w:eastAsia="Times New Roman" w:hAnsi="Arial" w:cs="Arial"/>
                <w:sz w:val="20"/>
                <w:szCs w:val="20"/>
              </w:rPr>
            </w:pPr>
            <w:r w:rsidRPr="42538A82">
              <w:rPr>
                <w:rFonts w:ascii="Arial" w:eastAsia="Times New Roman" w:hAnsi="Arial" w:cs="Arial"/>
                <w:color w:val="000000" w:themeColor="text1"/>
                <w:sz w:val="20"/>
                <w:szCs w:val="20"/>
              </w:rPr>
              <w:t>Hom</w:t>
            </w:r>
          </w:p>
        </w:tc>
        <w:tc>
          <w:tcPr>
            <w:tcW w:w="2033"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tcPr>
          <w:p w14:paraId="67B12405" w14:textId="77777777" w:rsidR="00C95600" w:rsidRDefault="00C95600" w:rsidP="00E34620">
            <w:pPr>
              <w:spacing w:after="0" w:line="240" w:lineRule="auto"/>
              <w:rPr>
                <w:rFonts w:ascii="Arial" w:eastAsia="Times New Roman" w:hAnsi="Arial" w:cs="Arial"/>
                <w:sz w:val="20"/>
                <w:szCs w:val="20"/>
              </w:rPr>
            </w:pPr>
            <w:r w:rsidRPr="42538A82">
              <w:rPr>
                <w:rFonts w:ascii="Arial" w:eastAsia="Times New Roman" w:hAnsi="Arial" w:cs="Arial"/>
                <w:color w:val="000000" w:themeColor="text1"/>
                <w:sz w:val="20"/>
                <w:szCs w:val="20"/>
              </w:rPr>
              <w:t>c.1091G&gt;C</w:t>
            </w:r>
          </w:p>
        </w:tc>
        <w:tc>
          <w:tcPr>
            <w:tcW w:w="2388"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tcPr>
          <w:p w14:paraId="11BFB946" w14:textId="77777777" w:rsidR="00C95600" w:rsidRDefault="00C95600" w:rsidP="00E34620">
            <w:pPr>
              <w:spacing w:after="0" w:line="240" w:lineRule="auto"/>
              <w:rPr>
                <w:rFonts w:ascii="Arial" w:eastAsia="Times New Roman" w:hAnsi="Arial" w:cs="Arial"/>
                <w:sz w:val="20"/>
                <w:szCs w:val="20"/>
              </w:rPr>
            </w:pPr>
            <w:r w:rsidRPr="42538A82">
              <w:rPr>
                <w:rFonts w:ascii="Arial" w:eastAsia="Times New Roman" w:hAnsi="Arial" w:cs="Arial"/>
                <w:color w:val="000000" w:themeColor="text1"/>
                <w:sz w:val="20"/>
                <w:szCs w:val="20"/>
              </w:rPr>
              <w:t>p.(Ser364Thr)</w:t>
            </w:r>
          </w:p>
        </w:tc>
        <w:tc>
          <w:tcPr>
            <w:tcW w:w="1952"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tcPr>
          <w:p w14:paraId="033363A9" w14:textId="77777777" w:rsidR="00C95600" w:rsidRDefault="00C95600" w:rsidP="00E34620">
            <w:pPr>
              <w:spacing w:after="0" w:line="240" w:lineRule="auto"/>
              <w:rPr>
                <w:rFonts w:ascii="Arial" w:eastAsia="Times New Roman" w:hAnsi="Arial" w:cs="Arial"/>
                <w:sz w:val="20"/>
                <w:szCs w:val="20"/>
              </w:rPr>
            </w:pPr>
            <w:r w:rsidRPr="42538A82">
              <w:rPr>
                <w:rFonts w:ascii="Arial" w:eastAsia="Times New Roman" w:hAnsi="Arial" w:cs="Arial"/>
                <w:color w:val="000000" w:themeColor="text1"/>
                <w:sz w:val="20"/>
                <w:szCs w:val="20"/>
              </w:rPr>
              <w:t>Complex CHD resembling HTX; respiratory unknown</w:t>
            </w:r>
          </w:p>
        </w:tc>
        <w:tc>
          <w:tcPr>
            <w:tcW w:w="1617"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tcPr>
          <w:p w14:paraId="65830AD5" w14:textId="77777777" w:rsidR="00C95600" w:rsidRDefault="00C95600" w:rsidP="00E34620">
            <w:pPr>
              <w:spacing w:after="0" w:line="240" w:lineRule="auto"/>
              <w:rPr>
                <w:rFonts w:ascii="Arial" w:eastAsia="Times New Roman" w:hAnsi="Arial" w:cs="Arial"/>
                <w:sz w:val="20"/>
                <w:szCs w:val="20"/>
              </w:rPr>
            </w:pPr>
            <w:r w:rsidRPr="42538A82">
              <w:rPr>
                <w:rFonts w:ascii="Arial" w:eastAsia="Times New Roman" w:hAnsi="Arial" w:cs="Arial"/>
                <w:color w:val="000000" w:themeColor="text1"/>
                <w:sz w:val="20"/>
                <w:szCs w:val="20"/>
              </w:rPr>
              <w:t>Zebrafish LOF (no rescue of cardiac looping or KV motility)</w:t>
            </w:r>
          </w:p>
        </w:tc>
        <w:tc>
          <w:tcPr>
            <w:tcW w:w="1096"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tcPr>
          <w:p w14:paraId="6F436F4F" w14:textId="77777777" w:rsidR="00C95600" w:rsidRDefault="00C95600" w:rsidP="00E34620">
            <w:pPr>
              <w:spacing w:after="0" w:line="240" w:lineRule="auto"/>
              <w:rPr>
                <w:rFonts w:ascii="Arial" w:eastAsia="Times New Roman" w:hAnsi="Arial" w:cs="Arial"/>
                <w:sz w:val="20"/>
                <w:szCs w:val="20"/>
              </w:rPr>
            </w:pPr>
            <w:r w:rsidRPr="42538A82">
              <w:rPr>
                <w:rFonts w:ascii="Arial" w:eastAsia="Times New Roman" w:hAnsi="Arial" w:cs="Arial"/>
                <w:color w:val="000000" w:themeColor="text1"/>
                <w:sz w:val="20"/>
                <w:szCs w:val="20"/>
              </w:rPr>
              <w:t>Leslie et al., 2022, Jin et al., 2017</w:t>
            </w:r>
          </w:p>
        </w:tc>
      </w:tr>
      <w:tr w:rsidR="00C95600" w14:paraId="706DD26C" w14:textId="77777777" w:rsidTr="00E34620">
        <w:trPr>
          <w:trHeight w:val="165"/>
        </w:trPr>
        <w:tc>
          <w:tcPr>
            <w:tcW w:w="75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4D4D4"/>
            <w:tcMar>
              <w:top w:w="60" w:type="dxa"/>
              <w:left w:w="60" w:type="dxa"/>
              <w:bottom w:w="60" w:type="dxa"/>
              <w:right w:w="60" w:type="dxa"/>
            </w:tcMar>
          </w:tcPr>
          <w:p w14:paraId="18E41469" w14:textId="77777777" w:rsidR="00C95600" w:rsidRDefault="00C95600" w:rsidP="00E34620">
            <w:pPr>
              <w:spacing w:after="0" w:line="240" w:lineRule="auto"/>
              <w:rPr>
                <w:rFonts w:ascii="Arial" w:eastAsia="Times New Roman" w:hAnsi="Arial" w:cs="Arial"/>
                <w:sz w:val="20"/>
                <w:szCs w:val="20"/>
              </w:rPr>
            </w:pPr>
            <w:r w:rsidRPr="42538A82">
              <w:rPr>
                <w:rFonts w:ascii="Arial" w:eastAsia="Times New Roman" w:hAnsi="Arial" w:cs="Arial"/>
                <w:b/>
                <w:bCs/>
                <w:color w:val="000000" w:themeColor="text1"/>
                <w:sz w:val="20"/>
                <w:szCs w:val="20"/>
              </w:rPr>
              <w:t>4</w:t>
            </w:r>
          </w:p>
        </w:tc>
        <w:tc>
          <w:tcPr>
            <w:tcW w:w="943"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tcPr>
          <w:p w14:paraId="00EFB1E7" w14:textId="77777777" w:rsidR="00C95600" w:rsidRDefault="00C95600" w:rsidP="00E34620">
            <w:pPr>
              <w:spacing w:after="0" w:line="240" w:lineRule="auto"/>
              <w:rPr>
                <w:rFonts w:ascii="Arial" w:eastAsia="Times New Roman" w:hAnsi="Arial" w:cs="Arial"/>
                <w:sz w:val="20"/>
                <w:szCs w:val="20"/>
              </w:rPr>
            </w:pPr>
            <w:r w:rsidRPr="42538A82">
              <w:rPr>
                <w:rFonts w:ascii="Arial" w:eastAsia="Times New Roman" w:hAnsi="Arial" w:cs="Arial"/>
                <w:color w:val="000000" w:themeColor="text1"/>
                <w:sz w:val="20"/>
                <w:szCs w:val="20"/>
              </w:rPr>
              <w:t>Cmp Het</w:t>
            </w:r>
          </w:p>
        </w:tc>
        <w:tc>
          <w:tcPr>
            <w:tcW w:w="2033"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tcPr>
          <w:p w14:paraId="06888F69" w14:textId="77777777" w:rsidR="00C95600" w:rsidRDefault="00C95600" w:rsidP="00E34620">
            <w:pPr>
              <w:spacing w:after="0" w:line="240" w:lineRule="auto"/>
              <w:rPr>
                <w:rFonts w:ascii="Arial" w:eastAsia="Times New Roman" w:hAnsi="Arial" w:cs="Arial"/>
                <w:sz w:val="20"/>
                <w:szCs w:val="20"/>
              </w:rPr>
            </w:pPr>
            <w:r w:rsidRPr="42538A82">
              <w:rPr>
                <w:rFonts w:ascii="Arial" w:eastAsia="Times New Roman" w:hAnsi="Arial" w:cs="Arial"/>
                <w:color w:val="000000" w:themeColor="text1"/>
                <w:sz w:val="20"/>
                <w:szCs w:val="20"/>
              </w:rPr>
              <w:t>c.197T&gt;A/c.1116G&gt;T</w:t>
            </w:r>
          </w:p>
        </w:tc>
        <w:tc>
          <w:tcPr>
            <w:tcW w:w="2388"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tcPr>
          <w:p w14:paraId="3FF2743B" w14:textId="77777777" w:rsidR="00C95600" w:rsidRDefault="00C95600" w:rsidP="00E34620">
            <w:pPr>
              <w:spacing w:after="0" w:line="240" w:lineRule="auto"/>
              <w:rPr>
                <w:rFonts w:ascii="Arial" w:eastAsia="Times New Roman" w:hAnsi="Arial" w:cs="Arial"/>
                <w:sz w:val="20"/>
                <w:szCs w:val="20"/>
              </w:rPr>
            </w:pPr>
            <w:r w:rsidRPr="42538A82">
              <w:rPr>
                <w:rFonts w:ascii="Arial" w:eastAsia="Times New Roman" w:hAnsi="Arial" w:cs="Arial"/>
                <w:color w:val="000000" w:themeColor="text1"/>
                <w:sz w:val="20"/>
                <w:szCs w:val="20"/>
              </w:rPr>
              <w:t>p.(Leu66*)/p.(Trp372Cys)</w:t>
            </w:r>
          </w:p>
        </w:tc>
        <w:tc>
          <w:tcPr>
            <w:tcW w:w="1952"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tcPr>
          <w:p w14:paraId="5361CC8A" w14:textId="77777777" w:rsidR="00C95600" w:rsidRDefault="00C95600" w:rsidP="00E34620">
            <w:pPr>
              <w:spacing w:after="0" w:line="240" w:lineRule="auto"/>
              <w:rPr>
                <w:rFonts w:ascii="Arial" w:eastAsia="Times New Roman" w:hAnsi="Arial" w:cs="Arial"/>
                <w:sz w:val="20"/>
                <w:szCs w:val="20"/>
              </w:rPr>
            </w:pPr>
            <w:r w:rsidRPr="42538A82">
              <w:rPr>
                <w:rFonts w:ascii="Arial" w:eastAsia="Times New Roman" w:hAnsi="Arial" w:cs="Arial"/>
                <w:color w:val="000000" w:themeColor="text1"/>
                <w:sz w:val="20"/>
                <w:szCs w:val="20"/>
              </w:rPr>
              <w:t xml:space="preserve">Complex CHD resembling HTX; </w:t>
            </w:r>
            <w:r w:rsidRPr="42538A82">
              <w:rPr>
                <w:rFonts w:ascii="Arial" w:eastAsia="Times New Roman" w:hAnsi="Arial" w:cs="Arial"/>
                <w:color w:val="000000" w:themeColor="text1"/>
                <w:sz w:val="20"/>
                <w:szCs w:val="20"/>
              </w:rPr>
              <w:lastRenderedPageBreak/>
              <w:t>respiratory unknown</w:t>
            </w:r>
          </w:p>
        </w:tc>
        <w:tc>
          <w:tcPr>
            <w:tcW w:w="1617"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tcPr>
          <w:p w14:paraId="69F0A132" w14:textId="77777777" w:rsidR="00C95600" w:rsidRDefault="00C95600" w:rsidP="00E34620">
            <w:pPr>
              <w:spacing w:after="0" w:line="240" w:lineRule="auto"/>
              <w:rPr>
                <w:rFonts w:ascii="Arial" w:eastAsia="Times New Roman" w:hAnsi="Arial" w:cs="Arial"/>
                <w:sz w:val="20"/>
                <w:szCs w:val="20"/>
              </w:rPr>
            </w:pPr>
            <w:r w:rsidRPr="42538A82">
              <w:rPr>
                <w:rFonts w:ascii="Arial" w:eastAsia="Times New Roman" w:hAnsi="Arial" w:cs="Arial"/>
                <w:color w:val="000000" w:themeColor="text1"/>
                <w:sz w:val="20"/>
                <w:szCs w:val="20"/>
              </w:rPr>
              <w:lastRenderedPageBreak/>
              <w:t xml:space="preserve">Zebrafish partial hypomorph (rescue </w:t>
            </w:r>
            <w:r w:rsidRPr="42538A82">
              <w:rPr>
                <w:rFonts w:ascii="Arial" w:eastAsia="Times New Roman" w:hAnsi="Arial" w:cs="Arial"/>
                <w:color w:val="000000" w:themeColor="text1"/>
                <w:sz w:val="20"/>
                <w:szCs w:val="20"/>
              </w:rPr>
              <w:lastRenderedPageBreak/>
              <w:t>incomplete) with Trp372Cys</w:t>
            </w:r>
          </w:p>
        </w:tc>
        <w:tc>
          <w:tcPr>
            <w:tcW w:w="1096"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tcPr>
          <w:p w14:paraId="4F64FDEA" w14:textId="77777777" w:rsidR="00C95600" w:rsidRDefault="00C95600" w:rsidP="00E34620">
            <w:pPr>
              <w:spacing w:after="0" w:line="240" w:lineRule="auto"/>
              <w:rPr>
                <w:rFonts w:ascii="Arial" w:eastAsia="Times New Roman" w:hAnsi="Arial" w:cs="Arial"/>
                <w:sz w:val="20"/>
                <w:szCs w:val="20"/>
              </w:rPr>
            </w:pPr>
            <w:r w:rsidRPr="42538A82">
              <w:rPr>
                <w:rFonts w:ascii="Arial" w:eastAsia="Times New Roman" w:hAnsi="Arial" w:cs="Arial"/>
                <w:color w:val="000000" w:themeColor="text1"/>
                <w:sz w:val="20"/>
                <w:szCs w:val="20"/>
              </w:rPr>
              <w:lastRenderedPageBreak/>
              <w:t>Leslie et al., 2022, Jin et al., 2017</w:t>
            </w:r>
          </w:p>
        </w:tc>
      </w:tr>
      <w:tr w:rsidR="00C95600" w14:paraId="677CC9E4" w14:textId="77777777" w:rsidTr="00E34620">
        <w:trPr>
          <w:trHeight w:val="165"/>
        </w:trPr>
        <w:tc>
          <w:tcPr>
            <w:tcW w:w="75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4D4D4"/>
            <w:tcMar>
              <w:top w:w="60" w:type="dxa"/>
              <w:left w:w="60" w:type="dxa"/>
              <w:bottom w:w="60" w:type="dxa"/>
              <w:right w:w="60" w:type="dxa"/>
            </w:tcMar>
          </w:tcPr>
          <w:p w14:paraId="402E5FF6" w14:textId="77777777" w:rsidR="00C95600" w:rsidRDefault="00C95600" w:rsidP="00E34620">
            <w:pPr>
              <w:spacing w:after="0" w:line="240" w:lineRule="auto"/>
              <w:rPr>
                <w:rFonts w:ascii="Arial" w:eastAsia="Times New Roman" w:hAnsi="Arial" w:cs="Arial"/>
                <w:sz w:val="20"/>
                <w:szCs w:val="20"/>
              </w:rPr>
            </w:pPr>
            <w:r w:rsidRPr="42538A82">
              <w:rPr>
                <w:rFonts w:ascii="Arial" w:eastAsia="Times New Roman" w:hAnsi="Arial" w:cs="Arial"/>
                <w:b/>
                <w:bCs/>
                <w:color w:val="000000" w:themeColor="text1"/>
                <w:sz w:val="20"/>
                <w:szCs w:val="20"/>
              </w:rPr>
              <w:t>This study</w:t>
            </w:r>
          </w:p>
        </w:tc>
        <w:tc>
          <w:tcPr>
            <w:tcW w:w="943"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tcPr>
          <w:p w14:paraId="4E243B68" w14:textId="77777777" w:rsidR="00C95600" w:rsidRDefault="00C95600" w:rsidP="00E34620">
            <w:pPr>
              <w:spacing w:after="0" w:line="240" w:lineRule="auto"/>
              <w:rPr>
                <w:rFonts w:ascii="Arial" w:eastAsia="Times New Roman" w:hAnsi="Arial" w:cs="Arial"/>
                <w:sz w:val="20"/>
                <w:szCs w:val="20"/>
              </w:rPr>
            </w:pPr>
            <w:r w:rsidRPr="42538A82">
              <w:rPr>
                <w:rFonts w:ascii="Arial" w:eastAsia="Times New Roman" w:hAnsi="Arial" w:cs="Arial"/>
                <w:color w:val="000000" w:themeColor="text1"/>
                <w:sz w:val="20"/>
                <w:szCs w:val="20"/>
              </w:rPr>
              <w:t>Cmp Het</w:t>
            </w:r>
          </w:p>
        </w:tc>
        <w:tc>
          <w:tcPr>
            <w:tcW w:w="2033"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tcPr>
          <w:p w14:paraId="5F07D2DB" w14:textId="77777777" w:rsidR="00C95600" w:rsidRDefault="00C95600" w:rsidP="00E34620">
            <w:pPr>
              <w:spacing w:after="0" w:line="240" w:lineRule="auto"/>
              <w:rPr>
                <w:rFonts w:ascii="Arial" w:eastAsia="Times New Roman" w:hAnsi="Arial" w:cs="Arial"/>
                <w:sz w:val="20"/>
                <w:szCs w:val="20"/>
              </w:rPr>
            </w:pPr>
            <w:r w:rsidRPr="42538A82">
              <w:rPr>
                <w:rFonts w:ascii="Arial" w:eastAsia="Times New Roman" w:hAnsi="Arial" w:cs="Arial"/>
                <w:color w:val="000000" w:themeColor="text1"/>
                <w:sz w:val="20"/>
                <w:szCs w:val="20"/>
              </w:rPr>
              <w:t>c.341G&gt;A / c.648+1G&gt;A</w:t>
            </w:r>
          </w:p>
        </w:tc>
        <w:tc>
          <w:tcPr>
            <w:tcW w:w="2388"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tcPr>
          <w:p w14:paraId="4A30FFBD" w14:textId="77777777" w:rsidR="00C95600" w:rsidRDefault="00C95600" w:rsidP="00E34620">
            <w:pPr>
              <w:spacing w:after="0" w:line="240" w:lineRule="auto"/>
              <w:rPr>
                <w:rFonts w:ascii="Arial" w:eastAsia="Times New Roman" w:hAnsi="Arial" w:cs="Arial"/>
                <w:sz w:val="20"/>
                <w:szCs w:val="20"/>
              </w:rPr>
            </w:pPr>
            <w:r w:rsidRPr="42538A82">
              <w:rPr>
                <w:rFonts w:ascii="Arial" w:eastAsia="Times New Roman" w:hAnsi="Arial" w:cs="Arial"/>
                <w:color w:val="000000" w:themeColor="text1"/>
                <w:sz w:val="20"/>
                <w:szCs w:val="20"/>
              </w:rPr>
              <w:t>p.(Arg114Gln) / splice</w:t>
            </w:r>
          </w:p>
        </w:tc>
        <w:tc>
          <w:tcPr>
            <w:tcW w:w="1952"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tcPr>
          <w:p w14:paraId="54CFC9E1" w14:textId="77777777" w:rsidR="00C95600" w:rsidRDefault="00C95600" w:rsidP="00E34620">
            <w:pPr>
              <w:spacing w:after="0" w:line="240" w:lineRule="auto"/>
              <w:rPr>
                <w:rFonts w:ascii="Arial" w:eastAsia="Times New Roman" w:hAnsi="Arial" w:cs="Arial"/>
                <w:sz w:val="20"/>
                <w:szCs w:val="20"/>
              </w:rPr>
            </w:pPr>
            <w:r w:rsidRPr="42538A82">
              <w:rPr>
                <w:rFonts w:ascii="Arial" w:eastAsia="Times New Roman" w:hAnsi="Arial" w:cs="Arial"/>
                <w:color w:val="000000" w:themeColor="text1"/>
                <w:sz w:val="20"/>
                <w:szCs w:val="20"/>
              </w:rPr>
              <w:t>HTX + complex CHD; no PCD/respiratory disease</w:t>
            </w:r>
          </w:p>
        </w:tc>
        <w:tc>
          <w:tcPr>
            <w:tcW w:w="1617"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tcPr>
          <w:p w14:paraId="42809CDF" w14:textId="77777777" w:rsidR="00C95600" w:rsidRDefault="00C95600" w:rsidP="00E34620">
            <w:pPr>
              <w:spacing w:after="0" w:line="240" w:lineRule="auto"/>
              <w:rPr>
                <w:rFonts w:ascii="Arial" w:eastAsia="Times New Roman" w:hAnsi="Arial" w:cs="Arial"/>
                <w:sz w:val="20"/>
                <w:szCs w:val="20"/>
              </w:rPr>
            </w:pPr>
            <w:r w:rsidRPr="42538A82">
              <w:rPr>
                <w:rFonts w:ascii="Arial" w:eastAsia="Times New Roman" w:hAnsi="Arial" w:cs="Arial"/>
                <w:i/>
                <w:iCs/>
                <w:color w:val="000000" w:themeColor="text1"/>
                <w:sz w:val="20"/>
                <w:szCs w:val="20"/>
              </w:rPr>
              <w:t>Xenopus</w:t>
            </w:r>
            <w:r w:rsidRPr="42538A82">
              <w:rPr>
                <w:rFonts w:ascii="Arial" w:eastAsia="Times New Roman" w:hAnsi="Arial" w:cs="Arial"/>
                <w:color w:val="000000" w:themeColor="text1"/>
                <w:sz w:val="20"/>
                <w:szCs w:val="20"/>
              </w:rPr>
              <w:t>: context-specific hypomorph (R114Q LRO defect, MCC intact); splice LOF</w:t>
            </w:r>
          </w:p>
        </w:tc>
        <w:tc>
          <w:tcPr>
            <w:tcW w:w="1096"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60" w:type="dxa"/>
              <w:left w:w="60" w:type="dxa"/>
              <w:bottom w:w="60" w:type="dxa"/>
              <w:right w:w="60" w:type="dxa"/>
            </w:tcMar>
          </w:tcPr>
          <w:p w14:paraId="5B0EF293" w14:textId="77777777" w:rsidR="00C95600" w:rsidRDefault="00C95600" w:rsidP="00E34620">
            <w:pPr>
              <w:spacing w:after="0" w:line="240" w:lineRule="auto"/>
              <w:rPr>
                <w:rFonts w:ascii="Arial" w:eastAsia="Times New Roman" w:hAnsi="Arial" w:cs="Arial"/>
                <w:sz w:val="20"/>
                <w:szCs w:val="20"/>
              </w:rPr>
            </w:pPr>
            <w:r w:rsidRPr="42538A82">
              <w:rPr>
                <w:rFonts w:ascii="Arial" w:eastAsia="Times New Roman" w:hAnsi="Arial" w:cs="Arial"/>
                <w:color w:val="000000" w:themeColor="text1"/>
                <w:sz w:val="20"/>
                <w:szCs w:val="20"/>
              </w:rPr>
              <w:t>This study</w:t>
            </w:r>
          </w:p>
        </w:tc>
      </w:tr>
    </w:tbl>
    <w:p w14:paraId="395A1D86" w14:textId="77777777" w:rsidR="00C95600" w:rsidRDefault="00C95600" w:rsidP="00C95600">
      <w:pPr>
        <w:spacing w:after="0" w:line="240" w:lineRule="auto"/>
      </w:pPr>
    </w:p>
    <w:p w14:paraId="0EB59224" w14:textId="77777777" w:rsidR="00F553FF" w:rsidRDefault="00F553FF"/>
    <w:sectPr w:rsidR="00F553F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5600"/>
    <w:rsid w:val="003C2EF4"/>
    <w:rsid w:val="00446799"/>
    <w:rsid w:val="006A7E07"/>
    <w:rsid w:val="00701021"/>
    <w:rsid w:val="00AA04FC"/>
    <w:rsid w:val="00B74216"/>
    <w:rsid w:val="00C95600"/>
    <w:rsid w:val="00D62F8C"/>
    <w:rsid w:val="00E97CD6"/>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37D44C"/>
  <w15:chartTrackingRefBased/>
  <w15:docId w15:val="{5F8093BE-F019-4870-B59F-9EBF43D393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95600"/>
  </w:style>
  <w:style w:type="paragraph" w:styleId="Heading1">
    <w:name w:val="heading 1"/>
    <w:basedOn w:val="Normal"/>
    <w:next w:val="Normal"/>
    <w:link w:val="Heading1Char"/>
    <w:uiPriority w:val="9"/>
    <w:qFormat/>
    <w:rsid w:val="00C9560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9560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9560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9560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9560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9560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9560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9560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9560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9560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9560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9560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9560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9560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9560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9560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9560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95600"/>
    <w:rPr>
      <w:rFonts w:eastAsiaTheme="majorEastAsia" w:cstheme="majorBidi"/>
      <w:color w:val="272727" w:themeColor="text1" w:themeTint="D8"/>
    </w:rPr>
  </w:style>
  <w:style w:type="paragraph" w:styleId="Title">
    <w:name w:val="Title"/>
    <w:basedOn w:val="Normal"/>
    <w:next w:val="Normal"/>
    <w:link w:val="TitleChar"/>
    <w:uiPriority w:val="10"/>
    <w:qFormat/>
    <w:rsid w:val="00C9560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9560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9560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9560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95600"/>
    <w:pPr>
      <w:spacing w:before="160"/>
      <w:jc w:val="center"/>
    </w:pPr>
    <w:rPr>
      <w:i/>
      <w:iCs/>
      <w:color w:val="404040" w:themeColor="text1" w:themeTint="BF"/>
    </w:rPr>
  </w:style>
  <w:style w:type="character" w:customStyle="1" w:styleId="QuoteChar">
    <w:name w:val="Quote Char"/>
    <w:basedOn w:val="DefaultParagraphFont"/>
    <w:link w:val="Quote"/>
    <w:uiPriority w:val="29"/>
    <w:rsid w:val="00C95600"/>
    <w:rPr>
      <w:i/>
      <w:iCs/>
      <w:color w:val="404040" w:themeColor="text1" w:themeTint="BF"/>
    </w:rPr>
  </w:style>
  <w:style w:type="paragraph" w:styleId="ListParagraph">
    <w:name w:val="List Paragraph"/>
    <w:basedOn w:val="Normal"/>
    <w:uiPriority w:val="34"/>
    <w:qFormat/>
    <w:rsid w:val="00C95600"/>
    <w:pPr>
      <w:ind w:left="720"/>
      <w:contextualSpacing/>
    </w:pPr>
  </w:style>
  <w:style w:type="character" w:styleId="IntenseEmphasis">
    <w:name w:val="Intense Emphasis"/>
    <w:basedOn w:val="DefaultParagraphFont"/>
    <w:uiPriority w:val="21"/>
    <w:qFormat/>
    <w:rsid w:val="00C95600"/>
    <w:rPr>
      <w:i/>
      <w:iCs/>
      <w:color w:val="0F4761" w:themeColor="accent1" w:themeShade="BF"/>
    </w:rPr>
  </w:style>
  <w:style w:type="paragraph" w:styleId="IntenseQuote">
    <w:name w:val="Intense Quote"/>
    <w:basedOn w:val="Normal"/>
    <w:next w:val="Normal"/>
    <w:link w:val="IntenseQuoteChar"/>
    <w:uiPriority w:val="30"/>
    <w:qFormat/>
    <w:rsid w:val="00C9560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95600"/>
    <w:rPr>
      <w:i/>
      <w:iCs/>
      <w:color w:val="0F4761" w:themeColor="accent1" w:themeShade="BF"/>
    </w:rPr>
  </w:style>
  <w:style w:type="character" w:styleId="IntenseReference">
    <w:name w:val="Intense Reference"/>
    <w:basedOn w:val="DefaultParagraphFont"/>
    <w:uiPriority w:val="32"/>
    <w:qFormat/>
    <w:rsid w:val="00C95600"/>
    <w:rPr>
      <w:b/>
      <w:bCs/>
      <w:smallCaps/>
      <w:color w:val="0F4761" w:themeColor="accent1" w:themeShade="BF"/>
      <w:spacing w:val="5"/>
    </w:rPr>
  </w:style>
  <w:style w:type="character" w:styleId="Strong">
    <w:name w:val="Strong"/>
    <w:basedOn w:val="DefaultParagraphFont"/>
    <w:uiPriority w:val="22"/>
    <w:qFormat/>
    <w:rsid w:val="00C95600"/>
    <w:rPr>
      <w:b/>
      <w:bCs/>
    </w:rPr>
  </w:style>
  <w:style w:type="paragraph" w:styleId="NormalWeb">
    <w:name w:val="Normal (Web)"/>
    <w:basedOn w:val="Normal"/>
    <w:link w:val="NormalWebChar"/>
    <w:uiPriority w:val="99"/>
    <w:unhideWhenUsed/>
    <w:rsid w:val="00C95600"/>
    <w:pPr>
      <w:spacing w:before="100" w:beforeAutospacing="1" w:after="100" w:afterAutospacing="1" w:line="240" w:lineRule="auto"/>
    </w:pPr>
    <w:rPr>
      <w:rFonts w:ascii="Times New Roman" w:eastAsia="Times New Roman" w:hAnsi="Times New Roman" w:cs="Times New Roman"/>
      <w:kern w:val="0"/>
      <w14:ligatures w14:val="none"/>
    </w:rPr>
  </w:style>
  <w:style w:type="character" w:customStyle="1" w:styleId="NormalWebChar">
    <w:name w:val="Normal (Web) Char"/>
    <w:basedOn w:val="DefaultParagraphFont"/>
    <w:link w:val="NormalWeb"/>
    <w:uiPriority w:val="99"/>
    <w:rsid w:val="00C95600"/>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393</Words>
  <Characters>2344</Characters>
  <Application>Microsoft Office Word</Application>
  <DocSecurity>0</DocSecurity>
  <Lines>47</Lines>
  <Paragraphs>20</Paragraphs>
  <ScaleCrop>false</ScaleCrop>
  <Company>Springer Nature</Company>
  <LinksUpToDate>false</LinksUpToDate>
  <CharactersWithSpaces>2717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2026-02-12T15:58:00Z</dcterms:created>
  <dcterms:modified xsi:type="dcterms:W3CDTF">2026-02-12T15:58:00Z</dcterms:modified>
</cp:coreProperties>
</file>