
<file path=[Content_Types].xml><?xml version="1.0" encoding="utf-8"?>
<Types xmlns="http://schemas.openxmlformats.org/package/2006/content-types">
  <Default Extension="xml" ContentType="application/xml"/>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679780">
      <w:pPr>
        <w:spacing w:before="312" w:beforeLines="100" w:after="312" w:afterLines="100" w:line="480" w:lineRule="auto"/>
        <w:jc w:val="center"/>
        <w:rPr>
          <w:rFonts w:ascii="Times New Roman" w:hAnsi="Times New Roman" w:cs="Times New Roman"/>
          <w:b/>
          <w:bCs/>
          <w:sz w:val="32"/>
          <w:szCs w:val="32"/>
        </w:rPr>
      </w:pPr>
      <w:bookmarkStart w:id="0" w:name="OLE_LINK1"/>
      <w:r>
        <w:rPr>
          <w:rFonts w:hint="eastAsia" w:ascii="Times New Roman" w:hAnsi="Times New Roman" w:cs="Times New Roman"/>
          <w:b/>
          <w:bCs/>
          <w:sz w:val="32"/>
          <w:szCs w:val="32"/>
        </w:rPr>
        <w:t xml:space="preserve">Supplementary </w:t>
      </w:r>
      <w:bookmarkStart w:id="47" w:name="_GoBack"/>
      <w:bookmarkEnd w:id="47"/>
      <w:r>
        <w:rPr>
          <w:rFonts w:hint="eastAsia" w:ascii="Times New Roman" w:hAnsi="Times New Roman" w:cs="Times New Roman"/>
          <w:b/>
          <w:bCs/>
          <w:sz w:val="32"/>
          <w:szCs w:val="32"/>
        </w:rPr>
        <w:t>material</w:t>
      </w:r>
    </w:p>
    <w:bookmarkEnd w:id="0"/>
    <w:p w14:paraId="672BF5FE">
      <w:pPr>
        <w:spacing w:before="312" w:beforeLines="100" w:after="312" w:afterLines="100" w:line="480" w:lineRule="auto"/>
        <w:jc w:val="center"/>
        <w:rPr>
          <w:rFonts w:ascii="Times New Roman" w:hAnsi="Times New Roman" w:cs="Times New Roman"/>
          <w:b/>
          <w:bCs/>
          <w:sz w:val="28"/>
          <w:szCs w:val="28"/>
        </w:rPr>
      </w:pPr>
      <w:r>
        <w:rPr>
          <w:rFonts w:hint="eastAsia" w:ascii="Times New Roman" w:hAnsi="Times New Roman" w:cs="Times New Roman"/>
          <w:b/>
          <w:bCs/>
          <w:sz w:val="28"/>
          <w:szCs w:val="28"/>
        </w:rPr>
        <w:t>Chemotactic Light-harvesting Dual-Lanthanide Nanomotor for Revascularization and Neuroprotection of Ischemic Stroke</w:t>
      </w:r>
    </w:p>
    <w:p w14:paraId="1C891214">
      <w:pPr>
        <w:spacing w:before="312" w:beforeLines="100" w:after="312" w:afterLines="100" w:line="480" w:lineRule="auto"/>
        <w:jc w:val="center"/>
        <w:rPr>
          <w:rFonts w:ascii="Times New Roman" w:hAnsi="Times New Roman" w:eastAsia="宋体" w:cs="Times New Roman"/>
          <w:color w:val="0070C0"/>
          <w:sz w:val="24"/>
          <w:szCs w:val="24"/>
        </w:rPr>
      </w:pPr>
      <w:r>
        <w:rPr>
          <w:rFonts w:ascii="Times New Roman" w:hAnsi="Times New Roman" w:eastAsia="宋体" w:cs="Times New Roman"/>
          <w:color w:val="000000" w:themeColor="text1"/>
          <w:sz w:val="24"/>
          <w:szCs w:val="24"/>
          <w14:textFill>
            <w14:solidFill>
              <w14:schemeClr w14:val="tx1"/>
            </w14:solidFill>
          </w14:textFill>
        </w:rPr>
        <w:t>Shuo Li,</w:t>
      </w:r>
      <w:bookmarkStart w:id="1" w:name="OLE_LINK30"/>
      <w:r>
        <w:rPr>
          <w:rFonts w:hint="eastAsia" w:ascii="Times New Roman" w:hAnsi="Times New Roman" w:eastAsia="宋体" w:cs="Times New Roman"/>
          <w:color w:val="0070C0"/>
          <w:sz w:val="24"/>
          <w:szCs w:val="24"/>
          <w:vertAlign w:val="superscript"/>
        </w:rPr>
        <w:t>a</w:t>
      </w:r>
      <w:r>
        <w:rPr>
          <w:rFonts w:ascii="Times New Roman" w:hAnsi="Times New Roman" w:eastAsia="宋体" w:cs="Times New Roman"/>
          <w:sz w:val="24"/>
          <w:szCs w:val="24"/>
          <w:vertAlign w:val="superscript"/>
        </w:rPr>
        <w:t>,</w:t>
      </w:r>
      <w:bookmarkEnd w:id="1"/>
      <w:r>
        <w:rPr>
          <w:rFonts w:hint="eastAsia" w:ascii="Times New Roman" w:hAnsi="Times New Roman" w:eastAsia="宋体" w:cs="Times New Roman"/>
          <w:color w:val="0070C0"/>
          <w:sz w:val="24"/>
          <w:szCs w:val="24"/>
          <w:vertAlign w:val="superscript"/>
        </w:rPr>
        <w:t>1</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Mengnan</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Yang</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70C0"/>
          <w:sz w:val="24"/>
          <w:szCs w:val="24"/>
          <w:vertAlign w:val="superscript"/>
        </w:rPr>
        <w:t>b</w:t>
      </w:r>
      <w:r>
        <w:rPr>
          <w:rFonts w:ascii="Times New Roman" w:hAnsi="Times New Roman" w:eastAsia="宋体" w:cs="Times New Roman"/>
          <w:sz w:val="24"/>
          <w:szCs w:val="24"/>
          <w:vertAlign w:val="superscript"/>
        </w:rPr>
        <w:t>,</w:t>
      </w:r>
      <w:r>
        <w:rPr>
          <w:rFonts w:hint="eastAsia" w:ascii="Times New Roman" w:hAnsi="Times New Roman" w:eastAsia="宋体" w:cs="Times New Roman"/>
          <w:color w:val="0070C0"/>
          <w:sz w:val="24"/>
          <w:szCs w:val="24"/>
          <w:vertAlign w:val="superscript"/>
        </w:rPr>
        <w:t>1</w:t>
      </w:r>
      <w:r>
        <w:rPr>
          <w:rFonts w:ascii="Times New Roman" w:hAnsi="Times New Roman" w:eastAsia="宋体" w:cs="Times New Roman"/>
          <w:color w:val="000000" w:themeColor="text1"/>
          <w:sz w:val="24"/>
          <w:szCs w:val="24"/>
          <w14:textFill>
            <w14:solidFill>
              <w14:schemeClr w14:val="tx1"/>
            </w14:solidFill>
          </w14:textFill>
        </w:rPr>
        <w:t xml:space="preserve"> Zhongyu Wei,</w:t>
      </w:r>
      <w:r>
        <w:rPr>
          <w:rFonts w:hint="eastAsia" w:ascii="Times New Roman" w:hAnsi="Times New Roman" w:eastAsia="宋体" w:cs="Times New Roman"/>
          <w:color w:val="0070C0"/>
          <w:sz w:val="24"/>
          <w:szCs w:val="24"/>
          <w:vertAlign w:val="superscript"/>
        </w:rPr>
        <w:t>c</w:t>
      </w:r>
      <w:r>
        <w:rPr>
          <w:rFonts w:ascii="Times New Roman" w:hAnsi="Times New Roman" w:eastAsia="宋体" w:cs="Times New Roman"/>
          <w:sz w:val="24"/>
          <w:szCs w:val="24"/>
          <w:vertAlign w:val="superscript"/>
        </w:rPr>
        <w:t>,</w:t>
      </w:r>
      <w:r>
        <w:rPr>
          <w:rFonts w:hint="eastAsia" w:ascii="Times New Roman" w:hAnsi="Times New Roman" w:eastAsia="宋体" w:cs="Times New Roman"/>
          <w:color w:val="0070C0"/>
          <w:sz w:val="24"/>
          <w:szCs w:val="24"/>
          <w:vertAlign w:val="superscript"/>
        </w:rPr>
        <w:t>1</w:t>
      </w:r>
      <w:r>
        <w:rPr>
          <w:rFonts w:ascii="Times New Roman" w:hAnsi="Times New Roman" w:eastAsia="宋体" w:cs="Times New Roman"/>
          <w:color w:val="000000" w:themeColor="text1"/>
          <w:sz w:val="24"/>
          <w:szCs w:val="24"/>
          <w14:textFill>
            <w14:solidFill>
              <w14:schemeClr w14:val="tx1"/>
            </w14:solidFill>
          </w14:textFill>
        </w:rPr>
        <w:t xml:space="preserve"> </w:t>
      </w:r>
      <w:bookmarkStart w:id="2" w:name="OLE_LINK47"/>
      <w:bookmarkStart w:id="3" w:name="OLE_LINK48"/>
      <w:r>
        <w:rPr>
          <w:rFonts w:hint="eastAsia" w:ascii="Times New Roman" w:hAnsi="Times New Roman" w:eastAsia="宋体" w:cs="Times New Roman"/>
          <w:color w:val="000000" w:themeColor="text1"/>
          <w:sz w:val="24"/>
          <w:szCs w:val="24"/>
          <w14:textFill>
            <w14:solidFill>
              <w14:schemeClr w14:val="tx1"/>
            </w14:solidFill>
          </w14:textFill>
        </w:rPr>
        <w:t>Jing</w:t>
      </w:r>
      <w:r>
        <w:rPr>
          <w:rFonts w:ascii="Times New Roman" w:hAnsi="Times New Roman" w:eastAsia="宋体" w:cs="Times New Roman"/>
          <w:color w:val="000000" w:themeColor="text1"/>
          <w:sz w:val="24"/>
          <w:szCs w:val="24"/>
          <w14:textFill>
            <w14:solidFill>
              <w14:schemeClr w14:val="tx1"/>
            </w14:solidFill>
          </w14:textFill>
        </w:rPr>
        <w:t xml:space="preserve"> </w:t>
      </w:r>
      <w:bookmarkEnd w:id="2"/>
      <w:bookmarkEnd w:id="3"/>
      <w:r>
        <w:rPr>
          <w:rFonts w:hint="eastAsia" w:ascii="Times New Roman" w:hAnsi="Times New Roman" w:eastAsia="宋体" w:cs="Times New Roman"/>
          <w:color w:val="000000" w:themeColor="text1"/>
          <w:sz w:val="24"/>
          <w:szCs w:val="24"/>
          <w14:textFill>
            <w14:solidFill>
              <w14:schemeClr w14:val="tx1"/>
            </w14:solidFill>
          </w14:textFill>
        </w:rPr>
        <w:t>Wang</w:t>
      </w:r>
      <w:r>
        <w:rPr>
          <w:rFonts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70C0"/>
          <w:sz w:val="24"/>
          <w:szCs w:val="24"/>
          <w:vertAlign w:val="superscript"/>
        </w:rPr>
        <w:t>a</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Kangxi Zhou</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70C0"/>
          <w:sz w:val="24"/>
          <w:szCs w:val="24"/>
          <w:vertAlign w:val="superscript"/>
        </w:rPr>
        <w:t>a</w:t>
      </w:r>
      <w:r>
        <w:rPr>
          <w:rFonts w:hint="eastAsia" w:ascii="Times New Roman" w:hAnsi="Times New Roman" w:eastAsia="宋体" w:cs="Times New Roman"/>
          <w:color w:val="000000" w:themeColor="text1"/>
          <w:sz w:val="24"/>
          <w:szCs w:val="24"/>
          <w14:textFill>
            <w14:solidFill>
              <w14:schemeClr w14:val="tx1"/>
            </w14:solidFill>
          </w14:textFill>
        </w:rPr>
        <w:t xml:space="preserve"> </w:t>
      </w:r>
      <w:r>
        <w:rPr>
          <w:rFonts w:ascii="Times New Roman" w:hAnsi="Times New Roman" w:eastAsia="宋体" w:cs="Times New Roman"/>
          <w:sz w:val="24"/>
          <w:szCs w:val="24"/>
        </w:rPr>
        <w:t>and</w:t>
      </w:r>
      <w:r>
        <w:rPr>
          <w:rFonts w:ascii="Times New Roman" w:hAnsi="Times New Roman" w:eastAsia="宋体"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Kesheng Dai</w:t>
      </w:r>
      <w:r>
        <w:rPr>
          <w:rFonts w:ascii="Times New Roman" w:hAnsi="Times New Roman" w:eastAsia="宋体" w:cs="Times New Roman"/>
          <w:color w:val="0070C0"/>
          <w:sz w:val="24"/>
          <w:szCs w:val="24"/>
          <w:vertAlign w:val="superscript"/>
        </w:rPr>
        <w:t>a</w:t>
      </w:r>
      <w:r>
        <w:rPr>
          <w:rFonts w:ascii="Times New Roman" w:hAnsi="Times New Roman" w:eastAsia="宋体" w:cs="Times New Roman"/>
          <w:sz w:val="24"/>
          <w:szCs w:val="24"/>
          <w:vertAlign w:val="superscript"/>
        </w:rPr>
        <w:t>,</w:t>
      </w:r>
      <w:r>
        <w:rPr>
          <w:rFonts w:ascii="Times New Roman" w:hAnsi="Times New Roman" w:eastAsia="宋体" w:cs="Times New Roman"/>
          <w:color w:val="0070C0"/>
          <w:sz w:val="24"/>
          <w:szCs w:val="24"/>
          <w:vertAlign w:val="superscript"/>
        </w:rPr>
        <w:t>*</w:t>
      </w:r>
    </w:p>
    <w:p w14:paraId="518745F5">
      <w:pPr>
        <w:spacing w:line="480" w:lineRule="auto"/>
        <w:rPr>
          <w:rFonts w:ascii="Times New Roman" w:hAnsi="Times New Roman" w:eastAsia="宋体" w:cs="Times New Roman"/>
          <w:i/>
          <w:iCs/>
          <w:color w:val="000000" w:themeColor="text1"/>
          <w:sz w:val="24"/>
          <w:szCs w:val="24"/>
          <w14:textFill>
            <w14:solidFill>
              <w14:schemeClr w14:val="tx1"/>
            </w14:solidFill>
          </w14:textFill>
        </w:rPr>
      </w:pPr>
      <w:bookmarkStart w:id="4" w:name="_Hlk150890661"/>
      <w:r>
        <w:rPr>
          <w:rFonts w:hint="eastAsia" w:ascii="Times New Roman" w:hAnsi="Times New Roman" w:eastAsia="宋体" w:cs="Times New Roman"/>
          <w:color w:val="0070C0"/>
          <w:sz w:val="24"/>
          <w:szCs w:val="24"/>
          <w:vertAlign w:val="superscript"/>
        </w:rPr>
        <w:t>a</w:t>
      </w:r>
      <w:r>
        <w:rPr>
          <w:rFonts w:ascii="Times New Roman" w:hAnsi="Times New Roman" w:eastAsia="宋体" w:cs="Times New Roman"/>
          <w:color w:val="0070C0"/>
          <w:sz w:val="24"/>
          <w:szCs w:val="24"/>
          <w:vertAlign w:val="superscript"/>
        </w:rPr>
        <w:t xml:space="preserve"> </w:t>
      </w:r>
      <w:r>
        <w:rPr>
          <w:rFonts w:ascii="Times New Roman" w:hAnsi="Times New Roman" w:eastAsia="宋体" w:cs="Times New Roman"/>
          <w:i/>
          <w:iCs/>
          <w:color w:val="000000" w:themeColor="text1"/>
          <w:sz w:val="24"/>
          <w:szCs w:val="24"/>
          <w14:textFill>
            <w14:solidFill>
              <w14:schemeClr w14:val="tx1"/>
            </w14:solidFill>
          </w14:textFill>
        </w:rPr>
        <w:t>Jiangsu Institute of Hematology, National Clinical Research Center for Hematologic Diseases, NHC Key Laboratory of Thrombosis and Hemostasis, The First Affiliated Hospital and Collaborative Innovation Center of Hematology, Soochow University, Suzhou, China</w:t>
      </w:r>
      <w:bookmarkEnd w:id="4"/>
    </w:p>
    <w:p w14:paraId="4D93A6CA">
      <w:pPr>
        <w:spacing w:line="480" w:lineRule="auto"/>
        <w:rPr>
          <w:rFonts w:ascii="Times New Roman" w:hAnsi="Times New Roman" w:eastAsia="宋体" w:cs="Times New Roman"/>
          <w:i/>
          <w:iCs/>
          <w:color w:val="000000" w:themeColor="text1"/>
          <w:sz w:val="24"/>
          <w:szCs w:val="24"/>
          <w14:textFill>
            <w14:solidFill>
              <w14:schemeClr w14:val="tx1"/>
            </w14:solidFill>
          </w14:textFill>
        </w:rPr>
      </w:pPr>
      <w:r>
        <w:rPr>
          <w:rFonts w:hint="eastAsia" w:ascii="Times New Roman" w:hAnsi="Times New Roman" w:eastAsia="宋体" w:cs="Times New Roman"/>
          <w:color w:val="0070C0"/>
          <w:sz w:val="24"/>
          <w:szCs w:val="24"/>
          <w:vertAlign w:val="superscript"/>
        </w:rPr>
        <w:t xml:space="preserve">b </w:t>
      </w:r>
      <w:r>
        <w:rPr>
          <w:rFonts w:hint="eastAsia" w:ascii="Times New Roman" w:hAnsi="Times New Roman" w:eastAsia="宋体" w:cs="Times New Roman"/>
          <w:i/>
          <w:iCs/>
          <w:color w:val="000000" w:themeColor="text1"/>
          <w:sz w:val="24"/>
          <w:szCs w:val="24"/>
          <w14:textFill>
            <w14:solidFill>
              <w14:schemeClr w14:val="tx1"/>
            </w14:solidFill>
          </w14:textFill>
        </w:rPr>
        <w:t>Department of Oncology, Central Laboratory, Suzhou Ninth People's Hospital, Suzhou Ninth Hospital Affiliated to Soochow University, Suzhou, China</w:t>
      </w:r>
    </w:p>
    <w:p w14:paraId="3472649B">
      <w:pPr>
        <w:spacing w:before="312" w:beforeLines="100" w:after="312" w:afterLines="100" w:line="480" w:lineRule="auto"/>
        <w:jc w:val="left"/>
        <w:rPr>
          <w:rFonts w:ascii="Times New Roman" w:hAnsi="Times New Roman" w:eastAsia="宋体" w:cs="Times New Roman"/>
          <w:i/>
          <w:iCs/>
          <w:color w:val="000000" w:themeColor="text1"/>
          <w:sz w:val="24"/>
          <w:szCs w:val="24"/>
          <w14:textFill>
            <w14:solidFill>
              <w14:schemeClr w14:val="tx1"/>
            </w14:solidFill>
          </w14:textFill>
        </w:rPr>
      </w:pPr>
      <w:r>
        <w:rPr>
          <w:rFonts w:hint="eastAsia" w:ascii="Times New Roman" w:hAnsi="Times New Roman" w:eastAsia="宋体" w:cs="Times New Roman"/>
          <w:color w:val="0070C0"/>
          <w:sz w:val="24"/>
          <w:szCs w:val="24"/>
          <w:vertAlign w:val="superscript"/>
        </w:rPr>
        <w:t>c</w:t>
      </w:r>
      <w:r>
        <w:rPr>
          <w:rFonts w:ascii="Times New Roman" w:hAnsi="Times New Roman" w:eastAsia="宋体" w:cs="Times New Roman"/>
          <w:color w:val="0070C0"/>
          <w:sz w:val="24"/>
          <w:szCs w:val="24"/>
          <w:vertAlign w:val="superscript"/>
        </w:rPr>
        <w:t xml:space="preserve"> </w:t>
      </w:r>
      <w:r>
        <w:rPr>
          <w:rFonts w:hint="eastAsia" w:ascii="Times New Roman" w:hAnsi="Times New Roman" w:eastAsia="宋体" w:cs="Times New Roman"/>
          <w:i/>
          <w:iCs/>
          <w:color w:val="000000" w:themeColor="text1"/>
          <w:sz w:val="24"/>
          <w:szCs w:val="24"/>
          <w14:textFill>
            <w14:solidFill>
              <w14:schemeClr w14:val="tx1"/>
            </w14:solidFill>
          </w14:textFill>
        </w:rPr>
        <w:t>School of Chemistry and Chemical Engineering, Shanghai Jiao Tong University, Shanghai, China</w:t>
      </w:r>
    </w:p>
    <w:p w14:paraId="238A6441">
      <w:pPr>
        <w:spacing w:line="480" w:lineRule="auto"/>
        <w:rPr>
          <w:rFonts w:ascii="Times New Roman" w:hAnsi="Times New Roman" w:eastAsia="宋体" w:cs="Times New Roman"/>
          <w:sz w:val="24"/>
          <w:szCs w:val="24"/>
        </w:rPr>
      </w:pPr>
      <w:r>
        <w:rPr>
          <w:rFonts w:hint="eastAsia" w:ascii="Times New Roman" w:hAnsi="Times New Roman" w:eastAsia="宋体" w:cs="Times New Roman"/>
          <w:color w:val="0070C0"/>
          <w:sz w:val="24"/>
          <w:szCs w:val="24"/>
          <w:vertAlign w:val="superscript"/>
        </w:rPr>
        <w:t>1</w:t>
      </w:r>
      <w:r>
        <w:rPr>
          <w:rFonts w:ascii="Times New Roman" w:hAnsi="Times New Roman" w:eastAsia="宋体" w:cs="Times New Roman"/>
          <w:color w:val="0070C0"/>
          <w:sz w:val="24"/>
          <w:szCs w:val="24"/>
          <w:vertAlign w:val="superscript"/>
        </w:rPr>
        <w:t xml:space="preserve"> </w:t>
      </w:r>
      <w:r>
        <w:rPr>
          <w:rFonts w:ascii="Times New Roman" w:hAnsi="Times New Roman" w:eastAsia="宋体" w:cs="Times New Roman"/>
          <w:sz w:val="24"/>
          <w:szCs w:val="24"/>
        </w:rPr>
        <w:t>These authors contributed equally to this work.</w:t>
      </w:r>
    </w:p>
    <w:p w14:paraId="0F34D234">
      <w:pPr>
        <w:spacing w:line="480" w:lineRule="auto"/>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70C0"/>
          <w:sz w:val="24"/>
          <w:szCs w:val="24"/>
        </w:rPr>
        <w:t xml:space="preserve">* </w:t>
      </w:r>
      <w:r>
        <w:rPr>
          <w:rFonts w:ascii="Times New Roman" w:hAnsi="Times New Roman" w:eastAsia="宋体" w:cs="Times New Roman"/>
          <w:color w:val="000000" w:themeColor="text1"/>
          <w:sz w:val="24"/>
          <w:szCs w:val="24"/>
          <w14:textFill>
            <w14:solidFill>
              <w14:schemeClr w14:val="tx1"/>
            </w14:solidFill>
          </w14:textFill>
        </w:rPr>
        <w:t xml:space="preserve">Corresponding authors. </w:t>
      </w:r>
    </w:p>
    <w:p w14:paraId="7870DE64">
      <w:pPr>
        <w:spacing w:before="312" w:beforeLines="100" w:after="312" w:afterLines="100" w:line="480" w:lineRule="auto"/>
        <w:jc w:val="left"/>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iCs/>
          <w:color w:val="000000" w:themeColor="text1"/>
          <w:sz w:val="24"/>
          <w:szCs w:val="24"/>
          <w14:textFill>
            <w14:solidFill>
              <w14:schemeClr w14:val="tx1"/>
            </w14:solidFill>
          </w14:textFill>
        </w:rPr>
        <w:t>E-mail address</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 xml:space="preserve"> kdai@suda.edu.cn</w:t>
      </w:r>
    </w:p>
    <w:p w14:paraId="1D10A9CD">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5148295F">
      <w:pPr>
        <w:spacing w:before="312" w:beforeLines="100" w:after="156" w:afterLines="50" w:line="480" w:lineRule="auto"/>
        <w:jc w:val="left"/>
        <w:rPr>
          <w:rFonts w:ascii="Times New Roman" w:hAnsi="Times New Roman" w:cs="Times New Roman"/>
          <w:b/>
          <w:bCs/>
          <w:sz w:val="28"/>
          <w:szCs w:val="28"/>
        </w:rPr>
      </w:pPr>
      <w:bookmarkStart w:id="5" w:name="_Hlk220416338"/>
      <w:r>
        <w:rPr>
          <w:rFonts w:ascii="Times New Roman" w:hAnsi="Times New Roman" w:cs="Times New Roman"/>
          <w:b/>
          <w:bCs/>
          <w:sz w:val="28"/>
          <w:szCs w:val="28"/>
        </w:rPr>
        <w:t>Materials</w:t>
      </w:r>
      <w:bookmarkEnd w:id="5"/>
      <w:r>
        <w:rPr>
          <w:rFonts w:ascii="Times New Roman" w:hAnsi="Times New Roman" w:cs="Times New Roman"/>
          <w:b/>
          <w:bCs/>
          <w:sz w:val="28"/>
          <w:szCs w:val="28"/>
        </w:rPr>
        <w:t xml:space="preserve"> and methods </w:t>
      </w:r>
    </w:p>
    <w:p w14:paraId="2408B10D">
      <w:pPr>
        <w:spacing w:line="480" w:lineRule="auto"/>
        <w:rPr>
          <w:rFonts w:ascii="Times New Roman" w:hAnsi="Times New Roman" w:cs="Times New Roman"/>
          <w:b/>
          <w:bCs/>
          <w:sz w:val="24"/>
          <w:szCs w:val="24"/>
        </w:rPr>
      </w:pPr>
      <w:r>
        <w:rPr>
          <w:rFonts w:hint="eastAsia" w:ascii="Times New Roman" w:hAnsi="Times New Roman" w:cs="Times New Roman"/>
          <w:b/>
          <w:bCs/>
          <w:sz w:val="24"/>
          <w:szCs w:val="24"/>
        </w:rPr>
        <w:t>Materials and Instruments</w:t>
      </w:r>
    </w:p>
    <w:p w14:paraId="7C7D0BEC">
      <w:pPr>
        <w:spacing w:line="480" w:lineRule="auto"/>
        <w:ind w:firstLine="480" w:firstLineChars="200"/>
        <w:rPr>
          <w:rFonts w:ascii="Times New Roman" w:hAnsi="Times New Roman" w:eastAsia="等线"/>
          <w:sz w:val="24"/>
          <w:szCs w:val="24"/>
        </w:rPr>
      </w:pPr>
      <w:r>
        <w:rPr>
          <w:rFonts w:hint="eastAsia" w:ascii="Times New Roman" w:hAnsi="Times New Roman" w:eastAsia="等线"/>
          <w:sz w:val="24"/>
          <w:szCs w:val="24"/>
        </w:rPr>
        <w:t>Arginine,</w:t>
      </w:r>
      <w:r>
        <w:rPr>
          <w:rFonts w:hint="eastAsia" w:ascii="Times New Roman" w:hAnsi="Times New Roman" w:cs="Times New Roman"/>
          <w:sz w:val="24"/>
          <w:szCs w:val="24"/>
        </w:rPr>
        <w:t xml:space="preserve"> </w:t>
      </w:r>
      <w:r>
        <w:rPr>
          <w:rFonts w:hint="eastAsia" w:ascii="Times New Roman" w:hAnsi="Times New Roman" w:eastAsia="等线"/>
          <w:sz w:val="24"/>
          <w:szCs w:val="24"/>
        </w:rPr>
        <w:t>fluorescein isothiocyanate (FITC),</w:t>
      </w:r>
      <w:r>
        <w:rPr>
          <w:rFonts w:ascii="Times New Roman" w:hAnsi="Times New Roman" w:eastAsia="等线"/>
          <w:sz w:val="24"/>
          <w:szCs w:val="24"/>
        </w:rPr>
        <w:t xml:space="preserve"> </w:t>
      </w:r>
      <w:r>
        <w:rPr>
          <w:rFonts w:hint="eastAsia" w:ascii="Times New Roman" w:hAnsi="Times New Roman" w:cs="Times New Roman"/>
          <w:sz w:val="24"/>
          <w:szCs w:val="24"/>
        </w:rPr>
        <w:t>and 2,2-diphenyl-1-picrylhydrazyl (DPPH)</w:t>
      </w:r>
      <w:r>
        <w:rPr>
          <w:rFonts w:hint="eastAsia" w:ascii="Times New Roman" w:hAnsi="Times New Roman" w:eastAsia="等线"/>
          <w:sz w:val="24"/>
          <w:szCs w:val="24"/>
        </w:rPr>
        <w:t xml:space="preserve"> </w:t>
      </w:r>
      <w:bookmarkStart w:id="6" w:name="_Hlk219304848"/>
      <w:r>
        <w:rPr>
          <w:rFonts w:ascii="Times New Roman" w:hAnsi="Times New Roman" w:eastAsia="等线"/>
          <w:sz w:val="24"/>
          <w:szCs w:val="24"/>
        </w:rPr>
        <w:t>were obtained from Macklin Biochemical Co., Ltd. (Shanghai, China).</w:t>
      </w:r>
      <w:bookmarkEnd w:id="6"/>
      <w:r>
        <w:rPr>
          <w:rFonts w:hint="eastAsia" w:ascii="Times New Roman" w:hAnsi="Times New Roman" w:eastAsia="等线"/>
          <w:sz w:val="24"/>
          <w:szCs w:val="24"/>
        </w:rPr>
        <w:t xml:space="preserve"> FeCl</w:t>
      </w:r>
      <w:r>
        <w:rPr>
          <w:rFonts w:hint="eastAsia" w:ascii="Times New Roman" w:hAnsi="Times New Roman" w:eastAsia="等线"/>
          <w:sz w:val="24"/>
          <w:szCs w:val="24"/>
          <w:vertAlign w:val="subscript"/>
        </w:rPr>
        <w:t>3</w:t>
      </w:r>
      <w:r>
        <w:rPr>
          <w:rFonts w:hint="eastAsia" w:ascii="Times New Roman" w:hAnsi="Times New Roman" w:eastAsia="等线"/>
          <w:sz w:val="24"/>
          <w:szCs w:val="24"/>
        </w:rPr>
        <w:t xml:space="preserve"> and tetracycline hydrochloride (TC) were purchased from </w:t>
      </w:r>
      <w:r>
        <w:rPr>
          <w:rFonts w:hint="eastAsia" w:ascii="Times New Roman" w:hAnsi="Times New Roman" w:eastAsia="楷体" w:cs="Times New Roman"/>
          <w:color w:val="000000" w:themeColor="text1"/>
          <w:sz w:val="24"/>
          <w:szCs w:val="24"/>
          <w14:textFill>
            <w14:solidFill>
              <w14:schemeClr w14:val="tx1"/>
            </w14:solidFill>
          </w14:textFill>
        </w:rPr>
        <w:t>Aladdin Biochemical Technology Co., Ltd. (Shanghai, China).</w:t>
      </w:r>
      <w:r>
        <w:rPr>
          <w:rFonts w:hint="eastAsia" w:ascii="Times New Roman" w:hAnsi="Times New Roman" w:eastAsia="等线"/>
          <w:sz w:val="24"/>
          <w:szCs w:val="24"/>
        </w:rPr>
        <w:t xml:space="preserve"> Oxytetracycline hydrochloride (OTC), chlortetracycline hydrochloride (CTC), doxycycline hydrochloride (DC), and </w:t>
      </w:r>
      <w:r>
        <w:rPr>
          <w:rFonts w:ascii="Times New Roman" w:hAnsi="Times New Roman" w:eastAsia="等线"/>
          <w:sz w:val="24"/>
          <w:szCs w:val="24"/>
        </w:rPr>
        <w:t>lumbrokinase</w:t>
      </w:r>
      <w:r>
        <w:rPr>
          <w:rFonts w:hint="eastAsia" w:ascii="Times New Roman" w:hAnsi="Times New Roman" w:eastAsia="等线"/>
          <w:sz w:val="24"/>
          <w:szCs w:val="24"/>
        </w:rPr>
        <w:t xml:space="preserve"> (LK) were purchased from Yuanye Bio-Technology Co., Ltd. (Shanghai, China).</w:t>
      </w:r>
      <w:bookmarkStart w:id="7" w:name="OLE_LINK6"/>
      <w:r>
        <w:rPr>
          <w:rFonts w:hint="eastAsia" w:ascii="Times New Roman" w:hAnsi="Times New Roman" w:eastAsia="等线"/>
          <w:sz w:val="24"/>
          <w:szCs w:val="24"/>
        </w:rPr>
        <w:t xml:space="preserve"> maleimide-terminated polyethylene glycol-conjugated distearyl phosphatidyl ethanolamine (DSPE</w:t>
      </w:r>
      <w:bookmarkEnd w:id="7"/>
      <w:r>
        <w:rPr>
          <w:rFonts w:hint="eastAsia" w:ascii="Times New Roman" w:hAnsi="Times New Roman" w:eastAsia="等线"/>
          <w:sz w:val="24"/>
          <w:szCs w:val="24"/>
        </w:rPr>
        <w:t xml:space="preserve">-PEG200-Mal) was </w:t>
      </w:r>
      <w:r>
        <w:rPr>
          <w:rFonts w:ascii="Times New Roman" w:hAnsi="Times New Roman" w:eastAsia="等线"/>
          <w:sz w:val="24"/>
          <w:szCs w:val="24"/>
        </w:rPr>
        <w:t>obtained from</w:t>
      </w:r>
      <w:r>
        <w:rPr>
          <w:rFonts w:hint="eastAsia" w:ascii="Times New Roman" w:hAnsi="Times New Roman" w:eastAsia="等线"/>
          <w:sz w:val="24"/>
          <w:szCs w:val="24"/>
        </w:rPr>
        <w:t xml:space="preserve"> Yusi Medical Technology Co., Ltd. (Chongqing, China). Purified anti-mouse/rat CD62P (P-selectin) Antibody and FITC anti-human CD11b were obtained from BioLegend </w:t>
      </w:r>
      <w:r>
        <w:rPr>
          <w:rFonts w:ascii="Times New Roman" w:hAnsi="Times New Roman" w:eastAsia="等线"/>
          <w:sz w:val="24"/>
          <w:szCs w:val="24"/>
        </w:rPr>
        <w:t>Co., Ltd</w:t>
      </w:r>
      <w:r>
        <w:rPr>
          <w:rFonts w:hint="eastAsia" w:ascii="Times New Roman" w:hAnsi="Times New Roman" w:eastAsia="等线"/>
          <w:sz w:val="24"/>
          <w:szCs w:val="24"/>
        </w:rPr>
        <w:t>. (USA). Goat Anti-Mouse IgG H&amp;L (Alexa Fluor</w:t>
      </w:r>
      <w:bookmarkStart w:id="8" w:name="_Hlk177572657"/>
      <w:r>
        <w:rPr>
          <w:rFonts w:hint="eastAsia" w:ascii="Times New Roman" w:hAnsi="Times New Roman" w:eastAsia="等线"/>
          <w:sz w:val="24"/>
          <w:szCs w:val="24"/>
          <w:vertAlign w:val="superscript"/>
        </w:rPr>
        <w:t>®</w:t>
      </w:r>
      <w:bookmarkEnd w:id="8"/>
      <w:r>
        <w:rPr>
          <w:rFonts w:hint="eastAsia" w:ascii="Times New Roman" w:hAnsi="Times New Roman" w:eastAsia="等线"/>
          <w:sz w:val="24"/>
          <w:szCs w:val="24"/>
        </w:rPr>
        <w:t xml:space="preserve"> 555) was obtained from </w:t>
      </w:r>
      <w:r>
        <w:rPr>
          <w:rFonts w:ascii="Times New Roman" w:hAnsi="Times New Roman" w:eastAsia="等线"/>
          <w:sz w:val="24"/>
          <w:szCs w:val="24"/>
        </w:rPr>
        <w:t>Abcam</w:t>
      </w:r>
      <w:r>
        <w:rPr>
          <w:rFonts w:hint="eastAsia" w:ascii="Times New Roman" w:hAnsi="Times New Roman" w:eastAsia="等线"/>
          <w:sz w:val="24"/>
          <w:szCs w:val="24"/>
        </w:rPr>
        <w:t xml:space="preserve"> Biotechnology Co., Ltd. (USA). Thrombin was</w:t>
      </w:r>
      <w:r>
        <w:rPr>
          <w:rFonts w:ascii="Times New Roman" w:hAnsi="Times New Roman" w:eastAsia="等线" w:cs="Times New Roman"/>
          <w:sz w:val="24"/>
          <w:szCs w:val="24"/>
        </w:rPr>
        <w:t xml:space="preserve"> </w:t>
      </w:r>
      <w:r>
        <w:rPr>
          <w:rFonts w:hint="eastAsia" w:ascii="Times New Roman" w:hAnsi="Times New Roman" w:eastAsia="等线" w:cs="Times New Roman"/>
          <w:sz w:val="24"/>
          <w:szCs w:val="24"/>
        </w:rPr>
        <w:t>obtained</w:t>
      </w:r>
      <w:r>
        <w:rPr>
          <w:rFonts w:ascii="Times New Roman" w:hAnsi="Times New Roman" w:eastAsia="等线" w:cs="Times New Roman"/>
          <w:sz w:val="24"/>
          <w:szCs w:val="24"/>
        </w:rPr>
        <w:t xml:space="preserve"> </w:t>
      </w:r>
      <w:r>
        <w:rPr>
          <w:rFonts w:ascii="Times New Roman" w:hAnsi="Times New Roman" w:cs="Times New Roman"/>
          <w:color w:val="000000" w:themeColor="text1"/>
          <w:sz w:val="24"/>
          <w14:textFill>
            <w14:solidFill>
              <w14:schemeClr w14:val="tx1"/>
            </w14:solidFill>
          </w14:textFill>
        </w:rPr>
        <w:t>from Sigma</w:t>
      </w:r>
      <w:r>
        <w:rPr>
          <w:rFonts w:hint="eastAsia" w:ascii="Times New Roman" w:hAnsi="Times New Roman" w:eastAsia="等线"/>
          <w:sz w:val="24"/>
          <w:szCs w:val="24"/>
        </w:rPr>
        <w:t xml:space="preserve"> </w:t>
      </w:r>
      <w:r>
        <w:rPr>
          <w:rFonts w:ascii="Times New Roman" w:hAnsi="Times New Roman" w:eastAsia="等线"/>
          <w:sz w:val="24"/>
          <w:szCs w:val="24"/>
        </w:rPr>
        <w:t>Co., Ltd</w:t>
      </w:r>
      <w:r>
        <w:rPr>
          <w:rFonts w:hint="eastAsia" w:ascii="Times New Roman" w:hAnsi="Times New Roman" w:eastAsia="等线"/>
          <w:sz w:val="24"/>
          <w:szCs w:val="24"/>
        </w:rPr>
        <w:t>. (USA). Reactive oxygen species assay kit, c</w:t>
      </w:r>
      <w:r>
        <w:rPr>
          <w:rFonts w:ascii="Times New Roman" w:hAnsi="Times New Roman" w:eastAsia="等线"/>
          <w:sz w:val="24"/>
          <w:szCs w:val="24"/>
        </w:rPr>
        <w:t>ell counting kit-8</w:t>
      </w:r>
      <w:r>
        <w:rPr>
          <w:rFonts w:hint="eastAsia" w:ascii="Times New Roman" w:hAnsi="Times New Roman" w:eastAsia="等线"/>
          <w:sz w:val="24"/>
          <w:szCs w:val="24"/>
        </w:rPr>
        <w:t xml:space="preserve">, and phorbol 12-myristate 13-acetate (PMA) were purchased from yeasen </w:t>
      </w:r>
      <w:bookmarkStart w:id="9" w:name="_Hlk177565117"/>
      <w:r>
        <w:rPr>
          <w:rFonts w:hint="eastAsia" w:ascii="Times New Roman" w:hAnsi="Times New Roman" w:eastAsia="等线"/>
          <w:sz w:val="24"/>
          <w:szCs w:val="24"/>
        </w:rPr>
        <w:t>Biotechnology Co., Ltd.</w:t>
      </w:r>
      <w:bookmarkEnd w:id="9"/>
      <w:r>
        <w:rPr>
          <w:rFonts w:hint="eastAsia" w:ascii="Times New Roman" w:hAnsi="Times New Roman" w:eastAsia="等线"/>
          <w:sz w:val="24"/>
          <w:szCs w:val="24"/>
        </w:rPr>
        <w:t xml:space="preserve"> (Shanghai, China). Human peripheral blood neutrophil isolation kit was purchased from Solarbio Technology Co., Ltd. (Beijing, China). Collagent was obtained from Chrono-Log (USA). DAPI fluoromount-G</w:t>
      </w:r>
      <w:r>
        <w:rPr>
          <w:rFonts w:hint="eastAsia" w:ascii="Times New Roman" w:hAnsi="Times New Roman" w:eastAsia="等线"/>
          <w:sz w:val="24"/>
          <w:szCs w:val="24"/>
          <w:vertAlign w:val="superscript"/>
        </w:rPr>
        <w:t>®</w:t>
      </w:r>
      <w:r>
        <w:rPr>
          <w:rFonts w:hint="eastAsia" w:ascii="Times New Roman" w:hAnsi="Times New Roman" w:eastAsia="等线"/>
          <w:sz w:val="24"/>
          <w:szCs w:val="24"/>
        </w:rPr>
        <w:t xml:space="preserve"> was obtained from SouthernBiotech (USA). </w:t>
      </w:r>
      <w:r>
        <w:rPr>
          <w:rFonts w:ascii="Times New Roman" w:hAnsi="Times New Roman" w:eastAsia="等线"/>
          <w:sz w:val="24"/>
          <w:szCs w:val="24"/>
        </w:rPr>
        <w:t>Dulbecco’s modified Eagle’s media (DME</w:t>
      </w:r>
      <w:r>
        <w:rPr>
          <w:rFonts w:ascii="Times New Roman" w:hAnsi="Times New Roman" w:eastAsia="等线" w:cs="Times New Roman"/>
          <w:sz w:val="24"/>
          <w:szCs w:val="24"/>
        </w:rPr>
        <w:t>M) medium</w:t>
      </w:r>
      <w:r>
        <w:rPr>
          <w:rFonts w:ascii="Times New Roman" w:hAnsi="Times New Roman" w:cs="Times New Roman"/>
          <w:sz w:val="24"/>
          <w:szCs w:val="24"/>
        </w:rPr>
        <w:t xml:space="preserve"> </w:t>
      </w:r>
      <w:r>
        <w:rPr>
          <w:rFonts w:ascii="Times New Roman" w:hAnsi="Times New Roman" w:eastAsia="等线"/>
          <w:sz w:val="24"/>
          <w:szCs w:val="24"/>
        </w:rPr>
        <w:t>w</w:t>
      </w:r>
      <w:r>
        <w:rPr>
          <w:rFonts w:hint="eastAsia" w:ascii="Times New Roman" w:hAnsi="Times New Roman" w:eastAsia="等线"/>
          <w:sz w:val="24"/>
          <w:szCs w:val="24"/>
        </w:rPr>
        <w:t>as</w:t>
      </w:r>
      <w:r>
        <w:rPr>
          <w:rFonts w:ascii="Times New Roman" w:hAnsi="Times New Roman" w:eastAsia="等线"/>
          <w:sz w:val="24"/>
          <w:szCs w:val="24"/>
        </w:rPr>
        <w:t xml:space="preserve"> purchased from Gibco. Phosphate buffered saline (PBS), penicillin and streptomycin</w:t>
      </w:r>
      <w:r>
        <w:rPr>
          <w:rFonts w:hint="eastAsia" w:ascii="Times New Roman" w:hAnsi="Times New Roman" w:eastAsia="等线"/>
          <w:sz w:val="24"/>
          <w:szCs w:val="24"/>
        </w:rPr>
        <w:t xml:space="preserve"> </w:t>
      </w:r>
      <w:r>
        <w:rPr>
          <w:rFonts w:ascii="Times New Roman" w:hAnsi="Times New Roman" w:eastAsia="等线"/>
          <w:sz w:val="24"/>
          <w:szCs w:val="24"/>
        </w:rPr>
        <w:t>were purchased from Invitrogen. Fetal bovine serum (FBS)</w:t>
      </w:r>
      <w:r>
        <w:rPr>
          <w:rFonts w:hint="eastAsia" w:ascii="Times New Roman" w:hAnsi="Times New Roman" w:eastAsia="等线"/>
          <w:sz w:val="24"/>
          <w:szCs w:val="24"/>
        </w:rPr>
        <w:t>,</w:t>
      </w:r>
      <w:r>
        <w:rPr>
          <w:rFonts w:ascii="Times New Roman" w:hAnsi="Times New Roman" w:eastAsia="等线"/>
          <w:sz w:val="24"/>
          <w:szCs w:val="24"/>
        </w:rPr>
        <w:t xml:space="preserve"> trypsin-EDTA</w:t>
      </w:r>
      <w:r>
        <w:rPr>
          <w:rFonts w:hint="eastAsia" w:ascii="Times New Roman" w:hAnsi="Times New Roman" w:eastAsia="等线"/>
          <w:sz w:val="24"/>
          <w:szCs w:val="24"/>
        </w:rPr>
        <w:t>,</w:t>
      </w:r>
      <w:r>
        <w:rPr>
          <w:rFonts w:ascii="Times New Roman" w:hAnsi="Times New Roman" w:eastAsia="等线"/>
          <w:sz w:val="24"/>
          <w:szCs w:val="24"/>
        </w:rPr>
        <w:t xml:space="preserve"> and</w:t>
      </w:r>
      <w:r>
        <w:t xml:space="preserve"> </w:t>
      </w:r>
      <w:r>
        <w:rPr>
          <w:rFonts w:hint="eastAsia" w:ascii="Times New Roman" w:hAnsi="Times New Roman" w:cs="Times New Roman"/>
          <w:sz w:val="24"/>
          <w:szCs w:val="24"/>
        </w:rPr>
        <w:t>c</w:t>
      </w:r>
      <w:r>
        <w:rPr>
          <w:rFonts w:ascii="Times New Roman" w:hAnsi="Times New Roman" w:cs="Times New Roman"/>
          <w:sz w:val="24"/>
          <w:szCs w:val="24"/>
        </w:rPr>
        <w:t xml:space="preserve">alcein AM </w:t>
      </w:r>
      <w:r>
        <w:rPr>
          <w:rFonts w:ascii="Times New Roman" w:hAnsi="Times New Roman" w:eastAsia="等线" w:cs="Times New Roman"/>
          <w:sz w:val="24"/>
          <w:szCs w:val="24"/>
        </w:rPr>
        <w:t>w</w:t>
      </w:r>
      <w:r>
        <w:rPr>
          <w:rFonts w:ascii="Times New Roman" w:hAnsi="Times New Roman" w:eastAsia="等线"/>
          <w:sz w:val="24"/>
          <w:szCs w:val="24"/>
        </w:rPr>
        <w:t>ere obtained from Thermo Fisher Scientific.</w:t>
      </w:r>
      <w:r>
        <w:rPr>
          <w:rFonts w:hint="eastAsia" w:ascii="Times New Roman" w:hAnsi="Times New Roman" w:eastAsia="等线"/>
          <w:sz w:val="24"/>
          <w:szCs w:val="24"/>
        </w:rPr>
        <w:t xml:space="preserve"> </w:t>
      </w:r>
      <w:r>
        <w:rPr>
          <w:rFonts w:ascii="Times New Roman" w:hAnsi="Times New Roman" w:eastAsia="等线"/>
          <w:sz w:val="24"/>
          <w:szCs w:val="24"/>
        </w:rPr>
        <w:t>Deionized water (18 Ω·cm) was obtained from a Milli-Q purification system (Millipore, Molsheim, France).</w:t>
      </w:r>
    </w:p>
    <w:p w14:paraId="0907AAC8">
      <w:pPr>
        <w:spacing w:line="480" w:lineRule="auto"/>
        <w:ind w:firstLine="480" w:firstLineChars="200"/>
        <w:rPr>
          <w:rFonts w:ascii="Times New Roman" w:hAnsi="Times New Roman" w:eastAsia="等线"/>
          <w:sz w:val="24"/>
          <w:szCs w:val="24"/>
        </w:rPr>
      </w:pPr>
      <w:r>
        <w:rPr>
          <w:rFonts w:ascii="Times New Roman" w:hAnsi="Times New Roman" w:eastAsia="等线"/>
          <w:sz w:val="24"/>
          <w:szCs w:val="24"/>
        </w:rPr>
        <w:t>Powder X-ray diffraction (PXRD) pattern was obtained on a D8 Advance diffractometer (Bruker AXS, Germany) to characterize the structure of MOFs. A Fourier transform infrared (FT-IR) spectrometer (PerkinElmer, USA) was used to obtain the FT-IR spectra. The morphology and size of MOFs were observed by JEM-2100 transmission electron microscopy (TEM, JEOL, Japan). The elemental analysis of MOFs was performed on K-Alpha X-ray photoelectron spectroscopy (XPS, Thermo, USA). The excitation and emission spectra were tested on an FL-4700 fluorescence spectrometer (Hitachi, Japan), and the ultraviolet spectrum was measured by ‌SpectraMax M2 spectrometer (Molecular Devices, USA). Zeta potential and hydrodynamic diameter were obtained by ZSP Nano Zetasizer (Malvern, UK). Fluorescence images were collected on a Leica-LCS-SP8-STED confocal laser scanning microscope (Leica, Germany).</w:t>
      </w:r>
    </w:p>
    <w:p w14:paraId="643F5285">
      <w:pPr>
        <w:spacing w:line="480" w:lineRule="auto"/>
        <w:rPr>
          <w:rFonts w:ascii="Times New Roman" w:hAnsi="Times New Roman" w:cs="Times New Roman"/>
          <w:b/>
          <w:bCs/>
          <w:sz w:val="24"/>
          <w:szCs w:val="24"/>
        </w:rPr>
      </w:pPr>
      <w:r>
        <w:rPr>
          <w:rFonts w:ascii="Times New Roman" w:hAnsi="Times New Roman" w:cs="Times New Roman"/>
          <w:b/>
          <w:bCs/>
          <w:sz w:val="24"/>
          <w:szCs w:val="24"/>
        </w:rPr>
        <w:t>Synthesis of</w:t>
      </w:r>
      <w:r>
        <w:rPr>
          <w:rFonts w:hint="eastAsia" w:ascii="Times New Roman" w:hAnsi="Times New Roman" w:cs="Times New Roman"/>
          <w:b/>
          <w:bCs/>
          <w:sz w:val="24"/>
          <w:szCs w:val="24"/>
        </w:rPr>
        <w:t xml:space="preserve"> Eu-MOFs </w:t>
      </w:r>
    </w:p>
    <w:p w14:paraId="6C4DA6D5">
      <w:pPr>
        <w:spacing w:line="480" w:lineRule="auto"/>
        <w:ind w:firstLine="480" w:firstLineChars="200"/>
        <w:rPr>
          <w:rFonts w:ascii="Times New Roman" w:hAnsi="Times New Roman" w:cs="Times New Roman"/>
          <w:i/>
          <w:iCs/>
          <w:sz w:val="24"/>
          <w:szCs w:val="24"/>
        </w:rPr>
      </w:pPr>
      <w:bookmarkStart w:id="10" w:name="_Hlk219305389"/>
      <w:r>
        <w:rPr>
          <w:rFonts w:hint="eastAsia" w:ascii="Times New Roman" w:hAnsi="Times New Roman" w:cs="Times New Roman"/>
          <w:sz w:val="24"/>
          <w:szCs w:val="24"/>
        </w:rPr>
        <w:t>Eu-MOFs were synthesized according to the modifying methods as previously reported</w:t>
      </w:r>
      <w:r>
        <w:rPr>
          <w:rFonts w:hint="eastAsia" w:ascii="Times New Roman" w:hAnsi="Times New Roman" w:cs="Times New Roman"/>
          <w:color w:val="FF0000"/>
          <w:sz w:val="24"/>
          <w:szCs w:val="24"/>
        </w:rPr>
        <w:t xml:space="preserve"> </w:t>
      </w:r>
      <w:r>
        <w:rPr>
          <w:rFonts w:hint="eastAsia" w:ascii="Times New Roman" w:hAnsi="Times New Roman" w:cs="Times New Roman"/>
          <w:sz w:val="24"/>
          <w:szCs w:val="24"/>
        </w:rPr>
        <w:t>[</w:t>
      </w:r>
      <w:r>
        <w:rPr>
          <w:rFonts w:hint="eastAsia" w:ascii="Times New Roman" w:hAnsi="Times New Roman" w:eastAsia="楷体" w:cs="Times New Roman"/>
          <w:iCs/>
          <w:color w:val="4472C4" w:themeColor="accent1"/>
          <w:sz w:val="24"/>
          <w:szCs w:val="24"/>
          <w14:textFill>
            <w14:solidFill>
              <w14:schemeClr w14:val="accent1"/>
            </w14:solidFill>
          </w14:textFill>
          <w14:ligatures w14:val="none"/>
        </w:rPr>
        <w:t>29</w:t>
      </w:r>
      <w:r>
        <w:rPr>
          <w:rFonts w:hint="eastAsia" w:ascii="Times New Roman" w:hAnsi="Times New Roman" w:eastAsia="楷体" w:cs="Times New Roman"/>
          <w:i/>
          <w:sz w:val="24"/>
          <w:szCs w:val="24"/>
          <w14:ligatures w14:val="none"/>
        </w:rPr>
        <w:t>,</w:t>
      </w:r>
      <w:r>
        <w:rPr>
          <w:rFonts w:hint="eastAsia" w:ascii="Times New Roman" w:hAnsi="Times New Roman" w:eastAsia="楷体" w:cs="Times New Roman"/>
          <w:i/>
          <w:color w:val="4472C4" w:themeColor="accent1"/>
          <w:sz w:val="24"/>
          <w:szCs w:val="24"/>
          <w14:textFill>
            <w14:solidFill>
              <w14:schemeClr w14:val="accent1"/>
            </w14:solidFill>
          </w14:textFill>
          <w14:ligatures w14:val="none"/>
        </w:rPr>
        <w:t xml:space="preserve"> </w:t>
      </w:r>
      <w:r>
        <w:rPr>
          <w:rFonts w:hint="eastAsia" w:ascii="Times New Roman" w:hAnsi="Times New Roman" w:eastAsia="楷体" w:cs="Times New Roman"/>
          <w:iCs/>
          <w:color w:val="4472C4" w:themeColor="accent1"/>
          <w:sz w:val="24"/>
          <w:szCs w:val="24"/>
          <w14:textFill>
            <w14:solidFill>
              <w14:schemeClr w14:val="accent1"/>
            </w14:solidFill>
          </w14:textFill>
          <w14:ligatures w14:val="none"/>
        </w:rPr>
        <w:t>30</w:t>
      </w:r>
      <w:r>
        <w:rPr>
          <w:rFonts w:hint="eastAsia" w:ascii="Times New Roman" w:hAnsi="Times New Roman" w:eastAsia="楷体" w:cs="Times New Roman"/>
          <w:sz w:val="24"/>
          <w:szCs w:val="24"/>
        </w:rPr>
        <w:t>]</w:t>
      </w:r>
      <w:r>
        <w:rPr>
          <w:rFonts w:hint="eastAsia" w:ascii="Times New Roman" w:hAnsi="Times New Roman" w:cs="Times New Roman"/>
          <w:i/>
          <w:iCs/>
          <w:sz w:val="24"/>
          <w:szCs w:val="24"/>
        </w:rPr>
        <w:t>.</w:t>
      </w:r>
    </w:p>
    <w:bookmarkEnd w:id="10"/>
    <w:p w14:paraId="7A063682">
      <w:pPr>
        <w:spacing w:line="480" w:lineRule="auto"/>
        <w:ind w:firstLine="480" w:firstLineChars="200"/>
        <w:rPr>
          <w:rFonts w:ascii="Times New Roman" w:hAnsi="Times New Roman" w:cs="Times New Roman"/>
          <w:i/>
          <w:iCs/>
          <w:sz w:val="24"/>
          <w:szCs w:val="24"/>
        </w:rPr>
      </w:pPr>
      <w:r>
        <w:rPr>
          <w:rFonts w:hint="eastAsia" w:ascii="Times New Roman" w:hAnsi="Times New Roman" w:cs="Times New Roman"/>
          <w:i/>
          <w:iCs/>
          <w:sz w:val="24"/>
          <w:szCs w:val="24"/>
        </w:rPr>
        <w:t>Synthesis of Ce/Eu-BTC.</w:t>
      </w:r>
      <w:r>
        <w:rPr>
          <w:rFonts w:hint="eastAsia" w:ascii="Times New Roman" w:hAnsi="Times New Roman" w:cs="Times New Roman"/>
          <w:sz w:val="24"/>
          <w:szCs w:val="24"/>
        </w:rPr>
        <w:t xml:space="preserve"> First, the ligand H</w:t>
      </w:r>
      <w:r>
        <w:rPr>
          <w:rFonts w:hint="eastAsia" w:ascii="Times New Roman" w:hAnsi="Times New Roman" w:cs="Times New Roman"/>
          <w:sz w:val="24"/>
          <w:szCs w:val="24"/>
          <w:vertAlign w:val="subscript"/>
        </w:rPr>
        <w:t>3</w:t>
      </w:r>
      <w:r>
        <w:rPr>
          <w:rFonts w:hint="eastAsia" w:ascii="Times New Roman" w:hAnsi="Times New Roman" w:cs="Times New Roman"/>
          <w:sz w:val="24"/>
          <w:szCs w:val="24"/>
        </w:rPr>
        <w:t>BTC (105.1 mg, 0.5 mmol) was dissolved in 3 mL of DMF, (NH</w:t>
      </w:r>
      <w:r>
        <w:rPr>
          <w:rFonts w:hint="eastAsia" w:ascii="Times New Roman" w:hAnsi="Times New Roman" w:cs="Times New Roman"/>
          <w:sz w:val="24"/>
          <w:szCs w:val="24"/>
          <w:vertAlign w:val="subscript"/>
        </w:rPr>
        <w:t>4</w:t>
      </w:r>
      <w:r>
        <w:rPr>
          <w:rFonts w:hint="eastAsia" w:ascii="Times New Roman" w:hAnsi="Times New Roman" w:cs="Times New Roman"/>
          <w:sz w:val="24"/>
          <w:szCs w:val="24"/>
        </w:rPr>
        <w:t>)</w:t>
      </w:r>
      <w:r>
        <w:rPr>
          <w:rFonts w:hint="eastAsia" w:ascii="Times New Roman" w:hAnsi="Times New Roman" w:cs="Times New Roman"/>
          <w:sz w:val="24"/>
          <w:szCs w:val="24"/>
          <w:vertAlign w:val="subscript"/>
        </w:rPr>
        <w:t>2</w:t>
      </w:r>
      <w:r>
        <w:rPr>
          <w:rFonts w:hint="eastAsia" w:ascii="Times New Roman" w:hAnsi="Times New Roman" w:cs="Times New Roman"/>
          <w:sz w:val="24"/>
          <w:szCs w:val="24"/>
        </w:rPr>
        <w:t>Ce(NO</w:t>
      </w:r>
      <w:r>
        <w:rPr>
          <w:rFonts w:hint="eastAsia" w:ascii="Times New Roman" w:hAnsi="Times New Roman" w:cs="Times New Roman"/>
          <w:sz w:val="24"/>
          <w:szCs w:val="24"/>
          <w:vertAlign w:val="subscript"/>
        </w:rPr>
        <w:t>3</w:t>
      </w:r>
      <w:r>
        <w:rPr>
          <w:rFonts w:hint="eastAsia" w:ascii="Times New Roman" w:hAnsi="Times New Roman" w:cs="Times New Roman"/>
          <w:sz w:val="24"/>
          <w:szCs w:val="24"/>
        </w:rPr>
        <w:t>)</w:t>
      </w:r>
      <w:r>
        <w:rPr>
          <w:rFonts w:hint="eastAsia" w:ascii="Times New Roman" w:hAnsi="Times New Roman" w:cs="Times New Roman"/>
          <w:sz w:val="24"/>
          <w:szCs w:val="24"/>
          <w:vertAlign w:val="subscript"/>
        </w:rPr>
        <w:t>6</w:t>
      </w:r>
      <w:r>
        <w:rPr>
          <w:rFonts w:hint="eastAsia" w:ascii="Times New Roman" w:hAnsi="Times New Roman" w:cs="Times New Roman"/>
          <w:sz w:val="24"/>
          <w:szCs w:val="24"/>
        </w:rPr>
        <w:t xml:space="preserve"> (145 mg, 0.25 mmol) and Eu(NO</w:t>
      </w:r>
      <w:r>
        <w:rPr>
          <w:rFonts w:hint="eastAsia" w:ascii="Times New Roman" w:hAnsi="Times New Roman" w:cs="Times New Roman"/>
          <w:sz w:val="24"/>
          <w:szCs w:val="24"/>
          <w:vertAlign w:val="subscript"/>
        </w:rPr>
        <w:t>3</w:t>
      </w:r>
      <w:r>
        <w:rPr>
          <w:rFonts w:hint="eastAsia" w:ascii="Times New Roman" w:hAnsi="Times New Roman" w:cs="Times New Roman"/>
          <w:sz w:val="24"/>
          <w:szCs w:val="24"/>
        </w:rPr>
        <w:t>)</w:t>
      </w:r>
      <w:r>
        <w:rPr>
          <w:rFonts w:hint="eastAsia" w:ascii="Times New Roman" w:hAnsi="Times New Roman" w:cs="Times New Roman"/>
          <w:sz w:val="24"/>
          <w:szCs w:val="24"/>
          <w:vertAlign w:val="subscript"/>
        </w:rPr>
        <w:t>3</w:t>
      </w:r>
      <w:r>
        <w:rPr>
          <w:rFonts w:hint="eastAsia" w:ascii="Times New Roman" w:hAnsi="Times New Roman" w:cs="Times New Roman"/>
          <w:sz w:val="24"/>
          <w:szCs w:val="24"/>
        </w:rPr>
        <w:t>·6H</w:t>
      </w:r>
      <w:r>
        <w:rPr>
          <w:rFonts w:hint="eastAsia" w:ascii="Times New Roman" w:hAnsi="Times New Roman" w:cs="Times New Roman"/>
          <w:sz w:val="24"/>
          <w:szCs w:val="24"/>
          <w:vertAlign w:val="subscript"/>
        </w:rPr>
        <w:t>2</w:t>
      </w:r>
      <w:r>
        <w:rPr>
          <w:rFonts w:hint="eastAsia" w:ascii="Times New Roman" w:hAnsi="Times New Roman" w:cs="Times New Roman"/>
          <w:sz w:val="24"/>
          <w:szCs w:val="24"/>
        </w:rPr>
        <w:t xml:space="preserve">O (111.5 mg, 0.25 mmol) were dissolved in 1 mL of deionized water. Then the above solutions were mixed. The mixture was transferred to a Teflon-lined stainless steel reactor, heated at 100°C for 1 hours, and naturally cooled to room temperature. </w:t>
      </w:r>
    </w:p>
    <w:p w14:paraId="5B660040">
      <w:pPr>
        <w:spacing w:line="480" w:lineRule="auto"/>
        <w:ind w:firstLine="480" w:firstLineChars="200"/>
        <w:rPr>
          <w:rFonts w:ascii="Times New Roman" w:hAnsi="Times New Roman" w:cs="Times New Roman"/>
          <w:sz w:val="24"/>
          <w:szCs w:val="24"/>
        </w:rPr>
      </w:pPr>
      <w:r>
        <w:rPr>
          <w:rFonts w:hint="eastAsia" w:ascii="Times New Roman" w:hAnsi="Times New Roman" w:cs="Times New Roman"/>
          <w:i/>
          <w:iCs/>
          <w:sz w:val="24"/>
          <w:szCs w:val="24"/>
        </w:rPr>
        <w:t>Synthesis of Ce/Eu-BTEC.</w:t>
      </w:r>
      <w:r>
        <w:rPr>
          <w:rFonts w:hint="eastAsia" w:ascii="Times New Roman" w:hAnsi="Times New Roman" w:cs="Times New Roman"/>
          <w:sz w:val="24"/>
          <w:szCs w:val="24"/>
        </w:rPr>
        <w:t xml:space="preserve"> First, H</w:t>
      </w:r>
      <w:r>
        <w:rPr>
          <w:rFonts w:hint="eastAsia" w:ascii="Times New Roman" w:hAnsi="Times New Roman" w:cs="Times New Roman"/>
          <w:sz w:val="24"/>
          <w:szCs w:val="24"/>
          <w:vertAlign w:val="subscript"/>
        </w:rPr>
        <w:t>4</w:t>
      </w:r>
      <w:r>
        <w:rPr>
          <w:rFonts w:hint="eastAsia" w:ascii="Times New Roman" w:hAnsi="Times New Roman" w:cs="Times New Roman"/>
          <w:sz w:val="24"/>
          <w:szCs w:val="24"/>
        </w:rPr>
        <w:t>BTEC (127.1 mg, 0.5 mmol) was dissolved in 3 mL of DMF, (NH</w:t>
      </w:r>
      <w:r>
        <w:rPr>
          <w:rFonts w:hint="eastAsia" w:ascii="Times New Roman" w:hAnsi="Times New Roman" w:cs="Times New Roman"/>
          <w:sz w:val="24"/>
          <w:szCs w:val="24"/>
          <w:vertAlign w:val="subscript"/>
        </w:rPr>
        <w:t>4</w:t>
      </w:r>
      <w:r>
        <w:rPr>
          <w:rFonts w:hint="eastAsia" w:ascii="Times New Roman" w:hAnsi="Times New Roman" w:cs="Times New Roman"/>
          <w:sz w:val="24"/>
          <w:szCs w:val="24"/>
        </w:rPr>
        <w:t>)</w:t>
      </w:r>
      <w:r>
        <w:rPr>
          <w:rFonts w:hint="eastAsia" w:ascii="Times New Roman" w:hAnsi="Times New Roman" w:cs="Times New Roman"/>
          <w:sz w:val="24"/>
          <w:szCs w:val="24"/>
          <w:vertAlign w:val="subscript"/>
        </w:rPr>
        <w:t>2</w:t>
      </w:r>
      <w:r>
        <w:rPr>
          <w:rFonts w:hint="eastAsia" w:ascii="Times New Roman" w:hAnsi="Times New Roman" w:cs="Times New Roman"/>
          <w:sz w:val="24"/>
          <w:szCs w:val="24"/>
        </w:rPr>
        <w:t>Ce(NO</w:t>
      </w:r>
      <w:r>
        <w:rPr>
          <w:rFonts w:hint="eastAsia" w:ascii="Times New Roman" w:hAnsi="Times New Roman" w:cs="Times New Roman"/>
          <w:sz w:val="24"/>
          <w:szCs w:val="24"/>
          <w:vertAlign w:val="subscript"/>
        </w:rPr>
        <w:t>3</w:t>
      </w:r>
      <w:r>
        <w:rPr>
          <w:rFonts w:hint="eastAsia" w:ascii="Times New Roman" w:hAnsi="Times New Roman" w:cs="Times New Roman"/>
          <w:sz w:val="24"/>
          <w:szCs w:val="24"/>
        </w:rPr>
        <w:t>)</w:t>
      </w:r>
      <w:r>
        <w:rPr>
          <w:rFonts w:hint="eastAsia" w:ascii="Times New Roman" w:hAnsi="Times New Roman" w:cs="Times New Roman"/>
          <w:sz w:val="24"/>
          <w:szCs w:val="24"/>
          <w:vertAlign w:val="subscript"/>
        </w:rPr>
        <w:t>6</w:t>
      </w:r>
      <w:r>
        <w:rPr>
          <w:rFonts w:hint="eastAsia" w:ascii="Times New Roman" w:hAnsi="Times New Roman" w:cs="Times New Roman"/>
          <w:sz w:val="24"/>
          <w:szCs w:val="24"/>
        </w:rPr>
        <w:t xml:space="preserve"> (145 mg, 0.25 mmol) and Eu(NO</w:t>
      </w:r>
      <w:r>
        <w:rPr>
          <w:rFonts w:hint="eastAsia" w:ascii="Times New Roman" w:hAnsi="Times New Roman" w:cs="Times New Roman"/>
          <w:sz w:val="24"/>
          <w:szCs w:val="24"/>
          <w:vertAlign w:val="subscript"/>
        </w:rPr>
        <w:t>3</w:t>
      </w:r>
      <w:r>
        <w:rPr>
          <w:rFonts w:hint="eastAsia" w:ascii="Times New Roman" w:hAnsi="Times New Roman" w:cs="Times New Roman"/>
          <w:sz w:val="24"/>
          <w:szCs w:val="24"/>
        </w:rPr>
        <w:t>)</w:t>
      </w:r>
      <w:r>
        <w:rPr>
          <w:rFonts w:hint="eastAsia" w:ascii="Times New Roman" w:hAnsi="Times New Roman" w:cs="Times New Roman"/>
          <w:sz w:val="24"/>
          <w:szCs w:val="24"/>
          <w:vertAlign w:val="subscript"/>
        </w:rPr>
        <w:t>3</w:t>
      </w:r>
      <w:r>
        <w:rPr>
          <w:rFonts w:hint="eastAsia" w:ascii="Times New Roman" w:hAnsi="Times New Roman" w:cs="Times New Roman"/>
          <w:sz w:val="24"/>
          <w:szCs w:val="24"/>
        </w:rPr>
        <w:t>·6H</w:t>
      </w:r>
      <w:r>
        <w:rPr>
          <w:rFonts w:hint="eastAsia" w:ascii="Times New Roman" w:hAnsi="Times New Roman" w:cs="Times New Roman"/>
          <w:sz w:val="24"/>
          <w:szCs w:val="24"/>
          <w:vertAlign w:val="subscript"/>
        </w:rPr>
        <w:t>2</w:t>
      </w:r>
      <w:r>
        <w:rPr>
          <w:rFonts w:hint="eastAsia" w:ascii="Times New Roman" w:hAnsi="Times New Roman" w:cs="Times New Roman"/>
          <w:sz w:val="24"/>
          <w:szCs w:val="24"/>
        </w:rPr>
        <w:t xml:space="preserve">O (111.5 mg, 0.25 mmol) were dissolved in 1 mL of deionized water. Then the above solutions were mixed. The mixture was transferred to a Teflon-lined stainless steel reactor, heated at 100°C for 1 hours, and naturally cooled to room temperature. </w:t>
      </w:r>
    </w:p>
    <w:p w14:paraId="73248E29">
      <w:pPr>
        <w:spacing w:line="48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 xml:space="preserve">After the reaction, the solid precipitates were separated from the solution by centrifugation, washed with </w:t>
      </w:r>
      <w:bookmarkStart w:id="11" w:name="_Hlk178112226"/>
      <w:r>
        <w:rPr>
          <w:rFonts w:hint="eastAsia" w:ascii="Times New Roman" w:hAnsi="Times New Roman" w:cs="Times New Roman"/>
          <w:sz w:val="24"/>
          <w:szCs w:val="24"/>
        </w:rPr>
        <w:t>ethanol and</w:t>
      </w:r>
      <w:bookmarkEnd w:id="11"/>
      <w:r>
        <w:rPr>
          <w:rFonts w:hint="eastAsia" w:ascii="Times New Roman" w:hAnsi="Times New Roman" w:cs="Times New Roman"/>
          <w:sz w:val="24"/>
          <w:szCs w:val="24"/>
        </w:rPr>
        <w:t xml:space="preserve"> deionized water twice, respectively, and freeze-dried overnight to obtain the corresponding MOF products.</w:t>
      </w:r>
    </w:p>
    <w:p w14:paraId="5C6E9ED9">
      <w:pPr>
        <w:spacing w:line="480" w:lineRule="auto"/>
        <w:rPr>
          <w:rFonts w:ascii="Times New Roman" w:hAnsi="Times New Roman" w:cs="Times New Roman"/>
          <w:b/>
          <w:bCs/>
          <w:sz w:val="24"/>
          <w:szCs w:val="24"/>
        </w:rPr>
      </w:pPr>
      <w:r>
        <w:rPr>
          <w:rFonts w:hint="eastAsia" w:ascii="Times New Roman" w:hAnsi="Times New Roman" w:cs="Times New Roman"/>
          <w:b/>
          <w:bCs/>
          <w:sz w:val="24"/>
          <w:szCs w:val="24"/>
        </w:rPr>
        <w:t xml:space="preserve">Selection of </w:t>
      </w:r>
      <w:r>
        <w:rPr>
          <w:rFonts w:ascii="Times New Roman" w:hAnsi="Times New Roman" w:cs="Times New Roman"/>
          <w:b/>
          <w:bCs/>
          <w:sz w:val="24"/>
          <w:szCs w:val="24"/>
        </w:rPr>
        <w:t>tetracycline-</w:t>
      </w:r>
      <w:r>
        <w:rPr>
          <w:rFonts w:hint="eastAsia" w:ascii="Times New Roman" w:hAnsi="Times New Roman" w:cs="Times New Roman"/>
          <w:b/>
          <w:bCs/>
          <w:sz w:val="24"/>
          <w:szCs w:val="24"/>
        </w:rPr>
        <w:t>class ligands</w:t>
      </w:r>
    </w:p>
    <w:p w14:paraId="1AD0D0AA">
      <w:pPr>
        <w:spacing w:line="48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Doxycycline hydrochloride (DC), Oxytetracycline hydrochloride (OTC), tetracycline hydrochloride (TC), and chlortetracycline hydrochloride (CTC) were selected as candidate ligand to sensitize Eu</w:t>
      </w:r>
      <w:r>
        <w:rPr>
          <w:rFonts w:hint="eastAsia" w:ascii="Times New Roman" w:hAnsi="Times New Roman" w:cs="Times New Roman"/>
          <w:sz w:val="24"/>
          <w:szCs w:val="24"/>
          <w:vertAlign w:val="superscript"/>
        </w:rPr>
        <w:t>3+</w:t>
      </w:r>
      <w:r>
        <w:rPr>
          <w:rFonts w:hint="eastAsia" w:ascii="Times New Roman" w:hAnsi="Times New Roman" w:cs="Times New Roman"/>
          <w:sz w:val="24"/>
          <w:szCs w:val="24"/>
        </w:rPr>
        <w:t xml:space="preserve"> luminescence. </w:t>
      </w:r>
      <w:r>
        <w:rPr>
          <w:rFonts w:ascii="Times New Roman" w:hAnsi="Times New Roman" w:cs="Times New Roman"/>
          <w:sz w:val="24"/>
          <w:szCs w:val="24"/>
        </w:rPr>
        <w:t>100 μL of Ce/Eu-BDC aqueous solution (20 mg mL</w:t>
      </w:r>
      <w:r>
        <w:rPr>
          <w:rFonts w:ascii="Times New Roman" w:hAnsi="Times New Roman" w:cs="Times New Roman"/>
          <w:sz w:val="24"/>
          <w:szCs w:val="24"/>
          <w:vertAlign w:val="superscript"/>
        </w:rPr>
        <w:t>-1</w:t>
      </w:r>
      <w:r>
        <w:rPr>
          <w:rFonts w:ascii="Times New Roman" w:hAnsi="Times New Roman" w:cs="Times New Roman"/>
          <w:sz w:val="24"/>
          <w:szCs w:val="24"/>
        </w:rPr>
        <w:t xml:space="preserve">), 100 μL of </w:t>
      </w:r>
      <w:r>
        <w:rPr>
          <w:rFonts w:hint="eastAsia" w:ascii="Times New Roman" w:hAnsi="Times New Roman" w:cs="Times New Roman"/>
          <w:sz w:val="24"/>
          <w:szCs w:val="24"/>
        </w:rPr>
        <w:t xml:space="preserve">different kinds of tetracyclines </w:t>
      </w:r>
      <w:r>
        <w:rPr>
          <w:rFonts w:ascii="Times New Roman" w:hAnsi="Times New Roman" w:cs="Times New Roman"/>
          <w:sz w:val="24"/>
          <w:szCs w:val="24"/>
        </w:rPr>
        <w:t>aqueous solution (10 mg mL</w:t>
      </w:r>
      <w:r>
        <w:rPr>
          <w:rFonts w:ascii="Times New Roman" w:hAnsi="Times New Roman" w:cs="Times New Roman"/>
          <w:sz w:val="24"/>
          <w:szCs w:val="24"/>
          <w:vertAlign w:val="superscript"/>
        </w:rPr>
        <w:t>-1</w:t>
      </w:r>
      <w:r>
        <w:rPr>
          <w:rFonts w:ascii="Times New Roman" w:hAnsi="Times New Roman" w:cs="Times New Roman"/>
          <w:sz w:val="24"/>
          <w:szCs w:val="24"/>
        </w:rPr>
        <w:t xml:space="preserve">), and </w:t>
      </w:r>
      <w:r>
        <w:rPr>
          <w:rFonts w:hint="eastAsia" w:ascii="Times New Roman" w:hAnsi="Times New Roman" w:cs="Times New Roman"/>
          <w:sz w:val="24"/>
          <w:szCs w:val="24"/>
        </w:rPr>
        <w:t>1</w:t>
      </w:r>
      <w:r>
        <w:rPr>
          <w:rFonts w:ascii="Times New Roman" w:hAnsi="Times New Roman" w:cs="Times New Roman"/>
          <w:sz w:val="24"/>
          <w:szCs w:val="24"/>
        </w:rPr>
        <w:t>00 μL of Arg aqueous solution (10 mg mL</w:t>
      </w:r>
      <w:r>
        <w:rPr>
          <w:rFonts w:ascii="Times New Roman" w:hAnsi="Times New Roman" w:cs="Times New Roman"/>
          <w:sz w:val="24"/>
          <w:szCs w:val="24"/>
          <w:vertAlign w:val="superscript"/>
        </w:rPr>
        <w:t>-1</w:t>
      </w:r>
      <w:r>
        <w:rPr>
          <w:rFonts w:ascii="Times New Roman" w:hAnsi="Times New Roman" w:cs="Times New Roman"/>
          <w:sz w:val="24"/>
          <w:szCs w:val="24"/>
        </w:rPr>
        <w:t>) were mixed by magnetic stirring for 2 h.</w:t>
      </w:r>
      <w:r>
        <w:rPr>
          <w:rFonts w:hint="eastAsia" w:ascii="Times New Roman" w:hAnsi="Times New Roman" w:cs="Times New Roman"/>
          <w:sz w:val="24"/>
          <w:szCs w:val="24"/>
        </w:rPr>
        <w:t xml:space="preserve"> The solution was transferred to a cuvette to scan the fluorescence spectrum</w:t>
      </w:r>
      <w:r>
        <w:rPr>
          <w:rFonts w:ascii="Times New Roman" w:hAnsi="Times New Roman" w:cs="Times New Roman"/>
          <w:sz w:val="24"/>
          <w:szCs w:val="24"/>
        </w:rPr>
        <w:t>.</w:t>
      </w:r>
    </w:p>
    <w:p w14:paraId="57E1B777">
      <w:pPr>
        <w:spacing w:line="480" w:lineRule="auto"/>
        <w:rPr>
          <w:rFonts w:ascii="Times New Roman" w:hAnsi="Times New Roman" w:cs="Times New Roman"/>
          <w:b/>
          <w:bCs/>
          <w:sz w:val="24"/>
          <w:szCs w:val="24"/>
        </w:rPr>
      </w:pPr>
      <w:r>
        <w:rPr>
          <w:rFonts w:hint="eastAsia" w:ascii="Times New Roman" w:hAnsi="Times New Roman" w:cs="Times New Roman"/>
          <w:b/>
          <w:bCs/>
          <w:sz w:val="24"/>
          <w:szCs w:val="24"/>
        </w:rPr>
        <w:t>uPA loading</w:t>
      </w:r>
    </w:p>
    <w:p w14:paraId="0948226E">
      <w:pPr>
        <w:spacing w:line="48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 xml:space="preserve">The loading capacity was determined from the uPA decrease in the supernatant. Firstly, 1 mg uPA was weighted, and transferred into a </w:t>
      </w:r>
      <w:bookmarkStart w:id="12" w:name="OLE_LINK2"/>
      <w:r>
        <w:rPr>
          <w:rFonts w:hint="eastAsia" w:ascii="Times New Roman" w:hAnsi="Times New Roman" w:cs="Times New Roman"/>
          <w:sz w:val="24"/>
          <w:szCs w:val="24"/>
        </w:rPr>
        <w:t>centrifuge tube</w:t>
      </w:r>
      <w:bookmarkEnd w:id="12"/>
      <w:r>
        <w:rPr>
          <w:rFonts w:hint="eastAsia" w:ascii="Times New Roman" w:hAnsi="Times New Roman" w:cs="Times New Roman"/>
          <w:sz w:val="24"/>
          <w:szCs w:val="24"/>
        </w:rPr>
        <w:t>, then 5 mL HEPES buffer was added to make the uPA solution. Secondly, 0.3 mL FITC methanol solution (3 mg mL</w:t>
      </w:r>
      <w:r>
        <w:rPr>
          <w:rFonts w:hint="eastAsia" w:ascii="Times New Roman" w:hAnsi="Times New Roman" w:cs="Times New Roman"/>
          <w:sz w:val="24"/>
          <w:szCs w:val="24"/>
          <w:vertAlign w:val="superscript"/>
        </w:rPr>
        <w:t>-1</w:t>
      </w:r>
      <w:r>
        <w:rPr>
          <w:rFonts w:hint="eastAsia" w:ascii="Times New Roman" w:hAnsi="Times New Roman" w:cs="Times New Roman"/>
          <w:sz w:val="24"/>
          <w:szCs w:val="24"/>
        </w:rPr>
        <w:t xml:space="preserve">) was added, </w:t>
      </w:r>
      <w:bookmarkStart w:id="13" w:name="OLE_LINK3"/>
      <w:r>
        <w:rPr>
          <w:rFonts w:hint="eastAsia" w:ascii="Times New Roman" w:hAnsi="Times New Roman" w:cs="Times New Roman"/>
          <w:sz w:val="24"/>
          <w:szCs w:val="24"/>
        </w:rPr>
        <w:t>then the centrifuge tube was placed at 4°C away from light and stirred</w:t>
      </w:r>
      <w:bookmarkEnd w:id="13"/>
      <w:r>
        <w:rPr>
          <w:rFonts w:hint="eastAsia" w:ascii="Times New Roman" w:hAnsi="Times New Roman" w:cs="Times New Roman"/>
          <w:sz w:val="24"/>
          <w:szCs w:val="24"/>
        </w:rPr>
        <w:t xml:space="preserve">. After 12 h, an appropriate amount of ammonium chloride (50 mmol L </w:t>
      </w:r>
      <w:r>
        <w:rPr>
          <w:rFonts w:hint="eastAsia" w:ascii="Times New Roman" w:hAnsi="Times New Roman" w:cs="Times New Roman"/>
          <w:sz w:val="24"/>
          <w:szCs w:val="24"/>
          <w:vertAlign w:val="superscript"/>
        </w:rPr>
        <w:t>-1</w:t>
      </w:r>
      <w:r>
        <w:rPr>
          <w:rFonts w:hint="eastAsia" w:ascii="Times New Roman" w:hAnsi="Times New Roman" w:cs="Times New Roman"/>
          <w:sz w:val="24"/>
          <w:szCs w:val="24"/>
        </w:rPr>
        <w:t xml:space="preserve">) was added to stop the reaction. The free FITC and FITC-uPA was separated by dialysis bag (molecular weight cutoff = 10 kDa), and the FITC-uPA solution was freeze-dried to obtain powdered product. </w:t>
      </w:r>
      <w:r>
        <w:rPr>
          <w:rFonts w:ascii="Times New Roman" w:hAnsi="Times New Roman" w:cs="Times New Roman"/>
          <w:sz w:val="24"/>
          <w:szCs w:val="24"/>
        </w:rPr>
        <w:t>T</w:t>
      </w:r>
      <w:r>
        <w:rPr>
          <w:rFonts w:hint="eastAsia" w:ascii="Times New Roman" w:hAnsi="Times New Roman" w:cs="Times New Roman"/>
          <w:sz w:val="24"/>
          <w:szCs w:val="24"/>
        </w:rPr>
        <w:t>hen, different volume of FITC-uPA (1 mg mL</w:t>
      </w:r>
      <w:r>
        <w:rPr>
          <w:rFonts w:hint="eastAsia" w:ascii="Times New Roman" w:hAnsi="Times New Roman" w:cs="Times New Roman"/>
          <w:sz w:val="24"/>
          <w:szCs w:val="24"/>
          <w:vertAlign w:val="superscript"/>
        </w:rPr>
        <w:t>-1</w:t>
      </w:r>
      <w:r>
        <w:rPr>
          <w:rFonts w:hint="eastAsia" w:ascii="Times New Roman" w:hAnsi="Times New Roman" w:cs="Times New Roman"/>
          <w:sz w:val="24"/>
          <w:szCs w:val="24"/>
        </w:rPr>
        <w:t xml:space="preserve">, dissolved in 0.9% NaCl) were added to synthesize LNM. </w:t>
      </w:r>
      <w:r>
        <w:rPr>
          <w:rFonts w:ascii="Times New Roman" w:hAnsi="Times New Roman" w:cs="Times New Roman"/>
          <w:sz w:val="24"/>
          <w:szCs w:val="24"/>
        </w:rPr>
        <w:t>A</w:t>
      </w:r>
      <w:r>
        <w:rPr>
          <w:rFonts w:hint="eastAsia" w:ascii="Times New Roman" w:hAnsi="Times New Roman" w:cs="Times New Roman"/>
          <w:sz w:val="24"/>
          <w:szCs w:val="24"/>
        </w:rPr>
        <w:t>fter the loading process, we collected the supernatants and determined the uPA amounts. The difference between the uPA amounts in the supernatant before and after the loading process was considered to have been loaded on the MOF. The supernatants containing the FITC-uPA were characterized using a fluorescence microplate reader (</w:t>
      </w:r>
      <w:r>
        <w:rPr>
          <w:rFonts w:ascii="Times New Roman" w:hAnsi="Times New Roman" w:cs="Times New Roman"/>
          <w:sz w:val="24"/>
          <w:szCs w:val="24"/>
        </w:rPr>
        <w:t>λ</w:t>
      </w:r>
      <w:r>
        <w:rPr>
          <w:rFonts w:ascii="Times New Roman" w:hAnsi="Times New Roman" w:cs="Times New Roman"/>
          <w:sz w:val="24"/>
          <w:szCs w:val="24"/>
          <w:vertAlign w:val="subscript"/>
        </w:rPr>
        <w:t>ex</w:t>
      </w:r>
      <w:r>
        <w:rPr>
          <w:rFonts w:ascii="Times New Roman" w:hAnsi="Times New Roman" w:cs="Times New Roman"/>
          <w:sz w:val="24"/>
          <w:szCs w:val="24"/>
        </w:rPr>
        <w:t xml:space="preserve"> =</w:t>
      </w:r>
      <w:r>
        <w:rPr>
          <w:rFonts w:hint="eastAsia" w:ascii="Times New Roman" w:hAnsi="Times New Roman" w:cs="Times New Roman"/>
          <w:sz w:val="24"/>
          <w:szCs w:val="24"/>
        </w:rPr>
        <w:t xml:space="preserve"> 494 nm, </w:t>
      </w:r>
      <w:r>
        <w:rPr>
          <w:rFonts w:ascii="Times New Roman" w:hAnsi="Times New Roman" w:cs="Times New Roman"/>
          <w:sz w:val="24"/>
          <w:szCs w:val="24"/>
        </w:rPr>
        <w:t>λ</w:t>
      </w:r>
      <w:r>
        <w:rPr>
          <w:rFonts w:ascii="Times New Roman" w:hAnsi="Times New Roman" w:cs="Times New Roman"/>
          <w:sz w:val="24"/>
          <w:szCs w:val="24"/>
          <w:vertAlign w:val="subscript"/>
        </w:rPr>
        <w:t>e</w:t>
      </w:r>
      <w:r>
        <w:rPr>
          <w:rFonts w:hint="eastAsia" w:ascii="Times New Roman" w:hAnsi="Times New Roman" w:cs="Times New Roman"/>
          <w:sz w:val="24"/>
          <w:szCs w:val="24"/>
          <w:vertAlign w:val="subscript"/>
        </w:rPr>
        <w:t>m</w:t>
      </w:r>
      <w:r>
        <w:rPr>
          <w:rFonts w:ascii="Times New Roman" w:hAnsi="Times New Roman" w:cs="Times New Roman"/>
          <w:sz w:val="24"/>
          <w:szCs w:val="24"/>
        </w:rPr>
        <w:t xml:space="preserve"> =</w:t>
      </w:r>
      <w:r>
        <w:rPr>
          <w:rFonts w:hint="eastAsia" w:ascii="Times New Roman" w:hAnsi="Times New Roman" w:cs="Times New Roman"/>
          <w:sz w:val="24"/>
          <w:szCs w:val="24"/>
        </w:rPr>
        <w:t xml:space="preserve"> 525 nm).</w:t>
      </w:r>
    </w:p>
    <w:p w14:paraId="2F5D9367">
      <w:pPr>
        <w:spacing w:line="480" w:lineRule="auto"/>
        <w:rPr>
          <w:rFonts w:ascii="Times New Roman" w:hAnsi="Times New Roman" w:cs="Times New Roman"/>
          <w:b/>
          <w:bCs/>
          <w:sz w:val="24"/>
          <w:szCs w:val="24"/>
        </w:rPr>
      </w:pPr>
      <w:r>
        <w:rPr>
          <w:rFonts w:hint="eastAsia" w:ascii="Times New Roman" w:hAnsi="Times New Roman" w:cs="Times New Roman"/>
          <w:b/>
          <w:bCs/>
          <w:sz w:val="24"/>
          <w:szCs w:val="24"/>
        </w:rPr>
        <w:t>Theoretical calculation</w:t>
      </w:r>
    </w:p>
    <w:p w14:paraId="33ECAE29">
      <w:pPr>
        <w:spacing w:line="48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Theoretical calculations were performed via Gaussian 09 package. The frontier molecular orbital energy of molecules was calculated by the density functional theory (DFT) method, and the polarization function was set at B3LYP/6-31G+ level. The frontier molecular orbital energy results of molecules were exported for graphic analysis by Multiwfn program and visual molecular dynamics (VMD) software.</w:t>
      </w:r>
    </w:p>
    <w:p w14:paraId="19E22946">
      <w:pPr>
        <w:spacing w:line="480" w:lineRule="auto"/>
        <w:rPr>
          <w:rFonts w:ascii="Times New Roman" w:hAnsi="Times New Roman" w:cs="Times New Roman"/>
          <w:b/>
          <w:bCs/>
          <w:sz w:val="24"/>
          <w:szCs w:val="24"/>
        </w:rPr>
      </w:pPr>
      <w:r>
        <w:rPr>
          <w:rFonts w:hint="eastAsia" w:ascii="Times New Roman" w:hAnsi="Times New Roman" w:cs="Times New Roman"/>
          <w:b/>
          <w:bCs/>
          <w:sz w:val="24"/>
          <w:szCs w:val="24"/>
        </w:rPr>
        <w:t xml:space="preserve">uPA release </w:t>
      </w:r>
    </w:p>
    <w:p w14:paraId="145615C2">
      <w:pPr>
        <w:spacing w:line="48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To test the release behaviors of LNM, samples were immersed in deionized water and PBS at 37°C</w:t>
      </w:r>
      <w:r>
        <w:rPr>
          <w:rFonts w:hint="eastAsia"/>
        </w:rPr>
        <w:t xml:space="preserve"> </w:t>
      </w:r>
      <w:r>
        <w:rPr>
          <w:rFonts w:hint="eastAsia" w:ascii="Times New Roman" w:hAnsi="Times New Roman" w:cs="Times New Roman"/>
          <w:sz w:val="24"/>
          <w:szCs w:val="24"/>
        </w:rPr>
        <w:t>and isolated by ultracentrifugation. At different time points, 20</w:t>
      </w:r>
      <w:r>
        <w:rPr>
          <w:rFonts w:ascii="Times New Roman" w:hAnsi="Times New Roman" w:cs="Times New Roman"/>
          <w:sz w:val="24"/>
          <w:szCs w:val="24"/>
        </w:rPr>
        <w:t xml:space="preserve"> μL </w:t>
      </w:r>
      <w:r>
        <w:rPr>
          <w:rFonts w:hint="eastAsia" w:ascii="Times New Roman" w:hAnsi="Times New Roman" w:cs="Times New Roman"/>
          <w:sz w:val="24"/>
          <w:szCs w:val="24"/>
        </w:rPr>
        <w:t>of buffer was taken, and an equal volume of fresh buffer was added to ensure a constant volume. The content of uPA was determined using the BCA kit.</w:t>
      </w:r>
    </w:p>
    <w:p w14:paraId="458D7736">
      <w:pPr>
        <w:spacing w:before="156" w:beforeLines="50" w:after="156" w:afterLines="50" w:line="480" w:lineRule="auto"/>
        <w:rPr>
          <w:rFonts w:ascii="Times New Roman" w:hAnsi="Times New Roman" w:cs="Times New Roman"/>
          <w:b/>
          <w:bCs/>
          <w:sz w:val="24"/>
          <w:szCs w:val="24"/>
        </w:rPr>
      </w:pPr>
      <w:r>
        <w:rPr>
          <w:rFonts w:ascii="Times New Roman" w:hAnsi="Times New Roman" w:cs="Times New Roman"/>
          <w:b/>
          <w:bCs/>
          <w:sz w:val="24"/>
          <w:szCs w:val="24"/>
        </w:rPr>
        <w:t xml:space="preserve">Cell </w:t>
      </w:r>
      <w:r>
        <w:rPr>
          <w:rFonts w:hint="eastAsia" w:ascii="Times New Roman" w:hAnsi="Times New Roman" w:cs="Times New Roman"/>
          <w:b/>
          <w:bCs/>
          <w:sz w:val="24"/>
          <w:szCs w:val="24"/>
        </w:rPr>
        <w:t>cc</w:t>
      </w:r>
      <w:r>
        <w:rPr>
          <w:rFonts w:ascii="Times New Roman" w:hAnsi="Times New Roman" w:cs="Times New Roman"/>
          <w:b/>
          <w:bCs/>
          <w:sz w:val="24"/>
          <w:szCs w:val="24"/>
        </w:rPr>
        <w:t>ulture and</w:t>
      </w:r>
      <w:r>
        <w:rPr>
          <w:rFonts w:hint="eastAsia"/>
        </w:rPr>
        <w:t xml:space="preserve"> </w:t>
      </w:r>
      <w:r>
        <w:rPr>
          <w:rFonts w:hint="eastAsia" w:ascii="Times New Roman" w:hAnsi="Times New Roman" w:cs="Times New Roman"/>
          <w:b/>
          <w:bCs/>
          <w:sz w:val="24"/>
          <w:szCs w:val="24"/>
        </w:rPr>
        <w:t>MCAO mouse model</w:t>
      </w:r>
    </w:p>
    <w:p w14:paraId="5F23343F">
      <w:pPr>
        <w:spacing w:before="156" w:beforeLines="50" w:after="156" w:afterLines="50" w:line="48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 xml:space="preserve">PC-12 </w:t>
      </w:r>
      <w:r>
        <w:rPr>
          <w:rFonts w:ascii="Times New Roman" w:hAnsi="Times New Roman" w:cs="Times New Roman"/>
          <w:sz w:val="24"/>
          <w:szCs w:val="24"/>
        </w:rPr>
        <w:t>cells</w:t>
      </w:r>
      <w:r>
        <w:rPr>
          <w:rFonts w:hint="eastAsia" w:ascii="Times New Roman" w:hAnsi="Times New Roman" w:cs="Times New Roman"/>
          <w:sz w:val="24"/>
          <w:szCs w:val="24"/>
        </w:rPr>
        <w:t xml:space="preserve"> </w:t>
      </w:r>
      <w:r>
        <w:rPr>
          <w:rFonts w:ascii="Times New Roman" w:hAnsi="Times New Roman" w:cs="Times New Roman"/>
          <w:sz w:val="24"/>
          <w:szCs w:val="24"/>
        </w:rPr>
        <w:t>and</w:t>
      </w:r>
      <w:r>
        <w:rPr>
          <w:rFonts w:hint="eastAsia" w:ascii="Times New Roman" w:hAnsi="Times New Roman" w:cs="Times New Roman"/>
          <w:sz w:val="24"/>
          <w:szCs w:val="24"/>
        </w:rPr>
        <w:t xml:space="preserve"> </w:t>
      </w:r>
      <w:bookmarkStart w:id="14" w:name="_Hlk169869093"/>
      <w:r>
        <w:rPr>
          <w:rFonts w:hint="eastAsia" w:ascii="Times New Roman" w:hAnsi="Times New Roman" w:cs="Times New Roman"/>
          <w:sz w:val="24"/>
          <w:szCs w:val="24"/>
        </w:rPr>
        <w:t>bEnd. 3</w:t>
      </w:r>
      <w:bookmarkEnd w:id="14"/>
      <w:r>
        <w:rPr>
          <w:rFonts w:ascii="Times New Roman" w:hAnsi="Times New Roman" w:cs="Times New Roman"/>
          <w:sz w:val="24"/>
          <w:szCs w:val="24"/>
        </w:rPr>
        <w:t xml:space="preserve"> cells were all provided by Wuhan Pricella Biotechnology Co., Ltd.. </w:t>
      </w:r>
      <w:r>
        <w:rPr>
          <w:rFonts w:hint="eastAsia" w:ascii="Times New Roman" w:hAnsi="Times New Roman" w:cs="Times New Roman"/>
          <w:sz w:val="24"/>
          <w:szCs w:val="24"/>
        </w:rPr>
        <w:t xml:space="preserve">PC-12 </w:t>
      </w:r>
      <w:r>
        <w:rPr>
          <w:rFonts w:ascii="Times New Roman" w:hAnsi="Times New Roman" w:cs="Times New Roman"/>
          <w:sz w:val="24"/>
          <w:szCs w:val="24"/>
        </w:rPr>
        <w:t>cells</w:t>
      </w:r>
      <w:r>
        <w:rPr>
          <w:rFonts w:hint="eastAsia" w:ascii="Times New Roman" w:hAnsi="Times New Roman" w:cs="Times New Roman"/>
          <w:sz w:val="24"/>
          <w:szCs w:val="24"/>
        </w:rPr>
        <w:t xml:space="preserve"> </w:t>
      </w:r>
      <w:r>
        <w:rPr>
          <w:rFonts w:ascii="Times New Roman" w:hAnsi="Times New Roman" w:cs="Times New Roman"/>
          <w:sz w:val="24"/>
          <w:szCs w:val="24"/>
        </w:rPr>
        <w:t>and</w:t>
      </w:r>
      <w:r>
        <w:rPr>
          <w:rFonts w:hint="eastAsia" w:ascii="Times New Roman" w:hAnsi="Times New Roman" w:cs="Times New Roman"/>
          <w:sz w:val="24"/>
          <w:szCs w:val="24"/>
        </w:rPr>
        <w:t xml:space="preserve"> bEnd. 3</w:t>
      </w:r>
      <w:r>
        <w:rPr>
          <w:rFonts w:ascii="Times New Roman" w:hAnsi="Times New Roman" w:cs="Times New Roman"/>
          <w:sz w:val="24"/>
          <w:szCs w:val="24"/>
        </w:rPr>
        <w:t xml:space="preserve"> cells</w:t>
      </w:r>
      <w:r>
        <w:rPr>
          <w:rStyle w:val="8"/>
          <w:rFonts w:ascii="Times New Roman" w:hAnsi="Times New Roman" w:cs="Times New Roman"/>
          <w:sz w:val="24"/>
          <w:szCs w:val="24"/>
        </w:rPr>
        <w:t xml:space="preserve"> were grown in</w:t>
      </w:r>
      <w:r>
        <w:rPr>
          <w:rFonts w:hint="eastAsia" w:ascii="Times New Roman" w:hAnsi="Times New Roman" w:cs="Times New Roman"/>
          <w:sz w:val="24"/>
          <w:szCs w:val="24"/>
        </w:rPr>
        <w:t xml:space="preserve"> Dulbecco</w:t>
      </w:r>
      <w:r>
        <w:rPr>
          <w:rFonts w:ascii="Times New Roman" w:hAnsi="Times New Roman" w:cs="Times New Roman"/>
          <w:sz w:val="24"/>
          <w:szCs w:val="24"/>
        </w:rPr>
        <w:t>’</w:t>
      </w:r>
      <w:r>
        <w:rPr>
          <w:rFonts w:hint="eastAsia" w:ascii="Times New Roman" w:hAnsi="Times New Roman" w:cs="Times New Roman"/>
          <w:sz w:val="24"/>
          <w:szCs w:val="24"/>
        </w:rPr>
        <w:t>s modified Eagle</w:t>
      </w:r>
      <w:r>
        <w:rPr>
          <w:rFonts w:ascii="Times New Roman" w:hAnsi="Times New Roman" w:cs="Times New Roman"/>
          <w:sz w:val="24"/>
          <w:szCs w:val="24"/>
        </w:rPr>
        <w:t>’</w:t>
      </w:r>
      <w:r>
        <w:rPr>
          <w:rFonts w:hint="eastAsia" w:ascii="Times New Roman" w:hAnsi="Times New Roman" w:cs="Times New Roman"/>
          <w:sz w:val="24"/>
          <w:szCs w:val="24"/>
        </w:rPr>
        <w:t>s media (DMEM) medium supplemented with 10% heat-inactivated FBS and 1% double antibiotic (penicillin-streptomycin)</w:t>
      </w:r>
      <w:r>
        <w:rPr>
          <w:rFonts w:ascii="Times New Roman" w:hAnsi="Times New Roman" w:cs="Times New Roman"/>
          <w:sz w:val="24"/>
          <w:szCs w:val="24"/>
        </w:rPr>
        <w:t>. All cells were cultured in a 5% CO</w:t>
      </w:r>
      <w:r>
        <w:rPr>
          <w:rFonts w:ascii="Times New Roman" w:hAnsi="Times New Roman" w:cs="Times New Roman"/>
          <w:sz w:val="24"/>
          <w:szCs w:val="24"/>
          <w:vertAlign w:val="subscript"/>
        </w:rPr>
        <w:t>2</w:t>
      </w:r>
      <w:r>
        <w:rPr>
          <w:rFonts w:ascii="Times New Roman" w:hAnsi="Times New Roman" w:cs="Times New Roman"/>
          <w:sz w:val="24"/>
          <w:szCs w:val="24"/>
        </w:rPr>
        <w:t xml:space="preserve"> humid incubator at 37°C.</w:t>
      </w:r>
    </w:p>
    <w:p w14:paraId="649848B9">
      <w:pPr>
        <w:spacing w:before="156" w:beforeLines="50" w:after="156" w:afterLines="50" w:line="48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Specific pathogen-free (SPF) male C57BL/6 mice (8 weeks) were purchased from Suzhou Cavensbiagle Experimental Animals Co., Ltd.. The backs of the anesthetized mice were fixed on the operating table, and the necks were disinfected with iodophor. The common carotid artery (CCA), external carotid artery (ECA) and internal carotid artery (ICA) of mice were separated under a microscope, and sutures were hung at the distal and proximal ends of CCA and ECA. The ICA was temporarily clipped. A small incision was made near the CCA bifurcation, and a silicone-coated monofilament was inserted. The clip on the ICA was then released, and the filament was advanced until its tip reached the origin of the middle cerebral artery to achieve occlusion. After 3 hours of ischemia, the filament was withdrawn to allow reperfusion. Sham-operated mice underwent identical procedures, excluding the filament insertion. All animal procedures were carried out under the guidelines set by the Institutional Animal Care and Use Committee of Jiangsu Province, and the overall project protocols were approved by the Animal Ethics Committee of SoochowUniversity.</w:t>
      </w:r>
    </w:p>
    <w:p w14:paraId="412ADA5E">
      <w:pPr>
        <w:spacing w:line="480" w:lineRule="auto"/>
        <w:rPr>
          <w:rFonts w:ascii="Times New Roman" w:hAnsi="Times New Roman" w:cs="Times New Roman"/>
          <w:b/>
          <w:bCs/>
          <w:sz w:val="24"/>
          <w:szCs w:val="24"/>
        </w:rPr>
      </w:pPr>
      <w:r>
        <w:rPr>
          <w:rFonts w:hint="eastAsia" w:ascii="Times New Roman" w:hAnsi="Times New Roman" w:cs="Times New Roman"/>
          <w:b/>
          <w:bCs/>
          <w:sz w:val="24"/>
          <w:szCs w:val="24"/>
        </w:rPr>
        <w:t xml:space="preserve">Cell uptake </w:t>
      </w:r>
    </w:p>
    <w:p w14:paraId="240816FA">
      <w:pPr>
        <w:spacing w:line="480"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Cellular uptakes of </w:t>
      </w:r>
      <w:r>
        <w:rPr>
          <w:rFonts w:hint="eastAsia" w:ascii="Times New Roman" w:hAnsi="Times New Roman" w:cs="Times New Roman"/>
          <w:sz w:val="24"/>
          <w:szCs w:val="24"/>
        </w:rPr>
        <w:t xml:space="preserve">LNM </w:t>
      </w:r>
      <w:r>
        <w:rPr>
          <w:rFonts w:ascii="Times New Roman" w:hAnsi="Times New Roman" w:cs="Times New Roman"/>
          <w:sz w:val="24"/>
          <w:szCs w:val="24"/>
        </w:rPr>
        <w:t xml:space="preserve">by </w:t>
      </w:r>
      <w:r>
        <w:rPr>
          <w:rFonts w:hint="eastAsia" w:ascii="Times New Roman" w:hAnsi="Times New Roman" w:cs="Times New Roman"/>
          <w:sz w:val="24"/>
          <w:szCs w:val="24"/>
        </w:rPr>
        <w:t>PC-12 cells and bEnd. 3</w:t>
      </w:r>
      <w:r>
        <w:rPr>
          <w:rFonts w:ascii="Times New Roman" w:hAnsi="Times New Roman" w:cs="Times New Roman"/>
          <w:sz w:val="24"/>
          <w:szCs w:val="24"/>
        </w:rPr>
        <w:t xml:space="preserve"> cells were examined using CLSM. </w:t>
      </w:r>
      <w:r>
        <w:rPr>
          <w:rFonts w:hint="eastAsia" w:ascii="Times New Roman" w:hAnsi="Times New Roman" w:cs="Times New Roman"/>
          <w:sz w:val="24"/>
          <w:szCs w:val="24"/>
        </w:rPr>
        <w:t>PC-12 cells and bEnd. 3</w:t>
      </w:r>
      <w:r>
        <w:rPr>
          <w:rFonts w:ascii="Times New Roman" w:hAnsi="Times New Roman" w:cs="Times New Roman"/>
          <w:sz w:val="24"/>
          <w:szCs w:val="24"/>
        </w:rPr>
        <w:t xml:space="preserve"> cells (2</w:t>
      </w:r>
      <w:r>
        <w:rPr>
          <w:rFonts w:hint="eastAsia" w:ascii="Times New Roman" w:hAnsi="Times New Roman" w:cs="Times New Roman"/>
          <w:sz w:val="24"/>
          <w:szCs w:val="24"/>
        </w:rPr>
        <w:t xml:space="preserve"> </w:t>
      </w:r>
      <w:r>
        <w:rPr>
          <w:rFonts w:ascii="Times New Roman" w:hAnsi="Times New Roman" w:cs="Times New Roman"/>
          <w:sz w:val="24"/>
          <w:szCs w:val="24"/>
        </w:rPr>
        <w:t>× 10</w:t>
      </w:r>
      <w:r>
        <w:rPr>
          <w:rFonts w:ascii="Times New Roman" w:hAnsi="Times New Roman" w:cs="Times New Roman"/>
          <w:sz w:val="24"/>
          <w:szCs w:val="24"/>
          <w:vertAlign w:val="superscript"/>
        </w:rPr>
        <w:t>4</w:t>
      </w:r>
      <w:r>
        <w:rPr>
          <w:rFonts w:ascii="Times New Roman" w:hAnsi="Times New Roman" w:cs="Times New Roman"/>
          <w:sz w:val="24"/>
          <w:szCs w:val="24"/>
        </w:rPr>
        <w:t xml:space="preserve"> cells) were cultured for 24 h and treated with </w:t>
      </w:r>
      <w:r>
        <w:rPr>
          <w:rFonts w:hint="eastAsia" w:ascii="Times New Roman" w:hAnsi="Times New Roman" w:cs="Times New Roman"/>
          <w:sz w:val="24"/>
          <w:szCs w:val="24"/>
        </w:rPr>
        <w:t>LNM</w:t>
      </w:r>
      <w:r>
        <w:rPr>
          <w:rFonts w:ascii="Times New Roman" w:hAnsi="Times New Roman" w:cs="Times New Roman"/>
          <w:sz w:val="24"/>
          <w:szCs w:val="24"/>
        </w:rPr>
        <w:t xml:space="preserve"> for </w:t>
      </w:r>
      <w:r>
        <w:rPr>
          <w:rFonts w:hint="eastAsia" w:ascii="Times New Roman" w:hAnsi="Times New Roman" w:cs="Times New Roman"/>
          <w:sz w:val="24"/>
          <w:szCs w:val="24"/>
        </w:rPr>
        <w:t>2h, 5</w:t>
      </w:r>
      <w:r>
        <w:rPr>
          <w:rFonts w:ascii="Times New Roman" w:hAnsi="Times New Roman" w:cs="Times New Roman"/>
          <w:sz w:val="24"/>
          <w:szCs w:val="24"/>
        </w:rPr>
        <w:t xml:space="preserve"> h</w:t>
      </w:r>
      <w:r>
        <w:rPr>
          <w:rFonts w:hint="eastAsia" w:ascii="Times New Roman" w:hAnsi="Times New Roman" w:cs="Times New Roman"/>
          <w:sz w:val="24"/>
          <w:szCs w:val="24"/>
        </w:rPr>
        <w:t>, and 8h, respectively</w:t>
      </w:r>
      <w:r>
        <w:rPr>
          <w:rFonts w:ascii="Times New Roman" w:hAnsi="Times New Roman" w:cs="Times New Roman"/>
          <w:sz w:val="24"/>
          <w:szCs w:val="24"/>
        </w:rPr>
        <w:t xml:space="preserve">. The cells were washed with PBS </w:t>
      </w:r>
      <w:r>
        <w:rPr>
          <w:rFonts w:hint="eastAsia" w:ascii="Times New Roman" w:hAnsi="Times New Roman" w:cs="Times New Roman"/>
          <w:sz w:val="24"/>
          <w:szCs w:val="24"/>
        </w:rPr>
        <w:t xml:space="preserve">and </w:t>
      </w:r>
      <w:r>
        <w:rPr>
          <w:rFonts w:ascii="Times New Roman" w:hAnsi="Times New Roman" w:cs="Times New Roman"/>
          <w:sz w:val="24"/>
          <w:szCs w:val="24"/>
        </w:rPr>
        <w:t xml:space="preserve">fixed with </w:t>
      </w:r>
      <w:r>
        <w:rPr>
          <w:rFonts w:hint="eastAsia" w:ascii="Times New Roman" w:hAnsi="Times New Roman" w:cs="Times New Roman"/>
          <w:sz w:val="24"/>
          <w:szCs w:val="24"/>
        </w:rPr>
        <w:t>antifade mounting medium with DAPI</w:t>
      </w:r>
      <w:r>
        <w:rPr>
          <w:rFonts w:ascii="Times New Roman" w:hAnsi="Times New Roman" w:cs="Times New Roman"/>
          <w:sz w:val="24"/>
          <w:szCs w:val="24"/>
        </w:rPr>
        <w:t xml:space="preserve"> for 30 min.</w:t>
      </w:r>
    </w:p>
    <w:p w14:paraId="65662B97">
      <w:pPr>
        <w:spacing w:before="156" w:beforeLines="50" w:after="156" w:afterLines="50" w:line="360" w:lineRule="auto"/>
        <w:rPr>
          <w:rFonts w:ascii="Times New Roman" w:hAnsi="Times New Roman" w:cs="Times New Roman"/>
          <w:b/>
          <w:bCs/>
          <w:sz w:val="24"/>
          <w:szCs w:val="24"/>
          <w:lang w:val="de-DE"/>
        </w:rPr>
      </w:pPr>
      <w:r>
        <w:rPr>
          <w:rFonts w:ascii="Times New Roman" w:hAnsi="Times New Roman" w:cs="Times New Roman"/>
          <w:b/>
          <w:bCs/>
          <w:sz w:val="24"/>
          <w:szCs w:val="24"/>
          <w:lang w:val="de-DE"/>
        </w:rPr>
        <w:t>Cell viability evaluation assay</w:t>
      </w:r>
    </w:p>
    <w:p w14:paraId="1BA33798">
      <w:pPr>
        <w:spacing w:line="480" w:lineRule="auto"/>
        <w:ind w:firstLine="480" w:firstLineChars="200"/>
        <w:rPr>
          <w:rFonts w:ascii="Times New Roman" w:hAnsi="Times New Roman" w:cs="Times New Roman"/>
          <w:sz w:val="24"/>
          <w:szCs w:val="24"/>
          <w14:ligatures w14:val="none"/>
        </w:rPr>
      </w:pPr>
      <w:r>
        <w:rPr>
          <w:rFonts w:ascii="Times New Roman" w:hAnsi="Times New Roman" w:cs="Times New Roman"/>
          <w:sz w:val="24"/>
          <w:szCs w:val="24"/>
          <w:lang w:val="de-DE"/>
          <w14:ligatures w14:val="none"/>
        </w:rPr>
        <w:t>C</w:t>
      </w:r>
      <w:r>
        <w:rPr>
          <w:rFonts w:ascii="Times New Roman" w:hAnsi="Times New Roman" w:cs="Times New Roman"/>
          <w:sz w:val="24"/>
          <w:szCs w:val="24"/>
          <w14:ligatures w14:val="none"/>
        </w:rPr>
        <w:t xml:space="preserve">ell viability was determined by </w:t>
      </w:r>
      <w:r>
        <w:rPr>
          <w:rFonts w:hint="eastAsia" w:ascii="Times New Roman" w:hAnsi="Times New Roman" w:cs="Times New Roman"/>
          <w:sz w:val="24"/>
          <w:szCs w:val="24"/>
          <w14:ligatures w14:val="none"/>
        </w:rPr>
        <w:t>cell counting kit-8</w:t>
      </w:r>
      <w:r>
        <w:rPr>
          <w:rFonts w:ascii="Times New Roman" w:hAnsi="Times New Roman" w:cs="Times New Roman"/>
          <w:sz w:val="24"/>
          <w:szCs w:val="24"/>
          <w14:ligatures w14:val="none"/>
        </w:rPr>
        <w:t xml:space="preserve"> (CCK-8) assay. bEnd.</w:t>
      </w:r>
      <w:r>
        <w:rPr>
          <w:rFonts w:hint="eastAsia" w:ascii="Times New Roman" w:hAnsi="Times New Roman" w:cs="Times New Roman"/>
          <w:sz w:val="24"/>
          <w:szCs w:val="24"/>
          <w14:ligatures w14:val="none"/>
        </w:rPr>
        <w:t xml:space="preserve"> </w:t>
      </w:r>
      <w:r>
        <w:rPr>
          <w:rFonts w:ascii="Times New Roman" w:hAnsi="Times New Roman" w:cs="Times New Roman"/>
          <w:sz w:val="24"/>
          <w:szCs w:val="24"/>
          <w14:ligatures w14:val="none"/>
        </w:rPr>
        <w:t>3</w:t>
      </w:r>
      <w:r>
        <w:rPr>
          <w:rFonts w:hint="eastAsia" w:ascii="Times New Roman" w:hAnsi="Times New Roman" w:cs="Times New Roman"/>
          <w:sz w:val="24"/>
          <w:szCs w:val="24"/>
          <w14:ligatures w14:val="none"/>
        </w:rPr>
        <w:t xml:space="preserve"> cells were seeded at a density of 5</w:t>
      </w:r>
      <w:r>
        <w:rPr>
          <w:rFonts w:ascii="Times New Roman" w:hAnsi="Times New Roman" w:cs="Times New Roman"/>
          <w:sz w:val="24"/>
          <w:szCs w:val="24"/>
          <w14:ligatures w14:val="none"/>
        </w:rPr>
        <w:t xml:space="preserve"> × 10</w:t>
      </w:r>
      <w:r>
        <w:rPr>
          <w:rFonts w:ascii="Times New Roman" w:hAnsi="Times New Roman" w:cs="Times New Roman"/>
          <w:sz w:val="24"/>
          <w:szCs w:val="24"/>
          <w:vertAlign w:val="superscript"/>
          <w14:ligatures w14:val="none"/>
        </w:rPr>
        <w:t>3</w:t>
      </w:r>
      <w:r>
        <w:rPr>
          <w:rFonts w:hint="eastAsia" w:ascii="Times New Roman" w:hAnsi="Times New Roman" w:cs="Times New Roman"/>
          <w:sz w:val="24"/>
          <w:szCs w:val="24"/>
          <w14:ligatures w14:val="none"/>
        </w:rPr>
        <w:t xml:space="preserve"> cells per well in 96-well microplates with 200 </w:t>
      </w:r>
      <w:r>
        <w:rPr>
          <w:rFonts w:ascii="Times New Roman" w:hAnsi="Times New Roman" w:cs="Times New Roman"/>
          <w:sz w:val="24"/>
          <w:szCs w:val="24"/>
          <w14:ligatures w14:val="none"/>
        </w:rPr>
        <w:t>μ</w:t>
      </w:r>
      <w:r>
        <w:rPr>
          <w:rFonts w:hint="eastAsia" w:ascii="Times New Roman" w:hAnsi="Times New Roman" w:cs="Times New Roman"/>
          <w:sz w:val="24"/>
          <w:szCs w:val="24"/>
          <w14:ligatures w14:val="none"/>
        </w:rPr>
        <w:t>L</w:t>
      </w:r>
      <w:r>
        <w:rPr>
          <w:rFonts w:ascii="Times New Roman" w:hAnsi="Times New Roman" w:cs="Times New Roman"/>
          <w:sz w:val="24"/>
          <w:szCs w:val="24"/>
          <w14:ligatures w14:val="none"/>
        </w:rPr>
        <w:t xml:space="preserve"> </w:t>
      </w:r>
      <w:r>
        <w:rPr>
          <w:rFonts w:hint="eastAsia" w:ascii="Times New Roman" w:hAnsi="Times New Roman" w:cs="Times New Roman"/>
          <w:sz w:val="24"/>
          <w:szCs w:val="24"/>
          <w14:ligatures w14:val="none"/>
        </w:rPr>
        <w:t>cell suspension per well and cultured overnight in a 5% CO</w:t>
      </w:r>
      <w:r>
        <w:rPr>
          <w:rFonts w:hint="eastAsia" w:ascii="Times New Roman" w:hAnsi="Times New Roman" w:cs="Times New Roman"/>
          <w:sz w:val="24"/>
          <w:szCs w:val="24"/>
          <w:vertAlign w:val="subscript"/>
          <w14:ligatures w14:val="none"/>
        </w:rPr>
        <w:t>2</w:t>
      </w:r>
      <w:r>
        <w:rPr>
          <w:rFonts w:hint="eastAsia" w:ascii="Times New Roman" w:hAnsi="Times New Roman" w:cs="Times New Roman"/>
          <w:sz w:val="24"/>
          <w:szCs w:val="24"/>
          <w14:ligatures w14:val="none"/>
        </w:rPr>
        <w:t>, 3</w:t>
      </w:r>
      <w:r>
        <w:rPr>
          <w:rFonts w:ascii="Times New Roman" w:hAnsi="Times New Roman" w:cs="Times New Roman"/>
          <w:sz w:val="24"/>
          <w:szCs w:val="24"/>
          <w14:ligatures w14:val="none"/>
        </w:rPr>
        <w:t>7°C humid</w:t>
      </w:r>
      <w:r>
        <w:rPr>
          <w:rFonts w:hint="eastAsia" w:ascii="Times New Roman" w:hAnsi="Times New Roman" w:cs="Times New Roman"/>
          <w:sz w:val="24"/>
          <w:szCs w:val="24"/>
          <w14:ligatures w14:val="none"/>
        </w:rPr>
        <w:t xml:space="preserve"> incubator</w:t>
      </w:r>
      <w:r>
        <w:rPr>
          <w:rFonts w:ascii="Times New Roman" w:hAnsi="Times New Roman" w:cs="Times New Roman"/>
          <w:sz w:val="24"/>
          <w:szCs w:val="24"/>
          <w14:ligatures w14:val="none"/>
        </w:rPr>
        <w:t>,</w:t>
      </w:r>
      <w:r>
        <w:rPr>
          <w:rFonts w:hint="eastAsia" w:ascii="Times New Roman" w:hAnsi="Times New Roman" w:cs="Times New Roman"/>
          <w:sz w:val="24"/>
          <w:szCs w:val="24"/>
          <w14:ligatures w14:val="none"/>
        </w:rPr>
        <w:t xml:space="preserve"> resulting in a cell density of 80–90%. </w:t>
      </w:r>
      <w:r>
        <w:rPr>
          <w:rFonts w:ascii="Times New Roman" w:hAnsi="Times New Roman" w:cs="Times New Roman"/>
          <w:sz w:val="24"/>
          <w:szCs w:val="24"/>
          <w14:ligatures w14:val="none"/>
        </w:rPr>
        <w:t xml:space="preserve">The cells were incubated in fresh medium containing </w:t>
      </w:r>
      <w:r>
        <w:rPr>
          <w:rFonts w:hint="eastAsia" w:ascii="Times New Roman" w:hAnsi="Times New Roman" w:cs="Times New Roman"/>
          <w:sz w:val="24"/>
          <w:szCs w:val="24"/>
          <w14:ligatures w14:val="none"/>
        </w:rPr>
        <w:t>Ce/Eu-BDC, Ln-MOF, and</w:t>
      </w:r>
      <w:r>
        <w:rPr>
          <w:rFonts w:hint="eastAsia" w:ascii="Times New Roman" w:hAnsi="Times New Roman" w:cs="Times New Roman"/>
          <w:color w:val="000000" w:themeColor="text1"/>
          <w:sz w:val="24"/>
          <w:szCs w:val="24"/>
          <w14:textFill>
            <w14:solidFill>
              <w14:schemeClr w14:val="tx1"/>
            </w14:solidFill>
          </w14:textFill>
          <w14:ligatures w14:val="none"/>
        </w:rPr>
        <w:t xml:space="preserve"> LNM</w:t>
      </w:r>
      <w:r>
        <w:rPr>
          <w:rFonts w:ascii="Times New Roman" w:hAnsi="Times New Roman" w:cs="Times New Roman"/>
          <w:color w:val="000000" w:themeColor="text1"/>
          <w:sz w:val="24"/>
          <w:szCs w:val="24"/>
          <w14:textFill>
            <w14:solidFill>
              <w14:schemeClr w14:val="tx1"/>
            </w14:solidFill>
          </w14:textFill>
          <w14:ligatures w14:val="none"/>
        </w:rPr>
        <w:t xml:space="preserve"> </w:t>
      </w:r>
      <w:r>
        <w:rPr>
          <w:rFonts w:ascii="Times New Roman" w:hAnsi="Times New Roman" w:cs="Times New Roman"/>
          <w:sz w:val="24"/>
          <w:szCs w:val="24"/>
          <w14:ligatures w14:val="none"/>
        </w:rPr>
        <w:t>of different concentrations (</w:t>
      </w:r>
      <w:r>
        <w:rPr>
          <w:rFonts w:hint="eastAsia" w:ascii="Times New Roman" w:hAnsi="Times New Roman" w:cs="Times New Roman"/>
          <w:sz w:val="24"/>
          <w:szCs w:val="24"/>
          <w14:ligatures w14:val="none"/>
        </w:rPr>
        <w:t>50</w:t>
      </w:r>
      <w:r>
        <w:rPr>
          <w:rFonts w:ascii="Times New Roman" w:hAnsi="Times New Roman" w:cs="Times New Roman"/>
          <w:sz w:val="24"/>
          <w:szCs w:val="24"/>
          <w14:ligatures w14:val="none"/>
        </w:rPr>
        <w:t>, 1</w:t>
      </w:r>
      <w:r>
        <w:rPr>
          <w:rFonts w:hint="eastAsia" w:ascii="Times New Roman" w:hAnsi="Times New Roman" w:cs="Times New Roman"/>
          <w:sz w:val="24"/>
          <w:szCs w:val="24"/>
          <w14:ligatures w14:val="none"/>
        </w:rPr>
        <w:t>00</w:t>
      </w:r>
      <w:r>
        <w:rPr>
          <w:rFonts w:ascii="Times New Roman" w:hAnsi="Times New Roman" w:cs="Times New Roman"/>
          <w:sz w:val="24"/>
          <w:szCs w:val="24"/>
          <w14:ligatures w14:val="none"/>
        </w:rPr>
        <w:t xml:space="preserve">, </w:t>
      </w:r>
      <w:r>
        <w:rPr>
          <w:rFonts w:hint="eastAsia" w:ascii="Times New Roman" w:hAnsi="Times New Roman" w:cs="Times New Roman"/>
          <w:sz w:val="24"/>
          <w:szCs w:val="24"/>
          <w14:ligatures w14:val="none"/>
        </w:rPr>
        <w:t>150</w:t>
      </w:r>
      <w:r>
        <w:rPr>
          <w:rFonts w:ascii="Times New Roman" w:hAnsi="Times New Roman" w:cs="Times New Roman"/>
          <w:sz w:val="24"/>
          <w:szCs w:val="24"/>
          <w14:ligatures w14:val="none"/>
        </w:rPr>
        <w:t xml:space="preserve">, </w:t>
      </w:r>
      <w:r>
        <w:rPr>
          <w:rFonts w:hint="eastAsia" w:ascii="Times New Roman" w:hAnsi="Times New Roman" w:cs="Times New Roman"/>
          <w:sz w:val="24"/>
          <w:szCs w:val="24"/>
          <w14:ligatures w14:val="none"/>
        </w:rPr>
        <w:t>200</w:t>
      </w:r>
      <w:r>
        <w:rPr>
          <w:rFonts w:ascii="Times New Roman" w:hAnsi="Times New Roman" w:cs="Times New Roman"/>
          <w:sz w:val="24"/>
          <w:szCs w:val="24"/>
          <w14:ligatures w14:val="none"/>
        </w:rPr>
        <w:t xml:space="preserve"> and </w:t>
      </w:r>
      <w:r>
        <w:rPr>
          <w:rFonts w:hint="eastAsia" w:ascii="Times New Roman" w:hAnsi="Times New Roman" w:cs="Times New Roman"/>
          <w:sz w:val="24"/>
          <w:szCs w:val="24"/>
          <w14:ligatures w14:val="none"/>
        </w:rPr>
        <w:t>250</w:t>
      </w:r>
      <w:r>
        <w:rPr>
          <w:rFonts w:ascii="Times New Roman" w:hAnsi="Times New Roman" w:cs="Times New Roman"/>
          <w:sz w:val="24"/>
          <w:szCs w:val="24"/>
          <w14:ligatures w14:val="none"/>
        </w:rPr>
        <w:t xml:space="preserve"> </w:t>
      </w:r>
      <w:r>
        <w:rPr>
          <w:rFonts w:ascii="Times New Roman" w:hAnsi="Times New Roman" w:eastAsia="等线" w:cs="Times New Roman"/>
          <w:sz w:val="24"/>
          <w:szCs w:val="24"/>
          <w14:ligatures w14:val="none"/>
        </w:rPr>
        <w:t>μ</w:t>
      </w:r>
      <w:r>
        <w:rPr>
          <w:rFonts w:ascii="Times New Roman" w:hAnsi="Times New Roman" w:cs="Times New Roman"/>
          <w:sz w:val="24"/>
          <w:szCs w:val="24"/>
          <w14:ligatures w14:val="none"/>
        </w:rPr>
        <w:t>g mL</w:t>
      </w:r>
      <w:r>
        <w:rPr>
          <w:rFonts w:ascii="Times New Roman" w:hAnsi="Times New Roman" w:cs="Times New Roman"/>
          <w:sz w:val="24"/>
          <w:szCs w:val="24"/>
          <w:vertAlign w:val="superscript"/>
          <w14:ligatures w14:val="none"/>
        </w:rPr>
        <w:t>-1</w:t>
      </w:r>
      <w:r>
        <w:rPr>
          <w:rFonts w:ascii="Times New Roman" w:hAnsi="Times New Roman" w:cs="Times New Roman"/>
          <w:sz w:val="24"/>
          <w:szCs w:val="24"/>
          <w14:ligatures w14:val="none"/>
        </w:rPr>
        <w:t>) for 2</w:t>
      </w:r>
      <w:r>
        <w:rPr>
          <w:rFonts w:hint="eastAsia" w:ascii="Times New Roman" w:hAnsi="Times New Roman" w:cs="Times New Roman"/>
          <w:sz w:val="24"/>
          <w:szCs w:val="24"/>
          <w14:ligatures w14:val="none"/>
        </w:rPr>
        <w:t xml:space="preserve">4 </w:t>
      </w:r>
      <w:r>
        <w:rPr>
          <w:rFonts w:ascii="Times New Roman" w:hAnsi="Times New Roman" w:cs="Times New Roman"/>
          <w:sz w:val="24"/>
          <w:szCs w:val="24"/>
          <w14:ligatures w14:val="none"/>
        </w:rPr>
        <w:t>h</w:t>
      </w:r>
      <w:r>
        <w:rPr>
          <w:rFonts w:hint="eastAsia" w:ascii="Times New Roman" w:hAnsi="Times New Roman" w:cs="Times New Roman"/>
          <w:sz w:val="24"/>
          <w:szCs w:val="24"/>
          <w14:ligatures w14:val="none"/>
        </w:rPr>
        <w:t>.</w:t>
      </w:r>
    </w:p>
    <w:p w14:paraId="5F987FBC">
      <w:pPr>
        <w:spacing w:line="480" w:lineRule="auto"/>
        <w:rPr>
          <w:rFonts w:ascii="Times New Roman" w:hAnsi="Times New Roman" w:cs="Times New Roman"/>
          <w:b/>
          <w:bCs/>
          <w:sz w:val="24"/>
          <w:szCs w:val="24"/>
        </w:rPr>
      </w:pPr>
      <w:r>
        <w:rPr>
          <w:rFonts w:hint="eastAsia" w:ascii="Times New Roman" w:hAnsi="Times New Roman" w:cs="Times New Roman"/>
          <w:b/>
          <w:bCs/>
          <w:sz w:val="24"/>
          <w:szCs w:val="24"/>
        </w:rPr>
        <w:t>Hemolysis assay</w:t>
      </w:r>
    </w:p>
    <w:p w14:paraId="78692E01">
      <w:pPr>
        <w:spacing w:line="48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 xml:space="preserve">Fresh blood sample collected from mouse (500 μL) was mixed with normal saline (5 mL) and centrifuged at 3000 rpm for 3 min. The sediment was washed three times with PBS, and red blood cells were dispersed in 10 mL of PBS buffer. </w:t>
      </w:r>
      <w:r>
        <w:rPr>
          <w:rFonts w:ascii="Times New Roman" w:hAnsi="Times New Roman" w:cs="Times New Roman"/>
          <w:sz w:val="24"/>
          <w:szCs w:val="24"/>
        </w:rPr>
        <w:t>Erythrocytes (</w:t>
      </w:r>
      <w:r>
        <w:rPr>
          <w:rFonts w:hint="eastAsia" w:ascii="Times New Roman" w:hAnsi="Times New Roman" w:cs="Times New Roman"/>
          <w:sz w:val="24"/>
          <w:szCs w:val="24"/>
        </w:rPr>
        <w:t xml:space="preserve">200 </w:t>
      </w:r>
      <w:r>
        <w:rPr>
          <w:rFonts w:ascii="Times New Roman" w:hAnsi="Times New Roman" w:eastAsia="等线" w:cs="Times New Roman"/>
          <w:sz w:val="24"/>
          <w:szCs w:val="24"/>
        </w:rPr>
        <w:t>μ</w:t>
      </w:r>
      <w:r>
        <w:rPr>
          <w:rFonts w:ascii="Times New Roman" w:hAnsi="Times New Roman" w:cs="Times New Roman"/>
          <w:sz w:val="24"/>
          <w:szCs w:val="24"/>
        </w:rPr>
        <w:t>L) were added to water,</w:t>
      </w:r>
      <w:r>
        <w:rPr>
          <w:rFonts w:hint="eastAsia" w:ascii="Times New Roman" w:hAnsi="Times New Roman" w:cs="Times New Roman"/>
          <w:sz w:val="24"/>
          <w:szCs w:val="24"/>
        </w:rPr>
        <w:t xml:space="preserve"> 0.9% NaCl solution, as well as different concentrations of LNM in 0.9% NaCl solution (0.8 mL). After 4 h of incubation at 37 °C, the solution was centrifuged at 12000 rpm for 10 min. The supernatants were characterized by recording the absorbance at 544 nm. The hemolysis percentage was calculated according to the following equation:</w:t>
      </w:r>
    </w:p>
    <w:p w14:paraId="7616CCFA">
      <w:pPr>
        <w:spacing w:line="480" w:lineRule="auto"/>
        <w:jc w:val="center"/>
        <w:rPr>
          <w:rFonts w:ascii="Times New Roman" w:hAnsi="Times New Roman" w:cs="Times New Roman"/>
          <w:sz w:val="24"/>
          <w:szCs w:val="24"/>
        </w:rPr>
      </w:pPr>
      <w:r>
        <w:rPr>
          <w:rFonts w:hint="eastAsia" w:ascii="Times New Roman" w:hAnsi="Times New Roman" w:cs="Times New Roman"/>
          <w:sz w:val="24"/>
          <w:szCs w:val="24"/>
        </w:rPr>
        <w:t>Hemolysis (%) = (</w:t>
      </w:r>
      <w:r>
        <w:rPr>
          <w:rFonts w:hint="eastAsia" w:ascii="Times New Roman" w:hAnsi="Times New Roman" w:cs="Times New Roman"/>
          <w:i/>
          <w:iCs/>
          <w:sz w:val="24"/>
          <w:szCs w:val="24"/>
        </w:rPr>
        <w:t>A</w:t>
      </w:r>
      <w:r>
        <w:rPr>
          <w:rFonts w:hint="eastAsia" w:ascii="Times New Roman" w:hAnsi="Times New Roman" w:cs="Times New Roman"/>
          <w:sz w:val="24"/>
          <w:szCs w:val="24"/>
        </w:rPr>
        <w:t>-</w:t>
      </w:r>
      <w:r>
        <w:rPr>
          <w:rFonts w:hint="eastAsia" w:ascii="Times New Roman" w:hAnsi="Times New Roman" w:cs="Times New Roman"/>
          <w:i/>
          <w:iCs/>
          <w:sz w:val="24"/>
          <w:szCs w:val="24"/>
        </w:rPr>
        <w:t>A</w:t>
      </w:r>
      <w:r>
        <w:rPr>
          <w:rFonts w:hint="eastAsia" w:ascii="Times New Roman" w:hAnsi="Times New Roman" w:cs="Times New Roman"/>
          <w:sz w:val="24"/>
          <w:szCs w:val="24"/>
          <w:vertAlign w:val="subscript"/>
        </w:rPr>
        <w:t>PBS</w:t>
      </w:r>
      <w:r>
        <w:rPr>
          <w:rFonts w:hint="eastAsia" w:ascii="Times New Roman" w:hAnsi="Times New Roman" w:cs="Times New Roman"/>
          <w:sz w:val="24"/>
          <w:szCs w:val="24"/>
        </w:rPr>
        <w:t>)/(</w:t>
      </w:r>
      <w:r>
        <w:rPr>
          <w:rFonts w:hint="eastAsia" w:ascii="Times New Roman" w:hAnsi="Times New Roman" w:cs="Times New Roman"/>
          <w:i/>
          <w:iCs/>
          <w:sz w:val="24"/>
          <w:szCs w:val="24"/>
        </w:rPr>
        <w:t>A</w:t>
      </w:r>
      <w:r>
        <w:rPr>
          <w:rFonts w:hint="eastAsia" w:ascii="Times New Roman" w:hAnsi="Times New Roman" w:cs="Times New Roman"/>
          <w:sz w:val="24"/>
          <w:szCs w:val="24"/>
          <w:vertAlign w:val="subscript"/>
        </w:rPr>
        <w:t>0</w:t>
      </w:r>
      <w:r>
        <w:rPr>
          <w:rFonts w:hint="eastAsia" w:ascii="Times New Roman" w:hAnsi="Times New Roman" w:cs="Times New Roman"/>
          <w:sz w:val="24"/>
          <w:szCs w:val="24"/>
        </w:rPr>
        <w:t>-</w:t>
      </w:r>
      <w:r>
        <w:rPr>
          <w:rFonts w:hint="eastAsia" w:ascii="Times New Roman" w:hAnsi="Times New Roman" w:cs="Times New Roman"/>
          <w:i/>
          <w:iCs/>
          <w:sz w:val="24"/>
          <w:szCs w:val="24"/>
        </w:rPr>
        <w:t>A</w:t>
      </w:r>
      <w:r>
        <w:rPr>
          <w:rFonts w:hint="eastAsia" w:ascii="Times New Roman" w:hAnsi="Times New Roman" w:cs="Times New Roman"/>
          <w:sz w:val="24"/>
          <w:szCs w:val="24"/>
          <w:vertAlign w:val="subscript"/>
        </w:rPr>
        <w:t>PBS</w:t>
      </w:r>
      <w:r>
        <w:rPr>
          <w:rFonts w:hint="eastAsia" w:ascii="Times New Roman" w:hAnsi="Times New Roman" w:cs="Times New Roman"/>
          <w:sz w:val="24"/>
          <w:szCs w:val="24"/>
        </w:rPr>
        <w:t>) 100%</w:t>
      </w:r>
    </w:p>
    <w:p w14:paraId="63C29352">
      <w:pPr>
        <w:spacing w:line="480" w:lineRule="auto"/>
        <w:rPr>
          <w:rFonts w:ascii="Times New Roman" w:hAnsi="Times New Roman" w:cs="Times New Roman"/>
          <w:sz w:val="24"/>
          <w:szCs w:val="24"/>
        </w:rPr>
      </w:pPr>
      <w:r>
        <w:rPr>
          <w:rFonts w:hint="eastAsia" w:ascii="Times New Roman" w:hAnsi="Times New Roman" w:cs="Times New Roman"/>
          <w:sz w:val="24"/>
          <w:szCs w:val="24"/>
        </w:rPr>
        <w:t>where the A is the absorbance of hemoglobin with different concentrations of LNM, A</w:t>
      </w:r>
      <w:r>
        <w:rPr>
          <w:rFonts w:hint="eastAsia" w:ascii="Times New Roman" w:hAnsi="Times New Roman" w:cs="Times New Roman"/>
          <w:sz w:val="24"/>
          <w:szCs w:val="24"/>
          <w:vertAlign w:val="subscript"/>
        </w:rPr>
        <w:t>PBS</w:t>
      </w:r>
      <w:r>
        <w:rPr>
          <w:rFonts w:hint="eastAsia" w:ascii="Times New Roman" w:hAnsi="Times New Roman" w:cs="Times New Roman"/>
          <w:sz w:val="24"/>
          <w:szCs w:val="24"/>
        </w:rPr>
        <w:t xml:space="preserve"> is the absorbance of hemoglobin in PBS, and A</w:t>
      </w:r>
      <w:r>
        <w:rPr>
          <w:rFonts w:hint="eastAsia" w:ascii="Times New Roman" w:hAnsi="Times New Roman" w:cs="Times New Roman"/>
          <w:sz w:val="24"/>
          <w:szCs w:val="24"/>
          <w:vertAlign w:val="subscript"/>
        </w:rPr>
        <w:t>0</w:t>
      </w:r>
      <w:r>
        <w:rPr>
          <w:rFonts w:hint="eastAsia" w:ascii="Times New Roman" w:hAnsi="Times New Roman" w:cs="Times New Roman"/>
          <w:sz w:val="24"/>
          <w:szCs w:val="24"/>
        </w:rPr>
        <w:t xml:space="preserve"> is the absorbance of hemoglobin in water corresponding to the complete hemolysis.</w:t>
      </w:r>
    </w:p>
    <w:p w14:paraId="3A9A9E69">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In </w:t>
      </w:r>
      <w:r>
        <w:rPr>
          <w:rFonts w:hint="eastAsia" w:ascii="Times New Roman" w:hAnsi="Times New Roman" w:cs="Times New Roman"/>
          <w:b/>
          <w:bCs/>
          <w:sz w:val="24"/>
          <w:szCs w:val="24"/>
        </w:rPr>
        <w:t>v</w:t>
      </w:r>
      <w:r>
        <w:rPr>
          <w:rFonts w:ascii="Times New Roman" w:hAnsi="Times New Roman" w:cs="Times New Roman"/>
          <w:b/>
          <w:bCs/>
          <w:sz w:val="24"/>
          <w:szCs w:val="24"/>
        </w:rPr>
        <w:t xml:space="preserve">itro ROS </w:t>
      </w:r>
      <w:r>
        <w:rPr>
          <w:rFonts w:hint="eastAsia" w:ascii="Times New Roman" w:hAnsi="Times New Roman" w:cs="Times New Roman"/>
          <w:b/>
          <w:bCs/>
          <w:sz w:val="24"/>
          <w:szCs w:val="24"/>
        </w:rPr>
        <w:t>s</w:t>
      </w:r>
      <w:r>
        <w:rPr>
          <w:rFonts w:ascii="Times New Roman" w:hAnsi="Times New Roman" w:cs="Times New Roman"/>
          <w:b/>
          <w:bCs/>
          <w:sz w:val="24"/>
          <w:szCs w:val="24"/>
        </w:rPr>
        <w:t xml:space="preserve">cavenging </w:t>
      </w:r>
      <w:r>
        <w:rPr>
          <w:rFonts w:hint="eastAsia" w:ascii="Times New Roman" w:hAnsi="Times New Roman" w:cs="Times New Roman"/>
          <w:b/>
          <w:bCs/>
          <w:sz w:val="24"/>
          <w:szCs w:val="24"/>
        </w:rPr>
        <w:t>a</w:t>
      </w:r>
      <w:r>
        <w:rPr>
          <w:rFonts w:ascii="Times New Roman" w:hAnsi="Times New Roman" w:cs="Times New Roman"/>
          <w:b/>
          <w:bCs/>
          <w:sz w:val="24"/>
          <w:szCs w:val="24"/>
        </w:rPr>
        <w:t xml:space="preserve">bility of </w:t>
      </w:r>
      <w:r>
        <w:rPr>
          <w:rFonts w:hint="eastAsia" w:ascii="Times New Roman" w:hAnsi="Times New Roman" w:cs="Times New Roman"/>
          <w:b/>
          <w:bCs/>
          <w:sz w:val="24"/>
          <w:szCs w:val="24"/>
        </w:rPr>
        <w:t>LNM</w:t>
      </w:r>
    </w:p>
    <w:p w14:paraId="58BBF204">
      <w:pPr>
        <w:spacing w:line="480"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To investigate the in vitro ROS scavenging ability of </w:t>
      </w:r>
      <w:r>
        <w:rPr>
          <w:rFonts w:hint="eastAsia" w:ascii="Times New Roman" w:hAnsi="Times New Roman" w:cs="Times New Roman"/>
          <w:sz w:val="24"/>
          <w:szCs w:val="24"/>
        </w:rPr>
        <w:t>LNM</w:t>
      </w:r>
      <w:r>
        <w:rPr>
          <w:rFonts w:ascii="Times New Roman" w:hAnsi="Times New Roman" w:cs="Times New Roman"/>
          <w:sz w:val="24"/>
          <w:szCs w:val="24"/>
        </w:rPr>
        <w:t>, PC-12 cells (</w:t>
      </w:r>
      <w:r>
        <w:rPr>
          <w:rFonts w:hint="eastAsia" w:ascii="Times New Roman" w:hAnsi="Times New Roman" w:cs="Times New Roman"/>
          <w:sz w:val="24"/>
          <w:szCs w:val="24"/>
        </w:rPr>
        <w:t>5</w:t>
      </w:r>
      <w:r>
        <w:rPr>
          <w:rFonts w:ascii="Times New Roman" w:hAnsi="Times New Roman" w:cs="Times New Roman"/>
          <w:sz w:val="24"/>
          <w:szCs w:val="24"/>
        </w:rPr>
        <w:t xml:space="preserve"> × 10</w:t>
      </w:r>
      <w:r>
        <w:rPr>
          <w:rFonts w:hint="eastAsia" w:ascii="Times New Roman" w:hAnsi="Times New Roman" w:cs="Times New Roman"/>
          <w:sz w:val="24"/>
          <w:szCs w:val="24"/>
          <w:vertAlign w:val="superscript"/>
        </w:rPr>
        <w:t>3</w:t>
      </w:r>
      <w:r>
        <w:rPr>
          <w:rFonts w:ascii="Times New Roman" w:hAnsi="Times New Roman" w:cs="Times New Roman"/>
          <w:sz w:val="24"/>
          <w:szCs w:val="24"/>
        </w:rPr>
        <w:t xml:space="preserve"> cells/well) in 96-well plates were cultivated for 24 h</w:t>
      </w:r>
      <w:r>
        <w:rPr>
          <w:rFonts w:hint="eastAsia" w:ascii="Times New Roman" w:hAnsi="Times New Roman" w:cs="Times New Roman"/>
          <w:sz w:val="24"/>
          <w:szCs w:val="24"/>
        </w:rPr>
        <w:t>,</w:t>
      </w:r>
      <w:r>
        <w:rPr>
          <w:rFonts w:ascii="Times New Roman" w:hAnsi="Times New Roman" w:cs="Times New Roman"/>
          <w:sz w:val="24"/>
          <w:szCs w:val="24"/>
        </w:rPr>
        <w:t xml:space="preserve"> and then </w:t>
      </w:r>
      <w:r>
        <w:rPr>
          <w:rFonts w:hint="eastAsia" w:ascii="Times New Roman" w:hAnsi="Times New Roman" w:cs="Times New Roman"/>
          <w:sz w:val="24"/>
          <w:szCs w:val="24"/>
        </w:rPr>
        <w:t>v</w:t>
      </w:r>
      <w:r>
        <w:rPr>
          <w:rFonts w:ascii="Times New Roman" w:hAnsi="Times New Roman" w:cs="Times New Roman"/>
          <w:sz w:val="24"/>
          <w:szCs w:val="24"/>
        </w:rPr>
        <w:t xml:space="preserve">arious concentrations of </w:t>
      </w:r>
      <w:r>
        <w:rPr>
          <w:rFonts w:hint="eastAsia" w:ascii="Times New Roman" w:hAnsi="Times New Roman" w:cs="Times New Roman"/>
          <w:sz w:val="24"/>
          <w:szCs w:val="24"/>
        </w:rPr>
        <w:t>LNM</w:t>
      </w:r>
      <w:r>
        <w:rPr>
          <w:rFonts w:ascii="Times New Roman" w:hAnsi="Times New Roman" w:cs="Times New Roman"/>
          <w:sz w:val="24"/>
          <w:szCs w:val="24"/>
        </w:rPr>
        <w:t xml:space="preserve"> </w:t>
      </w:r>
      <w:r>
        <w:rPr>
          <w:rFonts w:hint="eastAsia" w:ascii="Times New Roman" w:hAnsi="Times New Roman" w:cs="Times New Roman"/>
          <w:sz w:val="24"/>
          <w:szCs w:val="24"/>
        </w:rPr>
        <w:t>(</w:t>
      </w:r>
      <w:r>
        <w:rPr>
          <w:rFonts w:ascii="Times New Roman" w:hAnsi="Times New Roman" w:cs="Times New Roman"/>
          <w:sz w:val="24"/>
          <w:szCs w:val="24"/>
        </w:rPr>
        <w:t>10</w:t>
      </w:r>
      <w:r>
        <w:rPr>
          <w:rFonts w:hint="eastAsia" w:ascii="Times New Roman" w:hAnsi="Times New Roman" w:cs="Times New Roman"/>
          <w:sz w:val="24"/>
          <w:szCs w:val="24"/>
        </w:rPr>
        <w:t>0</w:t>
      </w:r>
      <w:r>
        <w:rPr>
          <w:rFonts w:ascii="Times New Roman" w:hAnsi="Times New Roman" w:cs="Times New Roman"/>
          <w:sz w:val="24"/>
          <w:szCs w:val="24"/>
        </w:rPr>
        <w:t xml:space="preserve">, </w:t>
      </w:r>
      <w:r>
        <w:rPr>
          <w:rFonts w:hint="eastAsia" w:ascii="Times New Roman" w:hAnsi="Times New Roman" w:cs="Times New Roman"/>
          <w:sz w:val="24"/>
          <w:szCs w:val="24"/>
        </w:rPr>
        <w:t>20</w:t>
      </w:r>
      <w:r>
        <w:rPr>
          <w:rFonts w:ascii="Times New Roman" w:hAnsi="Times New Roman" w:cs="Times New Roman"/>
          <w:sz w:val="24"/>
          <w:szCs w:val="24"/>
        </w:rPr>
        <w:t xml:space="preserve">0, </w:t>
      </w:r>
      <w:r>
        <w:rPr>
          <w:rFonts w:hint="eastAsia" w:ascii="Times New Roman" w:hAnsi="Times New Roman" w:cs="Times New Roman"/>
          <w:sz w:val="24"/>
          <w:szCs w:val="24"/>
        </w:rPr>
        <w:t>3</w:t>
      </w:r>
      <w:r>
        <w:rPr>
          <w:rFonts w:ascii="Times New Roman" w:hAnsi="Times New Roman" w:cs="Times New Roman"/>
          <w:sz w:val="24"/>
          <w:szCs w:val="24"/>
        </w:rPr>
        <w:t xml:space="preserve">00, and </w:t>
      </w:r>
      <w:r>
        <w:rPr>
          <w:rFonts w:hint="eastAsia" w:ascii="Times New Roman" w:hAnsi="Times New Roman" w:cs="Times New Roman"/>
          <w:sz w:val="24"/>
          <w:szCs w:val="24"/>
        </w:rPr>
        <w:t>4</w:t>
      </w:r>
      <w:r>
        <w:rPr>
          <w:rFonts w:ascii="Times New Roman" w:hAnsi="Times New Roman" w:cs="Times New Roman"/>
          <w:sz w:val="24"/>
          <w:szCs w:val="24"/>
        </w:rPr>
        <w:t>00 μg</w:t>
      </w:r>
      <w:r>
        <w:rPr>
          <w:rFonts w:hint="eastAsia" w:ascii="Times New Roman" w:hAnsi="Times New Roman" w:cs="Times New Roman"/>
          <w:sz w:val="24"/>
          <w:szCs w:val="24"/>
        </w:rPr>
        <w:t xml:space="preserve"> </w:t>
      </w:r>
      <w:r>
        <w:rPr>
          <w:rFonts w:ascii="Times New Roman" w:hAnsi="Times New Roman" w:cs="Times New Roman"/>
          <w:sz w:val="24"/>
          <w:szCs w:val="24"/>
        </w:rPr>
        <w:t>mL</w:t>
      </w:r>
      <w:r>
        <w:rPr>
          <w:rFonts w:hint="eastAsia" w:ascii="Times New Roman" w:hAnsi="Times New Roman" w:cs="Times New Roman"/>
          <w:sz w:val="24"/>
          <w:szCs w:val="24"/>
          <w:vertAlign w:val="superscript"/>
        </w:rPr>
        <w:t>-1</w:t>
      </w:r>
      <w:r>
        <w:rPr>
          <w:rFonts w:hint="eastAsia" w:ascii="Times New Roman" w:hAnsi="Times New Roman" w:cs="Times New Roman"/>
          <w:sz w:val="24"/>
          <w:szCs w:val="24"/>
        </w:rPr>
        <w:t>)</w:t>
      </w:r>
      <w:r>
        <w:rPr>
          <w:rFonts w:ascii="Times New Roman" w:hAnsi="Times New Roman" w:cs="Times New Roman"/>
          <w:sz w:val="24"/>
          <w:szCs w:val="24"/>
        </w:rPr>
        <w:t xml:space="preserve"> were added to the cells and incubated for another 12 h. </w:t>
      </w:r>
      <w:r>
        <w:rPr>
          <w:rFonts w:hint="eastAsia" w:ascii="Times New Roman" w:hAnsi="Times New Roman" w:cs="Times New Roman"/>
          <w:sz w:val="24"/>
          <w:szCs w:val="24"/>
        </w:rPr>
        <w:t xml:space="preserve">Finally, the cells were </w:t>
      </w:r>
      <w:r>
        <w:rPr>
          <w:rFonts w:ascii="Times New Roman" w:hAnsi="Times New Roman" w:cs="Times New Roman"/>
          <w:sz w:val="24"/>
          <w:szCs w:val="24"/>
        </w:rPr>
        <w:t>treated with 200 μM 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 xml:space="preserve"> for 2 h</w:t>
      </w:r>
      <w:r>
        <w:rPr>
          <w:rFonts w:hint="eastAsia" w:ascii="Times New Roman" w:hAnsi="Times New Roman" w:cs="Times New Roman"/>
          <w:sz w:val="24"/>
          <w:szCs w:val="24"/>
        </w:rPr>
        <w:t>. Cell viability was determined by CCK-8 assay.</w:t>
      </w:r>
    </w:p>
    <w:p w14:paraId="3D40756B">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Intracellular ROS </w:t>
      </w:r>
      <w:r>
        <w:rPr>
          <w:rFonts w:hint="eastAsia" w:ascii="Times New Roman" w:hAnsi="Times New Roman" w:cs="Times New Roman"/>
          <w:b/>
          <w:bCs/>
          <w:sz w:val="24"/>
          <w:szCs w:val="24"/>
        </w:rPr>
        <w:t>s</w:t>
      </w:r>
      <w:r>
        <w:rPr>
          <w:rFonts w:ascii="Times New Roman" w:hAnsi="Times New Roman" w:cs="Times New Roman"/>
          <w:b/>
          <w:bCs/>
          <w:sz w:val="24"/>
          <w:szCs w:val="24"/>
        </w:rPr>
        <w:t xml:space="preserve">cavenging </w:t>
      </w:r>
      <w:r>
        <w:rPr>
          <w:rFonts w:hint="eastAsia" w:ascii="Times New Roman" w:hAnsi="Times New Roman" w:cs="Times New Roman"/>
          <w:b/>
          <w:bCs/>
          <w:sz w:val="24"/>
          <w:szCs w:val="24"/>
        </w:rPr>
        <w:t>a</w:t>
      </w:r>
      <w:r>
        <w:rPr>
          <w:rFonts w:ascii="Times New Roman" w:hAnsi="Times New Roman" w:cs="Times New Roman"/>
          <w:b/>
          <w:bCs/>
          <w:sz w:val="24"/>
          <w:szCs w:val="24"/>
        </w:rPr>
        <w:t>bility</w:t>
      </w:r>
    </w:p>
    <w:p w14:paraId="6CE56E46">
      <w:pPr>
        <w:spacing w:line="480"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PC-12 cells were seeded in 24-well plates at a density of </w:t>
      </w:r>
      <w:r>
        <w:rPr>
          <w:rFonts w:hint="eastAsia" w:ascii="Times New Roman" w:hAnsi="Times New Roman" w:cs="Times New Roman"/>
          <w:sz w:val="24"/>
          <w:szCs w:val="24"/>
        </w:rPr>
        <w:t>2</w:t>
      </w:r>
      <w:r>
        <w:rPr>
          <w:rFonts w:ascii="Times New Roman" w:hAnsi="Times New Roman" w:cs="Times New Roman"/>
          <w:sz w:val="24"/>
          <w:szCs w:val="24"/>
        </w:rPr>
        <w:t xml:space="preserve"> × 10</w:t>
      </w:r>
      <w:r>
        <w:rPr>
          <w:rFonts w:ascii="Times New Roman" w:hAnsi="Times New Roman" w:cs="Times New Roman"/>
          <w:sz w:val="24"/>
          <w:szCs w:val="24"/>
          <w:vertAlign w:val="superscript"/>
        </w:rPr>
        <w:t>5</w:t>
      </w:r>
      <w:r>
        <w:rPr>
          <w:rFonts w:ascii="Times New Roman" w:hAnsi="Times New Roman" w:cs="Times New Roman"/>
          <w:sz w:val="24"/>
          <w:szCs w:val="24"/>
        </w:rPr>
        <w:t xml:space="preserve"> cells/well for 24 h. Except for the negative control sample, the PC-12</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cells were treated with different concentrations of </w:t>
      </w:r>
      <w:r>
        <w:rPr>
          <w:rFonts w:hint="eastAsia" w:ascii="Times New Roman" w:hAnsi="Times New Roman" w:cs="Times New Roman"/>
          <w:sz w:val="24"/>
          <w:szCs w:val="24"/>
        </w:rPr>
        <w:t>LNM (10</w:t>
      </w:r>
      <w:r>
        <w:rPr>
          <w:rFonts w:ascii="Times New Roman" w:hAnsi="Times New Roman" w:cs="Times New Roman"/>
          <w:sz w:val="24"/>
          <w:szCs w:val="24"/>
        </w:rPr>
        <w:t xml:space="preserve">0, </w:t>
      </w:r>
      <w:r>
        <w:rPr>
          <w:rFonts w:hint="eastAsia" w:ascii="Times New Roman" w:hAnsi="Times New Roman" w:cs="Times New Roman"/>
          <w:sz w:val="24"/>
          <w:szCs w:val="24"/>
        </w:rPr>
        <w:t>2</w:t>
      </w:r>
      <w:r>
        <w:rPr>
          <w:rFonts w:ascii="Times New Roman" w:hAnsi="Times New Roman" w:cs="Times New Roman"/>
          <w:sz w:val="24"/>
          <w:szCs w:val="24"/>
        </w:rPr>
        <w:t xml:space="preserve">00, and </w:t>
      </w:r>
      <w:r>
        <w:rPr>
          <w:rFonts w:hint="eastAsia" w:ascii="Times New Roman" w:hAnsi="Times New Roman" w:cs="Times New Roman"/>
          <w:sz w:val="24"/>
          <w:szCs w:val="24"/>
        </w:rPr>
        <w:t>3</w:t>
      </w:r>
      <w:r>
        <w:rPr>
          <w:rFonts w:ascii="Times New Roman" w:hAnsi="Times New Roman" w:cs="Times New Roman"/>
          <w:sz w:val="24"/>
          <w:szCs w:val="24"/>
        </w:rPr>
        <w:t>00 μg</w:t>
      </w:r>
      <w:r>
        <w:rPr>
          <w:rFonts w:hint="eastAsia" w:ascii="Times New Roman" w:hAnsi="Times New Roman" w:cs="Times New Roman"/>
          <w:sz w:val="24"/>
          <w:szCs w:val="24"/>
        </w:rPr>
        <w:t xml:space="preserve"> </w:t>
      </w:r>
      <w:r>
        <w:rPr>
          <w:rFonts w:ascii="Times New Roman" w:hAnsi="Times New Roman" w:cs="Times New Roman"/>
          <w:sz w:val="24"/>
          <w:szCs w:val="24"/>
        </w:rPr>
        <w:t>mL</w:t>
      </w:r>
      <w:r>
        <w:rPr>
          <w:rFonts w:hint="eastAsia" w:ascii="Times New Roman" w:hAnsi="Times New Roman" w:cs="Times New Roman"/>
          <w:sz w:val="24"/>
          <w:szCs w:val="24"/>
          <w:vertAlign w:val="superscript"/>
        </w:rPr>
        <w:t>-1</w:t>
      </w:r>
      <w:r>
        <w:rPr>
          <w:rFonts w:hint="eastAsia" w:ascii="Times New Roman" w:hAnsi="Times New Roman" w:cs="Times New Roman"/>
          <w:sz w:val="24"/>
          <w:szCs w:val="24"/>
        </w:rPr>
        <w:t>)</w:t>
      </w:r>
      <w:r>
        <w:rPr>
          <w:rFonts w:ascii="Times New Roman" w:hAnsi="Times New Roman" w:cs="Times New Roman"/>
          <w:sz w:val="24"/>
          <w:szCs w:val="24"/>
        </w:rPr>
        <w:t xml:space="preserve"> for </w:t>
      </w:r>
      <w:r>
        <w:rPr>
          <w:rFonts w:hint="eastAsia" w:ascii="Times New Roman" w:hAnsi="Times New Roman" w:cs="Times New Roman"/>
          <w:sz w:val="24"/>
          <w:szCs w:val="24"/>
        </w:rPr>
        <w:t>12</w:t>
      </w:r>
      <w:r>
        <w:rPr>
          <w:rFonts w:ascii="Times New Roman" w:hAnsi="Times New Roman" w:cs="Times New Roman"/>
          <w:sz w:val="24"/>
          <w:szCs w:val="24"/>
        </w:rPr>
        <w:t xml:space="preserve"> h</w:t>
      </w:r>
      <w:r>
        <w:rPr>
          <w:rFonts w:hint="eastAsia" w:ascii="Times New Roman" w:hAnsi="Times New Roman" w:cs="Times New Roman"/>
          <w:sz w:val="24"/>
          <w:szCs w:val="24"/>
        </w:rPr>
        <w:t>.</w:t>
      </w:r>
      <w:r>
        <w:rPr>
          <w:rFonts w:ascii="Times New Roman" w:hAnsi="Times New Roman" w:cs="Times New Roman"/>
          <w:sz w:val="24"/>
          <w:szCs w:val="24"/>
        </w:rPr>
        <w:t xml:space="preserve"> Subsequently,</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the cells were incubated with </w:t>
      </w:r>
      <w:bookmarkStart w:id="15" w:name="_Hlk196482953"/>
      <w:r>
        <w:rPr>
          <w:rFonts w:ascii="Times New Roman" w:hAnsi="Times New Roman" w:cs="Times New Roman"/>
          <w:sz w:val="24"/>
          <w:szCs w:val="24"/>
        </w:rPr>
        <w:t>10 μM</w:t>
      </w:r>
      <w:bookmarkEnd w:id="15"/>
      <w:r>
        <w:rPr>
          <w:rFonts w:ascii="Times New Roman" w:hAnsi="Times New Roman" w:cs="Times New Roman"/>
          <w:sz w:val="24"/>
          <w:szCs w:val="24"/>
        </w:rPr>
        <w:t xml:space="preserve"> 2’,7’-dichlorodihydrofluorescein diacetate (DCFH-DA) probe for 30 min</w:t>
      </w:r>
      <w:r>
        <w:rPr>
          <w:rFonts w:hint="eastAsia" w:ascii="Times New Roman" w:hAnsi="Times New Roman" w:cs="Times New Roman"/>
          <w:sz w:val="24"/>
          <w:szCs w:val="24"/>
        </w:rPr>
        <w:t>.</w:t>
      </w:r>
      <w:r>
        <w:rPr>
          <w:rFonts w:ascii="Times New Roman" w:hAnsi="Times New Roman" w:cs="Times New Roman"/>
          <w:sz w:val="24"/>
          <w:szCs w:val="24"/>
        </w:rPr>
        <w:t xml:space="preserve"> Finally, the cells were treated with </w:t>
      </w:r>
      <w:r>
        <w:rPr>
          <w:rFonts w:hint="eastAsia" w:ascii="Times New Roman" w:hAnsi="Times New Roman" w:cs="Times New Roman"/>
          <w:sz w:val="24"/>
          <w:szCs w:val="24"/>
        </w:rPr>
        <w:t>2</w:t>
      </w:r>
      <w:r>
        <w:rPr>
          <w:rFonts w:ascii="Times New Roman" w:hAnsi="Times New Roman" w:cs="Times New Roman"/>
          <w:sz w:val="24"/>
          <w:szCs w:val="24"/>
        </w:rPr>
        <w:t>00 μM 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 xml:space="preserve"> for 2 h, washed with PBS three times. The intracellular ROS level of each group was quantified using flow cytometry.</w:t>
      </w:r>
    </w:p>
    <w:p w14:paraId="38C45C8E">
      <w:pPr>
        <w:spacing w:line="480" w:lineRule="auto"/>
        <w:ind w:firstLine="480" w:firstLineChars="200"/>
        <w:rPr>
          <w:rFonts w:ascii="Times New Roman" w:hAnsi="Times New Roman" w:cs="Times New Roman"/>
          <w:b/>
          <w:bCs/>
          <w:sz w:val="24"/>
          <w:szCs w:val="24"/>
        </w:rPr>
      </w:pPr>
      <w:r>
        <w:rPr>
          <w:rFonts w:ascii="Times New Roman" w:hAnsi="Times New Roman" w:cs="Times New Roman"/>
          <w:sz w:val="24"/>
          <w:szCs w:val="24"/>
        </w:rPr>
        <w:t>PC-12 cells were seeded in confocal dishes at a density of 1 × 10</w:t>
      </w:r>
      <w:r>
        <w:rPr>
          <w:rFonts w:ascii="Times New Roman" w:hAnsi="Times New Roman" w:cs="Times New Roman"/>
          <w:sz w:val="24"/>
          <w:szCs w:val="24"/>
          <w:vertAlign w:val="superscript"/>
        </w:rPr>
        <w:t>5</w:t>
      </w:r>
      <w:r>
        <w:rPr>
          <w:rFonts w:ascii="Times New Roman" w:hAnsi="Times New Roman" w:cs="Times New Roman"/>
          <w:sz w:val="24"/>
          <w:szCs w:val="24"/>
        </w:rPr>
        <w:t xml:space="preserve"> cells/dish for 24 h. Except for the negative control sample, the PC-12 cells were treated with 200 μM 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 xml:space="preserve"> for 2 h, washed with PBS three times. Then, the cells were treated with different concentrations of LNM (100, 300, and 500 μg mL</w:t>
      </w:r>
      <w:r>
        <w:rPr>
          <w:rFonts w:ascii="Times New Roman" w:hAnsi="Times New Roman" w:cs="Times New Roman"/>
          <w:sz w:val="24"/>
          <w:szCs w:val="24"/>
          <w:vertAlign w:val="superscript"/>
        </w:rPr>
        <w:t>-1</w:t>
      </w:r>
      <w:r>
        <w:rPr>
          <w:rFonts w:ascii="Times New Roman" w:hAnsi="Times New Roman" w:cs="Times New Roman"/>
          <w:sz w:val="24"/>
          <w:szCs w:val="24"/>
        </w:rPr>
        <w:t>) for 4 h. Finally, the cells were incubated with 10 μM DCFH-DA probe for 20 min, and observed by a confocal laser scanning microscope.</w:t>
      </w:r>
    </w:p>
    <w:p w14:paraId="601F876E">
      <w:pPr>
        <w:spacing w:line="480" w:lineRule="auto"/>
        <w:rPr>
          <w:rFonts w:ascii="Times New Roman" w:hAnsi="Times New Roman" w:cs="Times New Roman"/>
          <w:b/>
          <w:bCs/>
          <w:sz w:val="24"/>
          <w:szCs w:val="24"/>
        </w:rPr>
      </w:pPr>
      <w:r>
        <w:rPr>
          <w:rFonts w:hint="eastAsia" w:ascii="Times New Roman" w:hAnsi="Times New Roman" w:cs="Times New Roman"/>
          <w:b/>
          <w:bCs/>
          <w:sz w:val="24"/>
          <w:szCs w:val="24"/>
        </w:rPr>
        <w:t>Study on the interaction of LNM with PLTs</w:t>
      </w:r>
    </w:p>
    <w:p w14:paraId="349B6A9E">
      <w:pPr>
        <w:spacing w:line="48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For the preparation of washed human PLTs, the whole blood collected from the cubital vein was slowly injected into a centrifuge tube filled with 1/7 volume of acid-citrate-dextrose (ACD, 2.5% trisodium citrate, 2.0% D-glucose, and 1.5% citric acid). Platelet-rich plasma (PRP) was obtained by 200 g centrifugation. PRP was centrifuged at 1000 g for 2 min to pellet PLTs. PLTs were washed with CGS buffer (0.123 M NaCl, 0.033 M D-glucose, 0.013 M trisodium citrate, pH 6.5), resuspended in mo</w:t>
      </w:r>
      <w:r>
        <w:rPr>
          <w:rFonts w:ascii="Times New Roman" w:hAnsi="Times New Roman" w:cs="Times New Roman"/>
          <w:sz w:val="24"/>
          <w:szCs w:val="24"/>
        </w:rPr>
        <w:t>dified Tyrode’s buffer</w:t>
      </w:r>
      <w:r>
        <w:rPr>
          <w:rFonts w:hint="eastAsia" w:ascii="Times New Roman" w:hAnsi="Times New Roman" w:cs="Times New Roman"/>
          <w:sz w:val="24"/>
          <w:szCs w:val="24"/>
        </w:rPr>
        <w:t xml:space="preserve"> (2.5 mM HEPES, 150 mM NaCl, 2.5 mM KCl, 12 mM NaHCO</w:t>
      </w:r>
      <w:r>
        <w:rPr>
          <w:rFonts w:hint="eastAsia" w:ascii="Times New Roman" w:hAnsi="Times New Roman" w:cs="Times New Roman"/>
          <w:sz w:val="24"/>
          <w:szCs w:val="24"/>
          <w:vertAlign w:val="subscript"/>
        </w:rPr>
        <w:t>3</w:t>
      </w:r>
      <w:r>
        <w:rPr>
          <w:rFonts w:hint="eastAsia" w:ascii="Times New Roman" w:hAnsi="Times New Roman" w:cs="Times New Roman"/>
          <w:sz w:val="24"/>
          <w:szCs w:val="24"/>
        </w:rPr>
        <w:t>, 5.5 mM D-glucose, 0.1% bovine serum albumin, 1 mM CaCl</w:t>
      </w:r>
      <w:r>
        <w:rPr>
          <w:rFonts w:hint="eastAsia" w:ascii="Times New Roman" w:hAnsi="Times New Roman" w:cs="Times New Roman"/>
          <w:sz w:val="24"/>
          <w:szCs w:val="24"/>
          <w:vertAlign w:val="subscript"/>
        </w:rPr>
        <w:t>2</w:t>
      </w:r>
      <w:r>
        <w:rPr>
          <w:rFonts w:hint="eastAsia" w:ascii="Times New Roman" w:hAnsi="Times New Roman" w:cs="Times New Roman"/>
          <w:sz w:val="24"/>
          <w:szCs w:val="24"/>
        </w:rPr>
        <w:t>, 1 mM MgCl</w:t>
      </w:r>
      <w:r>
        <w:rPr>
          <w:rFonts w:hint="eastAsia" w:ascii="Times New Roman" w:hAnsi="Times New Roman" w:cs="Times New Roman"/>
          <w:sz w:val="24"/>
          <w:szCs w:val="24"/>
          <w:vertAlign w:val="subscript"/>
        </w:rPr>
        <w:t>2</w:t>
      </w:r>
      <w:r>
        <w:rPr>
          <w:rFonts w:hint="eastAsia" w:ascii="Times New Roman" w:hAnsi="Times New Roman" w:cs="Times New Roman"/>
          <w:sz w:val="24"/>
          <w:szCs w:val="24"/>
        </w:rPr>
        <w:t xml:space="preserve">, pH 7.4) to a concentration of </w:t>
      </w:r>
      <w:bookmarkStart w:id="16" w:name="OLE_LINK4"/>
      <w:r>
        <w:rPr>
          <w:rFonts w:hint="eastAsia" w:ascii="Times New Roman" w:hAnsi="Times New Roman" w:cs="Times New Roman"/>
          <w:sz w:val="24"/>
          <w:szCs w:val="24"/>
        </w:rPr>
        <w:t>3 × 10</w:t>
      </w:r>
      <w:r>
        <w:rPr>
          <w:rFonts w:hint="eastAsia" w:ascii="Times New Roman" w:hAnsi="Times New Roman" w:cs="Times New Roman"/>
          <w:sz w:val="24"/>
          <w:szCs w:val="24"/>
          <w:vertAlign w:val="superscript"/>
        </w:rPr>
        <w:t>8</w:t>
      </w:r>
      <w:r>
        <w:rPr>
          <w:rFonts w:hint="eastAsia" w:ascii="Times New Roman" w:hAnsi="Times New Roman" w:cs="Times New Roman"/>
          <w:sz w:val="24"/>
          <w:szCs w:val="24"/>
        </w:rPr>
        <w:t xml:space="preserve"> mL</w:t>
      </w:r>
      <w:bookmarkEnd w:id="16"/>
      <w:r>
        <w:rPr>
          <w:rFonts w:ascii="Times New Roman" w:hAnsi="Times New Roman" w:cs="Times New Roman"/>
          <w:sz w:val="24"/>
          <w:szCs w:val="24"/>
          <w:vertAlign w:val="superscript"/>
        </w:rPr>
        <w:t>-1</w:t>
      </w:r>
      <w:r>
        <w:rPr>
          <w:rFonts w:hint="eastAsia" w:ascii="Times New Roman" w:hAnsi="Times New Roman" w:cs="Times New Roman"/>
          <w:sz w:val="24"/>
          <w:szCs w:val="24"/>
        </w:rPr>
        <w:t>, and allowed to stay at room temperature for 1</w:t>
      </w:r>
      <w:r>
        <w:rPr>
          <w:rFonts w:ascii="Times New Roman" w:hAnsi="Times New Roman" w:cs="Times New Roman"/>
          <w:sz w:val="24"/>
          <w:szCs w:val="24"/>
        </w:rPr>
        <w:t>–</w:t>
      </w:r>
      <w:r>
        <w:rPr>
          <w:rFonts w:hint="eastAsia" w:ascii="Times New Roman" w:hAnsi="Times New Roman" w:cs="Times New Roman"/>
          <w:sz w:val="24"/>
          <w:szCs w:val="24"/>
        </w:rPr>
        <w:t xml:space="preserve">2 hours. Then, 200 </w:t>
      </w:r>
      <w:r>
        <w:rPr>
          <w:rFonts w:ascii="Times New Roman" w:hAnsi="Times New Roman" w:cs="Times New Roman"/>
          <w:sz w:val="24"/>
          <w:szCs w:val="24"/>
        </w:rPr>
        <w:t>μL</w:t>
      </w:r>
      <w:r>
        <w:rPr>
          <w:rFonts w:hint="eastAsia" w:ascii="Times New Roman" w:hAnsi="Times New Roman" w:cs="Times New Roman"/>
          <w:sz w:val="24"/>
          <w:szCs w:val="24"/>
        </w:rPr>
        <w:t xml:space="preserve"> of</w:t>
      </w:r>
      <w:r>
        <w:rPr>
          <w:rFonts w:ascii="Times New Roman" w:hAnsi="Times New Roman" w:cs="Times New Roman"/>
          <w:sz w:val="24"/>
          <w:szCs w:val="24"/>
        </w:rPr>
        <w:t xml:space="preserve"> </w:t>
      </w:r>
      <w:r>
        <w:rPr>
          <w:rFonts w:hint="eastAsia" w:ascii="Times New Roman" w:hAnsi="Times New Roman" w:cs="Times New Roman"/>
          <w:sz w:val="24"/>
          <w:szCs w:val="24"/>
        </w:rPr>
        <w:t xml:space="preserve">PLTs </w:t>
      </w:r>
      <w:bookmarkStart w:id="17" w:name="_Hlk177127291"/>
      <w:r>
        <w:rPr>
          <w:rFonts w:hint="eastAsia" w:ascii="Times New Roman" w:hAnsi="Times New Roman" w:cs="Times New Roman"/>
          <w:sz w:val="24"/>
          <w:szCs w:val="24"/>
        </w:rPr>
        <w:t>(</w:t>
      </w:r>
      <w:bookmarkStart w:id="18" w:name="_Hlk176721401"/>
      <w:r>
        <w:rPr>
          <w:rFonts w:hint="eastAsia" w:ascii="Times New Roman" w:hAnsi="Times New Roman" w:cs="Times New Roman"/>
          <w:sz w:val="24"/>
          <w:szCs w:val="24"/>
        </w:rPr>
        <w:t>activated</w:t>
      </w:r>
      <w:bookmarkEnd w:id="18"/>
      <w:r>
        <w:rPr>
          <w:rFonts w:hint="eastAsia" w:ascii="Times New Roman" w:hAnsi="Times New Roman" w:cs="Times New Roman"/>
          <w:sz w:val="24"/>
          <w:szCs w:val="24"/>
        </w:rPr>
        <w:t xml:space="preserve"> (0.025 U mL</w:t>
      </w:r>
      <w:r>
        <w:rPr>
          <w:rFonts w:hint="eastAsia" w:ascii="Times New Roman" w:hAnsi="Times New Roman" w:cs="Times New Roman"/>
          <w:sz w:val="24"/>
          <w:szCs w:val="24"/>
          <w:vertAlign w:val="superscript"/>
        </w:rPr>
        <w:t>-1</w:t>
      </w:r>
      <w:r>
        <w:rPr>
          <w:rFonts w:hint="eastAsia" w:ascii="Times New Roman" w:hAnsi="Times New Roman" w:cs="Times New Roman"/>
          <w:sz w:val="24"/>
          <w:szCs w:val="24"/>
        </w:rPr>
        <w:t xml:space="preserve"> thrombin) or resting)</w:t>
      </w:r>
      <w:bookmarkEnd w:id="17"/>
      <w:r>
        <w:rPr>
          <w:rFonts w:hint="eastAsia" w:ascii="Times New Roman" w:hAnsi="Times New Roman" w:cs="Times New Roman"/>
          <w:sz w:val="24"/>
          <w:szCs w:val="24"/>
        </w:rPr>
        <w:t xml:space="preserve"> were incubated with LNM (200 </w:t>
      </w:r>
      <w:r>
        <w:rPr>
          <w:rFonts w:ascii="Times New Roman" w:hAnsi="Times New Roman" w:cs="Times New Roman"/>
          <w:sz w:val="24"/>
          <w:szCs w:val="24"/>
        </w:rPr>
        <w:t>μ</w:t>
      </w:r>
      <w:r>
        <w:rPr>
          <w:rFonts w:hint="eastAsia" w:ascii="Times New Roman" w:hAnsi="Times New Roman" w:cs="Times New Roman"/>
          <w:sz w:val="24"/>
          <w:szCs w:val="24"/>
        </w:rPr>
        <w:t>g mL</w:t>
      </w:r>
      <w:r>
        <w:rPr>
          <w:rFonts w:hint="eastAsia" w:ascii="Times New Roman" w:hAnsi="Times New Roman" w:cs="Times New Roman"/>
          <w:sz w:val="24"/>
          <w:szCs w:val="24"/>
          <w:vertAlign w:val="superscript"/>
        </w:rPr>
        <w:t>-1</w:t>
      </w:r>
      <w:r>
        <w:rPr>
          <w:rFonts w:hint="eastAsia" w:ascii="Times New Roman" w:hAnsi="Times New Roman" w:cs="Times New Roman"/>
          <w:sz w:val="24"/>
          <w:szCs w:val="24"/>
        </w:rPr>
        <w:t>) a</w:t>
      </w:r>
      <w:bookmarkStart w:id="19" w:name="_Hlk177127264"/>
      <w:r>
        <w:rPr>
          <w:rFonts w:hint="eastAsia" w:ascii="Times New Roman" w:hAnsi="Times New Roman" w:cs="Times New Roman"/>
          <w:sz w:val="24"/>
          <w:szCs w:val="24"/>
        </w:rPr>
        <w:t>t room temperature for 60 min.</w:t>
      </w:r>
      <w:bookmarkEnd w:id="19"/>
      <w:r>
        <w:rPr>
          <w:rFonts w:hint="eastAsia" w:ascii="Times New Roman" w:hAnsi="Times New Roman" w:cs="Times New Roman"/>
          <w:sz w:val="24"/>
          <w:szCs w:val="24"/>
        </w:rPr>
        <w:t xml:space="preserve"> Next, 1</w:t>
      </w:r>
      <w:r>
        <w:rPr>
          <w:rFonts w:ascii="Times New Roman" w:hAnsi="Times New Roman" w:cs="Times New Roman"/>
          <w:sz w:val="24"/>
          <w:szCs w:val="24"/>
        </w:rPr>
        <w:t>00 μL of PLTs</w:t>
      </w:r>
      <w:r>
        <w:rPr>
          <w:rFonts w:hint="eastAsia" w:ascii="Times New Roman" w:hAnsi="Times New Roman" w:cs="Times New Roman"/>
          <w:sz w:val="24"/>
          <w:szCs w:val="24"/>
        </w:rPr>
        <w:t xml:space="preserve"> were subsequently fixed with 1</w:t>
      </w:r>
      <w:r>
        <w:rPr>
          <w:rFonts w:ascii="Times New Roman" w:hAnsi="Times New Roman" w:cs="Times New Roman"/>
          <w:sz w:val="24"/>
          <w:szCs w:val="24"/>
        </w:rPr>
        <w:t>00 μL</w:t>
      </w:r>
      <w:r>
        <w:rPr>
          <w:rFonts w:hint="eastAsia" w:ascii="Times New Roman" w:hAnsi="Times New Roman" w:cs="Times New Roman"/>
          <w:sz w:val="24"/>
          <w:szCs w:val="24"/>
        </w:rPr>
        <w:t xml:space="preserve"> 4% formalin for 4 min, washed with PBS buffer. </w:t>
      </w:r>
      <w:bookmarkStart w:id="20" w:name="_Hlk176781385"/>
      <w:r>
        <w:rPr>
          <w:rFonts w:hint="eastAsia" w:ascii="Times New Roman" w:hAnsi="Times New Roman" w:cs="Times New Roman"/>
          <w:sz w:val="24"/>
          <w:szCs w:val="24"/>
        </w:rPr>
        <w:t>Platelet</w:t>
      </w:r>
      <w:bookmarkEnd w:id="20"/>
      <w:r>
        <w:rPr>
          <w:rFonts w:hint="eastAsia" w:ascii="Times New Roman" w:hAnsi="Times New Roman" w:cs="Times New Roman"/>
          <w:sz w:val="24"/>
          <w:szCs w:val="24"/>
        </w:rPr>
        <w:t xml:space="preserve"> samples were prepared into cell sheets using a cell centrifuge at 1200 rpm for 5 minutes. PLTs were then incubated with Calcein-AM (1:400</w:t>
      </w:r>
      <w:r>
        <w:rPr>
          <w:rFonts w:hint="eastAsia"/>
        </w:rPr>
        <w:t xml:space="preserve"> </w:t>
      </w:r>
      <w:r>
        <w:rPr>
          <w:rFonts w:hint="eastAsia" w:ascii="Times New Roman" w:hAnsi="Times New Roman" w:cs="Times New Roman"/>
          <w:sz w:val="24"/>
          <w:szCs w:val="24"/>
        </w:rPr>
        <w:t>dilution) for 30 min at room temperature. Coverslips were treated with mounting media for 30 min. Fluorescent images were acquired using Leica-LCS-SP8-STED with a 63×objective</w:t>
      </w:r>
      <w:r>
        <w:rPr>
          <w:rFonts w:ascii="Times New Roman" w:hAnsi="Times New Roman" w:cs="Times New Roman"/>
          <w:sz w:val="24"/>
          <w:szCs w:val="24"/>
        </w:rPr>
        <w:t>. Green channel at 500–550 nm with λ</w:t>
      </w:r>
      <w:r>
        <w:rPr>
          <w:rFonts w:ascii="Times New Roman" w:hAnsi="Times New Roman" w:cs="Times New Roman"/>
          <w:sz w:val="24"/>
          <w:szCs w:val="24"/>
          <w:vertAlign w:val="subscript"/>
        </w:rPr>
        <w:t>ex</w:t>
      </w:r>
      <w:r>
        <w:rPr>
          <w:rFonts w:ascii="Times New Roman" w:hAnsi="Times New Roman" w:cs="Times New Roman"/>
          <w:sz w:val="24"/>
          <w:szCs w:val="24"/>
        </w:rPr>
        <w:t xml:space="preserve"> = 488 nm, red channel at 600–</w:t>
      </w:r>
      <w:r>
        <w:rPr>
          <w:rFonts w:hint="eastAsia" w:ascii="Times New Roman" w:hAnsi="Times New Roman" w:cs="Times New Roman"/>
          <w:sz w:val="24"/>
          <w:szCs w:val="24"/>
        </w:rPr>
        <w:t>650</w:t>
      </w:r>
      <w:r>
        <w:rPr>
          <w:rFonts w:ascii="Times New Roman" w:hAnsi="Times New Roman" w:cs="Times New Roman"/>
          <w:sz w:val="24"/>
          <w:szCs w:val="24"/>
        </w:rPr>
        <w:t xml:space="preserve"> nm with λ</w:t>
      </w:r>
      <w:r>
        <w:rPr>
          <w:rFonts w:ascii="Times New Roman" w:hAnsi="Times New Roman" w:cs="Times New Roman"/>
          <w:sz w:val="24"/>
          <w:szCs w:val="24"/>
          <w:vertAlign w:val="subscript"/>
        </w:rPr>
        <w:t>ex</w:t>
      </w:r>
      <w:r>
        <w:rPr>
          <w:rFonts w:ascii="Times New Roman" w:hAnsi="Times New Roman" w:cs="Times New Roman"/>
          <w:sz w:val="24"/>
          <w:szCs w:val="24"/>
        </w:rPr>
        <w:t xml:space="preserve"> = </w:t>
      </w:r>
      <w:r>
        <w:rPr>
          <w:rFonts w:hint="eastAsia" w:ascii="Times New Roman" w:hAnsi="Times New Roman" w:cs="Times New Roman"/>
          <w:sz w:val="24"/>
          <w:szCs w:val="24"/>
        </w:rPr>
        <w:t>405</w:t>
      </w:r>
      <w:r>
        <w:rPr>
          <w:rFonts w:ascii="Times New Roman" w:hAnsi="Times New Roman" w:cs="Times New Roman"/>
          <w:sz w:val="24"/>
          <w:szCs w:val="24"/>
        </w:rPr>
        <w:t xml:space="preserve"> nm.</w:t>
      </w:r>
    </w:p>
    <w:p w14:paraId="4955F934">
      <w:pPr>
        <w:spacing w:line="480" w:lineRule="auto"/>
        <w:rPr>
          <w:rFonts w:ascii="Times New Roman" w:hAnsi="Times New Roman" w:cs="Times New Roman"/>
          <w:b/>
          <w:bCs/>
          <w:sz w:val="24"/>
          <w:szCs w:val="24"/>
        </w:rPr>
      </w:pPr>
      <w:r>
        <w:rPr>
          <w:rFonts w:hint="eastAsia" w:ascii="Times New Roman" w:hAnsi="Times New Roman" w:cs="Times New Roman"/>
          <w:b/>
          <w:bCs/>
          <w:sz w:val="24"/>
          <w:szCs w:val="24"/>
        </w:rPr>
        <w:t>Study on the interaction of LNM with neutrophils</w:t>
      </w:r>
    </w:p>
    <w:p w14:paraId="02461683">
      <w:pPr>
        <w:spacing w:line="480" w:lineRule="auto"/>
        <w:ind w:firstLine="480" w:firstLineChars="200"/>
        <w:rPr>
          <w:rFonts w:ascii="Times New Roman" w:hAnsi="Times New Roman" w:cs="Times New Roman"/>
          <w:sz w:val="24"/>
          <w:szCs w:val="24"/>
        </w:rPr>
      </w:pPr>
      <w:bookmarkStart w:id="21" w:name="_Hlk177120014"/>
      <w:r>
        <w:rPr>
          <w:rFonts w:hint="eastAsia" w:ascii="Times New Roman" w:hAnsi="Times New Roman" w:cs="Times New Roman"/>
          <w:sz w:val="24"/>
          <w:szCs w:val="24"/>
        </w:rPr>
        <w:t>Neutrophils</w:t>
      </w:r>
      <w:bookmarkEnd w:id="21"/>
      <w:r>
        <w:rPr>
          <w:rFonts w:hint="eastAsia" w:ascii="Times New Roman" w:hAnsi="Times New Roman" w:cs="Times New Roman"/>
          <w:sz w:val="24"/>
          <w:szCs w:val="24"/>
        </w:rPr>
        <w:t xml:space="preserve"> were obtained using human peripheral blood neutrophil isolation kit, and resuspended in serum-free DMEM (5 × 10</w:t>
      </w:r>
      <w:r>
        <w:rPr>
          <w:rFonts w:hint="eastAsia" w:ascii="Times New Roman" w:hAnsi="Times New Roman" w:cs="Times New Roman"/>
          <w:sz w:val="24"/>
          <w:szCs w:val="24"/>
          <w:vertAlign w:val="superscript"/>
        </w:rPr>
        <w:t>6</w:t>
      </w:r>
      <w:r>
        <w:rPr>
          <w:rFonts w:hint="eastAsia" w:ascii="Times New Roman" w:hAnsi="Times New Roman" w:cs="Times New Roman"/>
          <w:sz w:val="24"/>
          <w:szCs w:val="24"/>
        </w:rPr>
        <w:t xml:space="preserve"> mL</w:t>
      </w:r>
      <w:r>
        <w:rPr>
          <w:rFonts w:ascii="Times New Roman" w:hAnsi="Times New Roman" w:cs="Times New Roman"/>
          <w:sz w:val="24"/>
          <w:szCs w:val="24"/>
          <w:vertAlign w:val="superscript"/>
        </w:rPr>
        <w:t>-1</w:t>
      </w:r>
      <w:r>
        <w:rPr>
          <w:rFonts w:hint="eastAsia" w:ascii="Times New Roman" w:hAnsi="Times New Roman" w:cs="Times New Roman"/>
          <w:sz w:val="24"/>
          <w:szCs w:val="24"/>
        </w:rPr>
        <w:t xml:space="preserve">). </w:t>
      </w:r>
      <w:r>
        <w:rPr>
          <w:rFonts w:ascii="Times New Roman" w:hAnsi="Times New Roman" w:cs="Times New Roman"/>
          <w:sz w:val="24"/>
          <w:szCs w:val="24"/>
        </w:rPr>
        <w:t>N</w:t>
      </w:r>
      <w:r>
        <w:rPr>
          <w:rFonts w:hint="eastAsia" w:ascii="Times New Roman" w:hAnsi="Times New Roman" w:cs="Times New Roman"/>
          <w:sz w:val="24"/>
          <w:szCs w:val="24"/>
        </w:rPr>
        <w:t>ext, 200</w:t>
      </w:r>
      <w:r>
        <w:rPr>
          <w:rFonts w:ascii="Times New Roman" w:hAnsi="Times New Roman" w:cs="Times New Roman"/>
          <w:sz w:val="24"/>
          <w:szCs w:val="24"/>
        </w:rPr>
        <w:t xml:space="preserve"> μL</w:t>
      </w:r>
      <w:r>
        <w:rPr>
          <w:rFonts w:hint="eastAsia" w:ascii="Times New Roman" w:hAnsi="Times New Roman" w:cs="Times New Roman"/>
          <w:sz w:val="24"/>
          <w:szCs w:val="24"/>
        </w:rPr>
        <w:t xml:space="preserve"> of cells (activated (100 nM PMA) or resting) were incubated with LNM</w:t>
      </w:r>
      <w:r>
        <w:rPr>
          <w:rFonts w:ascii="Times New Roman" w:hAnsi="Times New Roman" w:cs="Times New Roman"/>
          <w:sz w:val="24"/>
          <w:szCs w:val="24"/>
        </w:rPr>
        <w:t xml:space="preserve"> (200 μg mL</w:t>
      </w:r>
      <w:r>
        <w:rPr>
          <w:rFonts w:ascii="Times New Roman" w:hAnsi="Times New Roman" w:cs="Times New Roman"/>
          <w:sz w:val="24"/>
          <w:szCs w:val="24"/>
          <w:vertAlign w:val="superscript"/>
        </w:rPr>
        <w:t>-1</w:t>
      </w:r>
      <w:r>
        <w:rPr>
          <w:rFonts w:ascii="Times New Roman" w:hAnsi="Times New Roman" w:cs="Times New Roman"/>
          <w:sz w:val="24"/>
          <w:szCs w:val="24"/>
        </w:rPr>
        <w:t>)</w:t>
      </w:r>
      <w:r>
        <w:rPr>
          <w:rFonts w:hint="eastAsia" w:ascii="Times New Roman" w:hAnsi="Times New Roman" w:cs="Times New Roman"/>
          <w:sz w:val="24"/>
          <w:szCs w:val="24"/>
        </w:rPr>
        <w:t xml:space="preserve"> at room temperature for 60 min. Next, cells were prepared into cell sheets using a cell centrifuge at 1200 rpm for 5 minutes. Cells were then incubated with CD11b (1:1000 diluted with 1% BSA) for 60 min at room temperature. Coverslips were treated with mounting media with DAPI for 30 min.</w:t>
      </w:r>
      <w:r>
        <w:rPr>
          <w:rFonts w:ascii="Times New Roman" w:hAnsi="Times New Roman" w:cs="Times New Roman"/>
          <w:sz w:val="24"/>
          <w:szCs w:val="24"/>
        </w:rPr>
        <w:t xml:space="preserve"> Fluorescent images were acquired using Leica-LCS-SP8-STED with a 63×objective. Green channel at 500–550 nm with λ</w:t>
      </w:r>
      <w:r>
        <w:rPr>
          <w:rFonts w:ascii="Times New Roman" w:hAnsi="Times New Roman" w:cs="Times New Roman"/>
          <w:sz w:val="24"/>
          <w:szCs w:val="24"/>
          <w:vertAlign w:val="subscript"/>
        </w:rPr>
        <w:t>ex</w:t>
      </w:r>
      <w:r>
        <w:rPr>
          <w:rFonts w:ascii="Times New Roman" w:hAnsi="Times New Roman" w:cs="Times New Roman"/>
          <w:sz w:val="24"/>
          <w:szCs w:val="24"/>
        </w:rPr>
        <w:t xml:space="preserve"> = 488 nm, red channel at 600–650 nm with λ</w:t>
      </w:r>
      <w:r>
        <w:rPr>
          <w:rFonts w:ascii="Times New Roman" w:hAnsi="Times New Roman" w:cs="Times New Roman"/>
          <w:sz w:val="24"/>
          <w:szCs w:val="24"/>
          <w:vertAlign w:val="subscript"/>
        </w:rPr>
        <w:t>ex</w:t>
      </w:r>
      <w:r>
        <w:rPr>
          <w:rFonts w:ascii="Times New Roman" w:hAnsi="Times New Roman" w:cs="Times New Roman"/>
          <w:sz w:val="24"/>
          <w:szCs w:val="24"/>
        </w:rPr>
        <w:t xml:space="preserve"> = 405 nm, blue channel at 600–650 nm with λ</w:t>
      </w:r>
      <w:r>
        <w:rPr>
          <w:rFonts w:ascii="Times New Roman" w:hAnsi="Times New Roman" w:cs="Times New Roman"/>
          <w:sz w:val="24"/>
          <w:szCs w:val="24"/>
          <w:vertAlign w:val="subscript"/>
        </w:rPr>
        <w:t>ex</w:t>
      </w:r>
      <w:r>
        <w:rPr>
          <w:rFonts w:ascii="Times New Roman" w:hAnsi="Times New Roman" w:cs="Times New Roman"/>
          <w:sz w:val="24"/>
          <w:szCs w:val="24"/>
        </w:rPr>
        <w:t xml:space="preserve"> = 405 nm.</w:t>
      </w:r>
    </w:p>
    <w:p w14:paraId="55DA522A">
      <w:pPr>
        <w:spacing w:line="480" w:lineRule="auto"/>
        <w:rPr>
          <w:rFonts w:ascii="Times New Roman" w:hAnsi="Times New Roman" w:cs="Times New Roman"/>
          <w:b/>
          <w:bCs/>
          <w:sz w:val="24"/>
          <w:szCs w:val="24"/>
          <w14:ligatures w14:val="none"/>
        </w:rPr>
      </w:pPr>
      <w:r>
        <w:rPr>
          <w:rFonts w:ascii="Times New Roman" w:hAnsi="Times New Roman" w:cs="Times New Roman"/>
          <w:b/>
          <w:bCs/>
          <w:sz w:val="24"/>
          <w:szCs w:val="24"/>
          <w14:ligatures w14:val="none"/>
        </w:rPr>
        <w:t>Platelet aggregation</w:t>
      </w:r>
    </w:p>
    <w:p w14:paraId="338F0667">
      <w:pPr>
        <w:spacing w:line="480" w:lineRule="auto"/>
        <w:ind w:firstLine="480" w:firstLineChars="200"/>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For the preparation of washed murine PLTs, mice with were selected for blood collection through the inferior vena cava and anticoagulated with 1/7 volume of </w:t>
      </w:r>
      <w:bookmarkStart w:id="22" w:name="_Hlk176720318"/>
      <w:r>
        <w:rPr>
          <w:rFonts w:ascii="Times New Roman" w:hAnsi="Times New Roman" w:cs="Times New Roman"/>
          <w:sz w:val="24"/>
          <w:szCs w:val="24"/>
          <w14:ligatures w14:val="none"/>
        </w:rPr>
        <w:t>ACD</w:t>
      </w:r>
      <w:bookmarkEnd w:id="22"/>
      <w:r>
        <w:rPr>
          <w:rFonts w:ascii="Times New Roman" w:hAnsi="Times New Roman" w:cs="Times New Roman"/>
          <w:sz w:val="24"/>
          <w:szCs w:val="24"/>
          <w14:ligatures w14:val="none"/>
        </w:rPr>
        <w:t xml:space="preserve">. </w:t>
      </w:r>
      <w:bookmarkStart w:id="23" w:name="_Hlk176127162"/>
      <w:r>
        <w:rPr>
          <w:rFonts w:ascii="Times New Roman" w:hAnsi="Times New Roman" w:cs="Times New Roman"/>
          <w:sz w:val="24"/>
          <w:szCs w:val="24"/>
          <w14:ligatures w14:val="none"/>
        </w:rPr>
        <w:t>The whole blood was mixed with normal saline and centrifuged to obtain PRP at 200 g.</w:t>
      </w:r>
      <w:bookmarkEnd w:id="23"/>
      <w:r>
        <w:rPr>
          <w:rFonts w:ascii="Times New Roman" w:hAnsi="Times New Roman" w:cs="Times New Roman"/>
          <w:sz w:val="24"/>
          <w:szCs w:val="24"/>
          <w14:ligatures w14:val="none"/>
        </w:rPr>
        <w:t xml:space="preserve"> PRP was centrifuged at 1200 g for 2 min to pellet PLTs. PLTs were washed twice with CGS buffer, resuspended in modified Tyrode’s buffer to a concentration of 3 × 10</w:t>
      </w:r>
      <w:r>
        <w:rPr>
          <w:rFonts w:ascii="Times New Roman" w:hAnsi="Times New Roman" w:cs="Times New Roman"/>
          <w:sz w:val="24"/>
          <w:szCs w:val="24"/>
          <w:vertAlign w:val="superscript"/>
          <w14:ligatures w14:val="none"/>
        </w:rPr>
        <w:t>8</w:t>
      </w:r>
      <w:r>
        <w:rPr>
          <w:rFonts w:hint="eastAsia" w:ascii="Times New Roman" w:hAnsi="Times New Roman" w:cs="Times New Roman"/>
          <w:sz w:val="24"/>
          <w:szCs w:val="24"/>
          <w14:ligatures w14:val="none"/>
        </w:rPr>
        <w:t xml:space="preserve"> </w:t>
      </w:r>
      <w:r>
        <w:rPr>
          <w:rFonts w:ascii="Times New Roman" w:hAnsi="Times New Roman" w:cs="Times New Roman"/>
          <w:sz w:val="24"/>
          <w:szCs w:val="24"/>
          <w14:ligatures w14:val="none"/>
        </w:rPr>
        <w:t>mL</w:t>
      </w:r>
      <w:r>
        <w:rPr>
          <w:rFonts w:hint="eastAsia" w:ascii="Times New Roman" w:hAnsi="Times New Roman" w:cs="Times New Roman"/>
          <w:sz w:val="24"/>
          <w:szCs w:val="24"/>
          <w:vertAlign w:val="superscript"/>
          <w14:ligatures w14:val="none"/>
        </w:rPr>
        <w:t>-1</w:t>
      </w:r>
      <w:r>
        <w:rPr>
          <w:rFonts w:ascii="Times New Roman" w:hAnsi="Times New Roman" w:cs="Times New Roman"/>
          <w:sz w:val="24"/>
          <w:szCs w:val="24"/>
          <w14:ligatures w14:val="none"/>
        </w:rPr>
        <w:t>, and allowed to stay at room temperature for 1-2 hours. Then</w:t>
      </w:r>
      <w:r>
        <w:rPr>
          <w:rFonts w:hint="eastAsia" w:ascii="Times New Roman" w:hAnsi="Times New Roman" w:cs="Times New Roman"/>
          <w:sz w:val="24"/>
          <w:szCs w:val="24"/>
          <w14:ligatures w14:val="none"/>
        </w:rPr>
        <w:t>,</w:t>
      </w:r>
      <w:r>
        <w:rPr>
          <w:rFonts w:ascii="Times New Roman" w:hAnsi="Times New Roman" w:cs="Times New Roman"/>
          <w:sz w:val="24"/>
          <w:szCs w:val="24"/>
          <w14:ligatures w14:val="none"/>
        </w:rPr>
        <w:t xml:space="preserve"> </w:t>
      </w:r>
      <w:r>
        <w:rPr>
          <w:rFonts w:hint="eastAsia" w:ascii="Times New Roman" w:hAnsi="Times New Roman" w:cs="Times New Roman"/>
          <w:sz w:val="24"/>
          <w:szCs w:val="24"/>
          <w14:ligatures w14:val="none"/>
        </w:rPr>
        <w:t>PLTs</w:t>
      </w:r>
      <w:r>
        <w:rPr>
          <w:rFonts w:ascii="Times New Roman" w:hAnsi="Times New Roman" w:cs="Times New Roman"/>
          <w:sz w:val="24"/>
          <w:szCs w:val="24"/>
          <w14:ligatures w14:val="none"/>
        </w:rPr>
        <w:t xml:space="preserve"> were preincubated with </w:t>
      </w:r>
      <w:r>
        <w:rPr>
          <w:rFonts w:hint="eastAsia" w:ascii="Times New Roman" w:hAnsi="Times New Roman" w:cs="Times New Roman"/>
          <w:sz w:val="24"/>
          <w:szCs w:val="24"/>
          <w14:ligatures w14:val="none"/>
        </w:rPr>
        <w:t>Ln-MOF</w:t>
      </w:r>
      <w:bookmarkStart w:id="24" w:name="_Hlk196492048"/>
      <w:r>
        <w:rPr>
          <w:rFonts w:hint="eastAsia" w:ascii="Times New Roman" w:hAnsi="Times New Roman" w:cs="Times New Roman"/>
          <w:sz w:val="24"/>
          <w:szCs w:val="24"/>
          <w14:ligatures w14:val="none"/>
        </w:rPr>
        <w:t xml:space="preserve"> (200 </w:t>
      </w:r>
      <w:r>
        <w:rPr>
          <w:rFonts w:ascii="Times New Roman" w:hAnsi="Times New Roman" w:eastAsia="等线" w:cs="Times New Roman"/>
          <w:sz w:val="24"/>
          <w:szCs w:val="24"/>
          <w14:ligatures w14:val="none"/>
        </w:rPr>
        <w:t>μ</w:t>
      </w:r>
      <w:r>
        <w:rPr>
          <w:rFonts w:ascii="Times New Roman" w:hAnsi="Times New Roman" w:cs="Times New Roman"/>
          <w:sz w:val="24"/>
          <w:szCs w:val="24"/>
          <w14:ligatures w14:val="none"/>
        </w:rPr>
        <w:t>g mL</w:t>
      </w:r>
      <w:r>
        <w:rPr>
          <w:rFonts w:ascii="Times New Roman" w:hAnsi="Times New Roman" w:cs="Times New Roman"/>
          <w:sz w:val="24"/>
          <w:szCs w:val="24"/>
          <w:vertAlign w:val="superscript"/>
          <w14:ligatures w14:val="none"/>
        </w:rPr>
        <w:t>-1</w:t>
      </w:r>
      <w:r>
        <w:rPr>
          <w:rFonts w:hint="eastAsia" w:ascii="Times New Roman" w:hAnsi="Times New Roman" w:cs="Times New Roman"/>
          <w:sz w:val="24"/>
          <w:szCs w:val="24"/>
          <w14:ligatures w14:val="none"/>
        </w:rPr>
        <w:t>)</w:t>
      </w:r>
      <w:bookmarkEnd w:id="24"/>
      <w:r>
        <w:rPr>
          <w:rFonts w:hint="eastAsia" w:ascii="Times New Roman" w:hAnsi="Times New Roman" w:cs="Times New Roman"/>
          <w:sz w:val="24"/>
          <w:szCs w:val="24"/>
          <w14:ligatures w14:val="none"/>
        </w:rPr>
        <w:t xml:space="preserve">, LNM (200 </w:t>
      </w:r>
      <w:r>
        <w:rPr>
          <w:rFonts w:ascii="Times New Roman" w:hAnsi="Times New Roman" w:eastAsia="等线" w:cs="Times New Roman"/>
          <w:sz w:val="24"/>
          <w:szCs w:val="24"/>
          <w14:ligatures w14:val="none"/>
        </w:rPr>
        <w:t>μ</w:t>
      </w:r>
      <w:r>
        <w:rPr>
          <w:rFonts w:ascii="Times New Roman" w:hAnsi="Times New Roman" w:cs="Times New Roman"/>
          <w:sz w:val="24"/>
          <w:szCs w:val="24"/>
          <w14:ligatures w14:val="none"/>
        </w:rPr>
        <w:t>g mL</w:t>
      </w:r>
      <w:r>
        <w:rPr>
          <w:rFonts w:ascii="Times New Roman" w:hAnsi="Times New Roman" w:cs="Times New Roman"/>
          <w:sz w:val="24"/>
          <w:szCs w:val="24"/>
          <w:vertAlign w:val="superscript"/>
          <w14:ligatures w14:val="none"/>
        </w:rPr>
        <w:t>-1</w:t>
      </w:r>
      <w:r>
        <w:rPr>
          <w:rFonts w:hint="eastAsia" w:ascii="Times New Roman" w:hAnsi="Times New Roman" w:cs="Times New Roman"/>
          <w:sz w:val="24"/>
          <w:szCs w:val="24"/>
          <w14:ligatures w14:val="none"/>
        </w:rPr>
        <w:t>), and uPA</w:t>
      </w:r>
      <w:r>
        <w:rPr>
          <w:rFonts w:ascii="Times New Roman" w:hAnsi="Times New Roman" w:cs="Times New Roman"/>
          <w:sz w:val="24"/>
          <w:szCs w:val="24"/>
          <w14:ligatures w14:val="none"/>
        </w:rPr>
        <w:t xml:space="preserve"> (</w:t>
      </w:r>
      <w:r>
        <w:rPr>
          <w:rFonts w:hint="eastAsia" w:ascii="Times New Roman" w:hAnsi="Times New Roman" w:cs="Times New Roman"/>
          <w:sz w:val="24"/>
          <w:szCs w:val="24"/>
          <w14:ligatures w14:val="none"/>
        </w:rPr>
        <w:t>uPA</w:t>
      </w:r>
      <w:r>
        <w:rPr>
          <w:rFonts w:ascii="Times New Roman" w:hAnsi="Times New Roman" w:cs="Times New Roman"/>
          <w:sz w:val="24"/>
          <w:szCs w:val="24"/>
          <w14:ligatures w14:val="none"/>
        </w:rPr>
        <w:t xml:space="preserve"> activity: </w:t>
      </w:r>
      <w:r>
        <w:rPr>
          <w:rFonts w:hint="eastAsia" w:ascii="Times New Roman" w:hAnsi="Times New Roman" w:cs="Times New Roman"/>
          <w:sz w:val="24"/>
          <w:szCs w:val="24"/>
          <w14:ligatures w14:val="none"/>
        </w:rPr>
        <w:t>750</w:t>
      </w:r>
      <w:r>
        <w:rPr>
          <w:rFonts w:ascii="Times New Roman" w:hAnsi="Times New Roman" w:cs="Times New Roman"/>
          <w:sz w:val="24"/>
          <w:szCs w:val="24"/>
          <w14:ligatures w14:val="none"/>
        </w:rPr>
        <w:t xml:space="preserve"> U mL</w:t>
      </w:r>
      <w:r>
        <w:rPr>
          <w:rFonts w:ascii="Times New Roman" w:hAnsi="Times New Roman" w:cs="Times New Roman"/>
          <w:sz w:val="24"/>
          <w:szCs w:val="24"/>
          <w:vertAlign w:val="superscript"/>
          <w14:ligatures w14:val="none"/>
        </w:rPr>
        <w:t>-1</w:t>
      </w:r>
      <w:r>
        <w:rPr>
          <w:rFonts w:ascii="Times New Roman" w:hAnsi="Times New Roman" w:cs="Times New Roman"/>
          <w:sz w:val="24"/>
          <w:szCs w:val="24"/>
          <w14:ligatures w14:val="none"/>
        </w:rPr>
        <w:t>) for 30 min at 37°C in platelet aggregation dishes. Under stirring, platelet aggregation experiments were started immediately after the addition of collagen (0.</w:t>
      </w:r>
      <w:r>
        <w:rPr>
          <w:rFonts w:hint="eastAsia" w:ascii="Times New Roman" w:hAnsi="Times New Roman" w:cs="Times New Roman"/>
          <w:sz w:val="24"/>
          <w:szCs w:val="24"/>
          <w14:ligatures w14:val="none"/>
        </w:rPr>
        <w:t>5</w:t>
      </w:r>
      <w:r>
        <w:rPr>
          <w:rFonts w:ascii="Times New Roman" w:hAnsi="Times New Roman" w:cs="Times New Roman"/>
          <w:sz w:val="24"/>
          <w:szCs w:val="24"/>
          <w14:ligatures w14:val="none"/>
        </w:rPr>
        <w:t xml:space="preserve"> </w:t>
      </w:r>
      <w:r>
        <w:rPr>
          <w:rFonts w:ascii="Times New Roman" w:hAnsi="Times New Roman" w:eastAsia="等线" w:cs="Times New Roman"/>
          <w:sz w:val="24"/>
          <w:szCs w:val="24"/>
          <w14:ligatures w14:val="none"/>
        </w:rPr>
        <w:t>μ</w:t>
      </w:r>
      <w:r>
        <w:rPr>
          <w:rFonts w:ascii="Times New Roman" w:hAnsi="Times New Roman" w:cs="Times New Roman"/>
          <w:sz w:val="24"/>
          <w:szCs w:val="24"/>
          <w14:ligatures w14:val="none"/>
        </w:rPr>
        <w:t>g mL</w:t>
      </w:r>
      <w:r>
        <w:rPr>
          <w:rFonts w:ascii="Times New Roman" w:hAnsi="Times New Roman" w:cs="Times New Roman"/>
          <w:sz w:val="24"/>
          <w:szCs w:val="24"/>
          <w:vertAlign w:val="superscript"/>
          <w14:ligatures w14:val="none"/>
        </w:rPr>
        <w:t>-1</w:t>
      </w:r>
      <w:r>
        <w:rPr>
          <w:rFonts w:ascii="Times New Roman" w:hAnsi="Times New Roman" w:cs="Times New Roman"/>
          <w:sz w:val="24"/>
          <w:szCs w:val="24"/>
          <w14:ligatures w14:val="none"/>
        </w:rPr>
        <w:t>) to each group. Changes of light transmission were monitored for 8 minutes using</w:t>
      </w:r>
      <w:r>
        <w:rPr>
          <w:rFonts w:hint="eastAsia"/>
        </w:rPr>
        <w:t xml:space="preserve"> </w:t>
      </w:r>
      <w:r>
        <w:rPr>
          <w:rFonts w:hint="eastAsia" w:ascii="Times New Roman" w:hAnsi="Times New Roman" w:cs="Times New Roman"/>
          <w:sz w:val="24"/>
          <w:szCs w:val="24"/>
          <w14:ligatures w14:val="none"/>
        </w:rPr>
        <w:t>aggregometer</w:t>
      </w:r>
      <w:r>
        <w:rPr>
          <w:rFonts w:ascii="Times New Roman" w:hAnsi="Times New Roman" w:cs="Times New Roman"/>
          <w:sz w:val="24"/>
          <w:szCs w:val="24"/>
          <w14:ligatures w14:val="none"/>
        </w:rPr>
        <w:t>.</w:t>
      </w:r>
    </w:p>
    <w:p w14:paraId="10F5728A">
      <w:pPr>
        <w:spacing w:line="480" w:lineRule="auto"/>
        <w:rPr>
          <w:rFonts w:ascii="Times New Roman" w:hAnsi="Times New Roman" w:cs="Times New Roman"/>
          <w:b/>
          <w:bCs/>
          <w:sz w:val="24"/>
          <w:szCs w:val="24"/>
          <w14:ligatures w14:val="none"/>
        </w:rPr>
      </w:pPr>
      <w:r>
        <w:rPr>
          <w:rFonts w:hint="eastAsia" w:ascii="Times New Roman" w:hAnsi="Times New Roman" w:cs="Times New Roman"/>
          <w:b/>
          <w:bCs/>
          <w:sz w:val="24"/>
          <w:szCs w:val="24"/>
          <w14:ligatures w14:val="none"/>
        </w:rPr>
        <w:t>Clot retraction assay</w:t>
      </w:r>
    </w:p>
    <w:p w14:paraId="3337D8CC">
      <w:pPr>
        <w:spacing w:line="480" w:lineRule="auto"/>
        <w:ind w:firstLine="480" w:firstLineChars="200"/>
        <w:rPr>
          <w:rFonts w:ascii="Times New Roman" w:hAnsi="Times New Roman" w:cs="Times New Roman"/>
          <w:sz w:val="24"/>
          <w:szCs w:val="24"/>
          <w14:ligatures w14:val="none"/>
        </w:rPr>
      </w:pPr>
      <w:r>
        <w:rPr>
          <w:rFonts w:hint="eastAsia" w:ascii="Times New Roman" w:hAnsi="Times New Roman" w:cs="Times New Roman"/>
          <w:sz w:val="24"/>
          <w:szCs w:val="24"/>
          <w14:ligatures w14:val="none"/>
        </w:rPr>
        <w:t>Blood was obtained from the inferior vena cava of mice using syringes rinsed with anticoagulants.</w:t>
      </w:r>
      <w:r>
        <w:rPr>
          <w:rFonts w:ascii="Times New Roman" w:hAnsi="Times New Roman" w:cs="Times New Roman"/>
          <w:sz w:val="24"/>
          <w:szCs w:val="24"/>
          <w14:ligatures w14:val="none"/>
        </w:rPr>
        <w:t xml:space="preserve"> </w:t>
      </w:r>
      <w:r>
        <w:rPr>
          <w:rFonts w:hint="eastAsia" w:ascii="Times New Roman" w:hAnsi="Times New Roman" w:cs="Times New Roman"/>
          <w:sz w:val="24"/>
          <w:szCs w:val="24"/>
          <w14:ligatures w14:val="none"/>
        </w:rPr>
        <w:t xml:space="preserve">The whole blood </w:t>
      </w:r>
      <w:bookmarkStart w:id="25" w:name="_Hlk176467925"/>
      <w:r>
        <w:rPr>
          <w:rFonts w:hint="eastAsia" w:ascii="Times New Roman" w:hAnsi="Times New Roman" w:cs="Times New Roman"/>
          <w:sz w:val="24"/>
          <w:szCs w:val="24"/>
          <w14:ligatures w14:val="none"/>
        </w:rPr>
        <w:t>was mixed with normal saline and centrifuged</w:t>
      </w:r>
      <w:bookmarkEnd w:id="25"/>
      <w:r>
        <w:rPr>
          <w:rFonts w:hint="eastAsia" w:ascii="Times New Roman" w:hAnsi="Times New Roman" w:cs="Times New Roman"/>
          <w:sz w:val="24"/>
          <w:szCs w:val="24"/>
          <w14:ligatures w14:val="none"/>
        </w:rPr>
        <w:t xml:space="preserve"> to obtain platelet-rich plasma (PRP) at 200 g. </w:t>
      </w:r>
      <w:r>
        <w:rPr>
          <w:rFonts w:ascii="Times New Roman" w:hAnsi="Times New Roman" w:cs="Times New Roman"/>
          <w:sz w:val="24"/>
          <w:szCs w:val="24"/>
          <w14:ligatures w14:val="none"/>
        </w:rPr>
        <w:t xml:space="preserve">PRP (400 μL) was incubated with </w:t>
      </w:r>
      <w:r>
        <w:rPr>
          <w:rFonts w:hint="eastAsia" w:ascii="Times New Roman" w:hAnsi="Times New Roman" w:cs="Times New Roman"/>
          <w:sz w:val="24"/>
          <w:szCs w:val="24"/>
          <w14:ligatures w14:val="none"/>
        </w:rPr>
        <w:t xml:space="preserve">Ln-MOF (200 </w:t>
      </w:r>
      <w:r>
        <w:rPr>
          <w:rFonts w:ascii="Times New Roman" w:hAnsi="Times New Roman" w:eastAsia="等线" w:cs="Times New Roman"/>
          <w:sz w:val="24"/>
          <w:szCs w:val="24"/>
          <w14:ligatures w14:val="none"/>
        </w:rPr>
        <w:t>μ</w:t>
      </w:r>
      <w:r>
        <w:rPr>
          <w:rFonts w:ascii="Times New Roman" w:hAnsi="Times New Roman" w:cs="Times New Roman"/>
          <w:sz w:val="24"/>
          <w:szCs w:val="24"/>
          <w14:ligatures w14:val="none"/>
        </w:rPr>
        <w:t>g mL</w:t>
      </w:r>
      <w:r>
        <w:rPr>
          <w:rFonts w:ascii="Times New Roman" w:hAnsi="Times New Roman" w:cs="Times New Roman"/>
          <w:sz w:val="24"/>
          <w:szCs w:val="24"/>
          <w:vertAlign w:val="superscript"/>
          <w14:ligatures w14:val="none"/>
        </w:rPr>
        <w:t>-1</w:t>
      </w:r>
      <w:r>
        <w:rPr>
          <w:rFonts w:hint="eastAsia" w:ascii="Times New Roman" w:hAnsi="Times New Roman" w:cs="Times New Roman"/>
          <w:sz w:val="24"/>
          <w:szCs w:val="24"/>
          <w14:ligatures w14:val="none"/>
        </w:rPr>
        <w:t>)</w:t>
      </w:r>
      <w:r>
        <w:rPr>
          <w:rFonts w:ascii="Times New Roman" w:hAnsi="Times New Roman" w:cs="Times New Roman"/>
          <w:sz w:val="24"/>
          <w:szCs w:val="24"/>
          <w14:ligatures w14:val="none"/>
        </w:rPr>
        <w:t xml:space="preserve">, </w:t>
      </w:r>
      <w:r>
        <w:rPr>
          <w:rFonts w:hint="eastAsia" w:ascii="Times New Roman" w:hAnsi="Times New Roman" w:cs="Times New Roman"/>
          <w:sz w:val="24"/>
          <w:szCs w:val="24"/>
          <w14:ligatures w14:val="none"/>
        </w:rPr>
        <w:t>uPA</w:t>
      </w:r>
      <w:r>
        <w:rPr>
          <w:rFonts w:ascii="Times New Roman" w:hAnsi="Times New Roman" w:cs="Times New Roman"/>
          <w:sz w:val="24"/>
          <w:szCs w:val="24"/>
          <w14:ligatures w14:val="none"/>
        </w:rPr>
        <w:t xml:space="preserve"> (</w:t>
      </w:r>
      <w:r>
        <w:rPr>
          <w:rFonts w:hint="eastAsia" w:ascii="Times New Roman" w:hAnsi="Times New Roman" w:cs="Times New Roman"/>
          <w:sz w:val="24"/>
          <w:szCs w:val="24"/>
          <w14:ligatures w14:val="none"/>
        </w:rPr>
        <w:t>uPA</w:t>
      </w:r>
      <w:r>
        <w:rPr>
          <w:rFonts w:ascii="Times New Roman" w:hAnsi="Times New Roman" w:cs="Times New Roman"/>
          <w:sz w:val="24"/>
          <w:szCs w:val="24"/>
          <w14:ligatures w14:val="none"/>
        </w:rPr>
        <w:t xml:space="preserve"> activity: </w:t>
      </w:r>
      <w:r>
        <w:rPr>
          <w:rFonts w:hint="eastAsia" w:ascii="Times New Roman" w:hAnsi="Times New Roman" w:cs="Times New Roman"/>
          <w:sz w:val="24"/>
          <w:szCs w:val="24"/>
          <w14:ligatures w14:val="none"/>
        </w:rPr>
        <w:t>750</w:t>
      </w:r>
      <w:r>
        <w:rPr>
          <w:rFonts w:ascii="Times New Roman" w:hAnsi="Times New Roman" w:cs="Times New Roman"/>
          <w:sz w:val="24"/>
          <w:szCs w:val="24"/>
          <w14:ligatures w14:val="none"/>
        </w:rPr>
        <w:t xml:space="preserve"> U mL</w:t>
      </w:r>
      <w:r>
        <w:rPr>
          <w:rFonts w:ascii="Times New Roman" w:hAnsi="Times New Roman" w:cs="Times New Roman"/>
          <w:sz w:val="24"/>
          <w:szCs w:val="24"/>
          <w:vertAlign w:val="superscript"/>
          <w14:ligatures w14:val="none"/>
        </w:rPr>
        <w:t>-1</w:t>
      </w:r>
      <w:r>
        <w:rPr>
          <w:rFonts w:ascii="Times New Roman" w:hAnsi="Times New Roman" w:cs="Times New Roman"/>
          <w:sz w:val="24"/>
          <w:szCs w:val="24"/>
          <w14:ligatures w14:val="none"/>
        </w:rPr>
        <w:t>), and</w:t>
      </w:r>
      <w:r>
        <w:rPr>
          <w:rFonts w:hint="eastAsia" w:ascii="Times New Roman" w:hAnsi="Times New Roman" w:cs="Times New Roman"/>
          <w:sz w:val="24"/>
          <w:szCs w:val="24"/>
          <w14:ligatures w14:val="none"/>
        </w:rPr>
        <w:t xml:space="preserve"> </w:t>
      </w:r>
      <w:r>
        <w:rPr>
          <w:rFonts w:hint="eastAsia" w:ascii="Times New Roman" w:hAnsi="Times New Roman" w:cs="Times New Roman"/>
          <w:sz w:val="24"/>
          <w:szCs w:val="24"/>
        </w:rPr>
        <w:t>LNM</w:t>
      </w:r>
      <w:r>
        <w:rPr>
          <w:rFonts w:hint="eastAsia" w:ascii="Times New Roman" w:hAnsi="Times New Roman" w:cs="Times New Roman"/>
          <w:sz w:val="24"/>
          <w:szCs w:val="24"/>
          <w14:ligatures w14:val="none"/>
        </w:rPr>
        <w:t xml:space="preserve"> (200 </w:t>
      </w:r>
      <w:r>
        <w:rPr>
          <w:rFonts w:ascii="Times New Roman" w:hAnsi="Times New Roman" w:eastAsia="等线" w:cs="Times New Roman"/>
          <w:sz w:val="24"/>
          <w:szCs w:val="24"/>
          <w14:ligatures w14:val="none"/>
        </w:rPr>
        <w:t>μ</w:t>
      </w:r>
      <w:r>
        <w:rPr>
          <w:rFonts w:ascii="Times New Roman" w:hAnsi="Times New Roman" w:cs="Times New Roman"/>
          <w:sz w:val="24"/>
          <w:szCs w:val="24"/>
          <w14:ligatures w14:val="none"/>
        </w:rPr>
        <w:t>g mL</w:t>
      </w:r>
      <w:r>
        <w:rPr>
          <w:rFonts w:ascii="Times New Roman" w:hAnsi="Times New Roman" w:cs="Times New Roman"/>
          <w:sz w:val="24"/>
          <w:szCs w:val="24"/>
          <w:vertAlign w:val="superscript"/>
          <w14:ligatures w14:val="none"/>
        </w:rPr>
        <w:t>-1</w:t>
      </w:r>
      <w:r>
        <w:rPr>
          <w:rFonts w:hint="eastAsia" w:ascii="Times New Roman" w:hAnsi="Times New Roman" w:cs="Times New Roman"/>
          <w:sz w:val="24"/>
          <w:szCs w:val="24"/>
          <w14:ligatures w14:val="none"/>
        </w:rPr>
        <w:t>)</w:t>
      </w:r>
      <w:r>
        <w:rPr>
          <w:rFonts w:ascii="Times New Roman" w:hAnsi="Times New Roman" w:cs="Times New Roman"/>
          <w:sz w:val="24"/>
          <w:szCs w:val="24"/>
          <w14:ligatures w14:val="none"/>
        </w:rPr>
        <w:t xml:space="preserve"> for </w:t>
      </w:r>
      <w:r>
        <w:rPr>
          <w:rFonts w:hint="eastAsia" w:ascii="Times New Roman" w:hAnsi="Times New Roman" w:cs="Times New Roman"/>
          <w:sz w:val="24"/>
          <w:szCs w:val="24"/>
          <w14:ligatures w14:val="none"/>
        </w:rPr>
        <w:t>1</w:t>
      </w:r>
      <w:r>
        <w:rPr>
          <w:rFonts w:ascii="Times New Roman" w:hAnsi="Times New Roman" w:cs="Times New Roman"/>
          <w:sz w:val="24"/>
          <w:szCs w:val="24"/>
          <w14:ligatures w14:val="none"/>
        </w:rPr>
        <w:t>0 min, and then 5 μL red blood cells were added to each group and mixed up. Next clot formation was initiated by adding thrombin (</w:t>
      </w:r>
      <w:r>
        <w:rPr>
          <w:rFonts w:hint="eastAsia" w:ascii="Times New Roman" w:hAnsi="Times New Roman" w:cs="Times New Roman"/>
          <w:sz w:val="24"/>
          <w:szCs w:val="24"/>
          <w14:ligatures w14:val="none"/>
        </w:rPr>
        <w:t>0.1</w:t>
      </w:r>
      <w:r>
        <w:rPr>
          <w:rFonts w:ascii="Times New Roman" w:hAnsi="Times New Roman" w:cs="Times New Roman"/>
          <w:sz w:val="24"/>
          <w:szCs w:val="24"/>
          <w14:ligatures w14:val="none"/>
        </w:rPr>
        <w:t xml:space="preserve"> U</w:t>
      </w:r>
      <w:r>
        <w:rPr>
          <w:rFonts w:hint="eastAsia" w:ascii="Times New Roman" w:hAnsi="Times New Roman" w:cs="Times New Roman"/>
          <w:sz w:val="24"/>
          <w:szCs w:val="24"/>
          <w14:ligatures w14:val="none"/>
        </w:rPr>
        <w:t xml:space="preserve"> </w:t>
      </w:r>
      <w:r>
        <w:rPr>
          <w:rFonts w:ascii="Times New Roman" w:hAnsi="Times New Roman" w:cs="Times New Roman"/>
          <w:sz w:val="24"/>
          <w:szCs w:val="24"/>
          <w14:ligatures w14:val="none"/>
        </w:rPr>
        <w:t>mL</w:t>
      </w:r>
      <w:r>
        <w:rPr>
          <w:rFonts w:hint="eastAsia" w:ascii="Times New Roman" w:hAnsi="Times New Roman" w:cs="Times New Roman"/>
          <w:sz w:val="24"/>
          <w:szCs w:val="24"/>
          <w:vertAlign w:val="superscript"/>
          <w14:ligatures w14:val="none"/>
        </w:rPr>
        <w:t>-1</w:t>
      </w:r>
      <w:r>
        <w:rPr>
          <w:rFonts w:ascii="Times New Roman" w:hAnsi="Times New Roman" w:cs="Times New Roman"/>
          <w:sz w:val="24"/>
          <w:szCs w:val="24"/>
          <w14:ligatures w14:val="none"/>
        </w:rPr>
        <w:t xml:space="preserve">) to each group. The formation of clots was observed at room temperature for </w:t>
      </w:r>
      <w:r>
        <w:rPr>
          <w:rFonts w:hint="eastAsia" w:ascii="Times New Roman" w:hAnsi="Times New Roman" w:cs="Times New Roman"/>
          <w:sz w:val="24"/>
          <w:szCs w:val="24"/>
          <w14:ligatures w14:val="none"/>
        </w:rPr>
        <w:t>5</w:t>
      </w:r>
      <w:r>
        <w:rPr>
          <w:rFonts w:ascii="Times New Roman" w:hAnsi="Times New Roman" w:cs="Times New Roman"/>
          <w:sz w:val="24"/>
          <w:szCs w:val="24"/>
          <w14:ligatures w14:val="none"/>
        </w:rPr>
        <w:t>0 min, and clot volume was quantified using ImageJ (NIH, Bethesda, MD, USA) as an evaluation index of clot retraction.</w:t>
      </w:r>
    </w:p>
    <w:p w14:paraId="0084DA96">
      <w:pPr>
        <w:spacing w:line="480" w:lineRule="auto"/>
        <w:rPr>
          <w:rFonts w:ascii="Times New Roman" w:hAnsi="Times New Roman" w:cs="Times New Roman"/>
          <w:b/>
          <w:bCs/>
          <w:sz w:val="24"/>
          <w:szCs w:val="24"/>
          <w14:ligatures w14:val="none"/>
        </w:rPr>
      </w:pPr>
      <w:r>
        <w:rPr>
          <w:rFonts w:hint="eastAsia" w:ascii="Times New Roman" w:hAnsi="Times New Roman" w:cs="Times New Roman"/>
          <w:b/>
          <w:bCs/>
          <w:sz w:val="24"/>
          <w:szCs w:val="24"/>
          <w14:ligatures w14:val="none"/>
        </w:rPr>
        <w:t>In vivo thrombosis</w:t>
      </w:r>
    </w:p>
    <w:p w14:paraId="03C2631E">
      <w:pPr>
        <w:spacing w:line="480" w:lineRule="auto"/>
        <w:ind w:firstLine="480" w:firstLineChars="200"/>
        <w:rPr>
          <w:rFonts w:ascii="Times New Roman" w:hAnsi="Times New Roman" w:cs="Times New Roman"/>
          <w:sz w:val="24"/>
          <w:szCs w:val="24"/>
          <w14:ligatures w14:val="none"/>
        </w:rPr>
      </w:pPr>
      <w:r>
        <w:rPr>
          <w:rFonts w:hint="eastAsia" w:ascii="Times New Roman" w:hAnsi="Times New Roman" w:cs="Times New Roman"/>
          <w:sz w:val="24"/>
          <w:szCs w:val="24"/>
          <w14:ligatures w14:val="none"/>
        </w:rPr>
        <w:t xml:space="preserve">Washed mouse PLTs were labeled with Calcein-AM (5 </w:t>
      </w:r>
      <w:r>
        <w:rPr>
          <w:rFonts w:ascii="Times New Roman" w:hAnsi="Times New Roman" w:cs="Times New Roman"/>
          <w:sz w:val="24"/>
          <w:szCs w:val="24"/>
          <w14:ligatures w14:val="none"/>
        </w:rPr>
        <w:t>μg</w:t>
      </w:r>
      <w:r>
        <w:rPr>
          <w:rFonts w:hint="eastAsia" w:ascii="Times New Roman" w:hAnsi="Times New Roman" w:cs="Times New Roman"/>
          <w:sz w:val="24"/>
          <w:szCs w:val="24"/>
          <w14:ligatures w14:val="none"/>
        </w:rPr>
        <w:t xml:space="preserve"> </w:t>
      </w:r>
      <w:r>
        <w:rPr>
          <w:rFonts w:ascii="Times New Roman" w:hAnsi="Times New Roman" w:cs="Times New Roman"/>
          <w:sz w:val="24"/>
          <w:szCs w:val="24"/>
          <w14:ligatures w14:val="none"/>
        </w:rPr>
        <w:t>mL</w:t>
      </w:r>
      <w:r>
        <w:rPr>
          <w:rFonts w:hint="eastAsia" w:ascii="Times New Roman" w:hAnsi="Times New Roman" w:cs="Times New Roman"/>
          <w:sz w:val="24"/>
          <w:szCs w:val="24"/>
          <w:vertAlign w:val="superscript"/>
          <w14:ligatures w14:val="none"/>
        </w:rPr>
        <w:t>-1</w:t>
      </w:r>
      <w:r>
        <w:rPr>
          <w:rFonts w:hint="eastAsia" w:ascii="Times New Roman" w:hAnsi="Times New Roman" w:cs="Times New Roman"/>
          <w:sz w:val="24"/>
          <w:szCs w:val="24"/>
          <w14:ligatures w14:val="none"/>
        </w:rPr>
        <w:t>) at room temperature for 30 min. Labeled PLTs were washed with CGS buffer (0.123 M NaCl, 0.033 M D-glucose, 0.013 M trisodium citrate, pH 6.5) and resuspended with Modified Tyrode</w:t>
      </w:r>
      <w:r>
        <w:rPr>
          <w:rFonts w:ascii="Times New Roman" w:hAnsi="Times New Roman" w:cs="Times New Roman"/>
          <w:sz w:val="24"/>
          <w:szCs w:val="24"/>
          <w14:ligatures w14:val="none"/>
        </w:rPr>
        <w:t>’</w:t>
      </w:r>
      <w:r>
        <w:rPr>
          <w:rFonts w:hint="eastAsia" w:ascii="Times New Roman" w:hAnsi="Times New Roman" w:cs="Times New Roman"/>
          <w:sz w:val="24"/>
          <w:szCs w:val="24"/>
          <w14:ligatures w14:val="none"/>
        </w:rPr>
        <w:t>s buffer (2.5 mM HEPES, 150 mM NaCl, 2.5 mM KCl, 12 mM NaHCO</w:t>
      </w:r>
      <w:r>
        <w:rPr>
          <w:rFonts w:hint="eastAsia" w:ascii="Times New Roman" w:hAnsi="Times New Roman" w:cs="Times New Roman"/>
          <w:sz w:val="24"/>
          <w:szCs w:val="24"/>
          <w:vertAlign w:val="subscript"/>
          <w14:ligatures w14:val="none"/>
        </w:rPr>
        <w:t>3</w:t>
      </w:r>
      <w:r>
        <w:rPr>
          <w:rFonts w:hint="eastAsia" w:ascii="Times New Roman" w:hAnsi="Times New Roman" w:cs="Times New Roman"/>
          <w:sz w:val="24"/>
          <w:szCs w:val="24"/>
          <w14:ligatures w14:val="none"/>
        </w:rPr>
        <w:t>, 5.5 mM D-glucose, 0.1% bovine serum albumin, 1 mM CaCl</w:t>
      </w:r>
      <w:r>
        <w:rPr>
          <w:rFonts w:hint="eastAsia" w:ascii="Times New Roman" w:hAnsi="Times New Roman" w:cs="Times New Roman"/>
          <w:sz w:val="24"/>
          <w:szCs w:val="24"/>
          <w:vertAlign w:val="subscript"/>
          <w14:ligatures w14:val="none"/>
        </w:rPr>
        <w:t>2</w:t>
      </w:r>
      <w:r>
        <w:rPr>
          <w:rFonts w:hint="eastAsia" w:ascii="Times New Roman" w:hAnsi="Times New Roman" w:cs="Times New Roman"/>
          <w:sz w:val="24"/>
          <w:szCs w:val="24"/>
          <w14:ligatures w14:val="none"/>
        </w:rPr>
        <w:t>, 1 mM MgCl</w:t>
      </w:r>
      <w:r>
        <w:rPr>
          <w:rFonts w:hint="eastAsia" w:ascii="Times New Roman" w:hAnsi="Times New Roman" w:cs="Times New Roman"/>
          <w:sz w:val="24"/>
          <w:szCs w:val="24"/>
          <w:vertAlign w:val="subscript"/>
          <w14:ligatures w14:val="none"/>
        </w:rPr>
        <w:t>2</w:t>
      </w:r>
      <w:r>
        <w:rPr>
          <w:rFonts w:hint="eastAsia" w:ascii="Times New Roman" w:hAnsi="Times New Roman" w:cs="Times New Roman"/>
          <w:sz w:val="24"/>
          <w:szCs w:val="24"/>
          <w14:ligatures w14:val="none"/>
        </w:rPr>
        <w:t>, pH 7.4) to a concentration of 1×10</w:t>
      </w:r>
      <w:r>
        <w:rPr>
          <w:rFonts w:hint="eastAsia" w:ascii="Times New Roman" w:hAnsi="Times New Roman" w:cs="Times New Roman"/>
          <w:sz w:val="24"/>
          <w:szCs w:val="24"/>
          <w:vertAlign w:val="superscript"/>
          <w14:ligatures w14:val="none"/>
        </w:rPr>
        <w:t>9</w:t>
      </w:r>
      <w:r>
        <w:rPr>
          <w:rFonts w:hint="eastAsia" w:ascii="Times New Roman" w:hAnsi="Times New Roman" w:cs="Times New Roman"/>
          <w:sz w:val="24"/>
          <w:szCs w:val="24"/>
          <w14:ligatures w14:val="none"/>
        </w:rPr>
        <w:t xml:space="preserve"> mL</w:t>
      </w:r>
      <w:r>
        <w:rPr>
          <w:rFonts w:hint="eastAsia" w:ascii="Times New Roman" w:hAnsi="Times New Roman" w:cs="Times New Roman"/>
          <w:sz w:val="24"/>
          <w:szCs w:val="24"/>
          <w:vertAlign w:val="superscript"/>
          <w14:ligatures w14:val="none"/>
        </w:rPr>
        <w:t>-1</w:t>
      </w:r>
      <w:r>
        <w:rPr>
          <w:rFonts w:hint="eastAsia" w:ascii="Times New Roman" w:hAnsi="Times New Roman" w:cs="Times New Roman"/>
          <w:sz w:val="24"/>
          <w:szCs w:val="24"/>
          <w14:ligatures w14:val="none"/>
        </w:rPr>
        <w:t xml:space="preserve">. Mice in each group were intravenously administered with different prepared formulations (200 </w:t>
      </w:r>
      <w:r>
        <w:rPr>
          <w:rFonts w:ascii="Times New Roman" w:hAnsi="Times New Roman" w:cs="Times New Roman"/>
          <w:sz w:val="24"/>
          <w:szCs w:val="24"/>
          <w14:ligatures w14:val="none"/>
        </w:rPr>
        <w:t>μ</w:t>
      </w:r>
      <w:r>
        <w:rPr>
          <w:rFonts w:hint="eastAsia" w:ascii="Times New Roman" w:hAnsi="Times New Roman" w:cs="Times New Roman"/>
          <w:sz w:val="24"/>
          <w:szCs w:val="24"/>
          <w14:ligatures w14:val="none"/>
        </w:rPr>
        <w:t>L LNM (</w:t>
      </w:r>
      <w:r>
        <w:rPr>
          <w:rFonts w:hint="eastAsia" w:ascii="Times New Roman" w:hAnsi="Times New Roman" w:cs="Times New Roman"/>
          <w:sz w:val="24"/>
          <w:szCs w:val="24"/>
        </w:rPr>
        <w:t>2 m</w:t>
      </w:r>
      <w:r>
        <w:rPr>
          <w:rFonts w:ascii="Times New Roman" w:hAnsi="Times New Roman" w:cs="Times New Roman"/>
          <w:sz w:val="24"/>
          <w:szCs w:val="24"/>
        </w:rPr>
        <w:t>g</w:t>
      </w:r>
      <w:r>
        <w:rPr>
          <w:rFonts w:hint="eastAsia" w:ascii="Times New Roman" w:hAnsi="Times New Roman" w:cs="Times New Roman"/>
          <w:sz w:val="24"/>
          <w:szCs w:val="24"/>
        </w:rPr>
        <w:t xml:space="preserve"> </w:t>
      </w:r>
      <w:r>
        <w:rPr>
          <w:rFonts w:ascii="Times New Roman" w:hAnsi="Times New Roman" w:cs="Times New Roman"/>
          <w:sz w:val="24"/>
          <w:szCs w:val="24"/>
        </w:rPr>
        <w:t>mL</w:t>
      </w:r>
      <w:r>
        <w:rPr>
          <w:rFonts w:hint="eastAsia" w:ascii="Times New Roman" w:hAnsi="Times New Roman" w:cs="Times New Roman"/>
          <w:sz w:val="24"/>
          <w:szCs w:val="24"/>
          <w:vertAlign w:val="superscript"/>
        </w:rPr>
        <w:t>-1</w:t>
      </w:r>
      <w:r>
        <w:rPr>
          <w:rFonts w:hint="eastAsia" w:ascii="Times New Roman" w:hAnsi="Times New Roman" w:cs="Times New Roman"/>
          <w:sz w:val="24"/>
          <w:szCs w:val="24"/>
          <w14:ligatures w14:val="none"/>
        </w:rPr>
        <w:t>) and saline). Calcein-labeled WT PLTs were injected into 4-week-old male mice through the orbital canthus venous plexus gyrus. Mice were anesthetized, the mesenteric vascular bed was removed, and one arteriole was chosen and visualized with an inverted fluorescent microscope and recorded on videotape. Blood vessel damage and thrombosis were induced using a 3-mm</w:t>
      </w:r>
      <w:r>
        <w:rPr>
          <w:rFonts w:hint="eastAsia" w:ascii="Times New Roman" w:hAnsi="Times New Roman" w:cs="Times New Roman"/>
          <w:sz w:val="24"/>
          <w:szCs w:val="24"/>
          <w:vertAlign w:val="superscript"/>
          <w14:ligatures w14:val="none"/>
        </w:rPr>
        <w:t>2</w:t>
      </w:r>
      <w:r>
        <w:rPr>
          <w:rFonts w:hint="eastAsia" w:ascii="Times New Roman" w:hAnsi="Times New Roman" w:cs="Times New Roman"/>
          <w:sz w:val="24"/>
          <w:szCs w:val="24"/>
          <w14:ligatures w14:val="none"/>
        </w:rPr>
        <w:t xml:space="preserve"> filter paper soaked with 6% FeCl</w:t>
      </w:r>
      <w:r>
        <w:rPr>
          <w:rFonts w:hint="eastAsia" w:ascii="Times New Roman" w:hAnsi="Times New Roman" w:cs="Times New Roman"/>
          <w:sz w:val="24"/>
          <w:szCs w:val="24"/>
          <w:vertAlign w:val="subscript"/>
          <w14:ligatures w14:val="none"/>
        </w:rPr>
        <w:t>3</w:t>
      </w:r>
      <w:r>
        <w:rPr>
          <w:rFonts w:hint="eastAsia" w:ascii="Times New Roman" w:hAnsi="Times New Roman" w:cs="Times New Roman"/>
          <w:sz w:val="24"/>
          <w:szCs w:val="24"/>
          <w14:ligatures w14:val="none"/>
        </w:rPr>
        <w:t>. Vascular occlusion time was defined as the time when blood flow stopped completely. If no thrombus formed after 30 min, it was recorded as 30 min.</w:t>
      </w:r>
    </w:p>
    <w:p w14:paraId="53613956">
      <w:pPr>
        <w:spacing w:line="480" w:lineRule="auto"/>
        <w:rPr>
          <w:rFonts w:ascii="Times New Roman" w:hAnsi="Times New Roman" w:cs="Times New Roman"/>
          <w:b/>
          <w:bCs/>
          <w:sz w:val="28"/>
          <w:szCs w:val="28"/>
          <w14:ligatures w14:val="none"/>
        </w:rPr>
      </w:pPr>
      <w:r>
        <w:rPr>
          <w:rFonts w:hint="eastAsia" w:ascii="Times New Roman" w:hAnsi="Times New Roman" w:cs="Times New Roman"/>
          <w:b/>
          <w:bCs/>
          <w:sz w:val="28"/>
          <w:szCs w:val="28"/>
          <w14:ligatures w14:val="none"/>
        </w:rPr>
        <w:t>Partial Results</w:t>
      </w:r>
    </w:p>
    <w:p w14:paraId="53E1697F">
      <w:pPr>
        <w:spacing w:line="480" w:lineRule="auto"/>
        <w:rPr>
          <w:rFonts w:ascii="Times New Roman" w:hAnsi="Times New Roman" w:cs="Times New Roman"/>
          <w:b/>
          <w:bCs/>
          <w:sz w:val="24"/>
          <w:szCs w:val="24"/>
          <w14:ligatures w14:val="none"/>
        </w:rPr>
      </w:pPr>
      <w:r>
        <w:rPr>
          <w:rFonts w:hint="eastAsia" w:ascii="Times New Roman" w:hAnsi="Times New Roman" w:cs="Times New Roman"/>
          <w:b/>
          <w:bCs/>
          <w:sz w:val="24"/>
          <w:szCs w:val="24"/>
          <w14:ligatures w14:val="none"/>
        </w:rPr>
        <w:t>Adsorption capacity of Ce/Eu-BDC, Ce/Eu-BTC, and Ce/Eu-BTEC for proteins</w:t>
      </w:r>
    </w:p>
    <w:p w14:paraId="09991225">
      <w:pPr>
        <w:spacing w:line="48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14:ligatures w14:val="none"/>
        </w:rPr>
        <w:t xml:space="preserve">In order to verify the adsorption ability of the </w:t>
      </w:r>
      <w:r>
        <w:rPr>
          <w:rFonts w:hint="eastAsia" w:ascii="Times New Roman" w:hAnsi="Times New Roman" w:cs="Times New Roman"/>
          <w:sz w:val="24"/>
          <w:szCs w:val="24"/>
        </w:rPr>
        <w:t>Ce/</w:t>
      </w:r>
      <w:r>
        <w:rPr>
          <w:rFonts w:hint="eastAsia" w:ascii="Times New Roman" w:hAnsi="Times New Roman" w:cs="Times New Roman"/>
          <w:sz w:val="24"/>
          <w:szCs w:val="24"/>
          <w14:ligatures w14:val="none"/>
        </w:rPr>
        <w:t xml:space="preserve">Eu-MOF to the protein. </w:t>
      </w:r>
      <w:r>
        <w:rPr>
          <w:rFonts w:ascii="Times New Roman" w:hAnsi="Times New Roman" w:cs="Times New Roman"/>
          <w:sz w:val="24"/>
          <w:szCs w:val="24"/>
          <w14:ligatures w14:val="none"/>
        </w:rPr>
        <w:t>W</w:t>
      </w:r>
      <w:r>
        <w:rPr>
          <w:rFonts w:hint="eastAsia" w:ascii="Times New Roman" w:hAnsi="Times New Roman" w:cs="Times New Roman"/>
          <w:sz w:val="24"/>
          <w:szCs w:val="24"/>
          <w14:ligatures w14:val="none"/>
        </w:rPr>
        <w:t xml:space="preserve">e choose </w:t>
      </w:r>
      <w:bookmarkStart w:id="26" w:name="_Hlk199254678"/>
      <w:r>
        <w:rPr>
          <w:rFonts w:hint="eastAsia" w:ascii="Times New Roman" w:hAnsi="Times New Roman" w:cs="Times New Roman"/>
          <w:sz w:val="24"/>
          <w:szCs w:val="24"/>
          <w14:ligatures w14:val="none"/>
        </w:rPr>
        <w:t>H</w:t>
      </w:r>
      <w:r>
        <w:rPr>
          <w:rFonts w:hint="eastAsia" w:ascii="Times New Roman" w:hAnsi="Times New Roman" w:cs="Times New Roman"/>
          <w:sz w:val="24"/>
          <w:szCs w:val="24"/>
          <w:vertAlign w:val="subscript"/>
          <w14:ligatures w14:val="none"/>
        </w:rPr>
        <w:t>2</w:t>
      </w:r>
      <w:r>
        <w:rPr>
          <w:rFonts w:hint="eastAsia" w:ascii="Times New Roman" w:hAnsi="Times New Roman" w:cs="Times New Roman"/>
          <w:sz w:val="24"/>
          <w:szCs w:val="24"/>
          <w14:ligatures w14:val="none"/>
        </w:rPr>
        <w:t>BDC</w:t>
      </w:r>
      <w:bookmarkEnd w:id="26"/>
      <w:r>
        <w:rPr>
          <w:rFonts w:hint="eastAsia" w:ascii="Times New Roman" w:hAnsi="Times New Roman" w:cs="Times New Roman"/>
          <w:sz w:val="24"/>
          <w:szCs w:val="24"/>
          <w14:ligatures w14:val="none"/>
        </w:rPr>
        <w:t>,</w:t>
      </w:r>
      <w:r>
        <w:rPr>
          <w:rFonts w:hint="eastAsia" w:ascii="Times New Roman" w:hAnsi="Times New Roman" w:cs="Times New Roman"/>
          <w:sz w:val="24"/>
          <w:szCs w:val="24"/>
        </w:rPr>
        <w:t xml:space="preserve"> H</w:t>
      </w:r>
      <w:r>
        <w:rPr>
          <w:rFonts w:hint="eastAsia" w:ascii="Times New Roman" w:hAnsi="Times New Roman" w:cs="Times New Roman"/>
          <w:sz w:val="24"/>
          <w:szCs w:val="24"/>
          <w:vertAlign w:val="subscript"/>
        </w:rPr>
        <w:t>3</w:t>
      </w:r>
      <w:r>
        <w:rPr>
          <w:rFonts w:hint="eastAsia" w:ascii="Times New Roman" w:hAnsi="Times New Roman" w:cs="Times New Roman"/>
          <w:sz w:val="24"/>
          <w:szCs w:val="24"/>
        </w:rPr>
        <w:t>BTC, and H</w:t>
      </w:r>
      <w:r>
        <w:rPr>
          <w:rFonts w:hint="eastAsia" w:ascii="Times New Roman" w:hAnsi="Times New Roman" w:cs="Times New Roman"/>
          <w:sz w:val="24"/>
          <w:szCs w:val="24"/>
          <w:vertAlign w:val="subscript"/>
        </w:rPr>
        <w:t>4</w:t>
      </w:r>
      <w:r>
        <w:rPr>
          <w:rFonts w:hint="eastAsia" w:ascii="Times New Roman" w:hAnsi="Times New Roman" w:cs="Times New Roman"/>
          <w:sz w:val="24"/>
          <w:szCs w:val="24"/>
        </w:rPr>
        <w:t xml:space="preserve">BTEC as ligands for the synthesis of Ce/Eu-BDC, Ce/Eu-BTC, and Ce/Eu-BTEC. </w:t>
      </w:r>
      <w:r>
        <w:rPr>
          <w:rFonts w:ascii="Times New Roman" w:hAnsi="Times New Roman" w:cs="Times New Roman"/>
          <w:sz w:val="24"/>
          <w:szCs w:val="24"/>
        </w:rPr>
        <w:t>A</w:t>
      </w:r>
      <w:r>
        <w:rPr>
          <w:rFonts w:hint="eastAsia" w:ascii="Times New Roman" w:hAnsi="Times New Roman" w:cs="Times New Roman"/>
          <w:sz w:val="24"/>
          <w:szCs w:val="24"/>
        </w:rPr>
        <w:t xml:space="preserve">s shown in </w:t>
      </w:r>
      <w:r>
        <w:rPr>
          <w:rFonts w:hint="eastAsia" w:ascii="Times New Roman" w:hAnsi="Times New Roman" w:cs="Times New Roman"/>
          <w:color w:val="4472C4" w:themeColor="accent1"/>
          <w:sz w:val="24"/>
          <w:szCs w:val="24"/>
          <w14:textFill>
            <w14:solidFill>
              <w14:schemeClr w14:val="accent1"/>
            </w14:solidFill>
          </w14:textFill>
        </w:rPr>
        <w:t>Fig. S1</w:t>
      </w:r>
      <w:r>
        <w:rPr>
          <w:rFonts w:hint="eastAsia" w:ascii="Times New Roman" w:hAnsi="Times New Roman" w:cs="Times New Roman"/>
          <w:sz w:val="24"/>
          <w:szCs w:val="24"/>
        </w:rPr>
        <w:t xml:space="preserve">, the three kinds of MOF show different adsorption capacities for Hb, the absorption spectrum of Hb adsorbed supernatant showed that the adsorption method (Hb in solution was adsorbed after synthesis of MOFs) could load Hb more efficiently, the encapsulation method (Hb was added during the synthesis of MOFs) cannot completely adsorb Hb. </w:t>
      </w:r>
      <w:r>
        <w:rPr>
          <w:rFonts w:ascii="Times New Roman" w:hAnsi="Times New Roman" w:cs="Times New Roman"/>
          <w:sz w:val="24"/>
          <w:szCs w:val="24"/>
        </w:rPr>
        <w:t>M</w:t>
      </w:r>
      <w:r>
        <w:rPr>
          <w:rFonts w:hint="eastAsia" w:ascii="Times New Roman" w:hAnsi="Times New Roman" w:cs="Times New Roman"/>
          <w:sz w:val="24"/>
          <w:szCs w:val="24"/>
        </w:rPr>
        <w:t>oreover, the pink color of Ce/Eu-BDC after two methods could also indicate the successful loading of Hb</w:t>
      </w:r>
      <w:r>
        <w:rPr>
          <w:rFonts w:hint="eastAsia" w:ascii="Times New Roman" w:hAnsi="Times New Roman" w:cs="Times New Roman"/>
          <w:color w:val="4472C4" w:themeColor="accent1"/>
          <w:sz w:val="24"/>
          <w:szCs w:val="24"/>
          <w14:textFill>
            <w14:solidFill>
              <w14:schemeClr w14:val="accent1"/>
            </w14:solidFill>
          </w14:textFill>
        </w:rPr>
        <w:t xml:space="preserve"> </w:t>
      </w:r>
      <w:r>
        <w:rPr>
          <w:rFonts w:hint="eastAsia"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4472C4" w:themeColor="accent1"/>
          <w:sz w:val="24"/>
          <w:szCs w:val="24"/>
          <w14:textFill>
            <w14:solidFill>
              <w14:schemeClr w14:val="accent1"/>
            </w14:solidFill>
          </w14:textFill>
        </w:rPr>
        <w:t>Fig. S1D</w:t>
      </w:r>
      <w:r>
        <w:rPr>
          <w:rFonts w:hint="eastAsia"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sz w:val="24"/>
          <w:szCs w:val="24"/>
        </w:rPr>
        <w:t>. Similar results were obtained for LK adsorption by Ce/Eu-BDC (</w:t>
      </w:r>
      <w:r>
        <w:rPr>
          <w:rFonts w:hint="eastAsia" w:ascii="Times New Roman" w:hAnsi="Times New Roman" w:cs="Times New Roman"/>
          <w:color w:val="4472C4" w:themeColor="accent1"/>
          <w:sz w:val="24"/>
          <w:szCs w:val="24"/>
          <w14:textFill>
            <w14:solidFill>
              <w14:schemeClr w14:val="accent1"/>
            </w14:solidFill>
          </w14:textFill>
        </w:rPr>
        <w:t>Fig. S2</w:t>
      </w:r>
      <w:r>
        <w:rPr>
          <w:rFonts w:hint="eastAsia" w:ascii="Times New Roman" w:hAnsi="Times New Roman" w:cs="Times New Roman"/>
          <w:sz w:val="24"/>
          <w:szCs w:val="24"/>
        </w:rPr>
        <w:t>). Therefore, Ln-MOFs are very promising protein-loading materials, especially Ce/Eu-BDC. Appropriate modification of Ce/Eu-BDC can achieve targeted drug delivery for the treatment of diseases.</w:t>
      </w:r>
    </w:p>
    <w:p w14:paraId="5059C339">
      <w:pPr>
        <w:spacing w:line="480" w:lineRule="auto"/>
        <w:rPr>
          <w:rFonts w:ascii="Times New Roman" w:hAnsi="Times New Roman" w:cs="Times New Roman"/>
          <w:b/>
          <w:bCs/>
          <w:sz w:val="24"/>
          <w:szCs w:val="24"/>
          <w14:ligatures w14:val="none"/>
        </w:rPr>
      </w:pPr>
      <w:r>
        <w:rPr>
          <w:rFonts w:hint="eastAsia" w:ascii="Times New Roman" w:hAnsi="Times New Roman" w:cs="Times New Roman"/>
          <w:b/>
          <w:bCs/>
          <w:sz w:val="24"/>
          <w:szCs w:val="24"/>
          <w14:ligatures w14:val="none"/>
        </w:rPr>
        <w:t>Selection of tetracycline-class ligands</w:t>
      </w:r>
    </w:p>
    <w:p w14:paraId="1EA33AE0">
      <w:pPr>
        <w:spacing w:line="48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Under the excitation light of 270 nm, Ce/Eu-BDC shows the special red fluorescence emission of Eu</w:t>
      </w:r>
      <w:r>
        <w:rPr>
          <w:rFonts w:hint="eastAsia" w:ascii="Times New Roman" w:hAnsi="Times New Roman" w:cs="Times New Roman"/>
          <w:sz w:val="24"/>
          <w:szCs w:val="24"/>
          <w:vertAlign w:val="superscript"/>
        </w:rPr>
        <w:t>3+</w:t>
      </w:r>
      <w:r>
        <w:rPr>
          <w:rFonts w:hint="eastAsia" w:ascii="Times New Roman" w:hAnsi="Times New Roman" w:cs="Times New Roman"/>
          <w:sz w:val="24"/>
          <w:szCs w:val="24"/>
        </w:rPr>
        <w:t xml:space="preserve"> (614 nm) (</w:t>
      </w:r>
      <w:r>
        <w:rPr>
          <w:rFonts w:hint="eastAsia" w:ascii="Times New Roman" w:hAnsi="Times New Roman" w:cs="Times New Roman"/>
          <w:color w:val="4472C4" w:themeColor="accent1"/>
          <w:sz w:val="24"/>
          <w:szCs w:val="24"/>
          <w14:textFill>
            <w14:solidFill>
              <w14:schemeClr w14:val="accent1"/>
            </w14:solidFill>
          </w14:textFill>
        </w:rPr>
        <w:t>Fig. S3</w:t>
      </w:r>
      <w:r>
        <w:rPr>
          <w:rFonts w:hint="eastAsia" w:ascii="Times New Roman" w:hAnsi="Times New Roman" w:cs="Times New Roman"/>
          <w:sz w:val="24"/>
          <w:szCs w:val="24"/>
        </w:rPr>
        <w:t>). However, this feature limits the application research of Ce/Eu-BDC. Therefore, we want to find functional ligands that can extend the excitation wavelength of Ce/Eu-BDC to the visible light region (400-750 nm). Tetracycline is a kind of broad-spectrum antibiotic with a tetracyclic skeleton. Its core structure is a hydrogenated and tetraphenyl mother nucleus (containing four rings), and it has multiple substituents (such as hydroxyl, methyl, amino, etc.) (</w:t>
      </w:r>
      <w:r>
        <w:rPr>
          <w:rFonts w:hint="eastAsia" w:ascii="Times New Roman" w:hAnsi="Times New Roman" w:cs="Times New Roman"/>
          <w:color w:val="4472C4" w:themeColor="accent1"/>
          <w:sz w:val="24"/>
          <w:szCs w:val="24"/>
          <w14:textFill>
            <w14:solidFill>
              <w14:schemeClr w14:val="accent1"/>
            </w14:solidFill>
          </w14:textFill>
        </w:rPr>
        <w:t>Fig. S4</w:t>
      </w:r>
      <w:r>
        <w:rPr>
          <w:rFonts w:hint="eastAsia" w:ascii="Times New Roman" w:hAnsi="Times New Roman" w:cs="Times New Roman"/>
          <w:sz w:val="24"/>
          <w:szCs w:val="24"/>
        </w:rPr>
        <w:t>). In addition, tetracycline antibiotics, due to having a large number of hydroxyl and carbonyl groups in their structure, are prone to coordination with metal ions, and are ideal ligands for sensitizing the luminescence of Eu</w:t>
      </w:r>
      <w:r>
        <w:rPr>
          <w:rFonts w:hint="eastAsia" w:ascii="Times New Roman" w:hAnsi="Times New Roman" w:cs="Times New Roman"/>
          <w:sz w:val="24"/>
          <w:szCs w:val="24"/>
          <w:vertAlign w:val="superscript"/>
        </w:rPr>
        <w:t>3+</w:t>
      </w:r>
      <w:r>
        <w:rPr>
          <w:rFonts w:hint="eastAsia" w:ascii="Times New Roman" w:hAnsi="Times New Roman" w:cs="Times New Roman"/>
          <w:sz w:val="24"/>
          <w:szCs w:val="24"/>
        </w:rPr>
        <w:t>. Through the preliminary experiments, it can be found that the maximum excitation wavelength of Ce/Eu-BDC-DC, Ce/Eu-BDC-OTC, Ce/Eu-BDC-TC, Ce/Eu-BDC-CTC is extended to more than 450 nm (</w:t>
      </w:r>
      <w:r>
        <w:rPr>
          <w:rFonts w:hint="eastAsia" w:ascii="Times New Roman" w:hAnsi="Times New Roman" w:cs="Times New Roman"/>
          <w:color w:val="4472C4" w:themeColor="accent1"/>
          <w:sz w:val="24"/>
          <w:szCs w:val="24"/>
          <w14:textFill>
            <w14:solidFill>
              <w14:schemeClr w14:val="accent1"/>
            </w14:solidFill>
          </w14:textFill>
        </w:rPr>
        <w:t>Fig. S5</w:t>
      </w:r>
      <w:r>
        <w:rPr>
          <w:rFonts w:hint="eastAsia" w:ascii="Times New Roman" w:hAnsi="Times New Roman" w:cs="Times New Roman"/>
          <w:sz w:val="24"/>
          <w:szCs w:val="24"/>
        </w:rPr>
        <w:t xml:space="preserve">). </w:t>
      </w:r>
    </w:p>
    <w:p w14:paraId="77165CB1">
      <w:pPr>
        <w:spacing w:line="480" w:lineRule="auto"/>
        <w:rPr>
          <w:rFonts w:ascii="Times New Roman" w:hAnsi="Times New Roman" w:cs="Times New Roman"/>
          <w:b/>
          <w:bCs/>
          <w:sz w:val="24"/>
          <w:szCs w:val="24"/>
          <w14:ligatures w14:val="none"/>
        </w:rPr>
      </w:pPr>
      <w:r>
        <w:rPr>
          <w:rFonts w:hint="eastAsia" w:ascii="Times New Roman" w:hAnsi="Times New Roman" w:cs="Times New Roman"/>
          <w:b/>
          <w:bCs/>
          <w:sz w:val="24"/>
          <w:szCs w:val="24"/>
          <w14:ligatures w14:val="none"/>
        </w:rPr>
        <w:t>Optimization of synthesis condition of Ln-MOF</w:t>
      </w:r>
    </w:p>
    <w:p w14:paraId="2FEEF0C8">
      <w:pPr>
        <w:spacing w:line="48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 xml:space="preserve">Several </w:t>
      </w:r>
      <w:r>
        <w:rPr>
          <w:rFonts w:ascii="Times New Roman" w:hAnsi="Times New Roman" w:cs="Times New Roman"/>
          <w:sz w:val="24"/>
          <w:szCs w:val="24"/>
        </w:rPr>
        <w:t>synthesis condition</w:t>
      </w:r>
      <w:r>
        <w:rPr>
          <w:rFonts w:hint="eastAsia" w:ascii="Times New Roman" w:hAnsi="Times New Roman" w:cs="Times New Roman"/>
          <w:sz w:val="24"/>
          <w:szCs w:val="24"/>
        </w:rPr>
        <w:t xml:space="preserve">s that influence the </w:t>
      </w:r>
      <w:r>
        <w:rPr>
          <w:rFonts w:ascii="Times New Roman" w:hAnsi="Times New Roman" w:cs="Times New Roman"/>
          <w:sz w:val="24"/>
          <w:szCs w:val="24"/>
        </w:rPr>
        <w:t>fluorescence</w:t>
      </w:r>
      <w:r>
        <w:rPr>
          <w:rFonts w:hint="eastAsia" w:ascii="Times New Roman" w:hAnsi="Times New Roman" w:cs="Times New Roman"/>
          <w:sz w:val="24"/>
          <w:szCs w:val="24"/>
        </w:rPr>
        <w:t xml:space="preserve"> and antioxidant activity of Ln-MOF</w:t>
      </w:r>
      <w:r>
        <w:rPr>
          <w:rFonts w:hint="eastAsia"/>
        </w:rPr>
        <w:t xml:space="preserve"> </w:t>
      </w:r>
      <w:r>
        <w:rPr>
          <w:rFonts w:hint="eastAsia" w:ascii="Times New Roman" w:hAnsi="Times New Roman" w:cs="Times New Roman"/>
          <w:sz w:val="24"/>
          <w:szCs w:val="24"/>
        </w:rPr>
        <w:t xml:space="preserve">were optimized, including </w:t>
      </w:r>
      <w:r>
        <w:rPr>
          <w:rFonts w:ascii="Times New Roman" w:hAnsi="Times New Roman" w:cs="Times New Roman"/>
          <w:sz w:val="24"/>
          <w:szCs w:val="24"/>
        </w:rPr>
        <w:t xml:space="preserve">the volume of </w:t>
      </w:r>
      <w:r>
        <w:rPr>
          <w:rFonts w:hint="eastAsia" w:ascii="Times New Roman" w:hAnsi="Times New Roman" w:cs="Times New Roman"/>
          <w:sz w:val="24"/>
          <w:szCs w:val="24"/>
        </w:rPr>
        <w:t>DC</w:t>
      </w:r>
      <w:r>
        <w:rPr>
          <w:rFonts w:ascii="Times New Roman" w:hAnsi="Times New Roman" w:cs="Times New Roman"/>
          <w:sz w:val="24"/>
          <w:szCs w:val="24"/>
        </w:rPr>
        <w:t xml:space="preserve"> </w:t>
      </w:r>
      <w:r>
        <w:rPr>
          <w:rFonts w:hint="eastAsia" w:ascii="Times New Roman" w:hAnsi="Times New Roman" w:cs="Times New Roman"/>
          <w:sz w:val="24"/>
          <w:szCs w:val="24"/>
        </w:rPr>
        <w:t>and</w:t>
      </w:r>
      <w:r>
        <w:rPr>
          <w:rFonts w:ascii="Times New Roman" w:hAnsi="Times New Roman" w:cs="Times New Roman"/>
          <w:sz w:val="24"/>
          <w:szCs w:val="24"/>
        </w:rPr>
        <w:t xml:space="preserve"> </w:t>
      </w:r>
      <w:r>
        <w:rPr>
          <w:rFonts w:hint="eastAsia" w:ascii="Times New Roman" w:hAnsi="Times New Roman" w:cs="Times New Roman"/>
          <w:sz w:val="24"/>
          <w:szCs w:val="24"/>
        </w:rPr>
        <w:t>Arg solution. The synthesis conditions were determined by using the fluorescence intensity at 614 nm and absorbance of DPPH as indicators.</w:t>
      </w:r>
      <w:r>
        <w:rPr>
          <w:rFonts w:ascii="Times New Roman" w:hAnsi="Times New Roman" w:cs="Times New Roman"/>
          <w:sz w:val="24"/>
          <w:szCs w:val="24"/>
        </w:rPr>
        <w:t xml:space="preserve"> As shown in </w:t>
      </w:r>
      <w:r>
        <w:rPr>
          <w:rFonts w:hint="eastAsia" w:ascii="Times New Roman" w:hAnsi="Times New Roman" w:cs="Times New Roman"/>
          <w:color w:val="4472C4" w:themeColor="accent1"/>
          <w:sz w:val="24"/>
          <w:szCs w:val="24"/>
          <w14:textFill>
            <w14:solidFill>
              <w14:schemeClr w14:val="accent1"/>
            </w14:solidFill>
          </w14:textFill>
        </w:rPr>
        <w:t>Fig.</w:t>
      </w:r>
      <w:r>
        <w:rPr>
          <w:rFonts w:ascii="Times New Roman" w:hAnsi="Times New Roman" w:cs="Times New Roman"/>
          <w:color w:val="4472C4" w:themeColor="accent1"/>
          <w:sz w:val="24"/>
          <w:szCs w:val="24"/>
          <w14:textFill>
            <w14:solidFill>
              <w14:schemeClr w14:val="accent1"/>
            </w14:solidFill>
          </w14:textFill>
        </w:rPr>
        <w:t xml:space="preserve"> S</w:t>
      </w:r>
      <w:r>
        <w:rPr>
          <w:rFonts w:hint="eastAsia" w:ascii="Times New Roman" w:hAnsi="Times New Roman" w:cs="Times New Roman"/>
          <w:color w:val="4472C4" w:themeColor="accent1"/>
          <w:sz w:val="24"/>
          <w:szCs w:val="24"/>
          <w14:textFill>
            <w14:solidFill>
              <w14:schemeClr w14:val="accent1"/>
            </w14:solidFill>
          </w14:textFill>
        </w:rPr>
        <w:t>9A</w:t>
      </w:r>
      <w:r>
        <w:rPr>
          <w:rFonts w:ascii="Times New Roman" w:hAnsi="Times New Roman" w:cs="Times New Roman"/>
          <w:sz w:val="24"/>
          <w:szCs w:val="24"/>
        </w:rPr>
        <w:t xml:space="preserve">, </w:t>
      </w:r>
      <w:r>
        <w:rPr>
          <w:rFonts w:hint="eastAsia" w:ascii="Times New Roman" w:hAnsi="Times New Roman" w:cs="Times New Roman"/>
          <w:sz w:val="24"/>
          <w:szCs w:val="24"/>
        </w:rPr>
        <w:t>the fluorescence reaches the maximum at 100</w:t>
      </w:r>
      <w:r>
        <w:rPr>
          <w:rFonts w:ascii="Times New Roman" w:hAnsi="Times New Roman" w:cs="Times New Roman"/>
          <w:sz w:val="24"/>
          <w:szCs w:val="24"/>
        </w:rPr>
        <w:t xml:space="preserve"> μL</w:t>
      </w:r>
      <w:r>
        <w:rPr>
          <w:rFonts w:hint="eastAsia" w:ascii="Times New Roman" w:hAnsi="Times New Roman" w:cs="Times New Roman"/>
          <w:sz w:val="24"/>
          <w:szCs w:val="24"/>
        </w:rPr>
        <w:t xml:space="preserve">, which is the optimal volume of DC solution. </w:t>
      </w:r>
      <w:r>
        <w:rPr>
          <w:rFonts w:ascii="Times New Roman" w:hAnsi="Times New Roman" w:cs="Times New Roman"/>
          <w:sz w:val="24"/>
          <w:szCs w:val="24"/>
        </w:rPr>
        <w:t>A</w:t>
      </w:r>
      <w:r>
        <w:rPr>
          <w:rFonts w:hint="eastAsia" w:ascii="Times New Roman" w:hAnsi="Times New Roman" w:cs="Times New Roman"/>
          <w:sz w:val="24"/>
          <w:szCs w:val="24"/>
        </w:rPr>
        <w:t>nd the antioxidant activity gradually increases as the dosage of DC increases (</w:t>
      </w:r>
      <w:r>
        <w:rPr>
          <w:rFonts w:hint="eastAsia" w:ascii="Times New Roman" w:hAnsi="Times New Roman" w:cs="Times New Roman"/>
          <w:color w:val="4472C4" w:themeColor="accent1"/>
          <w:sz w:val="24"/>
          <w:szCs w:val="24"/>
          <w14:textFill>
            <w14:solidFill>
              <w14:schemeClr w14:val="accent1"/>
            </w14:solidFill>
          </w14:textFill>
        </w:rPr>
        <w:t>Fig. S9C</w:t>
      </w:r>
      <w:r>
        <w:rPr>
          <w:rFonts w:hint="eastAsia" w:ascii="Times New Roman" w:hAnsi="Times New Roman" w:cs="Times New Roman"/>
          <w:sz w:val="24"/>
          <w:szCs w:val="24"/>
        </w:rPr>
        <w:t xml:space="preserve">). Thus, the optimal volume of DC is set at 100 </w:t>
      </w:r>
      <w:r>
        <w:rPr>
          <w:rFonts w:ascii="Times New Roman" w:hAnsi="Times New Roman" w:cs="Times New Roman"/>
          <w:sz w:val="24"/>
          <w:szCs w:val="24"/>
        </w:rPr>
        <w:t>μL.</w:t>
      </w:r>
      <w:r>
        <w:rPr>
          <w:rFonts w:hint="eastAsia" w:ascii="Times New Roman" w:hAnsi="Times New Roman" w:cs="Times New Roman"/>
          <w:sz w:val="24"/>
          <w:szCs w:val="24"/>
        </w:rPr>
        <w:t xml:space="preserve"> </w:t>
      </w:r>
      <w:r>
        <w:rPr>
          <w:rFonts w:ascii="Times New Roman" w:hAnsi="Times New Roman" w:cs="Times New Roman"/>
          <w:sz w:val="24"/>
          <w:szCs w:val="24"/>
        </w:rPr>
        <w:t>F</w:t>
      </w:r>
      <w:r>
        <w:rPr>
          <w:rFonts w:hint="eastAsia" w:ascii="Times New Roman" w:hAnsi="Times New Roman" w:cs="Times New Roman"/>
          <w:sz w:val="24"/>
          <w:szCs w:val="24"/>
        </w:rPr>
        <w:t xml:space="preserve">or the investigation of arginine dosage, seen in </w:t>
      </w:r>
      <w:r>
        <w:rPr>
          <w:rFonts w:hint="eastAsia" w:ascii="Times New Roman" w:hAnsi="Times New Roman" w:cs="Times New Roman"/>
          <w:color w:val="4472C4" w:themeColor="accent1"/>
          <w:sz w:val="24"/>
          <w:szCs w:val="24"/>
          <w14:textFill>
            <w14:solidFill>
              <w14:schemeClr w14:val="accent1"/>
            </w14:solidFill>
          </w14:textFill>
        </w:rPr>
        <w:t>Fig. S9B</w:t>
      </w:r>
      <w:r>
        <w:rPr>
          <w:rFonts w:hint="eastAsia" w:ascii="Times New Roman" w:hAnsi="Times New Roman" w:cs="Times New Roman"/>
          <w:sz w:val="24"/>
          <w:szCs w:val="24"/>
        </w:rPr>
        <w:t>, fluorescence</w:t>
      </w:r>
      <w:r>
        <w:rPr>
          <w:rFonts w:ascii="Times New Roman" w:hAnsi="Times New Roman" w:cs="Times New Roman"/>
          <w:sz w:val="24"/>
          <w:szCs w:val="24"/>
        </w:rPr>
        <w:t xml:space="preserve"> shows a</w:t>
      </w:r>
      <w:r>
        <w:rPr>
          <w:rFonts w:hint="eastAsia" w:ascii="Times New Roman" w:hAnsi="Times New Roman" w:cs="Times New Roman"/>
          <w:sz w:val="24"/>
          <w:szCs w:val="24"/>
        </w:rPr>
        <w:t>n</w:t>
      </w:r>
      <w:r>
        <w:rPr>
          <w:rFonts w:ascii="Times New Roman" w:hAnsi="Times New Roman" w:cs="Times New Roman"/>
          <w:sz w:val="24"/>
          <w:szCs w:val="24"/>
        </w:rPr>
        <w:t xml:space="preserve"> </w:t>
      </w:r>
      <w:r>
        <w:rPr>
          <w:rFonts w:hint="eastAsia" w:ascii="Times New Roman" w:hAnsi="Times New Roman" w:cs="Times New Roman"/>
          <w:sz w:val="24"/>
          <w:szCs w:val="24"/>
        </w:rPr>
        <w:t>in</w:t>
      </w:r>
      <w:r>
        <w:rPr>
          <w:rFonts w:ascii="Times New Roman" w:hAnsi="Times New Roman" w:cs="Times New Roman"/>
          <w:sz w:val="24"/>
          <w:szCs w:val="24"/>
        </w:rPr>
        <w:t>creasing trend between</w:t>
      </w:r>
      <w:r>
        <w:rPr>
          <w:rFonts w:hint="eastAsia" w:ascii="Times New Roman" w:hAnsi="Times New Roman" w:cs="Times New Roman"/>
          <w:sz w:val="24"/>
          <w:szCs w:val="24"/>
        </w:rPr>
        <w:t xml:space="preserve"> 50</w:t>
      </w:r>
      <w:r>
        <w:rPr>
          <w:rFonts w:ascii="Times New Roman" w:hAnsi="Times New Roman" w:cs="Times New Roman"/>
          <w:sz w:val="24"/>
          <w:szCs w:val="24"/>
        </w:rPr>
        <w:t>–</w:t>
      </w:r>
      <w:r>
        <w:rPr>
          <w:rFonts w:hint="eastAsia" w:ascii="Times New Roman" w:hAnsi="Times New Roman" w:cs="Times New Roman"/>
          <w:sz w:val="24"/>
          <w:szCs w:val="24"/>
        </w:rPr>
        <w:t xml:space="preserve">150 </w:t>
      </w:r>
      <w:r>
        <w:rPr>
          <w:rFonts w:ascii="Times New Roman" w:hAnsi="Times New Roman" w:cs="Times New Roman"/>
          <w:sz w:val="24"/>
          <w:szCs w:val="24"/>
        </w:rPr>
        <w:t>μL</w:t>
      </w:r>
      <w:r>
        <w:rPr>
          <w:rFonts w:hint="eastAsia" w:ascii="Times New Roman" w:hAnsi="Times New Roman" w:cs="Times New Roman"/>
          <w:sz w:val="24"/>
          <w:szCs w:val="24"/>
        </w:rPr>
        <w:t>. As the amount of arginine continue to increase, the fluorescence and antioxidant activity of MOF decrease (</w:t>
      </w:r>
      <w:r>
        <w:rPr>
          <w:rFonts w:hint="eastAsia" w:ascii="Times New Roman" w:hAnsi="Times New Roman" w:cs="Times New Roman"/>
          <w:color w:val="4472C4" w:themeColor="accent1"/>
          <w:sz w:val="24"/>
          <w:szCs w:val="24"/>
          <w14:textFill>
            <w14:solidFill>
              <w14:schemeClr w14:val="accent1"/>
            </w14:solidFill>
          </w14:textFill>
        </w:rPr>
        <w:t>Fig. S9B and D</w:t>
      </w:r>
      <w:r>
        <w:rPr>
          <w:rFonts w:hint="eastAsia" w:ascii="Times New Roman" w:hAnsi="Times New Roman" w:cs="Times New Roman"/>
          <w:sz w:val="24"/>
          <w:szCs w:val="24"/>
        </w:rPr>
        <w:t xml:space="preserve">), which may be due to the basicity of arginine, </w:t>
      </w:r>
      <w:r>
        <w:rPr>
          <w:rFonts w:ascii="Times New Roman" w:hAnsi="Times New Roman" w:cs="Times New Roman"/>
          <w:sz w:val="24"/>
          <w:szCs w:val="24"/>
        </w:rPr>
        <w:t xml:space="preserve">thus the optimal </w:t>
      </w:r>
      <w:r>
        <w:rPr>
          <w:rFonts w:hint="eastAsia" w:ascii="Times New Roman" w:hAnsi="Times New Roman" w:cs="Times New Roman"/>
          <w:sz w:val="24"/>
          <w:szCs w:val="24"/>
        </w:rPr>
        <w:t>volume</w:t>
      </w:r>
      <w:r>
        <w:rPr>
          <w:rFonts w:ascii="Times New Roman" w:hAnsi="Times New Roman" w:cs="Times New Roman"/>
          <w:sz w:val="24"/>
          <w:szCs w:val="24"/>
        </w:rPr>
        <w:t xml:space="preserve"> of </w:t>
      </w:r>
      <w:r>
        <w:rPr>
          <w:rFonts w:hint="eastAsia" w:ascii="Times New Roman" w:hAnsi="Times New Roman" w:cs="Times New Roman"/>
          <w:sz w:val="24"/>
          <w:szCs w:val="24"/>
        </w:rPr>
        <w:t>arginine</w:t>
      </w:r>
      <w:r>
        <w:rPr>
          <w:rFonts w:ascii="Times New Roman" w:hAnsi="Times New Roman" w:cs="Times New Roman"/>
          <w:sz w:val="24"/>
          <w:szCs w:val="24"/>
        </w:rPr>
        <w:t xml:space="preserve"> is set at </w:t>
      </w:r>
      <w:r>
        <w:rPr>
          <w:rFonts w:hint="eastAsia" w:ascii="Times New Roman" w:hAnsi="Times New Roman" w:cs="Times New Roman"/>
          <w:sz w:val="24"/>
          <w:szCs w:val="24"/>
        </w:rPr>
        <w:t xml:space="preserve">150 </w:t>
      </w:r>
      <w:r>
        <w:rPr>
          <w:rFonts w:ascii="Times New Roman" w:hAnsi="Times New Roman" w:cs="Times New Roman"/>
          <w:sz w:val="24"/>
          <w:szCs w:val="24"/>
        </w:rPr>
        <w:t>μL.</w:t>
      </w:r>
    </w:p>
    <w:p w14:paraId="7C97F382">
      <w:pPr>
        <w:widowControl/>
        <w:jc w:val="left"/>
        <w:rPr>
          <w:rFonts w:hint="eastAsia"/>
        </w:rPr>
      </w:pPr>
      <w:r>
        <w:rPr>
          <w:rFonts w:hint="eastAsia"/>
        </w:rPr>
        <w:br w:type="page"/>
      </w:r>
    </w:p>
    <w:p w14:paraId="6C65ADAC">
      <w:pPr>
        <w:spacing w:line="480" w:lineRule="auto"/>
        <w:jc w:val="center"/>
        <w:rPr>
          <w:rFonts w:hint="eastAsia"/>
        </w:rPr>
      </w:pPr>
      <w:r>
        <w:rPr>
          <w:rFonts w:hint="eastAsia"/>
        </w:rPr>
        <w:drawing>
          <wp:inline distT="0" distB="0" distL="114300" distR="114300">
            <wp:extent cx="5273675" cy="2290445"/>
            <wp:effectExtent l="0" t="0" r="9525" b="825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5"/>
                    <a:stretch>
                      <a:fillRect/>
                    </a:stretch>
                  </pic:blipFill>
                  <pic:spPr>
                    <a:xfrm>
                      <a:off x="0" y="0"/>
                      <a:ext cx="5273675" cy="2290445"/>
                    </a:xfrm>
                    <a:prstGeom prst="rect">
                      <a:avLst/>
                    </a:prstGeom>
                  </pic:spPr>
                </pic:pic>
              </a:graphicData>
            </a:graphic>
          </wp:inline>
        </w:drawing>
      </w:r>
    </w:p>
    <w:p w14:paraId="13C48B9C">
      <w:pPr>
        <w:spacing w:line="480" w:lineRule="auto"/>
        <w:rPr>
          <w:rFonts w:ascii="Times New Roman" w:hAnsi="Times New Roman" w:cs="Times New Roman"/>
        </w:rPr>
      </w:pPr>
      <w:r>
        <w:rPr>
          <w:rFonts w:ascii="Times New Roman" w:hAnsi="Times New Roman" w:cs="Times New Roman"/>
          <w:b/>
          <w:bCs/>
        </w:rPr>
        <w:t>Fig. S1</w:t>
      </w:r>
      <w:r>
        <w:rPr>
          <w:rFonts w:hint="eastAsia" w:ascii="Times New Roman" w:hAnsi="Times New Roman" w:cs="Times New Roman"/>
        </w:rPr>
        <w:t xml:space="preserve">. </w:t>
      </w:r>
      <w:r>
        <w:rPr>
          <w:rFonts w:hint="eastAsia" w:ascii="Times New Roman" w:hAnsi="Times New Roman" w:cs="Times New Roman"/>
          <w:b/>
          <w:bCs/>
        </w:rPr>
        <w:t xml:space="preserve">The adsorption capacity of Eu-MOF to </w:t>
      </w:r>
      <w:bookmarkStart w:id="27" w:name="_Hlk213839389"/>
      <w:r>
        <w:rPr>
          <w:rFonts w:hint="eastAsia" w:ascii="Times New Roman" w:hAnsi="Times New Roman" w:cs="Times New Roman"/>
          <w:b/>
          <w:bCs/>
        </w:rPr>
        <w:t>hemoglobin (</w:t>
      </w:r>
      <w:bookmarkStart w:id="28" w:name="_Hlk213839359"/>
      <w:r>
        <w:rPr>
          <w:rFonts w:hint="eastAsia" w:ascii="Times New Roman" w:hAnsi="Times New Roman" w:cs="Times New Roman"/>
          <w:b/>
          <w:bCs/>
        </w:rPr>
        <w:t>Hb</w:t>
      </w:r>
      <w:bookmarkEnd w:id="28"/>
      <w:r>
        <w:rPr>
          <w:rFonts w:hint="eastAsia" w:ascii="Times New Roman" w:hAnsi="Times New Roman" w:cs="Times New Roman"/>
          <w:b/>
          <w:bCs/>
        </w:rPr>
        <w:t>)</w:t>
      </w:r>
      <w:bookmarkEnd w:id="27"/>
      <w:r>
        <w:rPr>
          <w:rFonts w:hint="eastAsia" w:ascii="Times New Roman" w:hAnsi="Times New Roman" w:cs="Times New Roman"/>
          <w:b/>
          <w:bCs/>
        </w:rPr>
        <w:t>.</w:t>
      </w:r>
      <w:r>
        <w:rPr>
          <w:rFonts w:hint="eastAsia" w:ascii="Times New Roman" w:hAnsi="Times New Roman" w:cs="Times New Roman"/>
        </w:rPr>
        <w:t xml:space="preserve"> (A) Absorption spectra of Hb adsorbed by Ce/Eu-BDC. (B) Absorption spectra of Hb adsorbed by Ce/Eu-BTC. (C) Absorption spectra of Hb adsorbed by Ce/Eu-BTEC. (D) The images of free Hb and the Hb solution adsorbed by MOF through adsorption method and encapsulation method, respectively.</w:t>
      </w:r>
    </w:p>
    <w:p w14:paraId="762C9757">
      <w:pPr>
        <w:spacing w:line="480" w:lineRule="auto"/>
        <w:rPr>
          <w:rFonts w:ascii="Times New Roman" w:hAnsi="Times New Roman" w:cs="Times New Roman"/>
        </w:rPr>
      </w:pPr>
    </w:p>
    <w:p w14:paraId="27B6E33C">
      <w:pPr>
        <w:spacing w:line="480" w:lineRule="auto"/>
        <w:jc w:val="center"/>
        <w:rPr>
          <w:rFonts w:hint="eastAsia"/>
        </w:rPr>
      </w:pPr>
      <w:r>
        <w:rPr>
          <w:rFonts w:hint="eastAsia"/>
        </w:rPr>
        <w:drawing>
          <wp:inline distT="0" distB="0" distL="114300" distR="114300">
            <wp:extent cx="5264150" cy="2559685"/>
            <wp:effectExtent l="0" t="0" r="6350" b="5715"/>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6"/>
                    <a:stretch>
                      <a:fillRect/>
                    </a:stretch>
                  </pic:blipFill>
                  <pic:spPr>
                    <a:xfrm>
                      <a:off x="0" y="0"/>
                      <a:ext cx="5264150" cy="2559685"/>
                    </a:xfrm>
                    <a:prstGeom prst="rect">
                      <a:avLst/>
                    </a:prstGeom>
                  </pic:spPr>
                </pic:pic>
              </a:graphicData>
            </a:graphic>
          </wp:inline>
        </w:drawing>
      </w:r>
    </w:p>
    <w:p w14:paraId="2E384DBD">
      <w:pPr>
        <w:spacing w:line="480" w:lineRule="auto"/>
        <w:rPr>
          <w:rFonts w:ascii="Times New Roman" w:hAnsi="Times New Roman" w:cs="Times New Roman"/>
        </w:rPr>
      </w:pPr>
      <w:bookmarkStart w:id="29" w:name="OLE_LINK9"/>
      <w:r>
        <w:rPr>
          <w:rFonts w:ascii="Times New Roman" w:hAnsi="Times New Roman" w:cs="Times New Roman"/>
          <w:b/>
          <w:bCs/>
        </w:rPr>
        <w:t>Fig. S</w:t>
      </w:r>
      <w:r>
        <w:rPr>
          <w:rFonts w:hint="eastAsia" w:ascii="Times New Roman" w:hAnsi="Times New Roman" w:cs="Times New Roman"/>
          <w:b/>
          <w:bCs/>
        </w:rPr>
        <w:t>2</w:t>
      </w:r>
      <w:r>
        <w:rPr>
          <w:rFonts w:hint="eastAsia" w:ascii="Times New Roman" w:hAnsi="Times New Roman" w:cs="Times New Roman"/>
        </w:rPr>
        <w:t>.</w:t>
      </w:r>
      <w:bookmarkStart w:id="30" w:name="_Hlk213839326"/>
      <w:r>
        <w:rPr>
          <w:rFonts w:hint="eastAsia" w:ascii="Times New Roman" w:hAnsi="Times New Roman" w:cs="Times New Roman"/>
        </w:rPr>
        <w:t xml:space="preserve"> </w:t>
      </w:r>
      <w:r>
        <w:rPr>
          <w:rFonts w:hint="eastAsia" w:ascii="Times New Roman" w:hAnsi="Times New Roman" w:cs="Times New Roman"/>
          <w:b/>
          <w:bCs/>
        </w:rPr>
        <w:t xml:space="preserve">The adsorption capacity of Eu-MOF to </w:t>
      </w:r>
      <w:bookmarkStart w:id="31" w:name="_Hlk213839402"/>
      <w:r>
        <w:rPr>
          <w:rFonts w:hint="eastAsia" w:ascii="Times New Roman" w:hAnsi="Times New Roman" w:cs="Times New Roman"/>
          <w:b/>
          <w:bCs/>
        </w:rPr>
        <w:t>lumbrokinase (LK)</w:t>
      </w:r>
      <w:bookmarkEnd w:id="31"/>
      <w:r>
        <w:rPr>
          <w:rFonts w:hint="eastAsia" w:ascii="Times New Roman" w:hAnsi="Times New Roman" w:cs="Times New Roman"/>
          <w:b/>
          <w:bCs/>
        </w:rPr>
        <w:t>.</w:t>
      </w:r>
      <w:bookmarkEnd w:id="30"/>
      <w:r>
        <w:rPr>
          <w:rFonts w:hint="eastAsia" w:ascii="Times New Roman" w:hAnsi="Times New Roman" w:cs="Times New Roman"/>
        </w:rPr>
        <w:t xml:space="preserve"> (A) Absorption spectra of LK adsorbed by Ce/Eu-BDC. (B) Absorption spectra of LK adsorbed by Ce/Eu-BTC. (C) Absorption spectra of LK adsorbed by Ce/Eu-BTEC. (D) The images of free LK and the LK solution adsorbed by MOF through adsorption method and encapsulation method, respectively.</w:t>
      </w:r>
      <w:bookmarkEnd w:id="29"/>
    </w:p>
    <w:p w14:paraId="410B1670">
      <w:pPr>
        <w:spacing w:line="480" w:lineRule="auto"/>
        <w:jc w:val="center"/>
        <w:rPr>
          <w:rFonts w:hint="eastAsia"/>
        </w:rPr>
      </w:pPr>
      <w:r>
        <w:drawing>
          <wp:inline distT="0" distB="0" distL="0" distR="0">
            <wp:extent cx="4893945" cy="2907665"/>
            <wp:effectExtent l="0" t="0" r="0" b="0"/>
            <wp:docPr id="13081872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87238" name="图片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899564" cy="2911070"/>
                    </a:xfrm>
                    <a:prstGeom prst="rect">
                      <a:avLst/>
                    </a:prstGeom>
                    <a:noFill/>
                    <a:ln>
                      <a:noFill/>
                    </a:ln>
                  </pic:spPr>
                </pic:pic>
              </a:graphicData>
            </a:graphic>
          </wp:inline>
        </w:drawing>
      </w:r>
    </w:p>
    <w:p w14:paraId="6168AB2A">
      <w:pPr>
        <w:spacing w:line="480" w:lineRule="auto"/>
        <w:rPr>
          <w:rFonts w:ascii="Times New Roman" w:hAnsi="Times New Roman" w:cs="Times New Roman"/>
          <w:b/>
          <w:bCs/>
        </w:rPr>
      </w:pPr>
      <w:r>
        <w:rPr>
          <w:rFonts w:hint="eastAsia" w:ascii="Times New Roman" w:hAnsi="Times New Roman" w:cs="Times New Roman"/>
          <w:b/>
          <w:bCs/>
        </w:rPr>
        <w:t>Fig. S3. The fluorescence excitation and emission spectra of Ce/Eu-BDC (</w:t>
      </w:r>
      <w:r>
        <w:rPr>
          <w:rFonts w:ascii="Times New Roman" w:hAnsi="Times New Roman" w:eastAsia="等线" w:cs="Times New Roman"/>
          <w:b/>
          <w:bCs/>
        </w:rPr>
        <w:t>λ</w:t>
      </w:r>
      <w:r>
        <w:rPr>
          <w:rFonts w:hint="eastAsia" w:ascii="Times New Roman" w:hAnsi="Times New Roman" w:cs="Times New Roman"/>
          <w:b/>
          <w:bCs/>
          <w:vertAlign w:val="subscript"/>
        </w:rPr>
        <w:t>ex</w:t>
      </w:r>
      <w:r>
        <w:rPr>
          <w:rFonts w:hint="eastAsia" w:ascii="Times New Roman" w:hAnsi="Times New Roman" w:cs="Times New Roman"/>
          <w:b/>
          <w:bCs/>
        </w:rPr>
        <w:t xml:space="preserve">=270 nm, </w:t>
      </w:r>
      <w:r>
        <w:rPr>
          <w:rFonts w:ascii="Times New Roman" w:hAnsi="Times New Roman" w:eastAsia="等线" w:cs="Times New Roman"/>
          <w:b/>
          <w:bCs/>
        </w:rPr>
        <w:t>λ</w:t>
      </w:r>
      <w:r>
        <w:rPr>
          <w:rFonts w:hint="eastAsia" w:ascii="Times New Roman" w:hAnsi="Times New Roman" w:eastAsia="等线" w:cs="Times New Roman"/>
          <w:b/>
          <w:bCs/>
          <w:vertAlign w:val="subscript"/>
        </w:rPr>
        <w:t>e</w:t>
      </w:r>
      <w:r>
        <w:rPr>
          <w:rFonts w:hint="eastAsia" w:ascii="Times New Roman" w:hAnsi="Times New Roman" w:cs="Times New Roman"/>
          <w:b/>
          <w:bCs/>
          <w:vertAlign w:val="subscript"/>
        </w:rPr>
        <w:t>m</w:t>
      </w:r>
      <w:r>
        <w:rPr>
          <w:rFonts w:hint="eastAsia" w:ascii="Times New Roman" w:hAnsi="Times New Roman" w:cs="Times New Roman"/>
          <w:b/>
          <w:bCs/>
        </w:rPr>
        <w:t>=614 nm).</w:t>
      </w:r>
    </w:p>
    <w:p w14:paraId="077B5A5B">
      <w:pPr>
        <w:spacing w:line="480" w:lineRule="auto"/>
        <w:rPr>
          <w:rFonts w:hint="eastAsia"/>
        </w:rPr>
      </w:pPr>
    </w:p>
    <w:p w14:paraId="2245FE59">
      <w:pPr>
        <w:spacing w:line="480" w:lineRule="auto"/>
        <w:jc w:val="center"/>
        <w:rPr>
          <w:rFonts w:hint="eastAsia"/>
        </w:rPr>
      </w:pPr>
      <w:r>
        <w:drawing>
          <wp:inline distT="0" distB="0" distL="0" distR="0">
            <wp:extent cx="4552950" cy="2727325"/>
            <wp:effectExtent l="0" t="0" r="0" b="0"/>
            <wp:docPr id="19510159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015944"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l="15545" t="9834" r="24077" b="25852"/>
                    <a:stretch>
                      <a:fillRect/>
                    </a:stretch>
                  </pic:blipFill>
                  <pic:spPr>
                    <a:xfrm>
                      <a:off x="0" y="0"/>
                      <a:ext cx="4567289" cy="2735887"/>
                    </a:xfrm>
                    <a:prstGeom prst="rect">
                      <a:avLst/>
                    </a:prstGeom>
                    <a:noFill/>
                    <a:ln>
                      <a:noFill/>
                    </a:ln>
                  </pic:spPr>
                </pic:pic>
              </a:graphicData>
            </a:graphic>
          </wp:inline>
        </w:drawing>
      </w:r>
    </w:p>
    <w:p w14:paraId="723B5307">
      <w:pPr>
        <w:spacing w:line="480" w:lineRule="auto"/>
        <w:rPr>
          <w:rFonts w:ascii="Times New Roman" w:hAnsi="Times New Roman" w:cs="Times New Roman"/>
        </w:rPr>
      </w:pPr>
      <w:r>
        <w:rPr>
          <w:rFonts w:ascii="Times New Roman" w:hAnsi="Times New Roman" w:cs="Times New Roman"/>
          <w:b/>
          <w:bCs/>
        </w:rPr>
        <w:t>Fig. S</w:t>
      </w:r>
      <w:r>
        <w:rPr>
          <w:rFonts w:hint="eastAsia" w:ascii="Times New Roman" w:hAnsi="Times New Roman" w:cs="Times New Roman"/>
          <w:b/>
          <w:bCs/>
        </w:rPr>
        <w:t>4</w:t>
      </w:r>
      <w:r>
        <w:rPr>
          <w:rFonts w:hint="eastAsia" w:ascii="Times New Roman" w:hAnsi="Times New Roman" w:cs="Times New Roman"/>
        </w:rPr>
        <w:t xml:space="preserve">. </w:t>
      </w:r>
      <w:r>
        <w:rPr>
          <w:rFonts w:hint="eastAsia" w:ascii="Times New Roman" w:hAnsi="Times New Roman" w:cs="Times New Roman"/>
          <w:b/>
          <w:bCs/>
        </w:rPr>
        <w:t xml:space="preserve">Chemical structural formula of </w:t>
      </w:r>
      <w:bookmarkStart w:id="32" w:name="_Hlk213863145"/>
      <w:r>
        <w:rPr>
          <w:rFonts w:hint="eastAsia" w:ascii="Times New Roman" w:hAnsi="Times New Roman" w:cs="Times New Roman"/>
          <w:b/>
          <w:bCs/>
        </w:rPr>
        <w:t>doxycycline</w:t>
      </w:r>
      <w:bookmarkEnd w:id="32"/>
      <w:r>
        <w:rPr>
          <w:rFonts w:hint="eastAsia" w:ascii="Times New Roman" w:hAnsi="Times New Roman" w:cs="Times New Roman"/>
          <w:b/>
          <w:bCs/>
        </w:rPr>
        <w:t>, oxytetracycline, tetracycline, and chlortetracycline.</w:t>
      </w:r>
    </w:p>
    <w:p w14:paraId="68ED244F">
      <w:pPr>
        <w:spacing w:line="480" w:lineRule="auto"/>
        <w:jc w:val="center"/>
        <w:rPr>
          <w:rFonts w:ascii="Times New Roman" w:hAnsi="Times New Roman" w:cs="Times New Roman"/>
        </w:rPr>
      </w:pPr>
    </w:p>
    <w:p w14:paraId="6C96D2C6">
      <w:pPr>
        <w:spacing w:line="480" w:lineRule="auto"/>
        <w:jc w:val="center"/>
        <w:rPr>
          <w:rFonts w:ascii="Times New Roman" w:hAnsi="Times New Roman" w:cs="Times New Roman"/>
        </w:rPr>
      </w:pPr>
      <w:r>
        <w:drawing>
          <wp:inline distT="0" distB="0" distL="0" distR="0">
            <wp:extent cx="4863465" cy="2714625"/>
            <wp:effectExtent l="0" t="0" r="0" b="0"/>
            <wp:docPr id="3348741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74128" name="图片 5"/>
                    <pic:cNvPicPr>
                      <a:picLocks noChangeAspect="1" noChangeArrowheads="1"/>
                    </pic:cNvPicPr>
                  </pic:nvPicPr>
                  <pic:blipFill>
                    <a:blip r:embed="rId9" cstate="print">
                      <a:extLst>
                        <a:ext uri="{28A0092B-C50C-407E-A947-70E740481C1C}">
                          <a14:useLocalDpi xmlns:a14="http://schemas.microsoft.com/office/drawing/2010/main" val="0"/>
                        </a:ext>
                      </a:extLst>
                    </a:blip>
                    <a:srcRect b="27090"/>
                    <a:stretch>
                      <a:fillRect/>
                    </a:stretch>
                  </pic:blipFill>
                  <pic:spPr>
                    <a:xfrm>
                      <a:off x="0" y="0"/>
                      <a:ext cx="4870489" cy="2718643"/>
                    </a:xfrm>
                    <a:prstGeom prst="rect">
                      <a:avLst/>
                    </a:prstGeom>
                    <a:noFill/>
                    <a:ln>
                      <a:noFill/>
                    </a:ln>
                  </pic:spPr>
                </pic:pic>
              </a:graphicData>
            </a:graphic>
          </wp:inline>
        </w:drawing>
      </w:r>
    </w:p>
    <w:p w14:paraId="7120DB3B">
      <w:pPr>
        <w:spacing w:line="480" w:lineRule="auto"/>
        <w:rPr>
          <w:rFonts w:ascii="Times New Roman" w:hAnsi="Times New Roman" w:cs="Times New Roman"/>
          <w:b/>
          <w:bCs/>
        </w:rPr>
      </w:pPr>
      <w:bookmarkStart w:id="33" w:name="_Hlk199158022"/>
      <w:r>
        <w:rPr>
          <w:rFonts w:ascii="Times New Roman" w:hAnsi="Times New Roman" w:cs="Times New Roman"/>
          <w:b/>
          <w:bCs/>
        </w:rPr>
        <w:t>Fig. S</w:t>
      </w:r>
      <w:r>
        <w:rPr>
          <w:rFonts w:hint="eastAsia" w:ascii="Times New Roman" w:hAnsi="Times New Roman" w:cs="Times New Roman"/>
          <w:b/>
          <w:bCs/>
        </w:rPr>
        <w:t>5</w:t>
      </w:r>
      <w:r>
        <w:rPr>
          <w:rFonts w:hint="eastAsia" w:ascii="Times New Roman" w:hAnsi="Times New Roman" w:cs="Times New Roman"/>
        </w:rPr>
        <w:t>.</w:t>
      </w:r>
      <w:r>
        <w:rPr>
          <w:rFonts w:hint="eastAsia" w:ascii="Times New Roman" w:hAnsi="Times New Roman" w:cs="Times New Roman"/>
          <w:b/>
          <w:bCs/>
        </w:rPr>
        <w:t xml:space="preserve"> The fluorescence excitation and emission spectra </w:t>
      </w:r>
      <w:bookmarkStart w:id="34" w:name="_Hlk198568241"/>
      <w:r>
        <w:rPr>
          <w:rFonts w:hint="eastAsia" w:ascii="Times New Roman" w:hAnsi="Times New Roman" w:cs="Times New Roman"/>
          <w:b/>
          <w:bCs/>
        </w:rPr>
        <w:t>of Ce/Eu-BDC-DC, Ce/Eu-BDC-OTC, Ce/Eu-BDC-TC, and Ce/Eu-BDC-CTC</w:t>
      </w:r>
      <w:bookmarkEnd w:id="34"/>
      <w:r>
        <w:rPr>
          <w:rFonts w:hint="eastAsia" w:ascii="Times New Roman" w:hAnsi="Times New Roman" w:cs="Times New Roman"/>
          <w:b/>
          <w:bCs/>
        </w:rPr>
        <w:t>.</w:t>
      </w:r>
      <w:bookmarkEnd w:id="33"/>
    </w:p>
    <w:p w14:paraId="14875674">
      <w:pPr>
        <w:spacing w:line="480" w:lineRule="auto"/>
        <w:rPr>
          <w:rFonts w:ascii="Times New Roman" w:hAnsi="Times New Roman" w:cs="Times New Roman"/>
          <w:b/>
          <w:bCs/>
        </w:rPr>
      </w:pPr>
    </w:p>
    <w:p w14:paraId="270C68E6">
      <w:pPr>
        <w:spacing w:line="480" w:lineRule="auto"/>
        <w:jc w:val="center"/>
        <w:rPr>
          <w:rFonts w:hint="eastAsia"/>
        </w:rPr>
      </w:pPr>
      <w:r>
        <w:drawing>
          <wp:inline distT="0" distB="0" distL="0" distR="0">
            <wp:extent cx="4138295" cy="2223135"/>
            <wp:effectExtent l="0" t="0" r="0" b="0"/>
            <wp:docPr id="9432224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22484"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162075" cy="2235876"/>
                    </a:xfrm>
                    <a:prstGeom prst="rect">
                      <a:avLst/>
                    </a:prstGeom>
                    <a:noFill/>
                    <a:ln>
                      <a:noFill/>
                    </a:ln>
                  </pic:spPr>
                </pic:pic>
              </a:graphicData>
            </a:graphic>
          </wp:inline>
        </w:drawing>
      </w:r>
    </w:p>
    <w:p w14:paraId="22210158">
      <w:pPr>
        <w:spacing w:line="480" w:lineRule="auto"/>
        <w:rPr>
          <w:rFonts w:hint="eastAsia"/>
        </w:rPr>
      </w:pPr>
      <w:r>
        <w:rPr>
          <w:rFonts w:hint="eastAsia" w:ascii="Times New Roman" w:hAnsi="Times New Roman" w:cs="Times New Roman"/>
          <w:b/>
          <w:bCs/>
        </w:rPr>
        <w:t xml:space="preserve">Fig. S6. </w:t>
      </w:r>
      <w:r>
        <w:rPr>
          <w:rFonts w:ascii="Times New Roman" w:hAnsi="Times New Roman" w:cs="Times New Roman"/>
        </w:rPr>
        <w:t>The fluorescence emission spectra of LN</w:t>
      </w:r>
      <w:r>
        <w:rPr>
          <w:rFonts w:hint="eastAsia" w:ascii="Times New Roman" w:hAnsi="Times New Roman" w:cs="Times New Roman"/>
        </w:rPr>
        <w:t>M</w:t>
      </w:r>
      <w:r>
        <w:rPr>
          <w:rFonts w:ascii="Times New Roman" w:hAnsi="Times New Roman" w:cs="Times New Roman"/>
        </w:rPr>
        <w:t xml:space="preserve"> NPs at different excitation wavelengths (405–460 nm).</w:t>
      </w:r>
    </w:p>
    <w:p w14:paraId="673D52E0">
      <w:pPr>
        <w:spacing w:line="480" w:lineRule="auto"/>
        <w:rPr>
          <w:rFonts w:ascii="Times New Roman" w:hAnsi="Times New Roman" w:cs="Times New Roman"/>
          <w:b/>
          <w:bCs/>
        </w:rPr>
      </w:pPr>
    </w:p>
    <w:p w14:paraId="36A14746">
      <w:pPr>
        <w:spacing w:line="480" w:lineRule="auto"/>
        <w:rPr>
          <w:rFonts w:hint="eastAsia"/>
        </w:rPr>
      </w:pPr>
    </w:p>
    <w:p w14:paraId="6438117C">
      <w:pPr>
        <w:spacing w:line="480" w:lineRule="auto"/>
        <w:jc w:val="center"/>
        <w:rPr>
          <w:rFonts w:ascii="Times New Roman" w:hAnsi="Times New Roman" w:cs="Times New Roman"/>
        </w:rPr>
      </w:pPr>
      <w:r>
        <w:drawing>
          <wp:inline distT="0" distB="0" distL="0" distR="0">
            <wp:extent cx="4899660" cy="2379980"/>
            <wp:effectExtent l="0" t="0" r="0" b="0"/>
            <wp:docPr id="12753112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1124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l="6578" t="16743" r="18964" b="18927"/>
                    <a:stretch>
                      <a:fillRect/>
                    </a:stretch>
                  </pic:blipFill>
                  <pic:spPr>
                    <a:xfrm>
                      <a:off x="0" y="0"/>
                      <a:ext cx="4913268" cy="2387203"/>
                    </a:xfrm>
                    <a:prstGeom prst="rect">
                      <a:avLst/>
                    </a:prstGeom>
                    <a:noFill/>
                    <a:ln>
                      <a:noFill/>
                    </a:ln>
                  </pic:spPr>
                </pic:pic>
              </a:graphicData>
            </a:graphic>
          </wp:inline>
        </w:drawing>
      </w:r>
    </w:p>
    <w:p w14:paraId="56039FB5">
      <w:pPr>
        <w:spacing w:line="480" w:lineRule="auto"/>
        <w:rPr>
          <w:rFonts w:ascii="Times New Roman" w:hAnsi="Times New Roman" w:cs="Times New Roman"/>
        </w:rPr>
      </w:pPr>
      <w:r>
        <w:rPr>
          <w:rFonts w:ascii="Times New Roman" w:hAnsi="Times New Roman" w:cs="Times New Roman"/>
          <w:b/>
          <w:bCs/>
        </w:rPr>
        <w:t>Fig. S</w:t>
      </w:r>
      <w:r>
        <w:rPr>
          <w:rFonts w:hint="eastAsia" w:ascii="Times New Roman" w:hAnsi="Times New Roman" w:cs="Times New Roman"/>
          <w:b/>
          <w:bCs/>
        </w:rPr>
        <w:t>7</w:t>
      </w:r>
      <w:r>
        <w:rPr>
          <w:rFonts w:hint="eastAsia" w:ascii="Times New Roman" w:hAnsi="Times New Roman" w:cs="Times New Roman"/>
        </w:rPr>
        <w:t xml:space="preserve">. </w:t>
      </w:r>
      <w:r>
        <w:rPr>
          <w:rFonts w:ascii="Times New Roman" w:hAnsi="Times New Roman" w:cs="Times New Roman"/>
          <w:b/>
          <w:bCs/>
        </w:rPr>
        <w:t xml:space="preserve">Theoretical calculation results of </w:t>
      </w:r>
      <w:r>
        <w:rPr>
          <w:rFonts w:hint="eastAsia" w:ascii="Times New Roman" w:hAnsi="Times New Roman" w:cs="Times New Roman"/>
          <w:b/>
          <w:bCs/>
        </w:rPr>
        <w:t>ligand</w:t>
      </w:r>
      <w:r>
        <w:rPr>
          <w:rFonts w:ascii="Times New Roman" w:hAnsi="Times New Roman" w:cs="Times New Roman"/>
          <w:b/>
          <w:bCs/>
        </w:rPr>
        <w:t xml:space="preserve"> molecules. </w:t>
      </w:r>
      <w:bookmarkStart w:id="35" w:name="_Hlk213840243"/>
      <w:r>
        <w:rPr>
          <w:rFonts w:ascii="Times New Roman" w:hAnsi="Times New Roman" w:cs="Times New Roman"/>
        </w:rPr>
        <w:t xml:space="preserve">The frontier molecular orbital (the highest occupied molecular orbital and lowest unoccupied molecular orbital, HOMO and LUMO) diagrams of </w:t>
      </w:r>
      <w:r>
        <w:rPr>
          <w:rFonts w:hint="eastAsia" w:ascii="Times New Roman" w:hAnsi="Times New Roman" w:cs="Times New Roman"/>
        </w:rPr>
        <w:t>doxycycline</w:t>
      </w:r>
      <w:r>
        <w:rPr>
          <w:rFonts w:ascii="Times New Roman" w:hAnsi="Times New Roman" w:cs="Times New Roman"/>
        </w:rPr>
        <w:t xml:space="preserve">, </w:t>
      </w:r>
      <w:r>
        <w:rPr>
          <w:rFonts w:hint="eastAsia" w:ascii="Times New Roman" w:hAnsi="Times New Roman" w:cs="Times New Roman"/>
        </w:rPr>
        <w:t>oxytetracycline, tetracycline,</w:t>
      </w:r>
      <w:r>
        <w:rPr>
          <w:rFonts w:ascii="Times New Roman" w:hAnsi="Times New Roman" w:cs="Times New Roman"/>
        </w:rPr>
        <w:t xml:space="preserve"> and </w:t>
      </w:r>
      <w:bookmarkEnd w:id="35"/>
      <w:r>
        <w:rPr>
          <w:rFonts w:ascii="Times New Roman" w:hAnsi="Times New Roman" w:cs="Times New Roman"/>
        </w:rPr>
        <w:t>chlortetracycline obtained by Multiwfn and VMD.</w:t>
      </w:r>
    </w:p>
    <w:p w14:paraId="6412BE8A">
      <w:pPr>
        <w:spacing w:line="480" w:lineRule="auto"/>
        <w:jc w:val="center"/>
        <w:rPr>
          <w:rFonts w:hint="eastAsia"/>
        </w:rPr>
      </w:pPr>
      <w:r>
        <w:drawing>
          <wp:inline distT="0" distB="0" distL="0" distR="0">
            <wp:extent cx="3841750" cy="2940050"/>
            <wp:effectExtent l="0" t="0" r="0" b="0"/>
            <wp:docPr id="20431661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66118"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852719" cy="2948216"/>
                    </a:xfrm>
                    <a:prstGeom prst="rect">
                      <a:avLst/>
                    </a:prstGeom>
                    <a:noFill/>
                    <a:ln>
                      <a:noFill/>
                    </a:ln>
                  </pic:spPr>
                </pic:pic>
              </a:graphicData>
            </a:graphic>
          </wp:inline>
        </w:drawing>
      </w:r>
    </w:p>
    <w:p w14:paraId="3E24A187">
      <w:pPr>
        <w:spacing w:line="480" w:lineRule="auto"/>
        <w:rPr>
          <w:rFonts w:hint="eastAsia"/>
        </w:rPr>
      </w:pPr>
      <w:r>
        <w:rPr>
          <w:rFonts w:ascii="Times New Roman" w:hAnsi="Times New Roman" w:cs="Times New Roman"/>
          <w:b/>
          <w:bCs/>
        </w:rPr>
        <w:t>Fig. S</w:t>
      </w:r>
      <w:r>
        <w:rPr>
          <w:rFonts w:hint="eastAsia" w:ascii="Times New Roman" w:hAnsi="Times New Roman" w:cs="Times New Roman"/>
          <w:b/>
          <w:bCs/>
        </w:rPr>
        <w:t>8</w:t>
      </w:r>
      <w:r>
        <w:rPr>
          <w:rFonts w:hint="eastAsia" w:ascii="Times New Roman" w:hAnsi="Times New Roman" w:cs="Times New Roman"/>
        </w:rPr>
        <w:t xml:space="preserve">. </w:t>
      </w:r>
      <w:bookmarkStart w:id="36" w:name="OLE_LINK15"/>
      <w:r>
        <w:rPr>
          <w:rFonts w:hint="eastAsia" w:ascii="Times New Roman" w:hAnsi="Times New Roman" w:cs="Times New Roman"/>
        </w:rPr>
        <w:t>Homo-Lumo</w:t>
      </w:r>
      <w:bookmarkEnd w:id="36"/>
      <w:r>
        <w:rPr>
          <w:rFonts w:hint="eastAsia" w:ascii="Times New Roman" w:hAnsi="Times New Roman" w:cs="Times New Roman"/>
        </w:rPr>
        <w:t xml:space="preserve"> gap of doxycycline, oxytetracycline, tetracycline, and chlortetracycline (green). The fluorescence intensity of MOFs with doxycycline, oxytetracycline, tetracycline, and chlortetracycline as the ligand (orange).</w:t>
      </w:r>
    </w:p>
    <w:p w14:paraId="1E559961">
      <w:pPr>
        <w:spacing w:line="480" w:lineRule="auto"/>
        <w:jc w:val="center"/>
        <w:rPr>
          <w:rFonts w:ascii="Times New Roman" w:hAnsi="Times New Roman" w:cs="Times New Roman"/>
          <w:b/>
          <w:bCs/>
        </w:rPr>
      </w:pPr>
      <w:r>
        <w:rPr>
          <w:rFonts w:hint="eastAsia" w:ascii="Times New Roman" w:hAnsi="Times New Roman" w:cs="Times New Roman"/>
          <w:b/>
          <w:bCs/>
        </w:rPr>
        <w:drawing>
          <wp:inline distT="0" distB="0" distL="114300" distR="114300">
            <wp:extent cx="5272405" cy="3643630"/>
            <wp:effectExtent l="0" t="0" r="10795" b="1270"/>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13"/>
                    <a:stretch>
                      <a:fillRect/>
                    </a:stretch>
                  </pic:blipFill>
                  <pic:spPr>
                    <a:xfrm>
                      <a:off x="0" y="0"/>
                      <a:ext cx="5272405" cy="3643630"/>
                    </a:xfrm>
                    <a:prstGeom prst="rect">
                      <a:avLst/>
                    </a:prstGeom>
                  </pic:spPr>
                </pic:pic>
              </a:graphicData>
            </a:graphic>
          </wp:inline>
        </w:drawing>
      </w:r>
    </w:p>
    <w:p w14:paraId="54E9CFD7">
      <w:pPr>
        <w:spacing w:line="480" w:lineRule="auto"/>
        <w:rPr>
          <w:rFonts w:ascii="Times New Roman" w:hAnsi="Times New Roman" w:cs="Times New Roman"/>
        </w:rPr>
      </w:pPr>
      <w:r>
        <w:rPr>
          <w:rFonts w:ascii="Times New Roman" w:hAnsi="Times New Roman" w:cs="Times New Roman"/>
          <w:b/>
          <w:bCs/>
        </w:rPr>
        <w:t>Fig. S</w:t>
      </w:r>
      <w:r>
        <w:rPr>
          <w:rFonts w:hint="eastAsia" w:ascii="Times New Roman" w:hAnsi="Times New Roman" w:cs="Times New Roman"/>
          <w:b/>
          <w:bCs/>
        </w:rPr>
        <w:t>9</w:t>
      </w:r>
      <w:r>
        <w:rPr>
          <w:rFonts w:hint="eastAsia" w:ascii="Times New Roman" w:hAnsi="Times New Roman" w:cs="Times New Roman"/>
        </w:rPr>
        <w:t xml:space="preserve">. </w:t>
      </w:r>
      <w:r>
        <w:rPr>
          <w:rFonts w:hint="eastAsia" w:ascii="Times New Roman" w:hAnsi="Times New Roman" w:cs="Times New Roman"/>
          <w:b/>
          <w:bCs/>
        </w:rPr>
        <w:t>The optimization of DC solution volume (A, C) and arginine solution volume (B, D).</w:t>
      </w:r>
      <w:r>
        <w:rPr>
          <w:rFonts w:hint="eastAsia" w:ascii="Times New Roman" w:hAnsi="Times New Roman" w:cs="Times New Roman"/>
        </w:rPr>
        <w:t xml:space="preserve"> Error bars represent the standard deviation of three independent measurements.</w:t>
      </w:r>
    </w:p>
    <w:p w14:paraId="28D74E63">
      <w:pPr>
        <w:spacing w:line="480" w:lineRule="auto"/>
        <w:rPr>
          <w:rFonts w:ascii="Times New Roman" w:hAnsi="Times New Roman" w:cs="Times New Roman"/>
        </w:rPr>
      </w:pPr>
    </w:p>
    <w:p w14:paraId="66E6F94A">
      <w:pPr>
        <w:spacing w:line="480" w:lineRule="auto"/>
        <w:jc w:val="center"/>
        <w:rPr>
          <w:rFonts w:ascii="Times New Roman" w:hAnsi="Times New Roman" w:cs="Times New Roman"/>
          <w:b/>
          <w:bCs/>
        </w:rPr>
      </w:pPr>
      <w:r>
        <w:drawing>
          <wp:inline distT="0" distB="0" distL="0" distR="0">
            <wp:extent cx="5274310" cy="2493645"/>
            <wp:effectExtent l="0" t="0" r="0" b="0"/>
            <wp:docPr id="18620972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097228" name="图片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2493645"/>
                    </a:xfrm>
                    <a:prstGeom prst="rect">
                      <a:avLst/>
                    </a:prstGeom>
                    <a:noFill/>
                    <a:ln>
                      <a:noFill/>
                    </a:ln>
                  </pic:spPr>
                </pic:pic>
              </a:graphicData>
            </a:graphic>
          </wp:inline>
        </w:drawing>
      </w:r>
    </w:p>
    <w:p w14:paraId="45F6771B">
      <w:pPr>
        <w:spacing w:line="480" w:lineRule="auto"/>
        <w:jc w:val="center"/>
        <w:rPr>
          <w:rFonts w:ascii="Times New Roman" w:hAnsi="Times New Roman" w:cs="Times New Roman"/>
          <w:b/>
          <w:bCs/>
        </w:rPr>
      </w:pPr>
      <w:r>
        <w:rPr>
          <w:rFonts w:hint="eastAsia" w:ascii="Times New Roman" w:hAnsi="Times New Roman" w:cs="Times New Roman"/>
          <w:b/>
          <w:bCs/>
        </w:rPr>
        <w:t xml:space="preserve">Fig. S10. Representative TEM images of </w:t>
      </w:r>
      <w:bookmarkStart w:id="37" w:name="_Hlk199938660"/>
      <w:r>
        <w:rPr>
          <w:rFonts w:hint="eastAsia" w:ascii="Times New Roman" w:hAnsi="Times New Roman" w:cs="Times New Roman"/>
          <w:b/>
          <w:bCs/>
        </w:rPr>
        <w:t>Ce/Eu-BDC</w:t>
      </w:r>
      <w:bookmarkEnd w:id="37"/>
      <w:r>
        <w:rPr>
          <w:rFonts w:hint="eastAsia" w:ascii="Times New Roman" w:hAnsi="Times New Roman" w:cs="Times New Roman"/>
          <w:b/>
          <w:bCs/>
        </w:rPr>
        <w:t xml:space="preserve"> (A) and Ln-MOF (B).</w:t>
      </w:r>
    </w:p>
    <w:p w14:paraId="1B441DE1">
      <w:pPr>
        <w:spacing w:line="480" w:lineRule="auto"/>
        <w:jc w:val="center"/>
        <w:rPr>
          <w:rFonts w:ascii="Times New Roman" w:hAnsi="Times New Roman" w:cs="Times New Roman"/>
          <w:b/>
          <w:bCs/>
        </w:rPr>
      </w:pPr>
    </w:p>
    <w:p w14:paraId="1F3AF6C4">
      <w:pPr>
        <w:spacing w:line="480" w:lineRule="auto"/>
        <w:jc w:val="center"/>
        <w:rPr>
          <w:rFonts w:ascii="Times New Roman" w:hAnsi="Times New Roman" w:cs="Times New Roman"/>
          <w:b/>
          <w:bCs/>
        </w:rPr>
      </w:pPr>
    </w:p>
    <w:p w14:paraId="34196F42">
      <w:pPr>
        <w:spacing w:line="480" w:lineRule="auto"/>
        <w:jc w:val="center"/>
        <w:rPr>
          <w:rFonts w:ascii="Times New Roman" w:hAnsi="Times New Roman" w:cs="Times New Roman"/>
          <w:b/>
          <w:bCs/>
        </w:rPr>
      </w:pPr>
      <w:r>
        <w:rPr>
          <w:rFonts w:hint="eastAsia" w:ascii="Times New Roman" w:hAnsi="Times New Roman" w:cs="Times New Roman"/>
          <w:b/>
          <w:bCs/>
        </w:rPr>
        <w:drawing>
          <wp:inline distT="0" distB="0" distL="114300" distR="114300">
            <wp:extent cx="4977130" cy="6290945"/>
            <wp:effectExtent l="0" t="0" r="1270" b="8255"/>
            <wp:docPr id="1"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
                    <pic:cNvPicPr>
                      <a:picLocks noChangeAspect="1"/>
                    </pic:cNvPicPr>
                  </pic:nvPicPr>
                  <pic:blipFill>
                    <a:blip r:embed="rId15"/>
                    <a:stretch>
                      <a:fillRect/>
                    </a:stretch>
                  </pic:blipFill>
                  <pic:spPr>
                    <a:xfrm>
                      <a:off x="0" y="0"/>
                      <a:ext cx="4977130" cy="6290945"/>
                    </a:xfrm>
                    <a:prstGeom prst="rect">
                      <a:avLst/>
                    </a:prstGeom>
                  </pic:spPr>
                </pic:pic>
              </a:graphicData>
            </a:graphic>
          </wp:inline>
        </w:drawing>
      </w:r>
    </w:p>
    <w:p w14:paraId="4ECDF757">
      <w:pPr>
        <w:spacing w:line="480" w:lineRule="auto"/>
        <w:rPr>
          <w:rFonts w:ascii="Times New Roman" w:hAnsi="Times New Roman" w:cs="Times New Roman"/>
        </w:rPr>
      </w:pPr>
      <w:bookmarkStart w:id="38" w:name="OLE_LINK12"/>
      <w:r>
        <w:rPr>
          <w:rFonts w:hint="eastAsia" w:ascii="Times New Roman" w:hAnsi="Times New Roman" w:cs="Times New Roman"/>
          <w:b/>
          <w:bCs/>
        </w:rPr>
        <w:t>Fig. S11.</w:t>
      </w:r>
      <w:bookmarkEnd w:id="38"/>
      <w:r>
        <w:rPr>
          <w:rFonts w:hint="eastAsia" w:ascii="Times New Roman" w:hAnsi="Times New Roman" w:cs="Times New Roman"/>
          <w:b/>
          <w:bCs/>
        </w:rPr>
        <w:t xml:space="preserve"> XPS results of </w:t>
      </w:r>
      <w:bookmarkStart w:id="39" w:name="_Hlk198650442"/>
      <w:r>
        <w:rPr>
          <w:rFonts w:hint="eastAsia" w:ascii="Times New Roman" w:hAnsi="Times New Roman" w:cs="Times New Roman"/>
          <w:b/>
          <w:bCs/>
        </w:rPr>
        <w:t>Ce/Eu-BDC and Ln-MOF</w:t>
      </w:r>
      <w:bookmarkEnd w:id="39"/>
      <w:r>
        <w:rPr>
          <w:rFonts w:hint="eastAsia" w:ascii="Times New Roman" w:hAnsi="Times New Roman" w:cs="Times New Roman"/>
          <w:b/>
          <w:bCs/>
        </w:rPr>
        <w:t>.</w:t>
      </w:r>
      <w:r>
        <w:rPr>
          <w:rFonts w:hint="eastAsia" w:ascii="Times New Roman" w:hAnsi="Times New Roman" w:cs="Times New Roman"/>
        </w:rPr>
        <w:t xml:space="preserve"> (A) The survey scan of Ce/Eu-BDC and Ln-MOF. The refinement spectra of C 1s (B), O 1s (C), N 1s (D), Ce3d (E), and Eu3d (F).</w:t>
      </w:r>
    </w:p>
    <w:p w14:paraId="4E969F91">
      <w:pPr>
        <w:spacing w:line="480" w:lineRule="auto"/>
        <w:jc w:val="center"/>
        <w:rPr>
          <w:rFonts w:ascii="Times New Roman" w:hAnsi="Times New Roman" w:cs="Times New Roman"/>
          <w:b/>
          <w:bCs/>
        </w:rPr>
      </w:pPr>
    </w:p>
    <w:p w14:paraId="03746B26">
      <w:pPr>
        <w:spacing w:line="480" w:lineRule="auto"/>
        <w:rPr>
          <w:rFonts w:ascii="Times New Roman" w:hAnsi="Times New Roman" w:cs="Times New Roman"/>
          <w:b/>
          <w:bCs/>
        </w:rPr>
      </w:pPr>
      <w:r>
        <w:drawing>
          <wp:inline distT="0" distB="0" distL="0" distR="0">
            <wp:extent cx="5274310" cy="3474085"/>
            <wp:effectExtent l="0" t="0" r="0" b="0"/>
            <wp:docPr id="11074477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447714" name="图片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3474085"/>
                    </a:xfrm>
                    <a:prstGeom prst="rect">
                      <a:avLst/>
                    </a:prstGeom>
                    <a:noFill/>
                    <a:ln>
                      <a:noFill/>
                    </a:ln>
                  </pic:spPr>
                </pic:pic>
              </a:graphicData>
            </a:graphic>
          </wp:inline>
        </w:drawing>
      </w:r>
    </w:p>
    <w:p w14:paraId="243F52BE">
      <w:pPr>
        <w:spacing w:line="480" w:lineRule="auto"/>
        <w:jc w:val="center"/>
        <w:rPr>
          <w:rFonts w:ascii="Times New Roman" w:hAnsi="Times New Roman" w:cs="Times New Roman"/>
          <w:b/>
          <w:bCs/>
        </w:rPr>
      </w:pPr>
      <w:bookmarkStart w:id="40" w:name="OLE_LINK11"/>
      <w:r>
        <w:rPr>
          <w:rFonts w:hint="eastAsia" w:ascii="Times New Roman" w:hAnsi="Times New Roman" w:cs="Times New Roman"/>
          <w:b/>
          <w:bCs/>
        </w:rPr>
        <w:t xml:space="preserve">Fig. S12. </w:t>
      </w:r>
      <w:bookmarkEnd w:id="40"/>
      <w:r>
        <w:rPr>
          <w:rFonts w:hint="eastAsia" w:ascii="Times New Roman" w:hAnsi="Times New Roman" w:cs="Times New Roman"/>
          <w:b/>
          <w:bCs/>
        </w:rPr>
        <w:t xml:space="preserve">Representative TEM images and </w:t>
      </w:r>
      <w:bookmarkStart w:id="41" w:name="_Hlk199940889"/>
      <w:r>
        <w:rPr>
          <w:rFonts w:hint="eastAsia" w:ascii="Times New Roman" w:hAnsi="Times New Roman" w:cs="Times New Roman"/>
          <w:b/>
          <w:bCs/>
        </w:rPr>
        <w:t xml:space="preserve">elemental distribution of </w:t>
      </w:r>
      <w:bookmarkEnd w:id="41"/>
      <w:r>
        <w:rPr>
          <w:rFonts w:hint="eastAsia" w:ascii="Times New Roman" w:hAnsi="Times New Roman" w:cs="Times New Roman"/>
          <w:b/>
          <w:bCs/>
        </w:rPr>
        <w:t>Ln-MOF.</w:t>
      </w:r>
    </w:p>
    <w:p w14:paraId="2C5616DF">
      <w:pPr>
        <w:spacing w:line="480" w:lineRule="auto"/>
        <w:jc w:val="center"/>
        <w:rPr>
          <w:rFonts w:ascii="Times New Roman" w:hAnsi="Times New Roman" w:cs="Times New Roman"/>
          <w:b/>
          <w:bCs/>
        </w:rPr>
      </w:pPr>
    </w:p>
    <w:p w14:paraId="7DB8264D">
      <w:pPr>
        <w:spacing w:line="480" w:lineRule="auto"/>
        <w:jc w:val="center"/>
        <w:rPr>
          <w:rFonts w:ascii="Times New Roman" w:hAnsi="Times New Roman" w:cs="Times New Roman"/>
          <w:b/>
          <w:bCs/>
        </w:rPr>
      </w:pPr>
      <w:r>
        <w:drawing>
          <wp:inline distT="0" distB="0" distL="0" distR="0">
            <wp:extent cx="4520565" cy="3263265"/>
            <wp:effectExtent l="0" t="0" r="0" b="0"/>
            <wp:docPr id="9658738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73842"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b="5666"/>
                    <a:stretch>
                      <a:fillRect/>
                    </a:stretch>
                  </pic:blipFill>
                  <pic:spPr>
                    <a:xfrm>
                      <a:off x="0" y="0"/>
                      <a:ext cx="4526990" cy="3267651"/>
                    </a:xfrm>
                    <a:prstGeom prst="rect">
                      <a:avLst/>
                    </a:prstGeom>
                    <a:noFill/>
                    <a:ln>
                      <a:noFill/>
                    </a:ln>
                  </pic:spPr>
                </pic:pic>
              </a:graphicData>
            </a:graphic>
          </wp:inline>
        </w:drawing>
      </w:r>
    </w:p>
    <w:p w14:paraId="1CA24825">
      <w:pPr>
        <w:spacing w:line="480" w:lineRule="auto"/>
        <w:jc w:val="center"/>
        <w:rPr>
          <w:rFonts w:ascii="Times New Roman" w:hAnsi="Times New Roman" w:cs="Times New Roman"/>
          <w:b/>
          <w:bCs/>
        </w:rPr>
      </w:pPr>
      <w:r>
        <w:rPr>
          <w:rFonts w:hint="eastAsia" w:ascii="Times New Roman" w:hAnsi="Times New Roman" w:cs="Times New Roman"/>
          <w:b/>
          <w:bCs/>
        </w:rPr>
        <w:t>Fig. S13. FT-IR spectra of Ce-BDC, Ce/Eu-BDC, and LNM NPs.</w:t>
      </w:r>
    </w:p>
    <w:p w14:paraId="18B663C6">
      <w:pPr>
        <w:spacing w:line="480" w:lineRule="auto"/>
        <w:jc w:val="center"/>
        <w:rPr>
          <w:rFonts w:ascii="Times New Roman" w:hAnsi="Times New Roman" w:cs="Times New Roman"/>
          <w:b/>
          <w:bCs/>
        </w:rPr>
      </w:pPr>
      <w:r>
        <w:drawing>
          <wp:inline distT="0" distB="0" distL="0" distR="0">
            <wp:extent cx="4597400" cy="2679700"/>
            <wp:effectExtent l="0" t="0" r="0" b="0"/>
            <wp:docPr id="15894224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422446" name="图片 2"/>
                    <pic:cNvPicPr>
                      <a:picLocks noChangeAspect="1" noChangeArrowheads="1"/>
                    </pic:cNvPicPr>
                  </pic:nvPicPr>
                  <pic:blipFill>
                    <a:blip r:embed="rId18" cstate="print">
                      <a:extLst>
                        <a:ext uri="{28A0092B-C50C-407E-A947-70E740481C1C}">
                          <a14:useLocalDpi xmlns:a14="http://schemas.microsoft.com/office/drawing/2010/main" val="0"/>
                        </a:ext>
                      </a:extLst>
                    </a:blip>
                    <a:srcRect l="9391" t="5730" r="27402" b="10778"/>
                    <a:stretch>
                      <a:fillRect/>
                    </a:stretch>
                  </pic:blipFill>
                  <pic:spPr>
                    <a:xfrm>
                      <a:off x="0" y="0"/>
                      <a:ext cx="4600363" cy="2681354"/>
                    </a:xfrm>
                    <a:prstGeom prst="rect">
                      <a:avLst/>
                    </a:prstGeom>
                    <a:noFill/>
                    <a:ln>
                      <a:noFill/>
                    </a:ln>
                  </pic:spPr>
                </pic:pic>
              </a:graphicData>
            </a:graphic>
          </wp:inline>
        </w:drawing>
      </w:r>
    </w:p>
    <w:p w14:paraId="281E5C7A">
      <w:pPr>
        <w:spacing w:line="480" w:lineRule="auto"/>
        <w:rPr>
          <w:rFonts w:ascii="Times New Roman" w:hAnsi="Times New Roman" w:cs="Times New Roman"/>
        </w:rPr>
      </w:pPr>
      <w:r>
        <w:rPr>
          <w:rFonts w:ascii="Times New Roman" w:hAnsi="Times New Roman" w:cs="Times New Roman"/>
          <w:b/>
          <w:bCs/>
        </w:rPr>
        <w:t>Fig. S</w:t>
      </w:r>
      <w:r>
        <w:rPr>
          <w:rFonts w:hint="eastAsia" w:ascii="Times New Roman" w:hAnsi="Times New Roman" w:cs="Times New Roman"/>
          <w:b/>
          <w:bCs/>
        </w:rPr>
        <w:t>14</w:t>
      </w:r>
      <w:r>
        <w:rPr>
          <w:rFonts w:hint="eastAsia" w:ascii="Times New Roman" w:hAnsi="Times New Roman" w:cs="Times New Roman"/>
        </w:rPr>
        <w:t>. The absorption spectra of supernatant containing FITC-uPA before and after Ln-MOF loading. The decreased absorption intensity at peak 494 nm indicated that the FITC-uPA can be loaded on the Ln-MOF.</w:t>
      </w:r>
    </w:p>
    <w:p w14:paraId="2FCE7AFB">
      <w:pPr>
        <w:spacing w:line="480" w:lineRule="auto"/>
        <w:rPr>
          <w:rFonts w:ascii="Times New Roman" w:hAnsi="Times New Roman" w:cs="Times New Roman"/>
        </w:rPr>
      </w:pPr>
    </w:p>
    <w:p w14:paraId="1F50ADAD">
      <w:pPr>
        <w:spacing w:line="480" w:lineRule="auto"/>
        <w:jc w:val="center"/>
        <w:rPr>
          <w:rFonts w:hint="eastAsia"/>
        </w:rPr>
      </w:pPr>
      <w:r>
        <w:drawing>
          <wp:inline distT="0" distB="0" distL="114300" distR="114300">
            <wp:extent cx="3396615" cy="2799715"/>
            <wp:effectExtent l="0" t="0" r="0" b="0"/>
            <wp:docPr id="98"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7"/>
                    <pic:cNvPicPr>
                      <a:picLocks noChangeAspect="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l="11681" t="13110" r="21285" b="7828"/>
                    <a:stretch>
                      <a:fillRect/>
                    </a:stretch>
                  </pic:blipFill>
                  <pic:spPr>
                    <a:xfrm>
                      <a:off x="0" y="0"/>
                      <a:ext cx="3396615" cy="2799715"/>
                    </a:xfrm>
                    <a:prstGeom prst="rect">
                      <a:avLst/>
                    </a:prstGeom>
                  </pic:spPr>
                </pic:pic>
              </a:graphicData>
            </a:graphic>
          </wp:inline>
        </w:drawing>
      </w:r>
    </w:p>
    <w:p w14:paraId="75238C0D">
      <w:pPr>
        <w:spacing w:line="480" w:lineRule="auto"/>
        <w:jc w:val="center"/>
        <w:rPr>
          <w:rFonts w:ascii="Times New Roman" w:hAnsi="Times New Roman" w:cs="Times New Roman"/>
        </w:rPr>
      </w:pPr>
      <w:r>
        <w:rPr>
          <w:rFonts w:ascii="Times New Roman" w:hAnsi="Times New Roman" w:cs="Times New Roman"/>
          <w:b/>
          <w:bCs/>
        </w:rPr>
        <w:t>Fig. S</w:t>
      </w:r>
      <w:r>
        <w:rPr>
          <w:rFonts w:hint="eastAsia" w:ascii="Times New Roman" w:hAnsi="Times New Roman" w:cs="Times New Roman"/>
          <w:b/>
          <w:bCs/>
        </w:rPr>
        <w:t>15</w:t>
      </w:r>
      <w:r>
        <w:rPr>
          <w:rFonts w:hint="eastAsia" w:ascii="Times New Roman" w:hAnsi="Times New Roman" w:cs="Times New Roman"/>
        </w:rPr>
        <w:t xml:space="preserve">. </w:t>
      </w:r>
      <w:r>
        <w:rPr>
          <w:rFonts w:ascii="Times New Roman" w:hAnsi="Times New Roman" w:cs="Times New Roman"/>
        </w:rPr>
        <w:t>Variation of the loading capacity with different amounts of uPA.</w:t>
      </w:r>
    </w:p>
    <w:p w14:paraId="6FC0D67D">
      <w:pPr>
        <w:spacing w:line="480" w:lineRule="auto"/>
        <w:jc w:val="center"/>
        <w:rPr>
          <w:rFonts w:ascii="Times New Roman" w:hAnsi="Times New Roman" w:cs="Times New Roman"/>
        </w:rPr>
      </w:pPr>
    </w:p>
    <w:p w14:paraId="53F17EB5">
      <w:pPr>
        <w:spacing w:line="480" w:lineRule="auto"/>
        <w:jc w:val="center"/>
        <w:rPr>
          <w:rFonts w:hint="eastAsia"/>
        </w:rPr>
      </w:pPr>
      <w:r>
        <w:drawing>
          <wp:inline distT="0" distB="0" distL="114300" distR="114300">
            <wp:extent cx="2206625" cy="3378835"/>
            <wp:effectExtent l="0" t="0" r="0" b="0"/>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2970" r="58483"/>
                    <a:stretch>
                      <a:fillRect/>
                    </a:stretch>
                  </pic:blipFill>
                  <pic:spPr>
                    <a:xfrm>
                      <a:off x="0" y="0"/>
                      <a:ext cx="2214409" cy="3390483"/>
                    </a:xfrm>
                    <a:prstGeom prst="rect">
                      <a:avLst/>
                    </a:prstGeom>
                  </pic:spPr>
                </pic:pic>
              </a:graphicData>
            </a:graphic>
          </wp:inline>
        </w:drawing>
      </w:r>
    </w:p>
    <w:p w14:paraId="7296C4FC">
      <w:pPr>
        <w:spacing w:line="480" w:lineRule="auto"/>
        <w:rPr>
          <w:rFonts w:hint="eastAsia"/>
        </w:rPr>
      </w:pPr>
      <w:r>
        <w:rPr>
          <w:rFonts w:ascii="Times New Roman" w:hAnsi="Times New Roman" w:cs="Times New Roman"/>
          <w:b/>
          <w:bCs/>
        </w:rPr>
        <w:t>Fig. S</w:t>
      </w:r>
      <w:r>
        <w:rPr>
          <w:rFonts w:hint="eastAsia" w:ascii="Times New Roman" w:hAnsi="Times New Roman" w:cs="Times New Roman"/>
          <w:b/>
          <w:bCs/>
        </w:rPr>
        <w:t>16</w:t>
      </w:r>
      <w:r>
        <w:rPr>
          <w:rFonts w:hint="eastAsia" w:ascii="Times New Roman" w:hAnsi="Times New Roman" w:cs="Times New Roman"/>
        </w:rPr>
        <w:t xml:space="preserve">. </w:t>
      </w:r>
      <w:r>
        <w:rPr>
          <w:rFonts w:ascii="Times New Roman" w:hAnsi="Times New Roman" w:cs="Times New Roman"/>
        </w:rPr>
        <w:t>Flow cytometry results of ROS level in PC-12 treated with different concentration of LNM NPs.</w:t>
      </w:r>
    </w:p>
    <w:p w14:paraId="1D0FF295">
      <w:pPr>
        <w:spacing w:line="480" w:lineRule="auto"/>
        <w:jc w:val="center"/>
        <w:rPr>
          <w:rFonts w:ascii="Times New Roman" w:hAnsi="Times New Roman" w:cs="Times New Roman"/>
          <w:b/>
          <w:bCs/>
        </w:rPr>
      </w:pPr>
      <w:r>
        <w:drawing>
          <wp:inline distT="0" distB="0" distL="0" distR="0">
            <wp:extent cx="4495800" cy="2788920"/>
            <wp:effectExtent l="0" t="0" r="0" b="0"/>
            <wp:docPr id="15428131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813164" name="图片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505956" cy="2795472"/>
                    </a:xfrm>
                    <a:prstGeom prst="rect">
                      <a:avLst/>
                    </a:prstGeom>
                    <a:noFill/>
                    <a:ln>
                      <a:noFill/>
                    </a:ln>
                  </pic:spPr>
                </pic:pic>
              </a:graphicData>
            </a:graphic>
          </wp:inline>
        </w:drawing>
      </w:r>
    </w:p>
    <w:p w14:paraId="07D9FB80">
      <w:pPr>
        <w:spacing w:line="360" w:lineRule="auto"/>
        <w:rPr>
          <w:rFonts w:ascii="Times New Roman" w:hAnsi="Times New Roman" w:cs="Times New Roman"/>
          <w:b/>
          <w:bCs/>
        </w:rPr>
      </w:pPr>
      <w:r>
        <w:rPr>
          <w:rFonts w:hint="eastAsia" w:ascii="Times New Roman" w:hAnsi="Times New Roman" w:cs="Times New Roman"/>
          <w:b/>
          <w:bCs/>
        </w:rPr>
        <w:t xml:space="preserve">Fig. S17. Fluorescence images of thrombin-activated PLTs. </w:t>
      </w:r>
      <w:r>
        <w:rPr>
          <w:rFonts w:hint="eastAsia" w:ascii="Times New Roman" w:hAnsi="Times New Roman" w:cs="Times New Roman"/>
        </w:rPr>
        <w:t>The concentration of thrombin is 0.025 U mL</w:t>
      </w:r>
      <w:r>
        <w:rPr>
          <w:rFonts w:hint="eastAsia" w:ascii="Times New Roman" w:hAnsi="Times New Roman" w:cs="Times New Roman"/>
          <w:vertAlign w:val="superscript"/>
        </w:rPr>
        <w:t>-1</w:t>
      </w:r>
      <w:r>
        <w:rPr>
          <w:rFonts w:hint="eastAsia" w:ascii="Times New Roman" w:hAnsi="Times New Roman" w:cs="Times New Roman"/>
        </w:rPr>
        <w:t>.</w:t>
      </w:r>
    </w:p>
    <w:p w14:paraId="509207E9">
      <w:pPr>
        <w:spacing w:line="480" w:lineRule="auto"/>
        <w:rPr>
          <w:rFonts w:ascii="Times New Roman" w:hAnsi="Times New Roman" w:cs="Times New Roman"/>
        </w:rPr>
      </w:pPr>
    </w:p>
    <w:p w14:paraId="0D464825">
      <w:pPr>
        <w:spacing w:line="480" w:lineRule="auto"/>
        <w:rPr>
          <w:rFonts w:hint="eastAsia"/>
        </w:rPr>
      </w:pPr>
    </w:p>
    <w:p w14:paraId="5C4A6664">
      <w:pPr>
        <w:spacing w:line="480" w:lineRule="auto"/>
        <w:jc w:val="center"/>
        <w:rPr>
          <w:rFonts w:hint="eastAsia"/>
        </w:rPr>
      </w:pPr>
      <w:r>
        <w:drawing>
          <wp:inline distT="0" distB="0" distL="0" distR="0">
            <wp:extent cx="4761865" cy="2792730"/>
            <wp:effectExtent l="0" t="0" r="0" b="0"/>
            <wp:docPr id="10901874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87431"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766109" cy="2795627"/>
                    </a:xfrm>
                    <a:prstGeom prst="rect">
                      <a:avLst/>
                    </a:prstGeom>
                    <a:noFill/>
                    <a:ln>
                      <a:noFill/>
                    </a:ln>
                  </pic:spPr>
                </pic:pic>
              </a:graphicData>
            </a:graphic>
          </wp:inline>
        </w:drawing>
      </w:r>
    </w:p>
    <w:p w14:paraId="2D46F7F3">
      <w:pPr>
        <w:spacing w:line="480" w:lineRule="auto"/>
        <w:rPr>
          <w:rFonts w:ascii="Times New Roman" w:hAnsi="Times New Roman" w:cs="Times New Roman"/>
        </w:rPr>
      </w:pPr>
      <w:r>
        <w:rPr>
          <w:rFonts w:hint="eastAsia" w:ascii="Times New Roman" w:hAnsi="Times New Roman" w:cs="Times New Roman"/>
          <w:b/>
          <w:bCs/>
        </w:rPr>
        <w:t xml:space="preserve">Fig. S18. </w:t>
      </w:r>
      <w:r>
        <w:rPr>
          <w:rFonts w:hint="eastAsia" w:ascii="Times New Roman" w:hAnsi="Times New Roman" w:cs="Times New Roman"/>
        </w:rPr>
        <w:t>Representative picture of clot reaction in PLTs after treatment with Ln-MOF, uPA, and LNM.</w:t>
      </w:r>
    </w:p>
    <w:p w14:paraId="16A2F527">
      <w:pPr>
        <w:spacing w:line="480" w:lineRule="auto"/>
        <w:rPr>
          <w:rFonts w:hint="eastAsia"/>
        </w:rPr>
      </w:pPr>
    </w:p>
    <w:p w14:paraId="04A3A4C6">
      <w:pPr>
        <w:spacing w:line="480" w:lineRule="auto"/>
        <w:jc w:val="center"/>
        <w:rPr>
          <w:rFonts w:ascii="Times New Roman" w:hAnsi="Times New Roman" w:cs="Times New Roman"/>
        </w:rPr>
      </w:pPr>
      <w:r>
        <w:drawing>
          <wp:inline distT="0" distB="0" distL="0" distR="0">
            <wp:extent cx="4505325" cy="3294380"/>
            <wp:effectExtent l="0" t="0" r="0" b="0"/>
            <wp:docPr id="13744906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9063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l="15992" t="3986" r="20030" b="12815"/>
                    <a:stretch>
                      <a:fillRect/>
                    </a:stretch>
                  </pic:blipFill>
                  <pic:spPr>
                    <a:xfrm>
                      <a:off x="0" y="0"/>
                      <a:ext cx="4536830" cy="3317820"/>
                    </a:xfrm>
                    <a:prstGeom prst="rect">
                      <a:avLst/>
                    </a:prstGeom>
                    <a:noFill/>
                    <a:ln>
                      <a:noFill/>
                    </a:ln>
                  </pic:spPr>
                </pic:pic>
              </a:graphicData>
            </a:graphic>
          </wp:inline>
        </w:drawing>
      </w:r>
    </w:p>
    <w:p w14:paraId="14F4FDF9">
      <w:pPr>
        <w:spacing w:line="480" w:lineRule="auto"/>
        <w:rPr>
          <w:rFonts w:ascii="Times New Roman" w:hAnsi="Times New Roman" w:cs="Times New Roman"/>
          <w:b/>
          <w:bCs/>
        </w:rPr>
      </w:pPr>
      <w:bookmarkStart w:id="42" w:name="OLE_LINK13"/>
      <w:r>
        <w:rPr>
          <w:rFonts w:hint="eastAsia" w:ascii="Times New Roman" w:hAnsi="Times New Roman" w:cs="Times New Roman"/>
          <w:b/>
          <w:bCs/>
        </w:rPr>
        <w:t>Fig. S19.</w:t>
      </w:r>
      <w:bookmarkEnd w:id="42"/>
      <w:r>
        <w:rPr>
          <w:rFonts w:hint="eastAsia" w:ascii="Times New Roman" w:hAnsi="Times New Roman" w:cs="Times New Roman"/>
          <w:b/>
          <w:bCs/>
        </w:rPr>
        <w:t xml:space="preserve"> Cell viabilities of bEnd.3 cells after incubation with different concentration of Ce/Eu-BDC, Ln-MOF, and </w:t>
      </w:r>
      <w:bookmarkStart w:id="43" w:name="_Hlk198651158"/>
      <w:r>
        <w:rPr>
          <w:rFonts w:hint="eastAsia" w:ascii="Times New Roman" w:hAnsi="Times New Roman" w:cs="Times New Roman"/>
          <w:b/>
          <w:bCs/>
        </w:rPr>
        <w:t>LNM.</w:t>
      </w:r>
      <w:bookmarkEnd w:id="43"/>
    </w:p>
    <w:p w14:paraId="15BFFC39">
      <w:pPr>
        <w:spacing w:line="480" w:lineRule="auto"/>
        <w:jc w:val="center"/>
        <w:rPr>
          <w:rFonts w:ascii="Times New Roman" w:hAnsi="Times New Roman" w:cs="Times New Roman"/>
        </w:rPr>
      </w:pPr>
      <w:r>
        <w:drawing>
          <wp:inline distT="0" distB="0" distL="0" distR="0">
            <wp:extent cx="4071620" cy="3085465"/>
            <wp:effectExtent l="0" t="0" r="0" b="0"/>
            <wp:docPr id="9128352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35277"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l="7368" t="3208" b="5084"/>
                    <a:stretch>
                      <a:fillRect/>
                    </a:stretch>
                  </pic:blipFill>
                  <pic:spPr>
                    <a:xfrm>
                      <a:off x="0" y="0"/>
                      <a:ext cx="4078502" cy="3091315"/>
                    </a:xfrm>
                    <a:prstGeom prst="rect">
                      <a:avLst/>
                    </a:prstGeom>
                    <a:noFill/>
                    <a:ln>
                      <a:noFill/>
                    </a:ln>
                  </pic:spPr>
                </pic:pic>
              </a:graphicData>
            </a:graphic>
          </wp:inline>
        </w:drawing>
      </w:r>
    </w:p>
    <w:p w14:paraId="013BC41E">
      <w:pPr>
        <w:spacing w:line="480" w:lineRule="auto"/>
        <w:jc w:val="center"/>
        <w:rPr>
          <w:rFonts w:ascii="Times New Roman" w:hAnsi="Times New Roman" w:cs="Times New Roman"/>
          <w:b/>
          <w:bCs/>
        </w:rPr>
      </w:pPr>
      <w:bookmarkStart w:id="44" w:name="_Hlk198651497"/>
      <w:r>
        <w:rPr>
          <w:rFonts w:hint="eastAsia" w:ascii="Times New Roman" w:hAnsi="Times New Roman" w:cs="Times New Roman"/>
          <w:b/>
          <w:bCs/>
        </w:rPr>
        <w:t xml:space="preserve">Fig. S20. </w:t>
      </w:r>
      <w:bookmarkEnd w:id="44"/>
      <w:r>
        <w:rPr>
          <w:rFonts w:hint="eastAsia" w:ascii="Times New Roman" w:hAnsi="Times New Roman" w:cs="Times New Roman"/>
          <w:b/>
          <w:bCs/>
        </w:rPr>
        <w:t>Hemolysis rate induced by different concentrations of LNM.</w:t>
      </w:r>
    </w:p>
    <w:p w14:paraId="6CDF6938">
      <w:pPr>
        <w:spacing w:line="480" w:lineRule="auto"/>
        <w:jc w:val="center"/>
        <w:rPr>
          <w:rFonts w:ascii="Times New Roman" w:hAnsi="Times New Roman" w:cs="Times New Roman"/>
          <w:b/>
          <w:bCs/>
        </w:rPr>
      </w:pPr>
      <w:r>
        <w:drawing>
          <wp:inline distT="0" distB="0" distL="0" distR="0">
            <wp:extent cx="3470275" cy="4292600"/>
            <wp:effectExtent l="0" t="0" r="9525" b="0"/>
            <wp:docPr id="191728927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89275" name="图片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470275" cy="4292600"/>
                    </a:xfrm>
                    <a:prstGeom prst="rect">
                      <a:avLst/>
                    </a:prstGeom>
                    <a:noFill/>
                    <a:ln>
                      <a:noFill/>
                    </a:ln>
                  </pic:spPr>
                </pic:pic>
              </a:graphicData>
            </a:graphic>
          </wp:inline>
        </w:drawing>
      </w:r>
    </w:p>
    <w:p w14:paraId="51D47DA2">
      <w:pPr>
        <w:spacing w:line="360" w:lineRule="auto"/>
        <w:rPr>
          <w:rFonts w:ascii="Times New Roman" w:hAnsi="Times New Roman" w:cs="Times New Roman"/>
        </w:rPr>
      </w:pPr>
      <w:r>
        <w:rPr>
          <w:rFonts w:hint="eastAsia" w:ascii="Times New Roman" w:hAnsi="Times New Roman" w:cs="Times New Roman"/>
          <w:b/>
          <w:bCs/>
        </w:rPr>
        <w:t xml:space="preserve">Fig. S21. Fluorescent images of </w:t>
      </w:r>
      <w:bookmarkStart w:id="45" w:name="OLE_LINK16"/>
      <w:r>
        <w:rPr>
          <w:rFonts w:hint="eastAsia" w:ascii="Times New Roman" w:hAnsi="Times New Roman" w:cs="Times New Roman"/>
          <w:b/>
          <w:bCs/>
        </w:rPr>
        <w:t>bEnd.3</w:t>
      </w:r>
      <w:bookmarkEnd w:id="45"/>
      <w:r>
        <w:rPr>
          <w:rFonts w:hint="eastAsia" w:ascii="Times New Roman" w:hAnsi="Times New Roman" w:cs="Times New Roman"/>
          <w:b/>
          <w:bCs/>
        </w:rPr>
        <w:t xml:space="preserve"> cells uptake of LNM NPs for different times. </w:t>
      </w:r>
      <w:r>
        <w:rPr>
          <w:rFonts w:ascii="Times New Roman" w:hAnsi="Times New Roman" w:cs="Times New Roman"/>
        </w:rPr>
        <w:t>Scale bar: 25 μm.</w:t>
      </w:r>
    </w:p>
    <w:p w14:paraId="5FE491A2">
      <w:pPr>
        <w:spacing w:line="360" w:lineRule="auto"/>
        <w:rPr>
          <w:rFonts w:ascii="Times New Roman" w:hAnsi="Times New Roman" w:cs="Times New Roman"/>
        </w:rPr>
      </w:pPr>
    </w:p>
    <w:p w14:paraId="5EB3CF43">
      <w:pPr>
        <w:spacing w:line="360" w:lineRule="auto"/>
        <w:jc w:val="center"/>
        <w:rPr>
          <w:rFonts w:ascii="Times New Roman" w:hAnsi="Times New Roman" w:cs="Times New Roman"/>
        </w:rPr>
      </w:pPr>
      <w:r>
        <w:drawing>
          <wp:inline distT="0" distB="0" distL="0" distR="0">
            <wp:extent cx="4681855" cy="3159760"/>
            <wp:effectExtent l="0" t="0" r="4445" b="2540"/>
            <wp:docPr id="15499633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63373"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rcRect l="7481" t="7380" r="3709" b="8093"/>
                    <a:stretch>
                      <a:fillRect/>
                    </a:stretch>
                  </pic:blipFill>
                  <pic:spPr>
                    <a:xfrm>
                      <a:off x="0" y="0"/>
                      <a:ext cx="4684068" cy="3160913"/>
                    </a:xfrm>
                    <a:prstGeom prst="rect">
                      <a:avLst/>
                    </a:prstGeom>
                    <a:noFill/>
                    <a:ln>
                      <a:noFill/>
                    </a:ln>
                  </pic:spPr>
                </pic:pic>
              </a:graphicData>
            </a:graphic>
          </wp:inline>
        </w:drawing>
      </w:r>
    </w:p>
    <w:p w14:paraId="33232E42">
      <w:pPr>
        <w:spacing w:line="360" w:lineRule="auto"/>
        <w:rPr>
          <w:rFonts w:ascii="Times New Roman" w:hAnsi="Times New Roman" w:cs="Times New Roman"/>
        </w:rPr>
      </w:pPr>
      <w:r>
        <w:rPr>
          <w:rFonts w:hint="eastAsia" w:ascii="Times New Roman" w:hAnsi="Times New Roman" w:cs="Times New Roman"/>
          <w:b/>
          <w:bCs/>
        </w:rPr>
        <w:t xml:space="preserve">Fig. S22. </w:t>
      </w:r>
      <w:r>
        <w:rPr>
          <w:rFonts w:hint="eastAsia" w:ascii="Times New Roman" w:hAnsi="Times New Roman" w:cs="Times New Roman"/>
        </w:rPr>
        <w:t xml:space="preserve">Quantified </w:t>
      </w:r>
      <w:bookmarkStart w:id="46" w:name="OLE_LINK8"/>
      <w:r>
        <w:rPr>
          <w:rFonts w:hint="eastAsia" w:ascii="Times New Roman" w:hAnsi="Times New Roman" w:cs="Times New Roman"/>
        </w:rPr>
        <w:t>fluorescence</w:t>
      </w:r>
      <w:bookmarkEnd w:id="46"/>
      <w:r>
        <w:rPr>
          <w:rFonts w:hint="eastAsia" w:ascii="Times New Roman" w:hAnsi="Times New Roman" w:cs="Times New Roman"/>
        </w:rPr>
        <w:t xml:space="preserve"> determination of LNM in the ischemic hemispheres shown in Fig. 5B.</w:t>
      </w:r>
    </w:p>
    <w:p w14:paraId="67B2698C">
      <w:pPr>
        <w:spacing w:line="360" w:lineRule="auto"/>
        <w:rPr>
          <w:rFonts w:ascii="Times New Roman" w:hAnsi="Times New Roman" w:cs="Times New Roman"/>
        </w:rPr>
      </w:pPr>
    </w:p>
    <w:p w14:paraId="42881C51">
      <w:pPr>
        <w:spacing w:line="360" w:lineRule="auto"/>
        <w:jc w:val="center"/>
        <w:rPr>
          <w:rFonts w:ascii="Times New Roman" w:hAnsi="Times New Roman" w:cs="Times New Roman"/>
        </w:rPr>
      </w:pPr>
      <w:r>
        <w:drawing>
          <wp:inline distT="0" distB="0" distL="0" distR="0">
            <wp:extent cx="3843655" cy="3002915"/>
            <wp:effectExtent l="0" t="0" r="0" b="0"/>
            <wp:docPr id="9907708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70832"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848535" cy="3007103"/>
                    </a:xfrm>
                    <a:prstGeom prst="rect">
                      <a:avLst/>
                    </a:prstGeom>
                    <a:noFill/>
                    <a:ln>
                      <a:noFill/>
                    </a:ln>
                  </pic:spPr>
                </pic:pic>
              </a:graphicData>
            </a:graphic>
          </wp:inline>
        </w:drawing>
      </w:r>
    </w:p>
    <w:p w14:paraId="7AB31DF3">
      <w:pPr>
        <w:spacing w:line="360" w:lineRule="auto"/>
        <w:jc w:val="center"/>
        <w:rPr>
          <w:rFonts w:ascii="Times New Roman" w:hAnsi="Times New Roman" w:cs="Times New Roman"/>
        </w:rPr>
      </w:pPr>
      <w:r>
        <w:rPr>
          <w:rFonts w:hint="eastAsia" w:ascii="Times New Roman" w:hAnsi="Times New Roman" w:cs="Times New Roman"/>
          <w:b/>
          <w:bCs/>
        </w:rPr>
        <w:t xml:space="preserve">Fig. S23. </w:t>
      </w:r>
      <w:r>
        <w:rPr>
          <w:rFonts w:hint="eastAsia" w:ascii="Times New Roman" w:hAnsi="Times New Roman" w:cs="Times New Roman"/>
        </w:rPr>
        <w:t>Quantified cerebral infarct volume of MCAO mice in each treatment group at 24 h post-stroke (n = 4).</w:t>
      </w:r>
    </w:p>
    <w:p w14:paraId="4490DAE7">
      <w:pPr>
        <w:spacing w:line="360" w:lineRule="auto"/>
        <w:jc w:val="center"/>
        <w:rPr>
          <w:rFonts w:hint="eastAsia"/>
        </w:rPr>
      </w:pPr>
    </w:p>
    <w:p w14:paraId="042AB1DA">
      <w:pPr>
        <w:spacing w:line="360" w:lineRule="auto"/>
        <w:jc w:val="center"/>
        <w:rPr>
          <w:rFonts w:ascii="Times New Roman" w:hAnsi="Times New Roman" w:cs="Times New Roman"/>
        </w:rPr>
      </w:pPr>
      <w:r>
        <w:drawing>
          <wp:inline distT="0" distB="0" distL="0" distR="0">
            <wp:extent cx="3577590" cy="2915920"/>
            <wp:effectExtent l="0" t="0" r="3810" b="0"/>
            <wp:docPr id="16096963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96373"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l="6129" t="3711" r="26019" b="24025"/>
                    <a:stretch>
                      <a:fillRect/>
                    </a:stretch>
                  </pic:blipFill>
                  <pic:spPr>
                    <a:xfrm>
                      <a:off x="0" y="0"/>
                      <a:ext cx="3578708" cy="2916590"/>
                    </a:xfrm>
                    <a:prstGeom prst="rect">
                      <a:avLst/>
                    </a:prstGeom>
                    <a:noFill/>
                    <a:ln>
                      <a:noFill/>
                    </a:ln>
                  </pic:spPr>
                </pic:pic>
              </a:graphicData>
            </a:graphic>
          </wp:inline>
        </w:drawing>
      </w:r>
    </w:p>
    <w:p w14:paraId="74F5BB2E">
      <w:pPr>
        <w:spacing w:line="360" w:lineRule="auto"/>
        <w:jc w:val="center"/>
        <w:rPr>
          <w:rFonts w:ascii="Times New Roman" w:hAnsi="Times New Roman" w:cs="Times New Roman"/>
        </w:rPr>
      </w:pPr>
      <w:r>
        <w:rPr>
          <w:rFonts w:hint="eastAsia" w:ascii="Times New Roman" w:hAnsi="Times New Roman" w:cs="Times New Roman"/>
          <w:b/>
          <w:bCs/>
        </w:rPr>
        <w:t>Fig. S24.</w:t>
      </w:r>
      <w:r>
        <w:rPr>
          <w:rFonts w:hint="eastAsia" w:ascii="Times New Roman" w:hAnsi="Times New Roman" w:cs="Times New Roman"/>
        </w:rPr>
        <w:t xml:space="preserve"> Quantitative analysis of immunostaining of CD16 in each treatment group at 24 h post-stroke.</w:t>
      </w:r>
    </w:p>
    <w:p w14:paraId="121ABC64">
      <w:pPr>
        <w:spacing w:line="360" w:lineRule="auto"/>
        <w:jc w:val="center"/>
        <w:rPr>
          <w:rFonts w:ascii="Times New Roman" w:hAnsi="Times New Roman" w:cs="Times New Roman"/>
        </w:rPr>
      </w:pPr>
    </w:p>
    <w:p w14:paraId="26B9F25D">
      <w:pPr>
        <w:spacing w:line="360" w:lineRule="auto"/>
        <w:jc w:val="center"/>
        <w:rPr>
          <w:rFonts w:ascii="Times New Roman" w:hAnsi="Times New Roman" w:cs="Times New Roman"/>
        </w:rPr>
      </w:pPr>
      <w:r>
        <w:drawing>
          <wp:inline distT="0" distB="0" distL="0" distR="0">
            <wp:extent cx="5274310" cy="3913505"/>
            <wp:effectExtent l="0" t="0" r="0" b="0"/>
            <wp:docPr id="13619009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00994"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74310" cy="3913505"/>
                    </a:xfrm>
                    <a:prstGeom prst="rect">
                      <a:avLst/>
                    </a:prstGeom>
                    <a:noFill/>
                    <a:ln>
                      <a:noFill/>
                    </a:ln>
                  </pic:spPr>
                </pic:pic>
              </a:graphicData>
            </a:graphic>
          </wp:inline>
        </w:drawing>
      </w:r>
    </w:p>
    <w:p w14:paraId="4693AFCE">
      <w:pPr>
        <w:spacing w:line="360" w:lineRule="auto"/>
        <w:rPr>
          <w:rFonts w:ascii="Times New Roman" w:hAnsi="Times New Roman" w:cs="Times New Roman"/>
        </w:rPr>
      </w:pPr>
      <w:r>
        <w:rPr>
          <w:rFonts w:ascii="Times New Roman" w:hAnsi="Times New Roman" w:cs="Times New Roman"/>
          <w:b/>
          <w:bCs/>
        </w:rPr>
        <w:t>Fig. S</w:t>
      </w:r>
      <w:r>
        <w:rPr>
          <w:rFonts w:hint="eastAsia" w:ascii="Times New Roman" w:hAnsi="Times New Roman" w:cs="Times New Roman"/>
          <w:b/>
          <w:bCs/>
        </w:rPr>
        <w:t>25</w:t>
      </w:r>
      <w:r>
        <w:rPr>
          <w:rFonts w:ascii="Times New Roman" w:hAnsi="Times New Roman" w:cs="Times New Roman"/>
        </w:rPr>
        <w:t>. Immunostaining of CD206 (blue: DAPI; green: Iba-1; orange: CD206</w:t>
      </w:r>
      <w:r>
        <w:rPr>
          <w:rFonts w:hint="eastAsia" w:ascii="Times New Roman" w:hAnsi="Times New Roman" w:cs="Times New Roman"/>
        </w:rPr>
        <w:t>)</w:t>
      </w:r>
      <w:r>
        <w:rPr>
          <w:rFonts w:ascii="Times New Roman" w:hAnsi="Times New Roman" w:cs="Times New Roman"/>
        </w:rPr>
        <w:t xml:space="preserve"> to determine phenotype of microglia</w:t>
      </w:r>
      <w:r>
        <w:rPr>
          <w:rFonts w:hint="eastAsia" w:ascii="Times New Roman" w:hAnsi="Times New Roman" w:cs="Times New Roman"/>
        </w:rPr>
        <w:t xml:space="preserve"> (</w:t>
      </w:r>
      <w:r>
        <w:rPr>
          <w:rFonts w:ascii="Times New Roman" w:hAnsi="Times New Roman" w:cs="Times New Roman"/>
        </w:rPr>
        <w:t>scale bar = 200 μm).</w:t>
      </w:r>
    </w:p>
    <w:p w14:paraId="2ACC3965">
      <w:pPr>
        <w:spacing w:line="360" w:lineRule="auto"/>
        <w:rPr>
          <w:rFonts w:ascii="Times New Roman" w:hAnsi="Times New Roman" w:cs="Times New Roman"/>
        </w:rPr>
      </w:pPr>
    </w:p>
    <w:p w14:paraId="77C29D12">
      <w:pPr>
        <w:spacing w:line="360" w:lineRule="auto"/>
        <w:jc w:val="center"/>
        <w:rPr>
          <w:rFonts w:ascii="Times New Roman" w:hAnsi="Times New Roman" w:cs="Times New Roman"/>
        </w:rPr>
      </w:pPr>
      <w:r>
        <w:drawing>
          <wp:inline distT="0" distB="0" distL="0" distR="0">
            <wp:extent cx="4965700" cy="3128010"/>
            <wp:effectExtent l="0" t="0" r="0" b="0"/>
            <wp:docPr id="4414344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34423"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970083" cy="3131284"/>
                    </a:xfrm>
                    <a:prstGeom prst="rect">
                      <a:avLst/>
                    </a:prstGeom>
                    <a:noFill/>
                    <a:ln>
                      <a:noFill/>
                    </a:ln>
                  </pic:spPr>
                </pic:pic>
              </a:graphicData>
            </a:graphic>
          </wp:inline>
        </w:drawing>
      </w:r>
    </w:p>
    <w:p w14:paraId="0010C363">
      <w:pPr>
        <w:spacing w:line="480" w:lineRule="auto"/>
        <w:rPr>
          <w:rFonts w:ascii="Times New Roman" w:hAnsi="Times New Roman" w:cs="Times New Roman"/>
        </w:rPr>
      </w:pPr>
      <w:r>
        <w:rPr>
          <w:rFonts w:ascii="Times New Roman" w:hAnsi="Times New Roman" w:cs="Times New Roman"/>
          <w:b/>
          <w:bCs/>
        </w:rPr>
        <w:t>Fig. S</w:t>
      </w:r>
      <w:r>
        <w:rPr>
          <w:rFonts w:hint="eastAsia" w:ascii="Times New Roman" w:hAnsi="Times New Roman" w:cs="Times New Roman"/>
          <w:b/>
          <w:bCs/>
        </w:rPr>
        <w:t>26</w:t>
      </w:r>
      <w:r>
        <w:rPr>
          <w:rFonts w:hint="eastAsia" w:ascii="Times New Roman" w:hAnsi="Times New Roman" w:cs="Times New Roman"/>
        </w:rPr>
        <w:t>. H&amp;E staining of major organs (heart, liver, spleen, lung, and kidney) in sham and stroke mice treated with saline, Ln-MOF and LNM. Scale bar: 200</w:t>
      </w:r>
      <w:r>
        <w:rPr>
          <w:rFonts w:ascii="Times New Roman" w:hAnsi="Times New Roman" w:cs="Times New Roman"/>
        </w:rPr>
        <w:t xml:space="preserve"> μm.</w:t>
      </w:r>
    </w:p>
    <w:p w14:paraId="1E246C95">
      <w:pPr>
        <w:spacing w:line="480" w:lineRule="auto"/>
        <w:rPr>
          <w:rFonts w:hint="eastAsia"/>
        </w:rPr>
      </w:pPr>
    </w:p>
    <w:p w14:paraId="76664BC5">
      <w:pPr>
        <w:spacing w:line="480" w:lineRule="auto"/>
        <w:jc w:val="center"/>
        <w:rPr>
          <w:rFonts w:hint="eastAsia"/>
        </w:rPr>
      </w:pPr>
      <w:r>
        <w:drawing>
          <wp:inline distT="0" distB="0" distL="0" distR="0">
            <wp:extent cx="3534410" cy="2861310"/>
            <wp:effectExtent l="0" t="0" r="0" b="0"/>
            <wp:docPr id="17854701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47015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541540" cy="2867002"/>
                    </a:xfrm>
                    <a:prstGeom prst="rect">
                      <a:avLst/>
                    </a:prstGeom>
                    <a:noFill/>
                    <a:ln>
                      <a:noFill/>
                    </a:ln>
                  </pic:spPr>
                </pic:pic>
              </a:graphicData>
            </a:graphic>
          </wp:inline>
        </w:drawing>
      </w:r>
    </w:p>
    <w:p w14:paraId="4D75C285">
      <w:pPr>
        <w:spacing w:line="480" w:lineRule="auto"/>
        <w:rPr>
          <w:rFonts w:hint="eastAsia"/>
        </w:rPr>
      </w:pPr>
      <w:r>
        <w:rPr>
          <w:rFonts w:ascii="Times New Roman" w:hAnsi="Times New Roman" w:cs="Times New Roman"/>
          <w:b/>
          <w:bCs/>
        </w:rPr>
        <w:t>Fig. S</w:t>
      </w:r>
      <w:r>
        <w:rPr>
          <w:rFonts w:hint="eastAsia" w:ascii="Times New Roman" w:hAnsi="Times New Roman" w:cs="Times New Roman"/>
          <w:b/>
          <w:bCs/>
        </w:rPr>
        <w:t>27</w:t>
      </w:r>
      <w:r>
        <w:rPr>
          <w:rFonts w:hint="eastAsia" w:ascii="Times New Roman" w:hAnsi="Times New Roman" w:cs="Times New Roman"/>
        </w:rPr>
        <w:t>. Blood routine analysis results of sham mice and mice treated with Ln-MOF and LNM.</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dvOTce3d9a73">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56475078"/>
      <w:docPartObj>
        <w:docPartGallery w:val="autotext"/>
      </w:docPartObj>
    </w:sdtPr>
    <w:sdtContent>
      <w:p w14:paraId="57979CC7">
        <w:pPr>
          <w:pStyle w:val="2"/>
          <w:jc w:val="center"/>
          <w:rPr>
            <w:rFonts w:hint="eastAsia"/>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2</w:t>
        </w:r>
        <w:r>
          <w:rPr>
            <w:rFonts w:ascii="Times New Roman" w:hAnsi="Times New Roman" w:cs="Times New Roman"/>
          </w:rPr>
          <w:fldChar w:fldCharType="end"/>
        </w:r>
      </w:p>
    </w:sdtContent>
  </w:sdt>
  <w:p w14:paraId="6E665BA7">
    <w:pPr>
      <w:pStyle w:val="2"/>
      <w:rPr>
        <w:rFonts w:hint="eastAsi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E95"/>
    <w:rsid w:val="00001BB5"/>
    <w:rsid w:val="000127C3"/>
    <w:rsid w:val="00013257"/>
    <w:rsid w:val="0001433B"/>
    <w:rsid w:val="0001585F"/>
    <w:rsid w:val="00016C41"/>
    <w:rsid w:val="00023CA2"/>
    <w:rsid w:val="000267D5"/>
    <w:rsid w:val="00026EDB"/>
    <w:rsid w:val="00036CB9"/>
    <w:rsid w:val="00037DA9"/>
    <w:rsid w:val="0004537F"/>
    <w:rsid w:val="00047831"/>
    <w:rsid w:val="00050FAA"/>
    <w:rsid w:val="00051E55"/>
    <w:rsid w:val="000531CB"/>
    <w:rsid w:val="000614C5"/>
    <w:rsid w:val="00062A5C"/>
    <w:rsid w:val="000638FD"/>
    <w:rsid w:val="00063FBB"/>
    <w:rsid w:val="00067E8E"/>
    <w:rsid w:val="00071683"/>
    <w:rsid w:val="000738DE"/>
    <w:rsid w:val="000745DB"/>
    <w:rsid w:val="0008052F"/>
    <w:rsid w:val="00085208"/>
    <w:rsid w:val="00085F90"/>
    <w:rsid w:val="000867A4"/>
    <w:rsid w:val="00097457"/>
    <w:rsid w:val="000A18C5"/>
    <w:rsid w:val="000A1F2B"/>
    <w:rsid w:val="000A2EEC"/>
    <w:rsid w:val="000A559D"/>
    <w:rsid w:val="000B49EE"/>
    <w:rsid w:val="000B7335"/>
    <w:rsid w:val="000C5138"/>
    <w:rsid w:val="000D020C"/>
    <w:rsid w:val="000D04E8"/>
    <w:rsid w:val="000D10B8"/>
    <w:rsid w:val="000D149C"/>
    <w:rsid w:val="000D35DD"/>
    <w:rsid w:val="000D4026"/>
    <w:rsid w:val="000D421C"/>
    <w:rsid w:val="000E1FE3"/>
    <w:rsid w:val="000E313C"/>
    <w:rsid w:val="000E6F42"/>
    <w:rsid w:val="000E7AFF"/>
    <w:rsid w:val="00102169"/>
    <w:rsid w:val="001035C0"/>
    <w:rsid w:val="001051B0"/>
    <w:rsid w:val="00113263"/>
    <w:rsid w:val="00114D84"/>
    <w:rsid w:val="00121A9F"/>
    <w:rsid w:val="00122ADA"/>
    <w:rsid w:val="00123956"/>
    <w:rsid w:val="0012580E"/>
    <w:rsid w:val="00126750"/>
    <w:rsid w:val="00130A17"/>
    <w:rsid w:val="00137A1E"/>
    <w:rsid w:val="0014037E"/>
    <w:rsid w:val="00141168"/>
    <w:rsid w:val="001425A5"/>
    <w:rsid w:val="00142B35"/>
    <w:rsid w:val="00150CF6"/>
    <w:rsid w:val="0015228C"/>
    <w:rsid w:val="00154D43"/>
    <w:rsid w:val="001571A1"/>
    <w:rsid w:val="00157D6C"/>
    <w:rsid w:val="0016197E"/>
    <w:rsid w:val="00163F3A"/>
    <w:rsid w:val="00164B31"/>
    <w:rsid w:val="001679F9"/>
    <w:rsid w:val="0017023F"/>
    <w:rsid w:val="00174E7F"/>
    <w:rsid w:val="00177256"/>
    <w:rsid w:val="001775EC"/>
    <w:rsid w:val="0018273C"/>
    <w:rsid w:val="00183477"/>
    <w:rsid w:val="00183AD2"/>
    <w:rsid w:val="00191BA5"/>
    <w:rsid w:val="0019694E"/>
    <w:rsid w:val="00196951"/>
    <w:rsid w:val="001975E9"/>
    <w:rsid w:val="001A2C1C"/>
    <w:rsid w:val="001A35F9"/>
    <w:rsid w:val="001B21F4"/>
    <w:rsid w:val="001B3875"/>
    <w:rsid w:val="001B412F"/>
    <w:rsid w:val="001B4139"/>
    <w:rsid w:val="001C0DDD"/>
    <w:rsid w:val="001C3E57"/>
    <w:rsid w:val="001C4A3C"/>
    <w:rsid w:val="001D17A3"/>
    <w:rsid w:val="001D3451"/>
    <w:rsid w:val="001D566E"/>
    <w:rsid w:val="001E759D"/>
    <w:rsid w:val="001F6027"/>
    <w:rsid w:val="00200EFA"/>
    <w:rsid w:val="002020AE"/>
    <w:rsid w:val="00202763"/>
    <w:rsid w:val="00202CB5"/>
    <w:rsid w:val="00217553"/>
    <w:rsid w:val="002217F0"/>
    <w:rsid w:val="00222737"/>
    <w:rsid w:val="00222B8F"/>
    <w:rsid w:val="00225FB2"/>
    <w:rsid w:val="00233362"/>
    <w:rsid w:val="00235039"/>
    <w:rsid w:val="00236DF8"/>
    <w:rsid w:val="00237896"/>
    <w:rsid w:val="00243690"/>
    <w:rsid w:val="00251D20"/>
    <w:rsid w:val="002564A6"/>
    <w:rsid w:val="00256E14"/>
    <w:rsid w:val="00264CC4"/>
    <w:rsid w:val="0026605D"/>
    <w:rsid w:val="00275511"/>
    <w:rsid w:val="00281E0F"/>
    <w:rsid w:val="002824A4"/>
    <w:rsid w:val="002836B7"/>
    <w:rsid w:val="00284964"/>
    <w:rsid w:val="00284BF5"/>
    <w:rsid w:val="00285040"/>
    <w:rsid w:val="00285134"/>
    <w:rsid w:val="002942E4"/>
    <w:rsid w:val="002974FE"/>
    <w:rsid w:val="00297CD0"/>
    <w:rsid w:val="00297DE2"/>
    <w:rsid w:val="002A0DE6"/>
    <w:rsid w:val="002B0A18"/>
    <w:rsid w:val="002B2C24"/>
    <w:rsid w:val="002B5766"/>
    <w:rsid w:val="002B7982"/>
    <w:rsid w:val="002C22D0"/>
    <w:rsid w:val="002C266E"/>
    <w:rsid w:val="002C74D8"/>
    <w:rsid w:val="002D18E6"/>
    <w:rsid w:val="002D354B"/>
    <w:rsid w:val="002D60BA"/>
    <w:rsid w:val="002D7285"/>
    <w:rsid w:val="002E1294"/>
    <w:rsid w:val="002E4527"/>
    <w:rsid w:val="002E773A"/>
    <w:rsid w:val="0030078D"/>
    <w:rsid w:val="00301A43"/>
    <w:rsid w:val="00304EC2"/>
    <w:rsid w:val="00305110"/>
    <w:rsid w:val="003053B4"/>
    <w:rsid w:val="00311256"/>
    <w:rsid w:val="0032182A"/>
    <w:rsid w:val="003218B9"/>
    <w:rsid w:val="00321BD7"/>
    <w:rsid w:val="0032329A"/>
    <w:rsid w:val="00331BEA"/>
    <w:rsid w:val="00337C5F"/>
    <w:rsid w:val="00345581"/>
    <w:rsid w:val="00345EED"/>
    <w:rsid w:val="00346823"/>
    <w:rsid w:val="00351A18"/>
    <w:rsid w:val="00353CF9"/>
    <w:rsid w:val="0035548F"/>
    <w:rsid w:val="00356E34"/>
    <w:rsid w:val="003606CF"/>
    <w:rsid w:val="00360A4A"/>
    <w:rsid w:val="00360D1B"/>
    <w:rsid w:val="003627DF"/>
    <w:rsid w:val="003628DC"/>
    <w:rsid w:val="003634C6"/>
    <w:rsid w:val="00363C6F"/>
    <w:rsid w:val="00365421"/>
    <w:rsid w:val="003654CA"/>
    <w:rsid w:val="003659A9"/>
    <w:rsid w:val="00366139"/>
    <w:rsid w:val="00370190"/>
    <w:rsid w:val="00373953"/>
    <w:rsid w:val="00377DC0"/>
    <w:rsid w:val="003814CB"/>
    <w:rsid w:val="0038153B"/>
    <w:rsid w:val="00383335"/>
    <w:rsid w:val="00386E7B"/>
    <w:rsid w:val="0039238D"/>
    <w:rsid w:val="00392ADF"/>
    <w:rsid w:val="0039667E"/>
    <w:rsid w:val="0039727D"/>
    <w:rsid w:val="003A33A3"/>
    <w:rsid w:val="003A3E4B"/>
    <w:rsid w:val="003A460D"/>
    <w:rsid w:val="003A5D44"/>
    <w:rsid w:val="003B1A74"/>
    <w:rsid w:val="003B1FB6"/>
    <w:rsid w:val="003B5504"/>
    <w:rsid w:val="003B6E99"/>
    <w:rsid w:val="003B7309"/>
    <w:rsid w:val="003C079C"/>
    <w:rsid w:val="003C29D1"/>
    <w:rsid w:val="003C5029"/>
    <w:rsid w:val="003D0EBD"/>
    <w:rsid w:val="003D1503"/>
    <w:rsid w:val="003D3EA0"/>
    <w:rsid w:val="003E20FE"/>
    <w:rsid w:val="003E21EC"/>
    <w:rsid w:val="003E28F1"/>
    <w:rsid w:val="003E6BDF"/>
    <w:rsid w:val="003E74AD"/>
    <w:rsid w:val="003E7CEC"/>
    <w:rsid w:val="003F5F5E"/>
    <w:rsid w:val="00400BC8"/>
    <w:rsid w:val="00404C2D"/>
    <w:rsid w:val="00414280"/>
    <w:rsid w:val="00414E27"/>
    <w:rsid w:val="0042122E"/>
    <w:rsid w:val="00421F33"/>
    <w:rsid w:val="00424A4F"/>
    <w:rsid w:val="00432E4F"/>
    <w:rsid w:val="00433B0A"/>
    <w:rsid w:val="004340FA"/>
    <w:rsid w:val="00436769"/>
    <w:rsid w:val="004427AD"/>
    <w:rsid w:val="00443F9B"/>
    <w:rsid w:val="00444ED2"/>
    <w:rsid w:val="004455E0"/>
    <w:rsid w:val="0044562D"/>
    <w:rsid w:val="00450D40"/>
    <w:rsid w:val="00451C31"/>
    <w:rsid w:val="00452751"/>
    <w:rsid w:val="00460094"/>
    <w:rsid w:val="00461E50"/>
    <w:rsid w:val="004706BF"/>
    <w:rsid w:val="0048136E"/>
    <w:rsid w:val="00482640"/>
    <w:rsid w:val="00482F7C"/>
    <w:rsid w:val="00485001"/>
    <w:rsid w:val="004924F6"/>
    <w:rsid w:val="00493A63"/>
    <w:rsid w:val="00496D76"/>
    <w:rsid w:val="004A4163"/>
    <w:rsid w:val="004A4CBF"/>
    <w:rsid w:val="004A747A"/>
    <w:rsid w:val="004B2769"/>
    <w:rsid w:val="004B287D"/>
    <w:rsid w:val="004B2D51"/>
    <w:rsid w:val="004B4CE4"/>
    <w:rsid w:val="004B5918"/>
    <w:rsid w:val="004B6CB8"/>
    <w:rsid w:val="004B769E"/>
    <w:rsid w:val="004C211E"/>
    <w:rsid w:val="004C3A2C"/>
    <w:rsid w:val="004C4E54"/>
    <w:rsid w:val="004C592F"/>
    <w:rsid w:val="004D000F"/>
    <w:rsid w:val="004D09A1"/>
    <w:rsid w:val="004D51C6"/>
    <w:rsid w:val="004E155C"/>
    <w:rsid w:val="004E2823"/>
    <w:rsid w:val="004E68FD"/>
    <w:rsid w:val="004E71D7"/>
    <w:rsid w:val="004F1B3F"/>
    <w:rsid w:val="004F31D8"/>
    <w:rsid w:val="004F4402"/>
    <w:rsid w:val="004F7C48"/>
    <w:rsid w:val="005009BE"/>
    <w:rsid w:val="00510BAA"/>
    <w:rsid w:val="005150D1"/>
    <w:rsid w:val="00525D7B"/>
    <w:rsid w:val="00527153"/>
    <w:rsid w:val="00530818"/>
    <w:rsid w:val="00530C43"/>
    <w:rsid w:val="00530CB9"/>
    <w:rsid w:val="00531280"/>
    <w:rsid w:val="00531413"/>
    <w:rsid w:val="005322CE"/>
    <w:rsid w:val="0053231D"/>
    <w:rsid w:val="0053339B"/>
    <w:rsid w:val="00533512"/>
    <w:rsid w:val="00533A22"/>
    <w:rsid w:val="00533B57"/>
    <w:rsid w:val="00533E1E"/>
    <w:rsid w:val="0053428B"/>
    <w:rsid w:val="00535C7A"/>
    <w:rsid w:val="005412BE"/>
    <w:rsid w:val="005425EB"/>
    <w:rsid w:val="00553393"/>
    <w:rsid w:val="00560815"/>
    <w:rsid w:val="00561B9C"/>
    <w:rsid w:val="00562967"/>
    <w:rsid w:val="005634EF"/>
    <w:rsid w:val="00566A40"/>
    <w:rsid w:val="00566DEA"/>
    <w:rsid w:val="005721F3"/>
    <w:rsid w:val="005728F6"/>
    <w:rsid w:val="00573866"/>
    <w:rsid w:val="005740A9"/>
    <w:rsid w:val="0058152A"/>
    <w:rsid w:val="0058173D"/>
    <w:rsid w:val="00582B35"/>
    <w:rsid w:val="00583E93"/>
    <w:rsid w:val="0058616E"/>
    <w:rsid w:val="00587919"/>
    <w:rsid w:val="00590715"/>
    <w:rsid w:val="00594257"/>
    <w:rsid w:val="00595014"/>
    <w:rsid w:val="00596476"/>
    <w:rsid w:val="005A084E"/>
    <w:rsid w:val="005A502E"/>
    <w:rsid w:val="005A5969"/>
    <w:rsid w:val="005A6346"/>
    <w:rsid w:val="005C1BE7"/>
    <w:rsid w:val="005C51EC"/>
    <w:rsid w:val="005D19DE"/>
    <w:rsid w:val="005D25D6"/>
    <w:rsid w:val="005D2D89"/>
    <w:rsid w:val="005D3810"/>
    <w:rsid w:val="005D4568"/>
    <w:rsid w:val="005D570E"/>
    <w:rsid w:val="005D678C"/>
    <w:rsid w:val="005D78A0"/>
    <w:rsid w:val="005E0799"/>
    <w:rsid w:val="005E0CE4"/>
    <w:rsid w:val="005E13B5"/>
    <w:rsid w:val="005E1BC1"/>
    <w:rsid w:val="005E3E79"/>
    <w:rsid w:val="005F1E4D"/>
    <w:rsid w:val="005F361F"/>
    <w:rsid w:val="005F470F"/>
    <w:rsid w:val="005F51BC"/>
    <w:rsid w:val="005F5CA7"/>
    <w:rsid w:val="0060184E"/>
    <w:rsid w:val="0060488B"/>
    <w:rsid w:val="00607AA2"/>
    <w:rsid w:val="006110D5"/>
    <w:rsid w:val="00613EBB"/>
    <w:rsid w:val="00614C16"/>
    <w:rsid w:val="00621EC4"/>
    <w:rsid w:val="00622D84"/>
    <w:rsid w:val="00630CCF"/>
    <w:rsid w:val="00630DE0"/>
    <w:rsid w:val="00631150"/>
    <w:rsid w:val="00631625"/>
    <w:rsid w:val="006358C6"/>
    <w:rsid w:val="00636EC5"/>
    <w:rsid w:val="00640FDF"/>
    <w:rsid w:val="00642A92"/>
    <w:rsid w:val="00644A96"/>
    <w:rsid w:val="00650059"/>
    <w:rsid w:val="00657918"/>
    <w:rsid w:val="0066135C"/>
    <w:rsid w:val="00661CB9"/>
    <w:rsid w:val="00663082"/>
    <w:rsid w:val="006666A2"/>
    <w:rsid w:val="0067114A"/>
    <w:rsid w:val="006742E3"/>
    <w:rsid w:val="00677635"/>
    <w:rsid w:val="00677AD6"/>
    <w:rsid w:val="00682081"/>
    <w:rsid w:val="006825B9"/>
    <w:rsid w:val="006873B8"/>
    <w:rsid w:val="006903B3"/>
    <w:rsid w:val="0069077B"/>
    <w:rsid w:val="006961A7"/>
    <w:rsid w:val="006A3071"/>
    <w:rsid w:val="006A4A3D"/>
    <w:rsid w:val="006A7DC0"/>
    <w:rsid w:val="006A7F8A"/>
    <w:rsid w:val="006B0109"/>
    <w:rsid w:val="006B083C"/>
    <w:rsid w:val="006B2E95"/>
    <w:rsid w:val="006B2E99"/>
    <w:rsid w:val="006B5451"/>
    <w:rsid w:val="006B5E9E"/>
    <w:rsid w:val="006C2A4C"/>
    <w:rsid w:val="006C2C25"/>
    <w:rsid w:val="006C77E6"/>
    <w:rsid w:val="006C7B2E"/>
    <w:rsid w:val="006C7FA8"/>
    <w:rsid w:val="006D000A"/>
    <w:rsid w:val="006D0A78"/>
    <w:rsid w:val="006D3289"/>
    <w:rsid w:val="006D4DBE"/>
    <w:rsid w:val="006D63B8"/>
    <w:rsid w:val="006E028C"/>
    <w:rsid w:val="006E2BCE"/>
    <w:rsid w:val="006E3344"/>
    <w:rsid w:val="006E391E"/>
    <w:rsid w:val="006E3F54"/>
    <w:rsid w:val="006E5814"/>
    <w:rsid w:val="006E74B1"/>
    <w:rsid w:val="006F581E"/>
    <w:rsid w:val="006F5C42"/>
    <w:rsid w:val="006F6022"/>
    <w:rsid w:val="006F713C"/>
    <w:rsid w:val="00700383"/>
    <w:rsid w:val="00701F27"/>
    <w:rsid w:val="00710503"/>
    <w:rsid w:val="00716BD9"/>
    <w:rsid w:val="00720ECA"/>
    <w:rsid w:val="007338B9"/>
    <w:rsid w:val="00734A37"/>
    <w:rsid w:val="00735764"/>
    <w:rsid w:val="00740745"/>
    <w:rsid w:val="00742CC1"/>
    <w:rsid w:val="00743314"/>
    <w:rsid w:val="00746496"/>
    <w:rsid w:val="00750396"/>
    <w:rsid w:val="007508E3"/>
    <w:rsid w:val="00754AFF"/>
    <w:rsid w:val="00755835"/>
    <w:rsid w:val="00755E9D"/>
    <w:rsid w:val="00756619"/>
    <w:rsid w:val="007566C7"/>
    <w:rsid w:val="0076030A"/>
    <w:rsid w:val="007609CE"/>
    <w:rsid w:val="007634A4"/>
    <w:rsid w:val="00765846"/>
    <w:rsid w:val="00770964"/>
    <w:rsid w:val="0077193A"/>
    <w:rsid w:val="0077201C"/>
    <w:rsid w:val="00775658"/>
    <w:rsid w:val="00781A13"/>
    <w:rsid w:val="00782616"/>
    <w:rsid w:val="00782742"/>
    <w:rsid w:val="00786C81"/>
    <w:rsid w:val="00787C5D"/>
    <w:rsid w:val="00793642"/>
    <w:rsid w:val="00795E51"/>
    <w:rsid w:val="00797066"/>
    <w:rsid w:val="007A1D58"/>
    <w:rsid w:val="007A4CFD"/>
    <w:rsid w:val="007A7774"/>
    <w:rsid w:val="007B0ACE"/>
    <w:rsid w:val="007B1600"/>
    <w:rsid w:val="007B2A77"/>
    <w:rsid w:val="007C0B24"/>
    <w:rsid w:val="007C13AB"/>
    <w:rsid w:val="007C6162"/>
    <w:rsid w:val="007C645C"/>
    <w:rsid w:val="007D0144"/>
    <w:rsid w:val="007D0751"/>
    <w:rsid w:val="007D5C70"/>
    <w:rsid w:val="007D7BB6"/>
    <w:rsid w:val="007E13AF"/>
    <w:rsid w:val="007E2F90"/>
    <w:rsid w:val="007E3125"/>
    <w:rsid w:val="007E3A31"/>
    <w:rsid w:val="007E3E22"/>
    <w:rsid w:val="007E65CF"/>
    <w:rsid w:val="007E6818"/>
    <w:rsid w:val="007F2B53"/>
    <w:rsid w:val="007F36BD"/>
    <w:rsid w:val="007F6B41"/>
    <w:rsid w:val="007F7A35"/>
    <w:rsid w:val="00802D60"/>
    <w:rsid w:val="00810C53"/>
    <w:rsid w:val="0081254A"/>
    <w:rsid w:val="00813E01"/>
    <w:rsid w:val="008158F5"/>
    <w:rsid w:val="008226B4"/>
    <w:rsid w:val="0082507D"/>
    <w:rsid w:val="00826007"/>
    <w:rsid w:val="00830689"/>
    <w:rsid w:val="00830BD1"/>
    <w:rsid w:val="00834199"/>
    <w:rsid w:val="0084419A"/>
    <w:rsid w:val="00844F35"/>
    <w:rsid w:val="0084660B"/>
    <w:rsid w:val="00850AC1"/>
    <w:rsid w:val="00850E56"/>
    <w:rsid w:val="008556D1"/>
    <w:rsid w:val="0086016F"/>
    <w:rsid w:val="0086039E"/>
    <w:rsid w:val="00862FCC"/>
    <w:rsid w:val="00862FE4"/>
    <w:rsid w:val="0086356E"/>
    <w:rsid w:val="008640DE"/>
    <w:rsid w:val="00864D71"/>
    <w:rsid w:val="00865B49"/>
    <w:rsid w:val="008734A2"/>
    <w:rsid w:val="00876C49"/>
    <w:rsid w:val="0088103D"/>
    <w:rsid w:val="00882956"/>
    <w:rsid w:val="00882974"/>
    <w:rsid w:val="008870BB"/>
    <w:rsid w:val="00891947"/>
    <w:rsid w:val="0089216E"/>
    <w:rsid w:val="00894AB5"/>
    <w:rsid w:val="00895786"/>
    <w:rsid w:val="008962C7"/>
    <w:rsid w:val="008A1D6A"/>
    <w:rsid w:val="008A51F8"/>
    <w:rsid w:val="008A56E0"/>
    <w:rsid w:val="008A5B57"/>
    <w:rsid w:val="008A5D3E"/>
    <w:rsid w:val="008A7286"/>
    <w:rsid w:val="008A7762"/>
    <w:rsid w:val="008B0C17"/>
    <w:rsid w:val="008B2862"/>
    <w:rsid w:val="008B2D61"/>
    <w:rsid w:val="008B3CB4"/>
    <w:rsid w:val="008B470F"/>
    <w:rsid w:val="008B7C41"/>
    <w:rsid w:val="008C053E"/>
    <w:rsid w:val="008C06F8"/>
    <w:rsid w:val="008C15FB"/>
    <w:rsid w:val="008C5C46"/>
    <w:rsid w:val="008C611C"/>
    <w:rsid w:val="008D4348"/>
    <w:rsid w:val="008E19F2"/>
    <w:rsid w:val="008F1E93"/>
    <w:rsid w:val="008F2F5D"/>
    <w:rsid w:val="008F627C"/>
    <w:rsid w:val="008F6F8B"/>
    <w:rsid w:val="009023F6"/>
    <w:rsid w:val="00904DCF"/>
    <w:rsid w:val="00906F96"/>
    <w:rsid w:val="009078E0"/>
    <w:rsid w:val="0091246F"/>
    <w:rsid w:val="00913C73"/>
    <w:rsid w:val="00914722"/>
    <w:rsid w:val="00914DD2"/>
    <w:rsid w:val="00917FE1"/>
    <w:rsid w:val="00926D6B"/>
    <w:rsid w:val="00934FAE"/>
    <w:rsid w:val="009371AB"/>
    <w:rsid w:val="00940F76"/>
    <w:rsid w:val="00946CC0"/>
    <w:rsid w:val="0094728F"/>
    <w:rsid w:val="009476A3"/>
    <w:rsid w:val="00950278"/>
    <w:rsid w:val="0095223C"/>
    <w:rsid w:val="009523C2"/>
    <w:rsid w:val="00961FA6"/>
    <w:rsid w:val="00964D21"/>
    <w:rsid w:val="00964E7E"/>
    <w:rsid w:val="0096518F"/>
    <w:rsid w:val="009665A3"/>
    <w:rsid w:val="00966D36"/>
    <w:rsid w:val="009672F7"/>
    <w:rsid w:val="00970DEE"/>
    <w:rsid w:val="009735F9"/>
    <w:rsid w:val="00976489"/>
    <w:rsid w:val="0097694A"/>
    <w:rsid w:val="00977F66"/>
    <w:rsid w:val="0098206D"/>
    <w:rsid w:val="00983386"/>
    <w:rsid w:val="00983679"/>
    <w:rsid w:val="00991301"/>
    <w:rsid w:val="00991391"/>
    <w:rsid w:val="00993C4B"/>
    <w:rsid w:val="00994150"/>
    <w:rsid w:val="00994420"/>
    <w:rsid w:val="00997F61"/>
    <w:rsid w:val="009A294A"/>
    <w:rsid w:val="009A3BD1"/>
    <w:rsid w:val="009A3E06"/>
    <w:rsid w:val="009A5BD9"/>
    <w:rsid w:val="009B2ECC"/>
    <w:rsid w:val="009B43C6"/>
    <w:rsid w:val="009C579B"/>
    <w:rsid w:val="009C5B86"/>
    <w:rsid w:val="009C7899"/>
    <w:rsid w:val="009D0264"/>
    <w:rsid w:val="009D13DC"/>
    <w:rsid w:val="009D212D"/>
    <w:rsid w:val="009D5499"/>
    <w:rsid w:val="009D5FF5"/>
    <w:rsid w:val="009D7A16"/>
    <w:rsid w:val="009E352E"/>
    <w:rsid w:val="009E5A70"/>
    <w:rsid w:val="009E7364"/>
    <w:rsid w:val="009E7AEC"/>
    <w:rsid w:val="009F4B8B"/>
    <w:rsid w:val="00A0158C"/>
    <w:rsid w:val="00A02841"/>
    <w:rsid w:val="00A0441E"/>
    <w:rsid w:val="00A050C6"/>
    <w:rsid w:val="00A05675"/>
    <w:rsid w:val="00A137E9"/>
    <w:rsid w:val="00A245B2"/>
    <w:rsid w:val="00A247BA"/>
    <w:rsid w:val="00A25D79"/>
    <w:rsid w:val="00A275C0"/>
    <w:rsid w:val="00A27C17"/>
    <w:rsid w:val="00A3191F"/>
    <w:rsid w:val="00A3319D"/>
    <w:rsid w:val="00A3355A"/>
    <w:rsid w:val="00A47333"/>
    <w:rsid w:val="00A500A4"/>
    <w:rsid w:val="00A5088C"/>
    <w:rsid w:val="00A57A09"/>
    <w:rsid w:val="00A62539"/>
    <w:rsid w:val="00A62A79"/>
    <w:rsid w:val="00A64D8E"/>
    <w:rsid w:val="00A65993"/>
    <w:rsid w:val="00A65DD4"/>
    <w:rsid w:val="00A74CFB"/>
    <w:rsid w:val="00A761AC"/>
    <w:rsid w:val="00A82949"/>
    <w:rsid w:val="00A83A5C"/>
    <w:rsid w:val="00A85D3F"/>
    <w:rsid w:val="00A9085B"/>
    <w:rsid w:val="00A9095A"/>
    <w:rsid w:val="00A93ED9"/>
    <w:rsid w:val="00A9638E"/>
    <w:rsid w:val="00AA2669"/>
    <w:rsid w:val="00AA323E"/>
    <w:rsid w:val="00AA3DE7"/>
    <w:rsid w:val="00AA5649"/>
    <w:rsid w:val="00AB11D8"/>
    <w:rsid w:val="00AC0091"/>
    <w:rsid w:val="00AD0440"/>
    <w:rsid w:val="00AD7695"/>
    <w:rsid w:val="00AD78C8"/>
    <w:rsid w:val="00AE4802"/>
    <w:rsid w:val="00AE4CCB"/>
    <w:rsid w:val="00AF4665"/>
    <w:rsid w:val="00AF4757"/>
    <w:rsid w:val="00AF5E1F"/>
    <w:rsid w:val="00AF7F33"/>
    <w:rsid w:val="00B027D7"/>
    <w:rsid w:val="00B03E48"/>
    <w:rsid w:val="00B066A1"/>
    <w:rsid w:val="00B0673A"/>
    <w:rsid w:val="00B073DB"/>
    <w:rsid w:val="00B07AD7"/>
    <w:rsid w:val="00B118DF"/>
    <w:rsid w:val="00B122C9"/>
    <w:rsid w:val="00B128BD"/>
    <w:rsid w:val="00B12EC9"/>
    <w:rsid w:val="00B13636"/>
    <w:rsid w:val="00B2436F"/>
    <w:rsid w:val="00B26B80"/>
    <w:rsid w:val="00B275FA"/>
    <w:rsid w:val="00B32592"/>
    <w:rsid w:val="00B36464"/>
    <w:rsid w:val="00B42DAD"/>
    <w:rsid w:val="00B4336D"/>
    <w:rsid w:val="00B5151A"/>
    <w:rsid w:val="00B51E7E"/>
    <w:rsid w:val="00B540FB"/>
    <w:rsid w:val="00B545CB"/>
    <w:rsid w:val="00B54B02"/>
    <w:rsid w:val="00B70190"/>
    <w:rsid w:val="00B701F0"/>
    <w:rsid w:val="00B71C0C"/>
    <w:rsid w:val="00B74F42"/>
    <w:rsid w:val="00B755BA"/>
    <w:rsid w:val="00B7614A"/>
    <w:rsid w:val="00B83EF6"/>
    <w:rsid w:val="00B84F04"/>
    <w:rsid w:val="00BA0023"/>
    <w:rsid w:val="00BA2AFD"/>
    <w:rsid w:val="00BA4350"/>
    <w:rsid w:val="00BA4FC9"/>
    <w:rsid w:val="00BA7B88"/>
    <w:rsid w:val="00BB03FB"/>
    <w:rsid w:val="00BB11A1"/>
    <w:rsid w:val="00BB23CF"/>
    <w:rsid w:val="00BB2414"/>
    <w:rsid w:val="00BB3A51"/>
    <w:rsid w:val="00BB3B79"/>
    <w:rsid w:val="00BB416B"/>
    <w:rsid w:val="00BB4814"/>
    <w:rsid w:val="00BC1EE0"/>
    <w:rsid w:val="00BC333D"/>
    <w:rsid w:val="00BD0337"/>
    <w:rsid w:val="00BD17DA"/>
    <w:rsid w:val="00BD29EF"/>
    <w:rsid w:val="00BD414D"/>
    <w:rsid w:val="00BD639B"/>
    <w:rsid w:val="00BD649C"/>
    <w:rsid w:val="00BD695E"/>
    <w:rsid w:val="00BE5863"/>
    <w:rsid w:val="00BF088C"/>
    <w:rsid w:val="00BF1B43"/>
    <w:rsid w:val="00BF570F"/>
    <w:rsid w:val="00C04374"/>
    <w:rsid w:val="00C13333"/>
    <w:rsid w:val="00C1782E"/>
    <w:rsid w:val="00C3494C"/>
    <w:rsid w:val="00C34C92"/>
    <w:rsid w:val="00C4519A"/>
    <w:rsid w:val="00C47F3F"/>
    <w:rsid w:val="00C5430B"/>
    <w:rsid w:val="00C5505D"/>
    <w:rsid w:val="00C56036"/>
    <w:rsid w:val="00C65773"/>
    <w:rsid w:val="00C66017"/>
    <w:rsid w:val="00C7445A"/>
    <w:rsid w:val="00C74C69"/>
    <w:rsid w:val="00C74DF3"/>
    <w:rsid w:val="00C830CF"/>
    <w:rsid w:val="00C86BA5"/>
    <w:rsid w:val="00C87146"/>
    <w:rsid w:val="00C914E0"/>
    <w:rsid w:val="00C92625"/>
    <w:rsid w:val="00CA32A3"/>
    <w:rsid w:val="00CA675B"/>
    <w:rsid w:val="00CC0557"/>
    <w:rsid w:val="00CC1A24"/>
    <w:rsid w:val="00CC237F"/>
    <w:rsid w:val="00CC4249"/>
    <w:rsid w:val="00CD123E"/>
    <w:rsid w:val="00CD35A5"/>
    <w:rsid w:val="00CD42D8"/>
    <w:rsid w:val="00CE1C26"/>
    <w:rsid w:val="00CE1DDC"/>
    <w:rsid w:val="00CE229F"/>
    <w:rsid w:val="00CE7B1A"/>
    <w:rsid w:val="00CF1C86"/>
    <w:rsid w:val="00CF4BD1"/>
    <w:rsid w:val="00CF5802"/>
    <w:rsid w:val="00CF6B82"/>
    <w:rsid w:val="00D002AC"/>
    <w:rsid w:val="00D018F4"/>
    <w:rsid w:val="00D03066"/>
    <w:rsid w:val="00D03695"/>
    <w:rsid w:val="00D0408F"/>
    <w:rsid w:val="00D049AD"/>
    <w:rsid w:val="00D05095"/>
    <w:rsid w:val="00D0519D"/>
    <w:rsid w:val="00D0697B"/>
    <w:rsid w:val="00D07908"/>
    <w:rsid w:val="00D1125F"/>
    <w:rsid w:val="00D1147B"/>
    <w:rsid w:val="00D1773F"/>
    <w:rsid w:val="00D21F65"/>
    <w:rsid w:val="00D24E7D"/>
    <w:rsid w:val="00D302EB"/>
    <w:rsid w:val="00D3281D"/>
    <w:rsid w:val="00D358EE"/>
    <w:rsid w:val="00D36044"/>
    <w:rsid w:val="00D40796"/>
    <w:rsid w:val="00D407D4"/>
    <w:rsid w:val="00D45F31"/>
    <w:rsid w:val="00D46DD5"/>
    <w:rsid w:val="00D476E6"/>
    <w:rsid w:val="00D53A4D"/>
    <w:rsid w:val="00D558E2"/>
    <w:rsid w:val="00D5687F"/>
    <w:rsid w:val="00D606A2"/>
    <w:rsid w:val="00D61484"/>
    <w:rsid w:val="00D6218E"/>
    <w:rsid w:val="00D637E2"/>
    <w:rsid w:val="00D645BA"/>
    <w:rsid w:val="00D64840"/>
    <w:rsid w:val="00D65923"/>
    <w:rsid w:val="00D73755"/>
    <w:rsid w:val="00D74FD3"/>
    <w:rsid w:val="00D76860"/>
    <w:rsid w:val="00D80A00"/>
    <w:rsid w:val="00D82014"/>
    <w:rsid w:val="00D82075"/>
    <w:rsid w:val="00D82440"/>
    <w:rsid w:val="00D83C64"/>
    <w:rsid w:val="00D84CAE"/>
    <w:rsid w:val="00D86400"/>
    <w:rsid w:val="00D92689"/>
    <w:rsid w:val="00D9373E"/>
    <w:rsid w:val="00D953D3"/>
    <w:rsid w:val="00D9604A"/>
    <w:rsid w:val="00DA0D0D"/>
    <w:rsid w:val="00DA1694"/>
    <w:rsid w:val="00DA26EB"/>
    <w:rsid w:val="00DA58D6"/>
    <w:rsid w:val="00DA6F4A"/>
    <w:rsid w:val="00DB005F"/>
    <w:rsid w:val="00DB0C19"/>
    <w:rsid w:val="00DB6B80"/>
    <w:rsid w:val="00DB7EE2"/>
    <w:rsid w:val="00DB7F8C"/>
    <w:rsid w:val="00DC38E1"/>
    <w:rsid w:val="00DC4E6C"/>
    <w:rsid w:val="00DC5042"/>
    <w:rsid w:val="00DC6D3E"/>
    <w:rsid w:val="00DC7333"/>
    <w:rsid w:val="00DD1200"/>
    <w:rsid w:val="00DD2347"/>
    <w:rsid w:val="00DD2557"/>
    <w:rsid w:val="00DF62F4"/>
    <w:rsid w:val="00DF64D5"/>
    <w:rsid w:val="00E00F93"/>
    <w:rsid w:val="00E0174E"/>
    <w:rsid w:val="00E05180"/>
    <w:rsid w:val="00E068CF"/>
    <w:rsid w:val="00E1059F"/>
    <w:rsid w:val="00E10CF9"/>
    <w:rsid w:val="00E12863"/>
    <w:rsid w:val="00E14A78"/>
    <w:rsid w:val="00E15E42"/>
    <w:rsid w:val="00E17610"/>
    <w:rsid w:val="00E20AF2"/>
    <w:rsid w:val="00E21576"/>
    <w:rsid w:val="00E26EAF"/>
    <w:rsid w:val="00E2781D"/>
    <w:rsid w:val="00E27C16"/>
    <w:rsid w:val="00E306F5"/>
    <w:rsid w:val="00E32FE9"/>
    <w:rsid w:val="00E34D8E"/>
    <w:rsid w:val="00E416CC"/>
    <w:rsid w:val="00E453B6"/>
    <w:rsid w:val="00E5536A"/>
    <w:rsid w:val="00E553D7"/>
    <w:rsid w:val="00E56D07"/>
    <w:rsid w:val="00E57506"/>
    <w:rsid w:val="00E57922"/>
    <w:rsid w:val="00E6189B"/>
    <w:rsid w:val="00E648BF"/>
    <w:rsid w:val="00E65010"/>
    <w:rsid w:val="00E704E6"/>
    <w:rsid w:val="00E71DB6"/>
    <w:rsid w:val="00E72F8C"/>
    <w:rsid w:val="00E7317B"/>
    <w:rsid w:val="00E74CB4"/>
    <w:rsid w:val="00E759F5"/>
    <w:rsid w:val="00E75E01"/>
    <w:rsid w:val="00E76273"/>
    <w:rsid w:val="00E77A5B"/>
    <w:rsid w:val="00E80E88"/>
    <w:rsid w:val="00E83D8F"/>
    <w:rsid w:val="00E87576"/>
    <w:rsid w:val="00E9346D"/>
    <w:rsid w:val="00E944A8"/>
    <w:rsid w:val="00E96AF6"/>
    <w:rsid w:val="00EA0D8F"/>
    <w:rsid w:val="00EA16B8"/>
    <w:rsid w:val="00EA1CC6"/>
    <w:rsid w:val="00EA574D"/>
    <w:rsid w:val="00EA603B"/>
    <w:rsid w:val="00EA7E05"/>
    <w:rsid w:val="00EB2684"/>
    <w:rsid w:val="00EB3465"/>
    <w:rsid w:val="00EB67C0"/>
    <w:rsid w:val="00EB71AB"/>
    <w:rsid w:val="00EC02C5"/>
    <w:rsid w:val="00EC3502"/>
    <w:rsid w:val="00EC5A44"/>
    <w:rsid w:val="00ED2385"/>
    <w:rsid w:val="00ED313E"/>
    <w:rsid w:val="00ED3982"/>
    <w:rsid w:val="00ED4429"/>
    <w:rsid w:val="00ED4879"/>
    <w:rsid w:val="00ED5A0A"/>
    <w:rsid w:val="00ED7FDA"/>
    <w:rsid w:val="00EE0D41"/>
    <w:rsid w:val="00EE4E95"/>
    <w:rsid w:val="00EE5A93"/>
    <w:rsid w:val="00EE769A"/>
    <w:rsid w:val="00EF1635"/>
    <w:rsid w:val="00EF79E8"/>
    <w:rsid w:val="00F06B97"/>
    <w:rsid w:val="00F10511"/>
    <w:rsid w:val="00F14573"/>
    <w:rsid w:val="00F22D83"/>
    <w:rsid w:val="00F2360F"/>
    <w:rsid w:val="00F3071E"/>
    <w:rsid w:val="00F309A7"/>
    <w:rsid w:val="00F311E5"/>
    <w:rsid w:val="00F37B57"/>
    <w:rsid w:val="00F404B3"/>
    <w:rsid w:val="00F43791"/>
    <w:rsid w:val="00F54C48"/>
    <w:rsid w:val="00F568B4"/>
    <w:rsid w:val="00F6054A"/>
    <w:rsid w:val="00F61047"/>
    <w:rsid w:val="00F6156E"/>
    <w:rsid w:val="00F63864"/>
    <w:rsid w:val="00F6698B"/>
    <w:rsid w:val="00F716BD"/>
    <w:rsid w:val="00F74277"/>
    <w:rsid w:val="00F748B9"/>
    <w:rsid w:val="00F778C3"/>
    <w:rsid w:val="00F840EB"/>
    <w:rsid w:val="00F87DE2"/>
    <w:rsid w:val="00F97E93"/>
    <w:rsid w:val="00FA2653"/>
    <w:rsid w:val="00FA5086"/>
    <w:rsid w:val="00FB0112"/>
    <w:rsid w:val="00FB0950"/>
    <w:rsid w:val="00FB1663"/>
    <w:rsid w:val="00FB24C2"/>
    <w:rsid w:val="00FB5D9F"/>
    <w:rsid w:val="00FB7FEA"/>
    <w:rsid w:val="00FC3289"/>
    <w:rsid w:val="00FC6A92"/>
    <w:rsid w:val="00FD340C"/>
    <w:rsid w:val="00FD58BE"/>
    <w:rsid w:val="00FD6FD1"/>
    <w:rsid w:val="00FD74D1"/>
    <w:rsid w:val="00FE235D"/>
    <w:rsid w:val="00FE2D6F"/>
    <w:rsid w:val="00FE2DD9"/>
    <w:rsid w:val="00FE47BD"/>
    <w:rsid w:val="00FE6DEF"/>
    <w:rsid w:val="00FE7DB1"/>
    <w:rsid w:val="00FF446B"/>
    <w:rsid w:val="00FF4F05"/>
    <w:rsid w:val="00FF6E3F"/>
    <w:rsid w:val="015820A5"/>
    <w:rsid w:val="04936845"/>
    <w:rsid w:val="055E3D25"/>
    <w:rsid w:val="07950A4A"/>
    <w:rsid w:val="0BEA01A4"/>
    <w:rsid w:val="0DB937C0"/>
    <w:rsid w:val="10B169D0"/>
    <w:rsid w:val="11E84674"/>
    <w:rsid w:val="157D01C2"/>
    <w:rsid w:val="187F5287"/>
    <w:rsid w:val="19507538"/>
    <w:rsid w:val="1B776A68"/>
    <w:rsid w:val="1BCB6E06"/>
    <w:rsid w:val="23692F0B"/>
    <w:rsid w:val="23AC3027"/>
    <w:rsid w:val="27DF5779"/>
    <w:rsid w:val="300B1F22"/>
    <w:rsid w:val="30336FAA"/>
    <w:rsid w:val="30744ECD"/>
    <w:rsid w:val="32026C34"/>
    <w:rsid w:val="33C30645"/>
    <w:rsid w:val="355754E9"/>
    <w:rsid w:val="358D6E3D"/>
    <w:rsid w:val="3B7F3FB6"/>
    <w:rsid w:val="3B895CD0"/>
    <w:rsid w:val="3E261EFC"/>
    <w:rsid w:val="3E7E3AE6"/>
    <w:rsid w:val="3EEA310C"/>
    <w:rsid w:val="430D368B"/>
    <w:rsid w:val="435317CC"/>
    <w:rsid w:val="442C18EF"/>
    <w:rsid w:val="47FE2556"/>
    <w:rsid w:val="484A61BF"/>
    <w:rsid w:val="48517B76"/>
    <w:rsid w:val="4A1C22BF"/>
    <w:rsid w:val="4C1353C5"/>
    <w:rsid w:val="4C2E5100"/>
    <w:rsid w:val="4D7F5185"/>
    <w:rsid w:val="4E683099"/>
    <w:rsid w:val="4E944C60"/>
    <w:rsid w:val="4F343D4D"/>
    <w:rsid w:val="5052092F"/>
    <w:rsid w:val="51840FBC"/>
    <w:rsid w:val="5579695E"/>
    <w:rsid w:val="5BE253A3"/>
    <w:rsid w:val="5C797243"/>
    <w:rsid w:val="5CCE3A33"/>
    <w:rsid w:val="60341478"/>
    <w:rsid w:val="62B875A8"/>
    <w:rsid w:val="630D005B"/>
    <w:rsid w:val="64AD0CDC"/>
    <w:rsid w:val="65605444"/>
    <w:rsid w:val="66DD0BA3"/>
    <w:rsid w:val="67E73A12"/>
    <w:rsid w:val="6835596F"/>
    <w:rsid w:val="688A75AA"/>
    <w:rsid w:val="6A002D52"/>
    <w:rsid w:val="6E930520"/>
    <w:rsid w:val="70BE51B8"/>
    <w:rsid w:val="714072D4"/>
    <w:rsid w:val="73EA052A"/>
    <w:rsid w:val="75D27C98"/>
    <w:rsid w:val="76EA2DC0"/>
    <w:rsid w:val="7C9A7F2E"/>
    <w:rsid w:val="7DBD4D8A"/>
    <w:rsid w:val="7ECA0929"/>
    <w:rsid w:val="7F2773FC"/>
    <w:rsid w:val="7F590A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1"/>
      <w:lang w:val="en-US" w:eastAsia="zh-CN" w:bidi="ar-SA"/>
      <w14:ligatures w14:val="standardContextual"/>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tabs>
        <w:tab w:val="center" w:pos="4153"/>
        <w:tab w:val="right" w:pos="8306"/>
      </w:tabs>
      <w:snapToGrid w:val="0"/>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 w:type="character" w:customStyle="1" w:styleId="8">
    <w:name w:val="fontstyle01"/>
    <w:basedOn w:val="5"/>
    <w:qFormat/>
    <w:uiPriority w:val="0"/>
    <w:rPr>
      <w:rFonts w:hint="default" w:ascii="AdvOTce3d9a73" w:hAnsi="AdvOTce3d9a73"/>
      <w:color w:val="000000"/>
      <w:sz w:val="20"/>
      <w:szCs w:val="20"/>
    </w:rPr>
  </w:style>
  <w:style w:type="character" w:styleId="9">
    <w:name w:val="Placeholder Text"/>
    <w:basedOn w:val="5"/>
    <w:semiHidden/>
    <w:qFormat/>
    <w:uiPriority w:val="99"/>
    <w:rPr>
      <w:color w:val="666666"/>
    </w:rPr>
  </w:style>
</w:styles>
</file>

<file path=word/_rels/document.xml.rels><?xml version="1.0" encoding="UTF-8" standalone="yes"?>
<Relationships xmlns="http://schemas.openxmlformats.org/package/2006/relationships"><Relationship Id="rId9" Type="http://schemas.openxmlformats.org/officeDocument/2006/relationships/image" Target="media/image5.tiff"/><Relationship Id="rId8" Type="http://schemas.openxmlformats.org/officeDocument/2006/relationships/image" Target="media/image4.tiff"/><Relationship Id="rId7" Type="http://schemas.openxmlformats.org/officeDocument/2006/relationships/image" Target="media/image3.tiff"/><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7.tiff"/><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tiff"/><Relationship Id="rId28" Type="http://schemas.openxmlformats.org/officeDocument/2006/relationships/image" Target="media/image24.tiff"/><Relationship Id="rId27" Type="http://schemas.openxmlformats.org/officeDocument/2006/relationships/image" Target="media/image23.tiff"/><Relationship Id="rId26" Type="http://schemas.openxmlformats.org/officeDocument/2006/relationships/image" Target="media/image22.tiff"/><Relationship Id="rId25" Type="http://schemas.openxmlformats.org/officeDocument/2006/relationships/image" Target="media/image21.tiff"/><Relationship Id="rId24" Type="http://schemas.openxmlformats.org/officeDocument/2006/relationships/image" Target="media/image20.tiff"/><Relationship Id="rId23" Type="http://schemas.openxmlformats.org/officeDocument/2006/relationships/image" Target="media/image19.tiff"/><Relationship Id="rId22" Type="http://schemas.openxmlformats.org/officeDocument/2006/relationships/image" Target="media/image18.jpeg"/><Relationship Id="rId21" Type="http://schemas.openxmlformats.org/officeDocument/2006/relationships/image" Target="media/image17.tiff"/><Relationship Id="rId20" Type="http://schemas.openxmlformats.org/officeDocument/2006/relationships/image" Target="media/image16.tiff"/><Relationship Id="rId2" Type="http://schemas.openxmlformats.org/officeDocument/2006/relationships/settings" Target="settings.xml"/><Relationship Id="rId19" Type="http://schemas.openxmlformats.org/officeDocument/2006/relationships/image" Target="media/image15.tiff"/><Relationship Id="rId18" Type="http://schemas.openxmlformats.org/officeDocument/2006/relationships/image" Target="media/image14.tiff"/><Relationship Id="rId17" Type="http://schemas.openxmlformats.org/officeDocument/2006/relationships/image" Target="media/image13.tiff"/><Relationship Id="rId16" Type="http://schemas.openxmlformats.org/officeDocument/2006/relationships/image" Target="media/image12.tiff"/><Relationship Id="rId15" Type="http://schemas.openxmlformats.org/officeDocument/2006/relationships/image" Target="media/image11.tiff"/><Relationship Id="rId14" Type="http://schemas.openxmlformats.org/officeDocument/2006/relationships/image" Target="media/image10.jpeg"/><Relationship Id="rId13" Type="http://schemas.openxmlformats.org/officeDocument/2006/relationships/image" Target="media/image9.tiff"/><Relationship Id="rId12" Type="http://schemas.openxmlformats.org/officeDocument/2006/relationships/image" Target="media/image8.tiff"/><Relationship Id="rId11" Type="http://schemas.openxmlformats.org/officeDocument/2006/relationships/image" Target="media/image7.tiff"/><Relationship Id="rId10" Type="http://schemas.openxmlformats.org/officeDocument/2006/relationships/image" Target="media/image6.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0871E4-BFA1-4229-8D8F-E9E0ADD93D46}">
  <ds:schemaRefs/>
</ds:datastoreItem>
</file>

<file path=docProps/app.xml><?xml version="1.0" encoding="utf-8"?>
<Properties xmlns="http://schemas.openxmlformats.org/officeDocument/2006/extended-properties" xmlns:vt="http://schemas.openxmlformats.org/officeDocument/2006/docPropsVTypes">
  <Template>Normal</Template>
  <Pages>27</Pages>
  <Words>3540</Words>
  <Characters>19152</Characters>
  <Lines>163</Lines>
  <Paragraphs>46</Paragraphs>
  <TotalTime>362</TotalTime>
  <ScaleCrop>false</ScaleCrop>
  <LinksUpToDate>false</LinksUpToDate>
  <CharactersWithSpaces>22599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2025-11-14T02:50:00Z</dcterms:created>
  <dc:creator>shuo li</dc:creator>
  <cp:lastModifiedBy>李朔</cp:lastModifiedBy>
  <dcterms:modified xsi:type="dcterms:W3CDTF">2026-01-30T17:05:33Z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eyJoZGlkIjoiYjE1YjlhZTRmMzQ5MDMwMDA5MDNhZmNjMjlkMTAxNjEiLCJ1c2VySWQiOiIxNjcxMjc1OTY3In0=</vt:lpwstr>
  </property>
  <property fmtid="{D5CDD505-2E9C-101B-9397-08002B2CF9AE}" pid="3" name="KSOProductBuildVer">
    <vt:lpwstr>2052-12.1.0.24657</vt:lpwstr>
  </property>
  <property fmtid="{D5CDD505-2E9C-101B-9397-08002B2CF9AE}" pid="4" name="ICV">
    <vt:lpwstr>9331028B9BC8430898A42D1A30E8CE46_12</vt:lpwstr>
  </property>
</Properties>
</file>