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4675"/>
        <w:gridCol w:w="4675"/>
      </w:tblGrid>
      <w:tr w:rsidR="00877E5E" w:rsidRPr="00877E5E" w14:paraId="60419026" w14:textId="77777777" w:rsidTr="00877E5E">
        <w:tc>
          <w:tcPr>
            <w:tcW w:w="4675" w:type="dxa"/>
          </w:tcPr>
          <w:p w14:paraId="652616E2" w14:textId="77777777" w:rsidR="00877E5E" w:rsidRPr="00877E5E" w:rsidRDefault="00877E5E" w:rsidP="00877E5E">
            <w:pPr>
              <w:pStyle w:val="NormalWeb"/>
              <w:shd w:val="clear" w:color="auto" w:fill="FFFFFF"/>
            </w:pPr>
            <w:r>
              <w:t>Reporting Item</w:t>
            </w:r>
          </w:p>
        </w:tc>
        <w:tc>
          <w:tcPr>
            <w:tcW w:w="4675" w:type="dxa"/>
          </w:tcPr>
          <w:p w14:paraId="0148C887" w14:textId="77777777" w:rsidR="00877E5E" w:rsidRPr="00877E5E" w:rsidRDefault="00877E5E">
            <w:r>
              <w:t>Where in Manuscript</w:t>
            </w:r>
          </w:p>
        </w:tc>
      </w:tr>
      <w:tr w:rsidR="00877E5E" w:rsidRPr="00877E5E" w14:paraId="593D7B2F" w14:textId="77777777" w:rsidTr="00877E5E">
        <w:tc>
          <w:tcPr>
            <w:tcW w:w="4675" w:type="dxa"/>
          </w:tcPr>
          <w:p w14:paraId="4E43E8FB" w14:textId="77777777" w:rsidR="00877E5E" w:rsidRPr="00877E5E" w:rsidRDefault="00877E5E" w:rsidP="00877E5E">
            <w:pPr>
              <w:pStyle w:val="NormalWeb"/>
              <w:shd w:val="clear" w:color="auto" w:fill="FFFFFF"/>
            </w:pPr>
            <w:r w:rsidRPr="00877E5E">
              <w:rPr>
                <w:rFonts w:ascii="ArialMT" w:hAnsi="ArialMT"/>
                <w:color w:val="3A3A3A"/>
                <w:sz w:val="20"/>
                <w:szCs w:val="20"/>
              </w:rPr>
              <w:t xml:space="preserve">(1) Describe the justification for using a mixed methods approach to the research question </w:t>
            </w:r>
          </w:p>
        </w:tc>
        <w:tc>
          <w:tcPr>
            <w:tcW w:w="4675" w:type="dxa"/>
          </w:tcPr>
          <w:p w14:paraId="1E4DCF0F" w14:textId="575B9EB1" w:rsidR="007542A9" w:rsidRDefault="007542A9" w:rsidP="00877E5E">
            <w:r>
              <w:t xml:space="preserve">p. </w:t>
            </w:r>
            <w:r w:rsidR="00F74AA9">
              <w:t>5</w:t>
            </w:r>
            <w:r>
              <w:t>, lines 1</w:t>
            </w:r>
            <w:r w:rsidR="00C37271">
              <w:t>4</w:t>
            </w:r>
            <w:r w:rsidR="00C0123E">
              <w:t>9</w:t>
            </w:r>
            <w:r w:rsidR="00F74AA9">
              <w:t>-1</w:t>
            </w:r>
            <w:r w:rsidR="00C37271">
              <w:t>5</w:t>
            </w:r>
            <w:r w:rsidR="00C0123E">
              <w:t>4</w:t>
            </w:r>
            <w:r>
              <w:t xml:space="preserve">: </w:t>
            </w:r>
          </w:p>
          <w:p w14:paraId="2A0D3F2D" w14:textId="777849CF" w:rsidR="00877E5E" w:rsidRPr="00877E5E" w:rsidRDefault="004E1682" w:rsidP="00877E5E">
            <w:r w:rsidRPr="004229E0">
              <w:rPr>
                <w:rFonts w:ascii="Calibri" w:eastAsia="Calibri" w:hAnsi="Calibri" w:cs="Calibri"/>
                <w:color w:val="000000" w:themeColor="text1"/>
              </w:rPr>
              <w:t xml:space="preserve">Qualitative methods were used to provide a nuanced exploration of determinants of implementing NRT use per AAP guidelines in primary care that allowed for emergent findings. Quantitative methods provided a structured, quantifiable measurement and valence assessment (positive, neutral, or negative) </w:t>
            </w:r>
            <w:r>
              <w:rPr>
                <w:rFonts w:ascii="Calibri" w:eastAsia="Calibri" w:hAnsi="Calibri" w:cs="Calibri"/>
                <w:color w:val="000000" w:themeColor="text1"/>
              </w:rPr>
              <w:t>using</w:t>
            </w:r>
            <w:r w:rsidRPr="004229E0">
              <w:rPr>
                <w:rFonts w:ascii="Calibri" w:eastAsia="Calibri" w:hAnsi="Calibri" w:cs="Calibri"/>
                <w:color w:val="000000" w:themeColor="text1"/>
              </w:rPr>
              <w:t xml:space="preserve"> </w:t>
            </w:r>
            <w:r>
              <w:rPr>
                <w:rFonts w:ascii="Calibri" w:eastAsia="Calibri" w:hAnsi="Calibri" w:cs="Calibri"/>
                <w:color w:val="000000" w:themeColor="text1"/>
              </w:rPr>
              <w:t xml:space="preserve">an existing survey instrument of </w:t>
            </w:r>
            <w:r w:rsidRPr="004229E0">
              <w:rPr>
                <w:rFonts w:ascii="Calibri" w:eastAsia="Calibri" w:hAnsi="Calibri" w:cs="Calibri"/>
                <w:color w:val="000000" w:themeColor="text1"/>
              </w:rPr>
              <w:t xml:space="preserve">providers’ perceptions of </w:t>
            </w:r>
            <w:r>
              <w:rPr>
                <w:rFonts w:ascii="Calibri" w:eastAsia="Calibri" w:hAnsi="Calibri" w:cs="Calibri"/>
                <w:color w:val="000000" w:themeColor="text1"/>
              </w:rPr>
              <w:t xml:space="preserve">PRISM </w:t>
            </w:r>
            <w:r w:rsidRPr="004229E0">
              <w:rPr>
                <w:rFonts w:ascii="Calibri" w:eastAsia="Calibri" w:hAnsi="Calibri" w:cs="Calibri"/>
                <w:color w:val="000000" w:themeColor="text1"/>
              </w:rPr>
              <w:t>determinant constructs</w:t>
            </w:r>
            <w:r w:rsidR="00B86146">
              <w:rPr>
                <w:rFonts w:ascii="Calibri" w:eastAsia="Calibri" w:hAnsi="Calibri" w:cs="Calibri"/>
                <w:color w:val="000000" w:themeColor="text1"/>
              </w:rPr>
              <w:t>.</w:t>
            </w:r>
          </w:p>
        </w:tc>
      </w:tr>
      <w:tr w:rsidR="00877E5E" w:rsidRPr="00877E5E" w14:paraId="361630E3" w14:textId="77777777" w:rsidTr="00877E5E">
        <w:tc>
          <w:tcPr>
            <w:tcW w:w="4675" w:type="dxa"/>
          </w:tcPr>
          <w:p w14:paraId="26ABB21C" w14:textId="77777777" w:rsidR="00877E5E" w:rsidRPr="00877E5E" w:rsidRDefault="00877E5E" w:rsidP="00877E5E">
            <w:pPr>
              <w:pStyle w:val="NormalWeb"/>
              <w:shd w:val="clear" w:color="auto" w:fill="FFFFFF"/>
            </w:pPr>
            <w:r w:rsidRPr="00877E5E">
              <w:rPr>
                <w:rFonts w:ascii="ArialMT" w:hAnsi="ArialMT"/>
                <w:color w:val="3A3A3A"/>
                <w:sz w:val="20"/>
                <w:szCs w:val="20"/>
              </w:rPr>
              <w:t>(2) Describe the design in terms of the purpose, priority and sequence of methods</w:t>
            </w:r>
          </w:p>
        </w:tc>
        <w:tc>
          <w:tcPr>
            <w:tcW w:w="4675" w:type="dxa"/>
          </w:tcPr>
          <w:p w14:paraId="43622F0F" w14:textId="5B517910" w:rsidR="00033FBA" w:rsidRDefault="00033FBA" w:rsidP="00877E5E">
            <w:r>
              <w:t>p. 3, lines 10</w:t>
            </w:r>
            <w:r w:rsidR="00FC3480">
              <w:t>7</w:t>
            </w:r>
            <w:r>
              <w:t>-1</w:t>
            </w:r>
            <w:r w:rsidR="00FC3480">
              <w:t>10</w:t>
            </w:r>
            <w:r>
              <w:t>:</w:t>
            </w:r>
          </w:p>
          <w:p w14:paraId="396AE052" w14:textId="77777777" w:rsidR="0049281D" w:rsidRPr="004229E0" w:rsidRDefault="0049281D" w:rsidP="0049281D">
            <w:pPr>
              <w:rPr>
                <w:rFonts w:ascii="Calibri" w:eastAsia="Calibri" w:hAnsi="Calibri" w:cs="Calibri"/>
                <w:color w:val="000000" w:themeColor="text1"/>
              </w:rPr>
            </w:pPr>
            <w:r>
              <w:rPr>
                <w:rFonts w:ascii="Calibri" w:eastAsia="Calibri" w:hAnsi="Calibri" w:cs="Calibri"/>
                <w:color w:val="000000" w:themeColor="text1"/>
              </w:rPr>
              <w:t xml:space="preserve">In collaboration between the program improvement team and an implementation research team, </w:t>
            </w:r>
            <w:r w:rsidRPr="004229E0">
              <w:rPr>
                <w:rFonts w:ascii="Calibri" w:eastAsia="Calibri" w:hAnsi="Calibri" w:cs="Calibri"/>
                <w:color w:val="000000" w:themeColor="text1"/>
              </w:rPr>
              <w:t xml:space="preserve">this study sought to explore multi-level determinants of implementing AAP guidelines </w:t>
            </w:r>
            <w:r>
              <w:rPr>
                <w:rFonts w:ascii="Calibri" w:eastAsia="Calibri" w:hAnsi="Calibri" w:cs="Calibri"/>
                <w:color w:val="000000" w:themeColor="text1"/>
              </w:rPr>
              <w:t xml:space="preserve">to consider </w:t>
            </w:r>
            <w:r w:rsidRPr="004229E0">
              <w:rPr>
                <w:rFonts w:ascii="Calibri" w:eastAsia="Calibri" w:hAnsi="Calibri" w:cs="Calibri"/>
                <w:color w:val="000000" w:themeColor="text1"/>
              </w:rPr>
              <w:t>NRT for vaping and tobacco cessation for patients aged 12-17 years old in primary care settings</w:t>
            </w:r>
            <w:r>
              <w:rPr>
                <w:rFonts w:ascii="Calibri" w:eastAsia="Calibri" w:hAnsi="Calibri" w:cs="Calibri"/>
                <w:color w:val="000000" w:themeColor="text1"/>
              </w:rPr>
              <w:t xml:space="preserve"> using </w:t>
            </w:r>
            <w:r w:rsidRPr="004229E0">
              <w:rPr>
                <w:rFonts w:ascii="Calibri" w:eastAsia="Calibri" w:hAnsi="Calibri" w:cs="Calibri"/>
                <w:color w:val="000000" w:themeColor="text1"/>
              </w:rPr>
              <w:t>an implementation science framework</w:t>
            </w:r>
            <w:r>
              <w:rPr>
                <w:rFonts w:ascii="Calibri" w:eastAsia="Calibri" w:hAnsi="Calibri" w:cs="Calibri"/>
                <w:color w:val="000000" w:themeColor="text1"/>
              </w:rPr>
              <w:t>-</w:t>
            </w:r>
            <w:r w:rsidRPr="004229E0">
              <w:rPr>
                <w:rFonts w:ascii="Calibri" w:eastAsia="Calibri" w:hAnsi="Calibri" w:cs="Calibri"/>
                <w:color w:val="000000" w:themeColor="text1"/>
              </w:rPr>
              <w:t>guided</w:t>
            </w:r>
            <w:r>
              <w:rPr>
                <w:rFonts w:ascii="Calibri" w:eastAsia="Calibri" w:hAnsi="Calibri" w:cs="Calibri"/>
                <w:color w:val="000000" w:themeColor="text1"/>
              </w:rPr>
              <w:t>,</w:t>
            </w:r>
            <w:r w:rsidRPr="004229E0">
              <w:rPr>
                <w:rFonts w:ascii="Calibri" w:eastAsia="Calibri" w:hAnsi="Calibri" w:cs="Calibri"/>
                <w:color w:val="000000" w:themeColor="text1"/>
              </w:rPr>
              <w:t xml:space="preserve"> mixed-methods design</w:t>
            </w:r>
            <w:r>
              <w:rPr>
                <w:rFonts w:ascii="Calibri" w:eastAsia="Calibri" w:hAnsi="Calibri" w:cs="Calibri"/>
                <w:color w:val="000000" w:themeColor="text1"/>
              </w:rPr>
              <w:t>.</w:t>
            </w:r>
          </w:p>
          <w:p w14:paraId="6F38CAB5" w14:textId="77777777" w:rsidR="00033FBA" w:rsidRDefault="00033FBA" w:rsidP="00877E5E"/>
          <w:p w14:paraId="2383FF83" w14:textId="77777777" w:rsidR="00033FBA" w:rsidRDefault="00033FBA" w:rsidP="00877E5E"/>
          <w:p w14:paraId="23DCB590" w14:textId="329EE94F" w:rsidR="00877E5E" w:rsidRDefault="00A47A7E" w:rsidP="00877E5E">
            <w:r>
              <w:t xml:space="preserve">p. </w:t>
            </w:r>
            <w:r w:rsidR="00F74AA9">
              <w:t>5</w:t>
            </w:r>
            <w:r>
              <w:t>, lines 1</w:t>
            </w:r>
            <w:r w:rsidR="00033FBA">
              <w:t>4</w:t>
            </w:r>
            <w:r w:rsidR="004760AD">
              <w:t>9</w:t>
            </w:r>
            <w:r w:rsidR="00033FBA">
              <w:t>-1</w:t>
            </w:r>
            <w:r w:rsidR="004760AD">
              <w:t>50</w:t>
            </w:r>
            <w:r>
              <w:t>:</w:t>
            </w:r>
          </w:p>
          <w:p w14:paraId="652E2389" w14:textId="60B34CCE" w:rsidR="00033FBA" w:rsidRPr="00033FBA" w:rsidRDefault="00033FBA" w:rsidP="00877E5E">
            <w:pPr>
              <w:rPr>
                <w:rFonts w:ascii="Calibri" w:eastAsia="Calibri" w:hAnsi="Calibri" w:cs="Calibri"/>
                <w:color w:val="000000" w:themeColor="text1"/>
              </w:rPr>
            </w:pPr>
            <w:r>
              <w:rPr>
                <w:rFonts w:ascii="Calibri" w:eastAsia="Calibri" w:hAnsi="Calibri" w:cs="Calibri"/>
                <w:color w:val="000000" w:themeColor="text1"/>
              </w:rPr>
              <w:t>We</w:t>
            </w:r>
            <w:r w:rsidRPr="004229E0">
              <w:rPr>
                <w:rFonts w:ascii="Calibri" w:eastAsia="Calibri" w:hAnsi="Calibri" w:cs="Calibri"/>
                <w:color w:val="000000" w:themeColor="text1"/>
              </w:rPr>
              <w:t xml:space="preserve"> used a convergent, mixed methods design integrating rapid qualitative matrix analysis with quantitative descriptive analysis</w:t>
            </w:r>
          </w:p>
        </w:tc>
      </w:tr>
      <w:tr w:rsidR="00877E5E" w:rsidRPr="00877E5E" w14:paraId="6CFF1857" w14:textId="77777777" w:rsidTr="00877E5E">
        <w:tc>
          <w:tcPr>
            <w:tcW w:w="4675" w:type="dxa"/>
          </w:tcPr>
          <w:p w14:paraId="0C5E4072" w14:textId="77777777" w:rsidR="00877E5E" w:rsidRPr="00877E5E" w:rsidRDefault="00877E5E" w:rsidP="00877E5E">
            <w:pPr>
              <w:pStyle w:val="NormalWeb"/>
              <w:shd w:val="clear" w:color="auto" w:fill="FFFFFF"/>
            </w:pPr>
            <w:r w:rsidRPr="00877E5E">
              <w:rPr>
                <w:rFonts w:ascii="ArialMT" w:hAnsi="ArialMT"/>
                <w:color w:val="3A3A3A"/>
                <w:sz w:val="20"/>
                <w:szCs w:val="20"/>
              </w:rPr>
              <w:t xml:space="preserve">(3) Describe each method in terms of sampling, data collection and analysis </w:t>
            </w:r>
          </w:p>
        </w:tc>
        <w:tc>
          <w:tcPr>
            <w:tcW w:w="4675" w:type="dxa"/>
          </w:tcPr>
          <w:p w14:paraId="61AF1376" w14:textId="1EA3F1BF" w:rsidR="00877E5E" w:rsidRDefault="005C18AF" w:rsidP="00877E5E">
            <w:r>
              <w:t xml:space="preserve">p. </w:t>
            </w:r>
            <w:r w:rsidR="0017636D">
              <w:t>6</w:t>
            </w:r>
            <w:r>
              <w:t>, lines 1</w:t>
            </w:r>
            <w:r w:rsidR="0017636D">
              <w:t>62</w:t>
            </w:r>
            <w:r>
              <w:t>-</w:t>
            </w:r>
            <w:r w:rsidR="0017636D">
              <w:t>170</w:t>
            </w:r>
          </w:p>
          <w:p w14:paraId="02D1BD28" w14:textId="1B379D56" w:rsidR="00F74AA9" w:rsidRDefault="0074058C" w:rsidP="00877E5E">
            <w:pPr>
              <w:rPr>
                <w:rFonts w:ascii="Calibri" w:eastAsia="Calibri" w:hAnsi="Calibri" w:cs="Calibri"/>
                <w:color w:val="000000" w:themeColor="text1"/>
              </w:rPr>
            </w:pPr>
            <w:r>
              <w:rPr>
                <w:rFonts w:ascii="Calibri" w:eastAsia="Calibri" w:hAnsi="Calibri" w:cs="Calibri"/>
                <w:color w:val="000000" w:themeColor="text1"/>
              </w:rPr>
              <w:t>We</w:t>
            </w:r>
            <w:r w:rsidRPr="004229E0">
              <w:rPr>
                <w:rFonts w:ascii="Calibri" w:eastAsia="Calibri" w:hAnsi="Calibri" w:cs="Calibri"/>
                <w:color w:val="000000" w:themeColor="text1"/>
              </w:rPr>
              <w:t xml:space="preserve"> used purposive sampling to recruit primary care providers of various licensure (</w:t>
            </w:r>
            <w:proofErr w:type="gramStart"/>
            <w:r w:rsidRPr="004229E0">
              <w:rPr>
                <w:rFonts w:ascii="Calibri" w:eastAsia="Calibri" w:hAnsi="Calibri" w:cs="Calibri"/>
                <w:color w:val="000000" w:themeColor="text1"/>
              </w:rPr>
              <w:t>e.g.</w:t>
            </w:r>
            <w:proofErr w:type="gramEnd"/>
            <w:r w:rsidRPr="004229E0">
              <w:rPr>
                <w:rFonts w:ascii="Calibri" w:eastAsia="Calibri" w:hAnsi="Calibri" w:cs="Calibri"/>
                <w:color w:val="000000" w:themeColor="text1"/>
              </w:rPr>
              <w:t xml:space="preserve"> advanced practice provider vs medical doctorate) in the specialties of pediatrics and family medicine with a range of experience prescribing NRT for youth. </w:t>
            </w:r>
            <w:r>
              <w:rPr>
                <w:rFonts w:ascii="Calibri" w:eastAsia="Calibri" w:hAnsi="Calibri" w:cs="Calibri"/>
                <w:color w:val="000000" w:themeColor="text1"/>
              </w:rPr>
              <w:t>P</w:t>
            </w:r>
            <w:r w:rsidRPr="004229E0">
              <w:rPr>
                <w:rFonts w:ascii="Calibri" w:eastAsia="Calibri" w:hAnsi="Calibri" w:cs="Calibri"/>
                <w:color w:val="000000" w:themeColor="text1"/>
              </w:rPr>
              <w:t xml:space="preserve">articipants were eligible if they cared for youth aged 12-17 years old and were employed at </w:t>
            </w:r>
            <w:r>
              <w:rPr>
                <w:rFonts w:ascii="Calibri" w:eastAsia="Calibri" w:hAnsi="Calibri" w:cs="Calibri"/>
                <w:color w:val="000000" w:themeColor="text1"/>
              </w:rPr>
              <w:t xml:space="preserve">the study site at the </w:t>
            </w:r>
            <w:r w:rsidRPr="004229E0">
              <w:rPr>
                <w:rFonts w:ascii="Calibri" w:eastAsia="Calibri" w:hAnsi="Calibri" w:cs="Calibri"/>
                <w:color w:val="000000" w:themeColor="text1"/>
              </w:rPr>
              <w:t xml:space="preserve">time of participation. </w:t>
            </w:r>
            <w:r>
              <w:rPr>
                <w:rFonts w:ascii="Calibri" w:eastAsia="Calibri" w:hAnsi="Calibri" w:cs="Calibri"/>
                <w:color w:val="000000" w:themeColor="text1"/>
              </w:rPr>
              <w:t xml:space="preserve">We excluded individuals who were members of the program improvement team to avoid potential introduction of bias. Participants were recruited through having completed a prior survey administered by the PI team </w:t>
            </w:r>
            <w:r>
              <w:rPr>
                <w:rFonts w:ascii="Calibri" w:eastAsia="Calibri" w:hAnsi="Calibri" w:cs="Calibri"/>
                <w:color w:val="000000" w:themeColor="text1"/>
              </w:rPr>
              <w:lastRenderedPageBreak/>
              <w:t xml:space="preserve">about youth vaping cessation and marking willingness to be contacted for interviews. </w:t>
            </w:r>
          </w:p>
          <w:p w14:paraId="45AA97AF" w14:textId="77777777" w:rsidR="0017636D" w:rsidRDefault="0017636D" w:rsidP="00877E5E"/>
          <w:p w14:paraId="16DB0FF0" w14:textId="77870688" w:rsidR="005C18AF" w:rsidRPr="00877E5E" w:rsidRDefault="005C18AF" w:rsidP="00877E5E">
            <w:r>
              <w:t>Full description of methods of data collection and analysis pp.</w:t>
            </w:r>
            <w:r w:rsidR="000926D2">
              <w:t>6</w:t>
            </w:r>
            <w:r>
              <w:t>-7, lines 1</w:t>
            </w:r>
            <w:r w:rsidR="000926D2">
              <w:t>7</w:t>
            </w:r>
            <w:r w:rsidR="007572CC">
              <w:t>5</w:t>
            </w:r>
            <w:r>
              <w:t>-</w:t>
            </w:r>
            <w:r w:rsidR="000926D2">
              <w:t>2</w:t>
            </w:r>
            <w:r w:rsidR="007572CC">
              <w:t>34</w:t>
            </w:r>
          </w:p>
        </w:tc>
      </w:tr>
      <w:tr w:rsidR="00877E5E" w:rsidRPr="00877E5E" w14:paraId="474C4165" w14:textId="77777777" w:rsidTr="00877E5E">
        <w:tc>
          <w:tcPr>
            <w:tcW w:w="4675" w:type="dxa"/>
          </w:tcPr>
          <w:p w14:paraId="1155BD9D" w14:textId="77777777" w:rsidR="00877E5E" w:rsidRPr="00877E5E" w:rsidRDefault="00877E5E" w:rsidP="00877E5E">
            <w:pPr>
              <w:pStyle w:val="NormalWeb"/>
              <w:shd w:val="clear" w:color="auto" w:fill="FFFFFF"/>
            </w:pPr>
            <w:r w:rsidRPr="00877E5E">
              <w:rPr>
                <w:rFonts w:ascii="Arial" w:hAnsi="Arial" w:cs="Arial"/>
                <w:color w:val="3A3A3A"/>
                <w:sz w:val="20"/>
                <w:szCs w:val="20"/>
              </w:rPr>
              <w:lastRenderedPageBreak/>
              <w:t xml:space="preserve">(4) </w:t>
            </w:r>
            <w:r w:rsidRPr="00877E5E">
              <w:rPr>
                <w:rFonts w:ascii="ArialMT" w:hAnsi="ArialMT"/>
                <w:color w:val="3A3A3A"/>
                <w:sz w:val="20"/>
                <w:szCs w:val="20"/>
              </w:rPr>
              <w:t xml:space="preserve">Describe where integration has occurred, how </w:t>
            </w:r>
            <w:r w:rsidRPr="00877E5E">
              <w:rPr>
                <w:rFonts w:ascii="Arial" w:hAnsi="Arial" w:cs="Arial"/>
                <w:color w:val="3A3A3A"/>
                <w:sz w:val="20"/>
                <w:szCs w:val="20"/>
              </w:rPr>
              <w:t xml:space="preserve">it </w:t>
            </w:r>
            <w:r w:rsidRPr="00877E5E">
              <w:rPr>
                <w:rFonts w:ascii="ArialMT" w:hAnsi="ArialMT"/>
                <w:color w:val="3A3A3A"/>
                <w:sz w:val="20"/>
                <w:szCs w:val="20"/>
              </w:rPr>
              <w:t xml:space="preserve">has occurred and who has participated in it </w:t>
            </w:r>
          </w:p>
        </w:tc>
        <w:tc>
          <w:tcPr>
            <w:tcW w:w="4675" w:type="dxa"/>
          </w:tcPr>
          <w:p w14:paraId="6118A73D" w14:textId="43507705" w:rsidR="00877E5E" w:rsidRDefault="005C18AF" w:rsidP="00877E5E">
            <w:r>
              <w:t xml:space="preserve">pp. </w:t>
            </w:r>
            <w:r w:rsidR="006B5DC1">
              <w:t>7</w:t>
            </w:r>
            <w:r>
              <w:t>-8, lines 2</w:t>
            </w:r>
            <w:r w:rsidR="00A8523E">
              <w:t>36</w:t>
            </w:r>
            <w:r>
              <w:t>-2</w:t>
            </w:r>
            <w:r w:rsidR="00A8523E">
              <w:t>59</w:t>
            </w:r>
          </w:p>
          <w:p w14:paraId="1E8E7556" w14:textId="77777777" w:rsidR="00013FD7" w:rsidRPr="004229E0" w:rsidRDefault="00013FD7" w:rsidP="00013FD7">
            <w:pPr>
              <w:rPr>
                <w:rFonts w:ascii="Calibri" w:eastAsia="Calibri" w:hAnsi="Calibri" w:cs="Calibri"/>
                <w:i/>
                <w:iCs/>
                <w:color w:val="000000" w:themeColor="text1"/>
              </w:rPr>
            </w:pPr>
            <w:r w:rsidRPr="004229E0">
              <w:rPr>
                <w:rFonts w:ascii="Calibri" w:eastAsia="Calibri" w:hAnsi="Calibri" w:cs="Calibri"/>
                <w:i/>
                <w:iCs/>
                <w:color w:val="000000" w:themeColor="text1"/>
              </w:rPr>
              <w:t>Mixed-methods integration</w:t>
            </w:r>
          </w:p>
          <w:p w14:paraId="5A382774" w14:textId="77777777" w:rsidR="00013FD7" w:rsidRPr="004229E0" w:rsidRDefault="00013FD7" w:rsidP="00013FD7">
            <w:pPr>
              <w:rPr>
                <w:rFonts w:ascii="Calibri" w:eastAsia="Calibri" w:hAnsi="Calibri" w:cs="Calibri"/>
                <w:color w:val="000000" w:themeColor="text1"/>
              </w:rPr>
            </w:pPr>
            <w:r w:rsidRPr="004229E0">
              <w:rPr>
                <w:rFonts w:ascii="Calibri" w:eastAsia="Calibri" w:hAnsi="Calibri" w:cs="Calibri"/>
                <w:color w:val="000000" w:themeColor="text1"/>
              </w:rPr>
              <w:t>Following completion of qualitative and quantitative analysis, the PI and analyst linked themes/subthemes and constructs relating to PRISM-CSI survey items in a merging joint display</w:t>
            </w:r>
            <w:r>
              <w:rPr>
                <w:rFonts w:ascii="Calibri" w:eastAsia="Calibri" w:hAnsi="Calibri" w:cs="Calibri"/>
                <w:color w:val="000000" w:themeColor="text1"/>
              </w:rPr>
              <w:t>.</w:t>
            </w:r>
            <w:r>
              <w:rPr>
                <w:rFonts w:ascii="Calibri" w:eastAsia="Calibri" w:hAnsi="Calibri" w:cs="Calibri"/>
                <w:color w:val="000000" w:themeColor="text1"/>
                <w:vertAlign w:val="superscript"/>
              </w:rPr>
              <w:t>24</w:t>
            </w:r>
            <w:r w:rsidRPr="004229E0">
              <w:rPr>
                <w:rFonts w:ascii="Calibri" w:eastAsia="Calibri" w:hAnsi="Calibri" w:cs="Calibri"/>
                <w:color w:val="000000" w:themeColor="text1"/>
                <w:vertAlign w:val="superscript"/>
              </w:rPr>
              <w:t xml:space="preserve"> </w:t>
            </w:r>
            <w:r w:rsidRPr="004229E0">
              <w:rPr>
                <w:rFonts w:ascii="Calibri" w:eastAsia="Calibri" w:hAnsi="Calibri" w:cs="Calibri"/>
                <w:color w:val="000000" w:themeColor="text1"/>
              </w:rPr>
              <w:t xml:space="preserve">The authors ultimately chose to link themes/subthemes to individual PRISM-CSI items as opposed to subscales for two reasons. First, </w:t>
            </w:r>
            <w:r>
              <w:rPr>
                <w:rFonts w:ascii="Calibri" w:eastAsia="Calibri" w:hAnsi="Calibri" w:cs="Calibri"/>
                <w:color w:val="000000" w:themeColor="text1"/>
              </w:rPr>
              <w:t>we</w:t>
            </w:r>
            <w:r w:rsidRPr="004229E0">
              <w:rPr>
                <w:rFonts w:ascii="Calibri" w:eastAsia="Calibri" w:hAnsi="Calibri" w:cs="Calibri"/>
                <w:color w:val="000000" w:themeColor="text1"/>
              </w:rPr>
              <w:t xml:space="preserve"> felt that the level of detail in individual items allowed for a richer comparison with themes/subthemes that became diminished in use of mean subscale scores. Second, given the nature of modifications to the PRISM-CSI for use in this study, limited sample size, and degree of variable internal consistency across subscales in the validation of the original version of the scale</w:t>
            </w:r>
            <w:r>
              <w:rPr>
                <w:rFonts w:ascii="Calibri" w:eastAsia="Calibri" w:hAnsi="Calibri" w:cs="Calibri"/>
                <w:color w:val="000000" w:themeColor="text1"/>
              </w:rPr>
              <w:t>,</w:t>
            </w:r>
            <w:r>
              <w:rPr>
                <w:rFonts w:ascii="Calibri" w:eastAsia="Calibri" w:hAnsi="Calibri" w:cs="Calibri"/>
                <w:color w:val="000000" w:themeColor="text1"/>
                <w:vertAlign w:val="superscript"/>
              </w:rPr>
              <w:t>27</w:t>
            </w:r>
            <w:r w:rsidRPr="004229E0">
              <w:rPr>
                <w:rFonts w:ascii="Calibri" w:eastAsia="Calibri" w:hAnsi="Calibri" w:cs="Calibri"/>
                <w:color w:val="000000" w:themeColor="text1"/>
              </w:rPr>
              <w:t xml:space="preserve"> the authors found it challenging to make reliable or useful inferences at the level of the subscale. </w:t>
            </w:r>
          </w:p>
          <w:p w14:paraId="374E645C" w14:textId="77777777" w:rsidR="00013FD7" w:rsidRPr="004229E0" w:rsidRDefault="00013FD7" w:rsidP="00013FD7">
            <w:pPr>
              <w:rPr>
                <w:rFonts w:ascii="Calibri" w:eastAsia="Calibri" w:hAnsi="Calibri" w:cs="Calibri"/>
                <w:color w:val="000000" w:themeColor="text1"/>
              </w:rPr>
            </w:pPr>
          </w:p>
          <w:p w14:paraId="2157FB31" w14:textId="76B7C159" w:rsidR="00DC6D9E" w:rsidRPr="00013FD7" w:rsidRDefault="00013FD7" w:rsidP="00013FD7">
            <w:pPr>
              <w:rPr>
                <w:rFonts w:ascii="Calibri" w:eastAsia="Calibri" w:hAnsi="Calibri" w:cs="Calibri"/>
                <w:color w:val="000000" w:themeColor="text1"/>
              </w:rPr>
            </w:pPr>
            <w:r w:rsidRPr="004229E0">
              <w:rPr>
                <w:rFonts w:ascii="Calibri" w:eastAsia="Calibri" w:hAnsi="Calibri" w:cs="Calibri"/>
                <w:color w:val="000000" w:themeColor="text1"/>
              </w:rPr>
              <w:t xml:space="preserve">After completing a merging display, the themes/subtheme content was then compared with the mean scores of individual items rated </w:t>
            </w:r>
            <w:r>
              <w:rPr>
                <w:rFonts w:ascii="Calibri" w:eastAsia="Calibri" w:hAnsi="Calibri" w:cs="Calibri"/>
                <w:color w:val="000000" w:themeColor="text1"/>
              </w:rPr>
              <w:t xml:space="preserve">in pre-determined ranges </w:t>
            </w:r>
            <w:r w:rsidRPr="004229E0">
              <w:rPr>
                <w:rFonts w:ascii="Calibri" w:eastAsia="Calibri" w:hAnsi="Calibri" w:cs="Calibri"/>
                <w:color w:val="000000" w:themeColor="text1"/>
              </w:rPr>
              <w:t>as “</w:t>
            </w:r>
            <w:proofErr w:type="gramStart"/>
            <w:r w:rsidRPr="004229E0">
              <w:rPr>
                <w:rFonts w:ascii="Calibri" w:eastAsia="Calibri" w:hAnsi="Calibri" w:cs="Calibri"/>
                <w:color w:val="000000" w:themeColor="text1"/>
              </w:rPr>
              <w:t>Positive“ (</w:t>
            </w:r>
            <w:proofErr w:type="gramEnd"/>
            <w:r w:rsidRPr="004229E0">
              <w:rPr>
                <w:rFonts w:ascii="Calibri" w:eastAsia="Calibri" w:hAnsi="Calibri" w:cs="Calibri"/>
                <w:b/>
                <w:bCs/>
                <w:color w:val="000000" w:themeColor="text1"/>
                <w:sz w:val="17"/>
                <w:szCs w:val="17"/>
              </w:rPr>
              <w:t>≥</w:t>
            </w:r>
            <w:r w:rsidRPr="004229E0">
              <w:rPr>
                <w:rFonts w:ascii="Calibri" w:eastAsia="Calibri" w:hAnsi="Calibri" w:cs="Calibri"/>
                <w:color w:val="000000" w:themeColor="text1"/>
              </w:rPr>
              <w:t xml:space="preserve"> 4.00), Moderately Positive” (3.50-3.99), “Neutral” (2.50-3.49), “Moderately Negative” (2.00-2.49), or “Negative” (&lt; 2.00) to generate meta-inferences which were then entered into a </w:t>
            </w:r>
            <w:r w:rsidRPr="004229E0">
              <w:rPr>
                <w:rFonts w:ascii="Calibri" w:eastAsia="Calibri" w:hAnsi="Calibri" w:cs="Calibri"/>
                <w:i/>
                <w:iCs/>
                <w:color w:val="000000" w:themeColor="text1"/>
                <w:u w:val="single"/>
              </w:rPr>
              <w:t>final joint display.</w:t>
            </w:r>
            <w:r w:rsidRPr="004229E0">
              <w:rPr>
                <w:rFonts w:ascii="Calibri" w:eastAsia="Calibri" w:hAnsi="Calibri" w:cs="Calibri"/>
                <w:i/>
                <w:iCs/>
                <w:color w:val="000000" w:themeColor="text1"/>
              </w:rPr>
              <w:t xml:space="preserve"> </w:t>
            </w:r>
            <w:r w:rsidRPr="004229E0">
              <w:rPr>
                <w:rFonts w:ascii="Calibri" w:eastAsia="Calibri" w:hAnsi="Calibri" w:cs="Calibri"/>
                <w:color w:val="000000" w:themeColor="text1"/>
              </w:rPr>
              <w:t xml:space="preserve">Themes/subthemes and mean item scores were assessed for convergence, divergence, or complementarity of findings. Convergence was considered if the directionality of item means matched conclusions from themes/subthemes. Divergence was considered if the directionality of item means </w:t>
            </w:r>
            <w:r w:rsidRPr="004229E0">
              <w:rPr>
                <w:rFonts w:ascii="Calibri" w:eastAsia="Calibri" w:hAnsi="Calibri" w:cs="Calibri"/>
                <w:color w:val="000000" w:themeColor="text1"/>
              </w:rPr>
              <w:lastRenderedPageBreak/>
              <w:t xml:space="preserve">did not appear to directly match conclusions from themes/subthemes. Complementarity was considered if either qualitative or quantitative strand provided additional insights not mostly captured by the other method strand. The PI and analyst conducted the initial merging process and meta-inference generation jointly until </w:t>
            </w:r>
            <w:r>
              <w:rPr>
                <w:rFonts w:ascii="Calibri" w:eastAsia="Calibri" w:hAnsi="Calibri" w:cs="Calibri"/>
                <w:color w:val="000000" w:themeColor="text1"/>
              </w:rPr>
              <w:t xml:space="preserve">unanimous </w:t>
            </w:r>
            <w:r w:rsidRPr="004229E0">
              <w:rPr>
                <w:rFonts w:ascii="Calibri" w:eastAsia="Calibri" w:hAnsi="Calibri" w:cs="Calibri"/>
                <w:color w:val="000000" w:themeColor="text1"/>
              </w:rPr>
              <w:t xml:space="preserve">consensus was reached. Meta-inferences were then reviewed with all authors for clarity and accuracy. </w:t>
            </w:r>
          </w:p>
        </w:tc>
      </w:tr>
      <w:tr w:rsidR="00877E5E" w:rsidRPr="00877E5E" w14:paraId="5E089A40" w14:textId="77777777" w:rsidTr="00877E5E">
        <w:tc>
          <w:tcPr>
            <w:tcW w:w="4675" w:type="dxa"/>
          </w:tcPr>
          <w:p w14:paraId="53759B2E" w14:textId="77777777" w:rsidR="00877E5E" w:rsidRPr="00877E5E" w:rsidRDefault="00877E5E" w:rsidP="00877E5E">
            <w:pPr>
              <w:pStyle w:val="NormalWeb"/>
            </w:pPr>
            <w:r>
              <w:rPr>
                <w:rFonts w:ascii="ArialMT" w:hAnsi="ArialMT"/>
                <w:color w:val="3A3A3A"/>
                <w:sz w:val="20"/>
                <w:szCs w:val="20"/>
              </w:rPr>
              <w:lastRenderedPageBreak/>
              <w:t xml:space="preserve">(5) Describe any limitation of one method associated with the present of the other method </w:t>
            </w:r>
          </w:p>
        </w:tc>
        <w:tc>
          <w:tcPr>
            <w:tcW w:w="4675" w:type="dxa"/>
          </w:tcPr>
          <w:p w14:paraId="5FECC041" w14:textId="63FEE6D2" w:rsidR="00877E5E" w:rsidRDefault="00DC6D9E" w:rsidP="00877E5E">
            <w:r>
              <w:t xml:space="preserve">p. </w:t>
            </w:r>
            <w:r w:rsidR="00D459FD">
              <w:t>1</w:t>
            </w:r>
            <w:r w:rsidR="00E46D82">
              <w:t>9</w:t>
            </w:r>
            <w:r>
              <w:t xml:space="preserve"> lines</w:t>
            </w:r>
            <w:r w:rsidR="00E46D82">
              <w:t xml:space="preserve"> 570</w:t>
            </w:r>
            <w:r>
              <w:t>-5</w:t>
            </w:r>
            <w:r w:rsidR="00E46D82">
              <w:t>72</w:t>
            </w:r>
            <w:r>
              <w:t>:</w:t>
            </w:r>
          </w:p>
          <w:p w14:paraId="61CF053B" w14:textId="48B2B8E4" w:rsidR="00DC6D9E" w:rsidRPr="00877E5E" w:rsidRDefault="00D459FD" w:rsidP="00877E5E">
            <w:r w:rsidRPr="1B6042D4">
              <w:rPr>
                <w:rFonts w:ascii="Calibri" w:eastAsia="Calibri" w:hAnsi="Calibri" w:cs="Calibri"/>
                <w:color w:val="000000" w:themeColor="text1"/>
              </w:rPr>
              <w:t xml:space="preserve">Due to the use of </w:t>
            </w:r>
            <w:r>
              <w:rPr>
                <w:rFonts w:ascii="Calibri" w:eastAsia="Calibri" w:hAnsi="Calibri" w:cs="Calibri"/>
                <w:color w:val="000000" w:themeColor="text1"/>
              </w:rPr>
              <w:t>the same participants</w:t>
            </w:r>
            <w:r w:rsidRPr="1B6042D4">
              <w:rPr>
                <w:rFonts w:ascii="Calibri" w:eastAsia="Calibri" w:hAnsi="Calibri" w:cs="Calibri"/>
                <w:color w:val="000000" w:themeColor="text1"/>
              </w:rPr>
              <w:t xml:space="preserve"> </w:t>
            </w:r>
            <w:r>
              <w:rPr>
                <w:rFonts w:ascii="Calibri" w:eastAsia="Calibri" w:hAnsi="Calibri" w:cs="Calibri"/>
                <w:color w:val="000000" w:themeColor="text1"/>
              </w:rPr>
              <w:t>for</w:t>
            </w:r>
            <w:r w:rsidRPr="1B6042D4">
              <w:rPr>
                <w:rFonts w:ascii="Calibri" w:eastAsia="Calibri" w:hAnsi="Calibri" w:cs="Calibri"/>
                <w:color w:val="000000" w:themeColor="text1"/>
              </w:rPr>
              <w:t xml:space="preserve"> sequential interviews and surveys and an inability to fully anonymize survey responses, the po</w:t>
            </w:r>
            <w:r>
              <w:rPr>
                <w:rFonts w:ascii="Calibri" w:eastAsia="Calibri" w:hAnsi="Calibri" w:cs="Calibri"/>
                <w:color w:val="000000" w:themeColor="text1"/>
              </w:rPr>
              <w:t>tential</w:t>
            </w:r>
            <w:r w:rsidRPr="1B6042D4">
              <w:rPr>
                <w:rFonts w:ascii="Calibri" w:eastAsia="Calibri" w:hAnsi="Calibri" w:cs="Calibri"/>
                <w:color w:val="000000" w:themeColor="text1"/>
              </w:rPr>
              <w:t xml:space="preserve"> </w:t>
            </w:r>
            <w:r>
              <w:rPr>
                <w:rFonts w:ascii="Calibri" w:eastAsia="Calibri" w:hAnsi="Calibri" w:cs="Calibri"/>
                <w:color w:val="000000" w:themeColor="text1"/>
              </w:rPr>
              <w:t>for</w:t>
            </w:r>
            <w:r w:rsidRPr="1B6042D4">
              <w:rPr>
                <w:rFonts w:ascii="Calibri" w:eastAsia="Calibri" w:hAnsi="Calibri" w:cs="Calibri"/>
                <w:color w:val="000000" w:themeColor="text1"/>
              </w:rPr>
              <w:t xml:space="preserve"> social desirability bias should also be noted.</w:t>
            </w:r>
          </w:p>
        </w:tc>
      </w:tr>
      <w:tr w:rsidR="00877E5E" w:rsidRPr="00877E5E" w14:paraId="1934B7DB" w14:textId="77777777" w:rsidTr="00877E5E">
        <w:tc>
          <w:tcPr>
            <w:tcW w:w="4675" w:type="dxa"/>
          </w:tcPr>
          <w:p w14:paraId="0B125FB9" w14:textId="77777777" w:rsidR="00877E5E" w:rsidRPr="00877E5E" w:rsidRDefault="00877E5E" w:rsidP="00877E5E">
            <w:pPr>
              <w:pStyle w:val="NormalWeb"/>
              <w:shd w:val="clear" w:color="auto" w:fill="FFFFFF"/>
            </w:pPr>
            <w:r>
              <w:rPr>
                <w:rFonts w:ascii="ArialMT" w:hAnsi="ArialMT"/>
                <w:color w:val="3A3A3A"/>
                <w:sz w:val="20"/>
                <w:szCs w:val="20"/>
              </w:rPr>
              <w:t>(6) Describe any insights gained from mixing or integrating methods</w:t>
            </w:r>
          </w:p>
        </w:tc>
        <w:tc>
          <w:tcPr>
            <w:tcW w:w="4675" w:type="dxa"/>
          </w:tcPr>
          <w:p w14:paraId="5AEEE0D8" w14:textId="0C9AC9F9" w:rsidR="00DC6D9E" w:rsidRPr="00B17764" w:rsidRDefault="00B17764" w:rsidP="00877E5E">
            <w:r>
              <w:t>Mixed methods findings on convergence, divergence, and complementarity found on pp. 14-16, lines 4</w:t>
            </w:r>
            <w:r w:rsidR="0032797C">
              <w:t>22</w:t>
            </w:r>
            <w:r>
              <w:t>-4</w:t>
            </w:r>
            <w:r w:rsidR="0032797C">
              <w:t>94</w:t>
            </w:r>
          </w:p>
        </w:tc>
      </w:tr>
    </w:tbl>
    <w:p w14:paraId="167E09ED" w14:textId="77777777" w:rsidR="00126744" w:rsidRPr="00877E5E" w:rsidRDefault="00126744"/>
    <w:sectPr w:rsidR="00126744" w:rsidRPr="00877E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Arial"/>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E5E"/>
    <w:rsid w:val="00004AFB"/>
    <w:rsid w:val="00007A10"/>
    <w:rsid w:val="00013FD7"/>
    <w:rsid w:val="00033FBA"/>
    <w:rsid w:val="000374C9"/>
    <w:rsid w:val="000649E7"/>
    <w:rsid w:val="000748EE"/>
    <w:rsid w:val="0009220D"/>
    <w:rsid w:val="000926D2"/>
    <w:rsid w:val="000A201E"/>
    <w:rsid w:val="001263C3"/>
    <w:rsid w:val="00126744"/>
    <w:rsid w:val="00145F54"/>
    <w:rsid w:val="00156F8A"/>
    <w:rsid w:val="0017636D"/>
    <w:rsid w:val="00195864"/>
    <w:rsid w:val="001E7C57"/>
    <w:rsid w:val="002535CD"/>
    <w:rsid w:val="002B6A96"/>
    <w:rsid w:val="002C580C"/>
    <w:rsid w:val="002D0922"/>
    <w:rsid w:val="003039AD"/>
    <w:rsid w:val="00315963"/>
    <w:rsid w:val="003270DF"/>
    <w:rsid w:val="0032797C"/>
    <w:rsid w:val="00363B5E"/>
    <w:rsid w:val="0036467E"/>
    <w:rsid w:val="003C6E76"/>
    <w:rsid w:val="003D332A"/>
    <w:rsid w:val="00443B2F"/>
    <w:rsid w:val="0045686F"/>
    <w:rsid w:val="00474877"/>
    <w:rsid w:val="004760AD"/>
    <w:rsid w:val="0049281D"/>
    <w:rsid w:val="004E1682"/>
    <w:rsid w:val="004E3AF3"/>
    <w:rsid w:val="00510578"/>
    <w:rsid w:val="0058385D"/>
    <w:rsid w:val="005B4A9B"/>
    <w:rsid w:val="005C18AF"/>
    <w:rsid w:val="005D7C4F"/>
    <w:rsid w:val="005F0011"/>
    <w:rsid w:val="00616D51"/>
    <w:rsid w:val="00616F4D"/>
    <w:rsid w:val="00624688"/>
    <w:rsid w:val="006B4F99"/>
    <w:rsid w:val="006B5DC1"/>
    <w:rsid w:val="006C28CE"/>
    <w:rsid w:val="006D2150"/>
    <w:rsid w:val="0071303C"/>
    <w:rsid w:val="0074058C"/>
    <w:rsid w:val="0075185E"/>
    <w:rsid w:val="007542A9"/>
    <w:rsid w:val="007572CC"/>
    <w:rsid w:val="00761BC4"/>
    <w:rsid w:val="0076531F"/>
    <w:rsid w:val="007735B4"/>
    <w:rsid w:val="0079702C"/>
    <w:rsid w:val="007B418A"/>
    <w:rsid w:val="007F2448"/>
    <w:rsid w:val="008267AC"/>
    <w:rsid w:val="008337D2"/>
    <w:rsid w:val="008416C3"/>
    <w:rsid w:val="00877E5E"/>
    <w:rsid w:val="008C3962"/>
    <w:rsid w:val="008D0491"/>
    <w:rsid w:val="009022BE"/>
    <w:rsid w:val="00905B70"/>
    <w:rsid w:val="00921ECD"/>
    <w:rsid w:val="00931467"/>
    <w:rsid w:val="009600AB"/>
    <w:rsid w:val="009F63F2"/>
    <w:rsid w:val="00A10E44"/>
    <w:rsid w:val="00A47A7E"/>
    <w:rsid w:val="00A60377"/>
    <w:rsid w:val="00A674A3"/>
    <w:rsid w:val="00A74CD9"/>
    <w:rsid w:val="00A8523E"/>
    <w:rsid w:val="00A912EA"/>
    <w:rsid w:val="00AD57D4"/>
    <w:rsid w:val="00AD70CF"/>
    <w:rsid w:val="00B17764"/>
    <w:rsid w:val="00B30963"/>
    <w:rsid w:val="00B31768"/>
    <w:rsid w:val="00B82476"/>
    <w:rsid w:val="00B86146"/>
    <w:rsid w:val="00BA4567"/>
    <w:rsid w:val="00BA53CE"/>
    <w:rsid w:val="00C0123E"/>
    <w:rsid w:val="00C232F4"/>
    <w:rsid w:val="00C37271"/>
    <w:rsid w:val="00C447D2"/>
    <w:rsid w:val="00D00513"/>
    <w:rsid w:val="00D12781"/>
    <w:rsid w:val="00D459FD"/>
    <w:rsid w:val="00D4627E"/>
    <w:rsid w:val="00D65140"/>
    <w:rsid w:val="00D6620B"/>
    <w:rsid w:val="00DA2A69"/>
    <w:rsid w:val="00DC6D9E"/>
    <w:rsid w:val="00DD0491"/>
    <w:rsid w:val="00DE2849"/>
    <w:rsid w:val="00DF281E"/>
    <w:rsid w:val="00DF3E33"/>
    <w:rsid w:val="00E05AB3"/>
    <w:rsid w:val="00E1612B"/>
    <w:rsid w:val="00E46D82"/>
    <w:rsid w:val="00E6291D"/>
    <w:rsid w:val="00E74484"/>
    <w:rsid w:val="00E81C37"/>
    <w:rsid w:val="00EC12B4"/>
    <w:rsid w:val="00ED2BBA"/>
    <w:rsid w:val="00EE1391"/>
    <w:rsid w:val="00F014F0"/>
    <w:rsid w:val="00F600C1"/>
    <w:rsid w:val="00F74AA9"/>
    <w:rsid w:val="00FC3480"/>
    <w:rsid w:val="00FC68A0"/>
    <w:rsid w:val="00FE7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C1D39A7"/>
  <w15:chartTrackingRefBased/>
  <w15:docId w15:val="{A50AF090-F67B-F340-B8BA-16EA5B320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7E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77E5E"/>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A47A7E"/>
    <w:rPr>
      <w:color w:val="467886"/>
      <w:u w:val="single"/>
    </w:rPr>
  </w:style>
  <w:style w:type="character" w:styleId="CommentReference">
    <w:name w:val="annotation reference"/>
    <w:basedOn w:val="DefaultParagraphFont"/>
    <w:uiPriority w:val="99"/>
    <w:semiHidden/>
    <w:unhideWhenUsed/>
    <w:rsid w:val="00A47A7E"/>
    <w:rPr>
      <w:sz w:val="16"/>
      <w:szCs w:val="16"/>
    </w:rPr>
  </w:style>
  <w:style w:type="paragraph" w:styleId="CommentText">
    <w:name w:val="annotation text"/>
    <w:basedOn w:val="Normal"/>
    <w:link w:val="CommentTextChar"/>
    <w:uiPriority w:val="99"/>
    <w:unhideWhenUsed/>
    <w:rsid w:val="00A47A7E"/>
    <w:pPr>
      <w:spacing w:after="160"/>
    </w:pPr>
    <w:rPr>
      <w:rFonts w:eastAsiaTheme="minorEastAsia"/>
      <w:kern w:val="0"/>
      <w:sz w:val="20"/>
      <w:szCs w:val="20"/>
      <w:lang w:eastAsia="ja-JP"/>
      <w14:ligatures w14:val="none"/>
    </w:rPr>
  </w:style>
  <w:style w:type="character" w:customStyle="1" w:styleId="CommentTextChar">
    <w:name w:val="Comment Text Char"/>
    <w:basedOn w:val="DefaultParagraphFont"/>
    <w:link w:val="CommentText"/>
    <w:uiPriority w:val="99"/>
    <w:rsid w:val="00A47A7E"/>
    <w:rPr>
      <w:rFonts w:eastAsiaTheme="minorEastAsia"/>
      <w:kern w:val="0"/>
      <w:sz w:val="20"/>
      <w:szCs w:val="20"/>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057790">
      <w:bodyDiv w:val="1"/>
      <w:marLeft w:val="0"/>
      <w:marRight w:val="0"/>
      <w:marTop w:val="0"/>
      <w:marBottom w:val="0"/>
      <w:divBdr>
        <w:top w:val="none" w:sz="0" w:space="0" w:color="auto"/>
        <w:left w:val="none" w:sz="0" w:space="0" w:color="auto"/>
        <w:bottom w:val="none" w:sz="0" w:space="0" w:color="auto"/>
        <w:right w:val="none" w:sz="0" w:space="0" w:color="auto"/>
      </w:divBdr>
      <w:divsChild>
        <w:div w:id="538782503">
          <w:marLeft w:val="0"/>
          <w:marRight w:val="0"/>
          <w:marTop w:val="0"/>
          <w:marBottom w:val="0"/>
          <w:divBdr>
            <w:top w:val="none" w:sz="0" w:space="0" w:color="auto"/>
            <w:left w:val="none" w:sz="0" w:space="0" w:color="auto"/>
            <w:bottom w:val="none" w:sz="0" w:space="0" w:color="auto"/>
            <w:right w:val="none" w:sz="0" w:space="0" w:color="auto"/>
          </w:divBdr>
          <w:divsChild>
            <w:div w:id="908265503">
              <w:marLeft w:val="0"/>
              <w:marRight w:val="0"/>
              <w:marTop w:val="0"/>
              <w:marBottom w:val="0"/>
              <w:divBdr>
                <w:top w:val="none" w:sz="0" w:space="0" w:color="auto"/>
                <w:left w:val="none" w:sz="0" w:space="0" w:color="auto"/>
                <w:bottom w:val="none" w:sz="0" w:space="0" w:color="auto"/>
                <w:right w:val="none" w:sz="0" w:space="0" w:color="auto"/>
              </w:divBdr>
              <w:divsChild>
                <w:div w:id="257951579">
                  <w:marLeft w:val="0"/>
                  <w:marRight w:val="0"/>
                  <w:marTop w:val="0"/>
                  <w:marBottom w:val="0"/>
                  <w:divBdr>
                    <w:top w:val="none" w:sz="0" w:space="0" w:color="auto"/>
                    <w:left w:val="none" w:sz="0" w:space="0" w:color="auto"/>
                    <w:bottom w:val="none" w:sz="0" w:space="0" w:color="auto"/>
                    <w:right w:val="none" w:sz="0" w:space="0" w:color="auto"/>
                  </w:divBdr>
                  <w:divsChild>
                    <w:div w:id="115048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868023">
      <w:bodyDiv w:val="1"/>
      <w:marLeft w:val="0"/>
      <w:marRight w:val="0"/>
      <w:marTop w:val="0"/>
      <w:marBottom w:val="0"/>
      <w:divBdr>
        <w:top w:val="none" w:sz="0" w:space="0" w:color="auto"/>
        <w:left w:val="none" w:sz="0" w:space="0" w:color="auto"/>
        <w:bottom w:val="none" w:sz="0" w:space="0" w:color="auto"/>
        <w:right w:val="none" w:sz="0" w:space="0" w:color="auto"/>
      </w:divBdr>
      <w:divsChild>
        <w:div w:id="762459751">
          <w:marLeft w:val="0"/>
          <w:marRight w:val="0"/>
          <w:marTop w:val="0"/>
          <w:marBottom w:val="0"/>
          <w:divBdr>
            <w:top w:val="none" w:sz="0" w:space="0" w:color="auto"/>
            <w:left w:val="none" w:sz="0" w:space="0" w:color="auto"/>
            <w:bottom w:val="none" w:sz="0" w:space="0" w:color="auto"/>
            <w:right w:val="none" w:sz="0" w:space="0" w:color="auto"/>
          </w:divBdr>
          <w:divsChild>
            <w:div w:id="1281449718">
              <w:marLeft w:val="0"/>
              <w:marRight w:val="0"/>
              <w:marTop w:val="0"/>
              <w:marBottom w:val="0"/>
              <w:divBdr>
                <w:top w:val="none" w:sz="0" w:space="0" w:color="auto"/>
                <w:left w:val="none" w:sz="0" w:space="0" w:color="auto"/>
                <w:bottom w:val="none" w:sz="0" w:space="0" w:color="auto"/>
                <w:right w:val="none" w:sz="0" w:space="0" w:color="auto"/>
              </w:divBdr>
              <w:divsChild>
                <w:div w:id="711882318">
                  <w:marLeft w:val="0"/>
                  <w:marRight w:val="0"/>
                  <w:marTop w:val="0"/>
                  <w:marBottom w:val="0"/>
                  <w:divBdr>
                    <w:top w:val="none" w:sz="0" w:space="0" w:color="auto"/>
                    <w:left w:val="none" w:sz="0" w:space="0" w:color="auto"/>
                    <w:bottom w:val="none" w:sz="0" w:space="0" w:color="auto"/>
                    <w:right w:val="none" w:sz="0" w:space="0" w:color="auto"/>
                  </w:divBdr>
                  <w:divsChild>
                    <w:div w:id="128608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673292">
      <w:bodyDiv w:val="1"/>
      <w:marLeft w:val="0"/>
      <w:marRight w:val="0"/>
      <w:marTop w:val="0"/>
      <w:marBottom w:val="0"/>
      <w:divBdr>
        <w:top w:val="none" w:sz="0" w:space="0" w:color="auto"/>
        <w:left w:val="none" w:sz="0" w:space="0" w:color="auto"/>
        <w:bottom w:val="none" w:sz="0" w:space="0" w:color="auto"/>
        <w:right w:val="none" w:sz="0" w:space="0" w:color="auto"/>
      </w:divBdr>
      <w:divsChild>
        <w:div w:id="1741755368">
          <w:marLeft w:val="0"/>
          <w:marRight w:val="0"/>
          <w:marTop w:val="0"/>
          <w:marBottom w:val="0"/>
          <w:divBdr>
            <w:top w:val="none" w:sz="0" w:space="0" w:color="auto"/>
            <w:left w:val="none" w:sz="0" w:space="0" w:color="auto"/>
            <w:bottom w:val="none" w:sz="0" w:space="0" w:color="auto"/>
            <w:right w:val="none" w:sz="0" w:space="0" w:color="auto"/>
          </w:divBdr>
          <w:divsChild>
            <w:div w:id="1753163177">
              <w:marLeft w:val="0"/>
              <w:marRight w:val="0"/>
              <w:marTop w:val="0"/>
              <w:marBottom w:val="0"/>
              <w:divBdr>
                <w:top w:val="none" w:sz="0" w:space="0" w:color="auto"/>
                <w:left w:val="none" w:sz="0" w:space="0" w:color="auto"/>
                <w:bottom w:val="none" w:sz="0" w:space="0" w:color="auto"/>
                <w:right w:val="none" w:sz="0" w:space="0" w:color="auto"/>
              </w:divBdr>
              <w:divsChild>
                <w:div w:id="616066162">
                  <w:marLeft w:val="0"/>
                  <w:marRight w:val="0"/>
                  <w:marTop w:val="0"/>
                  <w:marBottom w:val="0"/>
                  <w:divBdr>
                    <w:top w:val="none" w:sz="0" w:space="0" w:color="auto"/>
                    <w:left w:val="none" w:sz="0" w:space="0" w:color="auto"/>
                    <w:bottom w:val="none" w:sz="0" w:space="0" w:color="auto"/>
                    <w:right w:val="none" w:sz="0" w:space="0" w:color="auto"/>
                  </w:divBdr>
                  <w:divsChild>
                    <w:div w:id="17291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047104">
      <w:bodyDiv w:val="1"/>
      <w:marLeft w:val="0"/>
      <w:marRight w:val="0"/>
      <w:marTop w:val="0"/>
      <w:marBottom w:val="0"/>
      <w:divBdr>
        <w:top w:val="none" w:sz="0" w:space="0" w:color="auto"/>
        <w:left w:val="none" w:sz="0" w:space="0" w:color="auto"/>
        <w:bottom w:val="none" w:sz="0" w:space="0" w:color="auto"/>
        <w:right w:val="none" w:sz="0" w:space="0" w:color="auto"/>
      </w:divBdr>
      <w:divsChild>
        <w:div w:id="1826240424">
          <w:marLeft w:val="0"/>
          <w:marRight w:val="0"/>
          <w:marTop w:val="0"/>
          <w:marBottom w:val="0"/>
          <w:divBdr>
            <w:top w:val="none" w:sz="0" w:space="0" w:color="auto"/>
            <w:left w:val="none" w:sz="0" w:space="0" w:color="auto"/>
            <w:bottom w:val="none" w:sz="0" w:space="0" w:color="auto"/>
            <w:right w:val="none" w:sz="0" w:space="0" w:color="auto"/>
          </w:divBdr>
          <w:divsChild>
            <w:div w:id="1033963240">
              <w:marLeft w:val="0"/>
              <w:marRight w:val="0"/>
              <w:marTop w:val="0"/>
              <w:marBottom w:val="0"/>
              <w:divBdr>
                <w:top w:val="none" w:sz="0" w:space="0" w:color="auto"/>
                <w:left w:val="none" w:sz="0" w:space="0" w:color="auto"/>
                <w:bottom w:val="none" w:sz="0" w:space="0" w:color="auto"/>
                <w:right w:val="none" w:sz="0" w:space="0" w:color="auto"/>
              </w:divBdr>
              <w:divsChild>
                <w:div w:id="1963072102">
                  <w:marLeft w:val="0"/>
                  <w:marRight w:val="0"/>
                  <w:marTop w:val="0"/>
                  <w:marBottom w:val="0"/>
                  <w:divBdr>
                    <w:top w:val="none" w:sz="0" w:space="0" w:color="auto"/>
                    <w:left w:val="none" w:sz="0" w:space="0" w:color="auto"/>
                    <w:bottom w:val="none" w:sz="0" w:space="0" w:color="auto"/>
                    <w:right w:val="none" w:sz="0" w:space="0" w:color="auto"/>
                  </w:divBdr>
                  <w:divsChild>
                    <w:div w:id="17800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068807">
      <w:bodyDiv w:val="1"/>
      <w:marLeft w:val="0"/>
      <w:marRight w:val="0"/>
      <w:marTop w:val="0"/>
      <w:marBottom w:val="0"/>
      <w:divBdr>
        <w:top w:val="none" w:sz="0" w:space="0" w:color="auto"/>
        <w:left w:val="none" w:sz="0" w:space="0" w:color="auto"/>
        <w:bottom w:val="none" w:sz="0" w:space="0" w:color="auto"/>
        <w:right w:val="none" w:sz="0" w:space="0" w:color="auto"/>
      </w:divBdr>
      <w:divsChild>
        <w:div w:id="1208760099">
          <w:marLeft w:val="0"/>
          <w:marRight w:val="0"/>
          <w:marTop w:val="0"/>
          <w:marBottom w:val="0"/>
          <w:divBdr>
            <w:top w:val="none" w:sz="0" w:space="0" w:color="auto"/>
            <w:left w:val="none" w:sz="0" w:space="0" w:color="auto"/>
            <w:bottom w:val="none" w:sz="0" w:space="0" w:color="auto"/>
            <w:right w:val="none" w:sz="0" w:space="0" w:color="auto"/>
          </w:divBdr>
          <w:divsChild>
            <w:div w:id="1980572002">
              <w:marLeft w:val="0"/>
              <w:marRight w:val="0"/>
              <w:marTop w:val="0"/>
              <w:marBottom w:val="0"/>
              <w:divBdr>
                <w:top w:val="none" w:sz="0" w:space="0" w:color="auto"/>
                <w:left w:val="none" w:sz="0" w:space="0" w:color="auto"/>
                <w:bottom w:val="none" w:sz="0" w:space="0" w:color="auto"/>
                <w:right w:val="none" w:sz="0" w:space="0" w:color="auto"/>
              </w:divBdr>
              <w:divsChild>
                <w:div w:id="129980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217089">
      <w:bodyDiv w:val="1"/>
      <w:marLeft w:val="0"/>
      <w:marRight w:val="0"/>
      <w:marTop w:val="0"/>
      <w:marBottom w:val="0"/>
      <w:divBdr>
        <w:top w:val="none" w:sz="0" w:space="0" w:color="auto"/>
        <w:left w:val="none" w:sz="0" w:space="0" w:color="auto"/>
        <w:bottom w:val="none" w:sz="0" w:space="0" w:color="auto"/>
        <w:right w:val="none" w:sz="0" w:space="0" w:color="auto"/>
      </w:divBdr>
      <w:divsChild>
        <w:div w:id="1736005481">
          <w:marLeft w:val="0"/>
          <w:marRight w:val="0"/>
          <w:marTop w:val="0"/>
          <w:marBottom w:val="0"/>
          <w:divBdr>
            <w:top w:val="none" w:sz="0" w:space="0" w:color="auto"/>
            <w:left w:val="none" w:sz="0" w:space="0" w:color="auto"/>
            <w:bottom w:val="none" w:sz="0" w:space="0" w:color="auto"/>
            <w:right w:val="none" w:sz="0" w:space="0" w:color="auto"/>
          </w:divBdr>
          <w:divsChild>
            <w:div w:id="1817651002">
              <w:marLeft w:val="0"/>
              <w:marRight w:val="0"/>
              <w:marTop w:val="0"/>
              <w:marBottom w:val="0"/>
              <w:divBdr>
                <w:top w:val="none" w:sz="0" w:space="0" w:color="auto"/>
                <w:left w:val="none" w:sz="0" w:space="0" w:color="auto"/>
                <w:bottom w:val="none" w:sz="0" w:space="0" w:color="auto"/>
                <w:right w:val="none" w:sz="0" w:space="0" w:color="auto"/>
              </w:divBdr>
              <w:divsChild>
                <w:div w:id="1050763026">
                  <w:marLeft w:val="0"/>
                  <w:marRight w:val="0"/>
                  <w:marTop w:val="0"/>
                  <w:marBottom w:val="0"/>
                  <w:divBdr>
                    <w:top w:val="none" w:sz="0" w:space="0" w:color="auto"/>
                    <w:left w:val="none" w:sz="0" w:space="0" w:color="auto"/>
                    <w:bottom w:val="none" w:sz="0" w:space="0" w:color="auto"/>
                    <w:right w:val="none" w:sz="0" w:space="0" w:color="auto"/>
                  </w:divBdr>
                  <w:divsChild>
                    <w:div w:id="95663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677</Words>
  <Characters>3863</Characters>
  <Application>Microsoft Office Word</Application>
  <DocSecurity>0</DocSecurity>
  <Lines>32</Lines>
  <Paragraphs>9</Paragraphs>
  <ScaleCrop>false</ScaleCrop>
  <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 Crosbie</dc:creator>
  <cp:keywords/>
  <dc:description/>
  <cp:lastModifiedBy>JD Crosbie</cp:lastModifiedBy>
  <cp:revision>30</cp:revision>
  <dcterms:created xsi:type="dcterms:W3CDTF">2025-12-22T23:56:00Z</dcterms:created>
  <dcterms:modified xsi:type="dcterms:W3CDTF">2026-01-30T16:31:00Z</dcterms:modified>
</cp:coreProperties>
</file>