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7CBC4">
      <w:pPr>
        <w:spacing w:line="36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Identification of small molecules as potential inhibitors of NAT10 for the treatment of colon cancer</w:t>
      </w:r>
    </w:p>
    <w:p w14:paraId="17EA5F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Chao Xu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Shilei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highlight w:val="none"/>
          <w:shd w:val="clear" w:color="auto" w:fill="auto"/>
          <w:lang w:val="en-US" w:eastAsia="zh-CN"/>
        </w:rPr>
        <w:t>Zhao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Bing Xu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Jiaping Xu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Yongli Wu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, Dan Zhang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Bensheng Wu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5, *</w:t>
      </w:r>
      <w:r>
        <w:rPr>
          <w:rFonts w:ascii="Times New Roman" w:hAnsi="Times New Roman" w:cs="Times New Roman"/>
          <w:sz w:val="24"/>
          <w:szCs w:val="24"/>
        </w:rPr>
        <w:t xml:space="preserve">, Qing Zhou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6, *</w:t>
      </w:r>
    </w:p>
    <w:p w14:paraId="156165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Department of Proctology, Danyang TCM Hospital, Danyang 212300, China</w:t>
      </w:r>
    </w:p>
    <w:p w14:paraId="784721C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 xml:space="preserve">ollege of pharmacy </w:t>
      </w:r>
      <w:r>
        <w:rPr>
          <w:rFonts w:hint="default" w:ascii="Times New Roman" w:hAnsi="Times New Roman" w:cs="Times New Roman"/>
          <w:sz w:val="24"/>
          <w:szCs w:val="24"/>
        </w:rPr>
        <w:t>Nanjing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University of Chinese Medicine, Nanjing 211198, China</w:t>
      </w:r>
      <w:bookmarkStart w:id="0" w:name="_GoBack"/>
      <w:bookmarkEnd w:id="0"/>
    </w:p>
    <w:p w14:paraId="24104D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Department of Spleen and Stomach, Danyang TCM Hospital</w:t>
      </w:r>
      <w:r>
        <w:rPr>
          <w:rFonts w:hint="eastAsia"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Danyang 212300，China</w:t>
      </w:r>
    </w:p>
    <w:p w14:paraId="2074E4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Department of Colorectal Medicine, Jiangsu Provincial Hospital of TCM</w:t>
      </w:r>
      <w:r>
        <w:rPr>
          <w:rFonts w:hint="eastAsia"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Nanjing 210001</w:t>
      </w:r>
      <w:r>
        <w:rPr>
          <w:rFonts w:hint="eastAsia"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China</w:t>
      </w:r>
    </w:p>
    <w:p w14:paraId="3F7CEA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Department of Colorectal Surgery, Suzhou TCM Hospital Affiliated to Nanjing University of Chinese Medicine, Suzhou 215009, China</w:t>
      </w:r>
    </w:p>
    <w:p w14:paraId="364484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Department of Preventive Medicine, Jiangsu Provincial TCM Hospital</w:t>
      </w:r>
      <w:r>
        <w:rPr>
          <w:rFonts w:hint="eastAsia"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Nanjing 210001</w:t>
      </w:r>
      <w:r>
        <w:rPr>
          <w:rFonts w:hint="eastAsia"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China</w:t>
      </w:r>
    </w:p>
    <w:p w14:paraId="7D9D35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Corresponding author: 13601401869@163.com (Q.Z.); 472044066@qq.com (B.W.)</w:t>
      </w:r>
    </w:p>
    <w:p w14:paraId="34189979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AF13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5FAB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drawing>
          <wp:inline distT="0" distB="0" distL="0" distR="0">
            <wp:extent cx="5274310" cy="27952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17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igure S1</w:t>
      </w:r>
      <w:r>
        <w:rPr>
          <w:rFonts w:ascii="Times New Roman" w:hAnsi="Times New Roman" w:cs="Times New Roman"/>
          <w:sz w:val="24"/>
          <w:szCs w:val="24"/>
        </w:rPr>
        <w:t>. Alignment of the crystal ligand (red) with the redocked ligand (blue).</w:t>
      </w:r>
    </w:p>
    <w:p w14:paraId="11883E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5877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S1</w:t>
      </w:r>
      <w:r>
        <w:rPr>
          <w:rFonts w:ascii="Times New Roman" w:hAnsi="Times New Roman" w:cs="Times New Roman"/>
          <w:sz w:val="24"/>
          <w:szCs w:val="24"/>
        </w:rPr>
        <w:t xml:space="preserve">. List of the top </w:t>
      </w:r>
      <w:r>
        <w:rPr>
          <w:rFonts w:hint="eastAsia"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compounds and their docking scores based on glide XP docking approach (kcal/mol).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254"/>
        <w:gridCol w:w="980"/>
        <w:gridCol w:w="1408"/>
        <w:gridCol w:w="589"/>
        <w:gridCol w:w="1276"/>
        <w:gridCol w:w="962"/>
        <w:gridCol w:w="1243"/>
      </w:tblGrid>
      <w:tr w14:paraId="41FD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74E6FF9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NO.</w:t>
            </w:r>
          </w:p>
        </w:tc>
        <w:tc>
          <w:tcPr>
            <w:tcW w:w="1254" w:type="dxa"/>
          </w:tcPr>
          <w:p w14:paraId="5CE7827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ID</w:t>
            </w:r>
          </w:p>
        </w:tc>
        <w:tc>
          <w:tcPr>
            <w:tcW w:w="980" w:type="dxa"/>
          </w:tcPr>
          <w:p w14:paraId="3884136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XP Gscore</w:t>
            </w:r>
          </w:p>
        </w:tc>
        <w:tc>
          <w:tcPr>
            <w:tcW w:w="1408" w:type="dxa"/>
          </w:tcPr>
          <w:p w14:paraId="0CC58CA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Prime MM/GBSA</w:t>
            </w:r>
          </w:p>
        </w:tc>
        <w:tc>
          <w:tcPr>
            <w:tcW w:w="589" w:type="dxa"/>
          </w:tcPr>
          <w:p w14:paraId="3DE81A0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NO.</w:t>
            </w:r>
          </w:p>
        </w:tc>
        <w:tc>
          <w:tcPr>
            <w:tcW w:w="1276" w:type="dxa"/>
          </w:tcPr>
          <w:p w14:paraId="0C3C25D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ID</w:t>
            </w:r>
          </w:p>
        </w:tc>
        <w:tc>
          <w:tcPr>
            <w:tcW w:w="962" w:type="dxa"/>
          </w:tcPr>
          <w:p w14:paraId="7A8456A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XP Gscore</w:t>
            </w:r>
          </w:p>
        </w:tc>
        <w:tc>
          <w:tcPr>
            <w:tcW w:w="1243" w:type="dxa"/>
          </w:tcPr>
          <w:p w14:paraId="50491DA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Prime MM/GBSA</w:t>
            </w:r>
          </w:p>
        </w:tc>
      </w:tr>
      <w:tr w14:paraId="5AA0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348B919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</w:t>
            </w:r>
          </w:p>
        </w:tc>
        <w:tc>
          <w:tcPr>
            <w:tcW w:w="1254" w:type="dxa"/>
            <w:vAlign w:val="center"/>
          </w:tcPr>
          <w:p w14:paraId="695C925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D271-0001</w:t>
            </w:r>
          </w:p>
        </w:tc>
        <w:tc>
          <w:tcPr>
            <w:tcW w:w="980" w:type="dxa"/>
            <w:vAlign w:val="center"/>
          </w:tcPr>
          <w:p w14:paraId="1F67CB1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-10.963</w:t>
            </w:r>
          </w:p>
        </w:tc>
        <w:tc>
          <w:tcPr>
            <w:tcW w:w="1408" w:type="dxa"/>
          </w:tcPr>
          <w:p w14:paraId="7E2057F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-40.10</w:t>
            </w:r>
          </w:p>
        </w:tc>
        <w:tc>
          <w:tcPr>
            <w:tcW w:w="589" w:type="dxa"/>
          </w:tcPr>
          <w:p w14:paraId="6BE6C18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29</w:t>
            </w:r>
          </w:p>
        </w:tc>
        <w:tc>
          <w:tcPr>
            <w:tcW w:w="1276" w:type="dxa"/>
            <w:vAlign w:val="center"/>
          </w:tcPr>
          <w:p w14:paraId="0E9BAD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G856-6821</w:t>
            </w:r>
          </w:p>
        </w:tc>
        <w:tc>
          <w:tcPr>
            <w:tcW w:w="962" w:type="dxa"/>
            <w:vAlign w:val="center"/>
          </w:tcPr>
          <w:p w14:paraId="056DA6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-9.475</w:t>
            </w:r>
          </w:p>
        </w:tc>
        <w:tc>
          <w:tcPr>
            <w:tcW w:w="1243" w:type="dxa"/>
          </w:tcPr>
          <w:p w14:paraId="19EE10C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-55.45</w:t>
            </w:r>
          </w:p>
        </w:tc>
      </w:tr>
      <w:tr w14:paraId="65A2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5760FEA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2</w:t>
            </w:r>
          </w:p>
        </w:tc>
        <w:tc>
          <w:tcPr>
            <w:tcW w:w="1254" w:type="dxa"/>
            <w:vAlign w:val="center"/>
          </w:tcPr>
          <w:p w14:paraId="3F1771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4798-0007</w:t>
            </w:r>
          </w:p>
        </w:tc>
        <w:tc>
          <w:tcPr>
            <w:tcW w:w="980" w:type="dxa"/>
            <w:vAlign w:val="center"/>
          </w:tcPr>
          <w:p w14:paraId="0168BF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-10.697</w:t>
            </w:r>
          </w:p>
        </w:tc>
        <w:tc>
          <w:tcPr>
            <w:tcW w:w="1408" w:type="dxa"/>
          </w:tcPr>
          <w:p w14:paraId="68764AB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-55.43</w:t>
            </w:r>
          </w:p>
        </w:tc>
        <w:tc>
          <w:tcPr>
            <w:tcW w:w="589" w:type="dxa"/>
          </w:tcPr>
          <w:p w14:paraId="2A8DCA0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30</w:t>
            </w:r>
          </w:p>
        </w:tc>
        <w:tc>
          <w:tcPr>
            <w:tcW w:w="1276" w:type="dxa"/>
            <w:vAlign w:val="center"/>
          </w:tcPr>
          <w:p w14:paraId="1C8B5B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4038-0140</w:t>
            </w:r>
          </w:p>
        </w:tc>
        <w:tc>
          <w:tcPr>
            <w:tcW w:w="962" w:type="dxa"/>
            <w:vAlign w:val="center"/>
          </w:tcPr>
          <w:p w14:paraId="294C0D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-9.44</w:t>
            </w:r>
          </w:p>
        </w:tc>
        <w:tc>
          <w:tcPr>
            <w:tcW w:w="1243" w:type="dxa"/>
          </w:tcPr>
          <w:p w14:paraId="5A84D0A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-44.76</w:t>
            </w:r>
          </w:p>
        </w:tc>
      </w:tr>
      <w:tr w14:paraId="346D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3F621FB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3</w:t>
            </w:r>
          </w:p>
        </w:tc>
        <w:tc>
          <w:tcPr>
            <w:tcW w:w="1254" w:type="dxa"/>
            <w:vAlign w:val="center"/>
          </w:tcPr>
          <w:p w14:paraId="3266C2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D490-0635</w:t>
            </w:r>
          </w:p>
        </w:tc>
        <w:tc>
          <w:tcPr>
            <w:tcW w:w="980" w:type="dxa"/>
            <w:vAlign w:val="center"/>
          </w:tcPr>
          <w:p w14:paraId="2B44B7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-10.582</w:t>
            </w:r>
          </w:p>
        </w:tc>
        <w:tc>
          <w:tcPr>
            <w:tcW w:w="1408" w:type="dxa"/>
          </w:tcPr>
          <w:p w14:paraId="365B6FA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-44.60</w:t>
            </w:r>
          </w:p>
        </w:tc>
        <w:tc>
          <w:tcPr>
            <w:tcW w:w="589" w:type="dxa"/>
          </w:tcPr>
          <w:p w14:paraId="063DF23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31</w:t>
            </w:r>
          </w:p>
        </w:tc>
        <w:tc>
          <w:tcPr>
            <w:tcW w:w="1276" w:type="dxa"/>
            <w:vAlign w:val="center"/>
          </w:tcPr>
          <w:p w14:paraId="118220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G856-6827</w:t>
            </w:r>
          </w:p>
        </w:tc>
        <w:tc>
          <w:tcPr>
            <w:tcW w:w="962" w:type="dxa"/>
            <w:vAlign w:val="center"/>
          </w:tcPr>
          <w:p w14:paraId="482452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-9.439</w:t>
            </w:r>
          </w:p>
        </w:tc>
        <w:tc>
          <w:tcPr>
            <w:tcW w:w="1243" w:type="dxa"/>
          </w:tcPr>
          <w:p w14:paraId="78E5AE7E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-65.33</w:t>
            </w:r>
          </w:p>
        </w:tc>
      </w:tr>
      <w:tr w14:paraId="6A26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6960768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</w:t>
            </w:r>
          </w:p>
        </w:tc>
        <w:tc>
          <w:tcPr>
            <w:tcW w:w="1254" w:type="dxa"/>
            <w:vAlign w:val="center"/>
          </w:tcPr>
          <w:p w14:paraId="34AFFD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Y512-0140</w:t>
            </w:r>
          </w:p>
        </w:tc>
        <w:tc>
          <w:tcPr>
            <w:tcW w:w="980" w:type="dxa"/>
            <w:vAlign w:val="center"/>
          </w:tcPr>
          <w:p w14:paraId="5E9807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-10.548</w:t>
            </w:r>
          </w:p>
        </w:tc>
        <w:tc>
          <w:tcPr>
            <w:tcW w:w="1408" w:type="dxa"/>
          </w:tcPr>
          <w:p w14:paraId="1D2C6B5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-1.61</w:t>
            </w:r>
          </w:p>
        </w:tc>
        <w:tc>
          <w:tcPr>
            <w:tcW w:w="589" w:type="dxa"/>
          </w:tcPr>
          <w:p w14:paraId="096B030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32</w:t>
            </w:r>
          </w:p>
        </w:tc>
        <w:tc>
          <w:tcPr>
            <w:tcW w:w="1276" w:type="dxa"/>
            <w:vAlign w:val="center"/>
          </w:tcPr>
          <w:p w14:paraId="695F666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4428-0280</w:t>
            </w:r>
          </w:p>
        </w:tc>
        <w:tc>
          <w:tcPr>
            <w:tcW w:w="962" w:type="dxa"/>
            <w:vAlign w:val="center"/>
          </w:tcPr>
          <w:p w14:paraId="0BE84E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-9.417</w:t>
            </w:r>
          </w:p>
        </w:tc>
        <w:tc>
          <w:tcPr>
            <w:tcW w:w="1243" w:type="dxa"/>
          </w:tcPr>
          <w:p w14:paraId="7E5801D3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-59.86</w:t>
            </w:r>
          </w:p>
        </w:tc>
      </w:tr>
      <w:tr w14:paraId="2016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5D1C75F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5</w:t>
            </w:r>
          </w:p>
        </w:tc>
        <w:tc>
          <w:tcPr>
            <w:tcW w:w="1254" w:type="dxa"/>
            <w:vAlign w:val="center"/>
          </w:tcPr>
          <w:p w14:paraId="27E569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8018-8166</w:t>
            </w:r>
          </w:p>
        </w:tc>
        <w:tc>
          <w:tcPr>
            <w:tcW w:w="980" w:type="dxa"/>
            <w:vAlign w:val="center"/>
          </w:tcPr>
          <w:p w14:paraId="2700E0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-10.324</w:t>
            </w:r>
          </w:p>
        </w:tc>
        <w:tc>
          <w:tcPr>
            <w:tcW w:w="1408" w:type="dxa"/>
          </w:tcPr>
          <w:p w14:paraId="5D036EC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-52.00</w:t>
            </w:r>
          </w:p>
        </w:tc>
        <w:tc>
          <w:tcPr>
            <w:tcW w:w="589" w:type="dxa"/>
          </w:tcPr>
          <w:p w14:paraId="67A7EF9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33</w:t>
            </w:r>
          </w:p>
        </w:tc>
        <w:tc>
          <w:tcPr>
            <w:tcW w:w="1276" w:type="dxa"/>
            <w:vAlign w:val="center"/>
          </w:tcPr>
          <w:p w14:paraId="309F1C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D084-0769</w:t>
            </w:r>
          </w:p>
        </w:tc>
        <w:tc>
          <w:tcPr>
            <w:tcW w:w="962" w:type="dxa"/>
            <w:vAlign w:val="center"/>
          </w:tcPr>
          <w:p w14:paraId="63110C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-9.379</w:t>
            </w:r>
          </w:p>
        </w:tc>
        <w:tc>
          <w:tcPr>
            <w:tcW w:w="1243" w:type="dxa"/>
          </w:tcPr>
          <w:p w14:paraId="06701DEE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-52.13</w:t>
            </w:r>
          </w:p>
        </w:tc>
      </w:tr>
      <w:tr w14:paraId="2C70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153B63D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6</w:t>
            </w:r>
          </w:p>
        </w:tc>
        <w:tc>
          <w:tcPr>
            <w:tcW w:w="1254" w:type="dxa"/>
            <w:vAlign w:val="center"/>
          </w:tcPr>
          <w:p w14:paraId="227238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F076-0496</w:t>
            </w:r>
          </w:p>
        </w:tc>
        <w:tc>
          <w:tcPr>
            <w:tcW w:w="980" w:type="dxa"/>
            <w:vAlign w:val="center"/>
          </w:tcPr>
          <w:p w14:paraId="12F50B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-10.203</w:t>
            </w:r>
          </w:p>
        </w:tc>
        <w:tc>
          <w:tcPr>
            <w:tcW w:w="1408" w:type="dxa"/>
          </w:tcPr>
          <w:p w14:paraId="5A2B0B1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-48.92</w:t>
            </w:r>
          </w:p>
        </w:tc>
        <w:tc>
          <w:tcPr>
            <w:tcW w:w="589" w:type="dxa"/>
          </w:tcPr>
          <w:p w14:paraId="5DBBB93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34</w:t>
            </w:r>
          </w:p>
        </w:tc>
        <w:tc>
          <w:tcPr>
            <w:tcW w:w="1276" w:type="dxa"/>
            <w:vAlign w:val="center"/>
          </w:tcPr>
          <w:p w14:paraId="05BE09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8011-2037</w:t>
            </w:r>
          </w:p>
        </w:tc>
        <w:tc>
          <w:tcPr>
            <w:tcW w:w="962" w:type="dxa"/>
            <w:vAlign w:val="center"/>
          </w:tcPr>
          <w:p w14:paraId="667EE0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-9.376</w:t>
            </w:r>
          </w:p>
        </w:tc>
        <w:tc>
          <w:tcPr>
            <w:tcW w:w="1243" w:type="dxa"/>
          </w:tcPr>
          <w:p w14:paraId="20B56EB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-45.76</w:t>
            </w:r>
          </w:p>
        </w:tc>
      </w:tr>
      <w:tr w14:paraId="483D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7096AA4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7</w:t>
            </w:r>
          </w:p>
        </w:tc>
        <w:tc>
          <w:tcPr>
            <w:tcW w:w="1254" w:type="dxa"/>
            <w:vAlign w:val="center"/>
          </w:tcPr>
          <w:p w14:paraId="5F0EDF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S396-0095</w:t>
            </w:r>
          </w:p>
        </w:tc>
        <w:tc>
          <w:tcPr>
            <w:tcW w:w="980" w:type="dxa"/>
            <w:vAlign w:val="center"/>
          </w:tcPr>
          <w:p w14:paraId="589861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-10.112</w:t>
            </w:r>
          </w:p>
        </w:tc>
        <w:tc>
          <w:tcPr>
            <w:tcW w:w="1408" w:type="dxa"/>
          </w:tcPr>
          <w:p w14:paraId="093CB9D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-63.72</w:t>
            </w:r>
          </w:p>
        </w:tc>
        <w:tc>
          <w:tcPr>
            <w:tcW w:w="589" w:type="dxa"/>
          </w:tcPr>
          <w:p w14:paraId="68F10D8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35</w:t>
            </w:r>
          </w:p>
        </w:tc>
        <w:tc>
          <w:tcPr>
            <w:tcW w:w="1276" w:type="dxa"/>
            <w:vAlign w:val="center"/>
          </w:tcPr>
          <w:p w14:paraId="02A18E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7427-0110</w:t>
            </w:r>
          </w:p>
        </w:tc>
        <w:tc>
          <w:tcPr>
            <w:tcW w:w="962" w:type="dxa"/>
            <w:vAlign w:val="center"/>
          </w:tcPr>
          <w:p w14:paraId="0AF3DB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-9.376</w:t>
            </w:r>
          </w:p>
        </w:tc>
        <w:tc>
          <w:tcPr>
            <w:tcW w:w="1243" w:type="dxa"/>
          </w:tcPr>
          <w:p w14:paraId="214CFB10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-33.03</w:t>
            </w:r>
          </w:p>
        </w:tc>
      </w:tr>
      <w:tr w14:paraId="356B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7D56F25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8</w:t>
            </w:r>
          </w:p>
        </w:tc>
        <w:tc>
          <w:tcPr>
            <w:tcW w:w="1254" w:type="dxa"/>
            <w:vAlign w:val="center"/>
          </w:tcPr>
          <w:p w14:paraId="0B9B95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Y512-0126</w:t>
            </w:r>
          </w:p>
        </w:tc>
        <w:tc>
          <w:tcPr>
            <w:tcW w:w="980" w:type="dxa"/>
            <w:vAlign w:val="center"/>
          </w:tcPr>
          <w:p w14:paraId="6AB0E1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-10.014</w:t>
            </w:r>
          </w:p>
        </w:tc>
        <w:tc>
          <w:tcPr>
            <w:tcW w:w="1408" w:type="dxa"/>
          </w:tcPr>
          <w:p w14:paraId="43986EC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-53.31</w:t>
            </w:r>
          </w:p>
        </w:tc>
        <w:tc>
          <w:tcPr>
            <w:tcW w:w="589" w:type="dxa"/>
          </w:tcPr>
          <w:p w14:paraId="1ECC4D7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36</w:t>
            </w:r>
          </w:p>
        </w:tc>
        <w:tc>
          <w:tcPr>
            <w:tcW w:w="1276" w:type="dxa"/>
            <w:vAlign w:val="center"/>
          </w:tcPr>
          <w:p w14:paraId="1EC439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3232-1817</w:t>
            </w:r>
          </w:p>
        </w:tc>
        <w:tc>
          <w:tcPr>
            <w:tcW w:w="962" w:type="dxa"/>
            <w:vAlign w:val="center"/>
          </w:tcPr>
          <w:p w14:paraId="68EF0A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-9.362</w:t>
            </w:r>
          </w:p>
        </w:tc>
        <w:tc>
          <w:tcPr>
            <w:tcW w:w="1243" w:type="dxa"/>
          </w:tcPr>
          <w:p w14:paraId="71EF582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-25.10</w:t>
            </w:r>
          </w:p>
        </w:tc>
      </w:tr>
      <w:tr w14:paraId="52D5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01F409E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9</w:t>
            </w:r>
          </w:p>
        </w:tc>
        <w:tc>
          <w:tcPr>
            <w:tcW w:w="1254" w:type="dxa"/>
            <w:vAlign w:val="center"/>
          </w:tcPr>
          <w:p w14:paraId="0A2C12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6530-0468</w:t>
            </w:r>
          </w:p>
        </w:tc>
        <w:tc>
          <w:tcPr>
            <w:tcW w:w="980" w:type="dxa"/>
            <w:vAlign w:val="center"/>
          </w:tcPr>
          <w:p w14:paraId="57E095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-9.98</w:t>
            </w:r>
          </w:p>
        </w:tc>
        <w:tc>
          <w:tcPr>
            <w:tcW w:w="1408" w:type="dxa"/>
          </w:tcPr>
          <w:p w14:paraId="01FB0A9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-58.03</w:t>
            </w:r>
          </w:p>
        </w:tc>
        <w:tc>
          <w:tcPr>
            <w:tcW w:w="589" w:type="dxa"/>
          </w:tcPr>
          <w:p w14:paraId="5DC8C5F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37</w:t>
            </w:r>
          </w:p>
        </w:tc>
        <w:tc>
          <w:tcPr>
            <w:tcW w:w="1276" w:type="dxa"/>
            <w:vAlign w:val="center"/>
          </w:tcPr>
          <w:p w14:paraId="7A5EAC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8017-2486</w:t>
            </w:r>
          </w:p>
        </w:tc>
        <w:tc>
          <w:tcPr>
            <w:tcW w:w="962" w:type="dxa"/>
            <w:vAlign w:val="center"/>
          </w:tcPr>
          <w:p w14:paraId="1D0138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-9.33</w:t>
            </w:r>
          </w:p>
        </w:tc>
        <w:tc>
          <w:tcPr>
            <w:tcW w:w="1243" w:type="dxa"/>
          </w:tcPr>
          <w:p w14:paraId="20070D8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-45.08</w:t>
            </w:r>
          </w:p>
        </w:tc>
      </w:tr>
      <w:tr w14:paraId="2A072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6EF618D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10</w:t>
            </w:r>
          </w:p>
        </w:tc>
        <w:tc>
          <w:tcPr>
            <w:tcW w:w="1254" w:type="dxa"/>
            <w:vAlign w:val="center"/>
          </w:tcPr>
          <w:p w14:paraId="722338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G856-6818</w:t>
            </w:r>
          </w:p>
        </w:tc>
        <w:tc>
          <w:tcPr>
            <w:tcW w:w="980" w:type="dxa"/>
            <w:vAlign w:val="center"/>
          </w:tcPr>
          <w:p w14:paraId="4C4175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-9.935</w:t>
            </w:r>
          </w:p>
        </w:tc>
        <w:tc>
          <w:tcPr>
            <w:tcW w:w="1408" w:type="dxa"/>
          </w:tcPr>
          <w:p w14:paraId="2892104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-55.27</w:t>
            </w:r>
          </w:p>
        </w:tc>
        <w:tc>
          <w:tcPr>
            <w:tcW w:w="589" w:type="dxa"/>
          </w:tcPr>
          <w:p w14:paraId="063FBBF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38</w:t>
            </w:r>
          </w:p>
        </w:tc>
        <w:tc>
          <w:tcPr>
            <w:tcW w:w="1276" w:type="dxa"/>
            <w:vAlign w:val="center"/>
          </w:tcPr>
          <w:p w14:paraId="561AA4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D487-0366</w:t>
            </w:r>
          </w:p>
        </w:tc>
        <w:tc>
          <w:tcPr>
            <w:tcW w:w="962" w:type="dxa"/>
            <w:vAlign w:val="center"/>
          </w:tcPr>
          <w:p w14:paraId="5713B4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-9.311</w:t>
            </w:r>
          </w:p>
        </w:tc>
        <w:tc>
          <w:tcPr>
            <w:tcW w:w="1243" w:type="dxa"/>
          </w:tcPr>
          <w:p w14:paraId="6B19969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-55.53</w:t>
            </w:r>
          </w:p>
        </w:tc>
      </w:tr>
      <w:tr w14:paraId="2233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7095CCC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11</w:t>
            </w:r>
          </w:p>
        </w:tc>
        <w:tc>
          <w:tcPr>
            <w:tcW w:w="1254" w:type="dxa"/>
            <w:vAlign w:val="center"/>
          </w:tcPr>
          <w:p w14:paraId="3DDCED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2159-4164</w:t>
            </w:r>
          </w:p>
        </w:tc>
        <w:tc>
          <w:tcPr>
            <w:tcW w:w="980" w:type="dxa"/>
            <w:vAlign w:val="center"/>
          </w:tcPr>
          <w:p w14:paraId="5F872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-9.934</w:t>
            </w:r>
          </w:p>
        </w:tc>
        <w:tc>
          <w:tcPr>
            <w:tcW w:w="1408" w:type="dxa"/>
          </w:tcPr>
          <w:p w14:paraId="297389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-30.76</w:t>
            </w:r>
          </w:p>
        </w:tc>
        <w:tc>
          <w:tcPr>
            <w:tcW w:w="589" w:type="dxa"/>
          </w:tcPr>
          <w:p w14:paraId="5FAD4EA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39</w:t>
            </w:r>
          </w:p>
        </w:tc>
        <w:tc>
          <w:tcPr>
            <w:tcW w:w="1276" w:type="dxa"/>
            <w:vAlign w:val="center"/>
          </w:tcPr>
          <w:p w14:paraId="16B067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T424-0080</w:t>
            </w:r>
          </w:p>
        </w:tc>
        <w:tc>
          <w:tcPr>
            <w:tcW w:w="962" w:type="dxa"/>
            <w:vAlign w:val="center"/>
          </w:tcPr>
          <w:p w14:paraId="08899C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-9.261</w:t>
            </w:r>
          </w:p>
        </w:tc>
        <w:tc>
          <w:tcPr>
            <w:tcW w:w="1243" w:type="dxa"/>
          </w:tcPr>
          <w:p w14:paraId="3F804B78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-54.67</w:t>
            </w:r>
          </w:p>
        </w:tc>
      </w:tr>
      <w:tr w14:paraId="1D03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2BC9363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12</w:t>
            </w:r>
          </w:p>
        </w:tc>
        <w:tc>
          <w:tcPr>
            <w:tcW w:w="1254" w:type="dxa"/>
            <w:vAlign w:val="center"/>
          </w:tcPr>
          <w:p w14:paraId="613182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Y511-6683</w:t>
            </w:r>
          </w:p>
        </w:tc>
        <w:tc>
          <w:tcPr>
            <w:tcW w:w="980" w:type="dxa"/>
            <w:vAlign w:val="center"/>
          </w:tcPr>
          <w:p w14:paraId="4359A4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-9.927</w:t>
            </w:r>
          </w:p>
        </w:tc>
        <w:tc>
          <w:tcPr>
            <w:tcW w:w="1408" w:type="dxa"/>
          </w:tcPr>
          <w:p w14:paraId="43F0104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-4.59</w:t>
            </w:r>
          </w:p>
        </w:tc>
        <w:tc>
          <w:tcPr>
            <w:tcW w:w="589" w:type="dxa"/>
          </w:tcPr>
          <w:p w14:paraId="60FCF03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40</w:t>
            </w:r>
          </w:p>
        </w:tc>
        <w:tc>
          <w:tcPr>
            <w:tcW w:w="1276" w:type="dxa"/>
            <w:vAlign w:val="center"/>
          </w:tcPr>
          <w:p w14:paraId="6297AC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Y700-0782</w:t>
            </w:r>
          </w:p>
        </w:tc>
        <w:tc>
          <w:tcPr>
            <w:tcW w:w="962" w:type="dxa"/>
            <w:vAlign w:val="center"/>
          </w:tcPr>
          <w:p w14:paraId="6FCCC0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-9.256</w:t>
            </w:r>
          </w:p>
        </w:tc>
        <w:tc>
          <w:tcPr>
            <w:tcW w:w="1243" w:type="dxa"/>
          </w:tcPr>
          <w:p w14:paraId="0FFD640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-48.75</w:t>
            </w:r>
          </w:p>
        </w:tc>
      </w:tr>
      <w:tr w14:paraId="233B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1D947F2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13</w:t>
            </w:r>
          </w:p>
        </w:tc>
        <w:tc>
          <w:tcPr>
            <w:tcW w:w="1254" w:type="dxa"/>
            <w:vAlign w:val="center"/>
          </w:tcPr>
          <w:p w14:paraId="64DFD0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G856-6848</w:t>
            </w:r>
          </w:p>
        </w:tc>
        <w:tc>
          <w:tcPr>
            <w:tcW w:w="980" w:type="dxa"/>
            <w:vAlign w:val="center"/>
          </w:tcPr>
          <w:p w14:paraId="7955EC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-9.925</w:t>
            </w:r>
          </w:p>
        </w:tc>
        <w:tc>
          <w:tcPr>
            <w:tcW w:w="1408" w:type="dxa"/>
          </w:tcPr>
          <w:p w14:paraId="16E68EA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-60.42</w:t>
            </w:r>
          </w:p>
        </w:tc>
        <w:tc>
          <w:tcPr>
            <w:tcW w:w="589" w:type="dxa"/>
          </w:tcPr>
          <w:p w14:paraId="7071AC2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41</w:t>
            </w:r>
          </w:p>
        </w:tc>
        <w:tc>
          <w:tcPr>
            <w:tcW w:w="1276" w:type="dxa"/>
            <w:vAlign w:val="center"/>
          </w:tcPr>
          <w:p w14:paraId="53E74D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G317-0542</w:t>
            </w:r>
          </w:p>
        </w:tc>
        <w:tc>
          <w:tcPr>
            <w:tcW w:w="962" w:type="dxa"/>
            <w:vAlign w:val="center"/>
          </w:tcPr>
          <w:p w14:paraId="6B9DE3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-9.237</w:t>
            </w:r>
          </w:p>
        </w:tc>
        <w:tc>
          <w:tcPr>
            <w:tcW w:w="1243" w:type="dxa"/>
          </w:tcPr>
          <w:p w14:paraId="363436E9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-34.56</w:t>
            </w:r>
          </w:p>
        </w:tc>
      </w:tr>
      <w:tr w14:paraId="2DEB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383D264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14</w:t>
            </w:r>
          </w:p>
        </w:tc>
        <w:tc>
          <w:tcPr>
            <w:tcW w:w="1254" w:type="dxa"/>
            <w:vAlign w:val="center"/>
          </w:tcPr>
          <w:p w14:paraId="1CF345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G856-6846</w:t>
            </w:r>
          </w:p>
        </w:tc>
        <w:tc>
          <w:tcPr>
            <w:tcW w:w="980" w:type="dxa"/>
            <w:vAlign w:val="center"/>
          </w:tcPr>
          <w:p w14:paraId="3BB348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-9.893</w:t>
            </w:r>
          </w:p>
        </w:tc>
        <w:tc>
          <w:tcPr>
            <w:tcW w:w="1408" w:type="dxa"/>
          </w:tcPr>
          <w:p w14:paraId="2449F06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-53.45</w:t>
            </w:r>
          </w:p>
        </w:tc>
        <w:tc>
          <w:tcPr>
            <w:tcW w:w="589" w:type="dxa"/>
          </w:tcPr>
          <w:p w14:paraId="67FA5AD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42</w:t>
            </w:r>
          </w:p>
        </w:tc>
        <w:tc>
          <w:tcPr>
            <w:tcW w:w="1276" w:type="dxa"/>
            <w:vAlign w:val="center"/>
          </w:tcPr>
          <w:p w14:paraId="0A7CD9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K906-2234</w:t>
            </w:r>
          </w:p>
        </w:tc>
        <w:tc>
          <w:tcPr>
            <w:tcW w:w="962" w:type="dxa"/>
            <w:vAlign w:val="center"/>
          </w:tcPr>
          <w:p w14:paraId="72A48E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-9.231</w:t>
            </w:r>
          </w:p>
        </w:tc>
        <w:tc>
          <w:tcPr>
            <w:tcW w:w="1243" w:type="dxa"/>
          </w:tcPr>
          <w:p w14:paraId="7868157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-43.65</w:t>
            </w:r>
          </w:p>
        </w:tc>
      </w:tr>
      <w:tr w14:paraId="4EF3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3F1A4DA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15</w:t>
            </w:r>
          </w:p>
        </w:tc>
        <w:tc>
          <w:tcPr>
            <w:tcW w:w="1254" w:type="dxa"/>
            <w:vAlign w:val="center"/>
          </w:tcPr>
          <w:p w14:paraId="6F2146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Y020-2833</w:t>
            </w:r>
          </w:p>
        </w:tc>
        <w:tc>
          <w:tcPr>
            <w:tcW w:w="980" w:type="dxa"/>
            <w:vAlign w:val="center"/>
          </w:tcPr>
          <w:p w14:paraId="6A977F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-9.831</w:t>
            </w:r>
          </w:p>
        </w:tc>
        <w:tc>
          <w:tcPr>
            <w:tcW w:w="1408" w:type="dxa"/>
          </w:tcPr>
          <w:p w14:paraId="4110A22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-51.90</w:t>
            </w:r>
          </w:p>
        </w:tc>
        <w:tc>
          <w:tcPr>
            <w:tcW w:w="589" w:type="dxa"/>
          </w:tcPr>
          <w:p w14:paraId="510D56A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43</w:t>
            </w:r>
          </w:p>
        </w:tc>
        <w:tc>
          <w:tcPr>
            <w:tcW w:w="1276" w:type="dxa"/>
            <w:vAlign w:val="center"/>
          </w:tcPr>
          <w:p w14:paraId="07C1E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Y020-8337</w:t>
            </w:r>
          </w:p>
        </w:tc>
        <w:tc>
          <w:tcPr>
            <w:tcW w:w="962" w:type="dxa"/>
            <w:vAlign w:val="center"/>
          </w:tcPr>
          <w:p w14:paraId="35AD28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-9.224</w:t>
            </w:r>
          </w:p>
        </w:tc>
        <w:tc>
          <w:tcPr>
            <w:tcW w:w="1243" w:type="dxa"/>
          </w:tcPr>
          <w:p w14:paraId="131A49A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-49.20</w:t>
            </w:r>
          </w:p>
        </w:tc>
      </w:tr>
      <w:tr w14:paraId="4693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5DE84E1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16</w:t>
            </w:r>
          </w:p>
        </w:tc>
        <w:tc>
          <w:tcPr>
            <w:tcW w:w="1254" w:type="dxa"/>
            <w:vAlign w:val="center"/>
          </w:tcPr>
          <w:p w14:paraId="34096D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S396-0093</w:t>
            </w:r>
          </w:p>
        </w:tc>
        <w:tc>
          <w:tcPr>
            <w:tcW w:w="980" w:type="dxa"/>
            <w:vAlign w:val="center"/>
          </w:tcPr>
          <w:p w14:paraId="68CAEA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-9.799</w:t>
            </w:r>
          </w:p>
        </w:tc>
        <w:tc>
          <w:tcPr>
            <w:tcW w:w="1408" w:type="dxa"/>
          </w:tcPr>
          <w:p w14:paraId="68D7AE8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-55.52</w:t>
            </w:r>
          </w:p>
        </w:tc>
        <w:tc>
          <w:tcPr>
            <w:tcW w:w="589" w:type="dxa"/>
          </w:tcPr>
          <w:p w14:paraId="4B877CD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44</w:t>
            </w:r>
          </w:p>
        </w:tc>
        <w:tc>
          <w:tcPr>
            <w:tcW w:w="1276" w:type="dxa"/>
            <w:vAlign w:val="center"/>
          </w:tcPr>
          <w:p w14:paraId="27CD4D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8020-6484</w:t>
            </w:r>
          </w:p>
        </w:tc>
        <w:tc>
          <w:tcPr>
            <w:tcW w:w="962" w:type="dxa"/>
            <w:vAlign w:val="center"/>
          </w:tcPr>
          <w:p w14:paraId="0A324B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-9.218</w:t>
            </w:r>
          </w:p>
        </w:tc>
        <w:tc>
          <w:tcPr>
            <w:tcW w:w="1243" w:type="dxa"/>
          </w:tcPr>
          <w:p w14:paraId="04E1EEA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-33.59</w:t>
            </w:r>
          </w:p>
        </w:tc>
      </w:tr>
      <w:tr w14:paraId="695F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2D72D41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17</w:t>
            </w:r>
          </w:p>
        </w:tc>
        <w:tc>
          <w:tcPr>
            <w:tcW w:w="1254" w:type="dxa"/>
            <w:vAlign w:val="center"/>
          </w:tcPr>
          <w:p w14:paraId="293FCD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G856-6814</w:t>
            </w:r>
          </w:p>
        </w:tc>
        <w:tc>
          <w:tcPr>
            <w:tcW w:w="980" w:type="dxa"/>
            <w:vAlign w:val="center"/>
          </w:tcPr>
          <w:p w14:paraId="0FA948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-9.777</w:t>
            </w:r>
          </w:p>
        </w:tc>
        <w:tc>
          <w:tcPr>
            <w:tcW w:w="1408" w:type="dxa"/>
          </w:tcPr>
          <w:p w14:paraId="4653318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-56.89</w:t>
            </w:r>
          </w:p>
        </w:tc>
        <w:tc>
          <w:tcPr>
            <w:tcW w:w="589" w:type="dxa"/>
          </w:tcPr>
          <w:p w14:paraId="6C4A8BF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45</w:t>
            </w:r>
          </w:p>
        </w:tc>
        <w:tc>
          <w:tcPr>
            <w:tcW w:w="1276" w:type="dxa"/>
            <w:vAlign w:val="center"/>
          </w:tcPr>
          <w:p w14:paraId="02E8CE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8017-9276</w:t>
            </w:r>
          </w:p>
        </w:tc>
        <w:tc>
          <w:tcPr>
            <w:tcW w:w="962" w:type="dxa"/>
            <w:vAlign w:val="center"/>
          </w:tcPr>
          <w:p w14:paraId="38427A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-9.215</w:t>
            </w:r>
          </w:p>
        </w:tc>
        <w:tc>
          <w:tcPr>
            <w:tcW w:w="1243" w:type="dxa"/>
          </w:tcPr>
          <w:p w14:paraId="593A29C2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-51.79</w:t>
            </w:r>
          </w:p>
        </w:tc>
      </w:tr>
      <w:tr w14:paraId="10BF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7FBBE93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18</w:t>
            </w:r>
          </w:p>
        </w:tc>
        <w:tc>
          <w:tcPr>
            <w:tcW w:w="1254" w:type="dxa"/>
            <w:vAlign w:val="center"/>
          </w:tcPr>
          <w:p w14:paraId="66EFA2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Y505-2950</w:t>
            </w:r>
          </w:p>
        </w:tc>
        <w:tc>
          <w:tcPr>
            <w:tcW w:w="980" w:type="dxa"/>
            <w:vAlign w:val="center"/>
          </w:tcPr>
          <w:p w14:paraId="122A8A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-9.771</w:t>
            </w:r>
          </w:p>
        </w:tc>
        <w:tc>
          <w:tcPr>
            <w:tcW w:w="1408" w:type="dxa"/>
          </w:tcPr>
          <w:p w14:paraId="394958E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-50.85</w:t>
            </w:r>
          </w:p>
        </w:tc>
        <w:tc>
          <w:tcPr>
            <w:tcW w:w="589" w:type="dxa"/>
          </w:tcPr>
          <w:p w14:paraId="0508710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46</w:t>
            </w:r>
          </w:p>
        </w:tc>
        <w:tc>
          <w:tcPr>
            <w:tcW w:w="1276" w:type="dxa"/>
            <w:vAlign w:val="center"/>
          </w:tcPr>
          <w:p w14:paraId="2FE612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G856-6826</w:t>
            </w:r>
          </w:p>
        </w:tc>
        <w:tc>
          <w:tcPr>
            <w:tcW w:w="962" w:type="dxa"/>
            <w:vAlign w:val="center"/>
          </w:tcPr>
          <w:p w14:paraId="284F99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-9.194</w:t>
            </w:r>
          </w:p>
        </w:tc>
        <w:tc>
          <w:tcPr>
            <w:tcW w:w="1243" w:type="dxa"/>
          </w:tcPr>
          <w:p w14:paraId="4919D8C9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-58.67</w:t>
            </w:r>
          </w:p>
        </w:tc>
      </w:tr>
      <w:tr w14:paraId="3D17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2017344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19</w:t>
            </w:r>
          </w:p>
        </w:tc>
        <w:tc>
          <w:tcPr>
            <w:tcW w:w="1254" w:type="dxa"/>
            <w:vAlign w:val="center"/>
          </w:tcPr>
          <w:p w14:paraId="353E31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Y042-2725</w:t>
            </w:r>
          </w:p>
        </w:tc>
        <w:tc>
          <w:tcPr>
            <w:tcW w:w="980" w:type="dxa"/>
            <w:vAlign w:val="center"/>
          </w:tcPr>
          <w:p w14:paraId="2DFD2E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-9.748</w:t>
            </w:r>
          </w:p>
        </w:tc>
        <w:tc>
          <w:tcPr>
            <w:tcW w:w="1408" w:type="dxa"/>
          </w:tcPr>
          <w:p w14:paraId="2390BE1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-44.36</w:t>
            </w:r>
          </w:p>
        </w:tc>
        <w:tc>
          <w:tcPr>
            <w:tcW w:w="589" w:type="dxa"/>
          </w:tcPr>
          <w:p w14:paraId="64F83BC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47</w:t>
            </w:r>
          </w:p>
        </w:tc>
        <w:tc>
          <w:tcPr>
            <w:tcW w:w="1276" w:type="dxa"/>
            <w:vAlign w:val="center"/>
          </w:tcPr>
          <w:p w14:paraId="2219C6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R052-3840</w:t>
            </w:r>
          </w:p>
        </w:tc>
        <w:tc>
          <w:tcPr>
            <w:tcW w:w="962" w:type="dxa"/>
            <w:vAlign w:val="center"/>
          </w:tcPr>
          <w:p w14:paraId="51D6EB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-9.185</w:t>
            </w:r>
          </w:p>
        </w:tc>
        <w:tc>
          <w:tcPr>
            <w:tcW w:w="1243" w:type="dxa"/>
          </w:tcPr>
          <w:p w14:paraId="7DD228C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-50.80</w:t>
            </w:r>
          </w:p>
        </w:tc>
      </w:tr>
      <w:tr w14:paraId="3727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42295D8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20</w:t>
            </w:r>
          </w:p>
        </w:tc>
        <w:tc>
          <w:tcPr>
            <w:tcW w:w="1254" w:type="dxa"/>
            <w:vAlign w:val="center"/>
          </w:tcPr>
          <w:p w14:paraId="47F5F6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D041-0037</w:t>
            </w:r>
          </w:p>
        </w:tc>
        <w:tc>
          <w:tcPr>
            <w:tcW w:w="980" w:type="dxa"/>
            <w:vAlign w:val="center"/>
          </w:tcPr>
          <w:p w14:paraId="41F9EE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-9.646</w:t>
            </w:r>
          </w:p>
        </w:tc>
        <w:tc>
          <w:tcPr>
            <w:tcW w:w="1408" w:type="dxa"/>
          </w:tcPr>
          <w:p w14:paraId="6230E80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-54.46</w:t>
            </w:r>
          </w:p>
        </w:tc>
        <w:tc>
          <w:tcPr>
            <w:tcW w:w="589" w:type="dxa"/>
          </w:tcPr>
          <w:p w14:paraId="2C3EDF9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48</w:t>
            </w:r>
          </w:p>
        </w:tc>
        <w:tc>
          <w:tcPr>
            <w:tcW w:w="1276" w:type="dxa"/>
            <w:vAlign w:val="center"/>
          </w:tcPr>
          <w:p w14:paraId="031393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8018-7341</w:t>
            </w:r>
          </w:p>
        </w:tc>
        <w:tc>
          <w:tcPr>
            <w:tcW w:w="962" w:type="dxa"/>
            <w:vAlign w:val="center"/>
          </w:tcPr>
          <w:p w14:paraId="21077B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-9.177</w:t>
            </w:r>
          </w:p>
        </w:tc>
        <w:tc>
          <w:tcPr>
            <w:tcW w:w="1243" w:type="dxa"/>
          </w:tcPr>
          <w:p w14:paraId="1E860A55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-43.12</w:t>
            </w:r>
          </w:p>
        </w:tc>
      </w:tr>
      <w:tr w14:paraId="1DD7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0D08DCD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21</w:t>
            </w:r>
          </w:p>
        </w:tc>
        <w:tc>
          <w:tcPr>
            <w:tcW w:w="1254" w:type="dxa"/>
            <w:vAlign w:val="center"/>
          </w:tcPr>
          <w:p w14:paraId="280C79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F571-0685</w:t>
            </w:r>
          </w:p>
        </w:tc>
        <w:tc>
          <w:tcPr>
            <w:tcW w:w="980" w:type="dxa"/>
            <w:vAlign w:val="center"/>
          </w:tcPr>
          <w:p w14:paraId="018E83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-9.598</w:t>
            </w:r>
          </w:p>
        </w:tc>
        <w:tc>
          <w:tcPr>
            <w:tcW w:w="1408" w:type="dxa"/>
          </w:tcPr>
          <w:p w14:paraId="2A6D253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-56.46</w:t>
            </w:r>
          </w:p>
        </w:tc>
        <w:tc>
          <w:tcPr>
            <w:tcW w:w="589" w:type="dxa"/>
          </w:tcPr>
          <w:p w14:paraId="536639B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49</w:t>
            </w:r>
          </w:p>
        </w:tc>
        <w:tc>
          <w:tcPr>
            <w:tcW w:w="1276" w:type="dxa"/>
            <w:vAlign w:val="center"/>
          </w:tcPr>
          <w:p w14:paraId="13C1C9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Y021-6005</w:t>
            </w:r>
          </w:p>
        </w:tc>
        <w:tc>
          <w:tcPr>
            <w:tcW w:w="962" w:type="dxa"/>
            <w:vAlign w:val="center"/>
          </w:tcPr>
          <w:p w14:paraId="0C6871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-9.172</w:t>
            </w:r>
          </w:p>
        </w:tc>
        <w:tc>
          <w:tcPr>
            <w:tcW w:w="1243" w:type="dxa"/>
          </w:tcPr>
          <w:p w14:paraId="21A87B69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-32.27</w:t>
            </w:r>
          </w:p>
        </w:tc>
      </w:tr>
      <w:tr w14:paraId="11AEB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6384EC4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22</w:t>
            </w:r>
          </w:p>
        </w:tc>
        <w:tc>
          <w:tcPr>
            <w:tcW w:w="1254" w:type="dxa"/>
            <w:vAlign w:val="center"/>
          </w:tcPr>
          <w:p w14:paraId="7D69FE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G856-6783</w:t>
            </w:r>
          </w:p>
        </w:tc>
        <w:tc>
          <w:tcPr>
            <w:tcW w:w="980" w:type="dxa"/>
            <w:vAlign w:val="center"/>
          </w:tcPr>
          <w:p w14:paraId="6659D9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-9.59</w:t>
            </w:r>
          </w:p>
        </w:tc>
        <w:tc>
          <w:tcPr>
            <w:tcW w:w="1408" w:type="dxa"/>
          </w:tcPr>
          <w:p w14:paraId="70BB742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-62.28</w:t>
            </w:r>
          </w:p>
        </w:tc>
        <w:tc>
          <w:tcPr>
            <w:tcW w:w="589" w:type="dxa"/>
          </w:tcPr>
          <w:p w14:paraId="1FFAD9B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50</w:t>
            </w:r>
          </w:p>
        </w:tc>
        <w:tc>
          <w:tcPr>
            <w:tcW w:w="1276" w:type="dxa"/>
            <w:vAlign w:val="center"/>
          </w:tcPr>
          <w:p w14:paraId="757E70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2954-0011</w:t>
            </w:r>
          </w:p>
        </w:tc>
        <w:tc>
          <w:tcPr>
            <w:tcW w:w="962" w:type="dxa"/>
            <w:vAlign w:val="center"/>
          </w:tcPr>
          <w:p w14:paraId="0EB6B0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-9.158</w:t>
            </w:r>
          </w:p>
        </w:tc>
        <w:tc>
          <w:tcPr>
            <w:tcW w:w="1243" w:type="dxa"/>
          </w:tcPr>
          <w:p w14:paraId="43CAF742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-47.37</w:t>
            </w:r>
          </w:p>
        </w:tc>
      </w:tr>
      <w:tr w14:paraId="7E80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16BF5CD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23</w:t>
            </w:r>
          </w:p>
        </w:tc>
        <w:tc>
          <w:tcPr>
            <w:tcW w:w="1254" w:type="dxa"/>
            <w:vAlign w:val="center"/>
          </w:tcPr>
          <w:p w14:paraId="4659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G856-6849</w:t>
            </w:r>
          </w:p>
        </w:tc>
        <w:tc>
          <w:tcPr>
            <w:tcW w:w="980" w:type="dxa"/>
            <w:vAlign w:val="center"/>
          </w:tcPr>
          <w:p w14:paraId="6D39B8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-9.59</w:t>
            </w:r>
          </w:p>
        </w:tc>
        <w:tc>
          <w:tcPr>
            <w:tcW w:w="1408" w:type="dxa"/>
          </w:tcPr>
          <w:p w14:paraId="07277A5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-59.19</w:t>
            </w:r>
          </w:p>
        </w:tc>
        <w:tc>
          <w:tcPr>
            <w:tcW w:w="589" w:type="dxa"/>
          </w:tcPr>
          <w:p w14:paraId="5A68CAD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51</w:t>
            </w:r>
          </w:p>
        </w:tc>
        <w:tc>
          <w:tcPr>
            <w:tcW w:w="1276" w:type="dxa"/>
            <w:vAlign w:val="center"/>
          </w:tcPr>
          <w:p w14:paraId="013B66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8020-1064</w:t>
            </w:r>
          </w:p>
        </w:tc>
        <w:tc>
          <w:tcPr>
            <w:tcW w:w="962" w:type="dxa"/>
            <w:vAlign w:val="center"/>
          </w:tcPr>
          <w:p w14:paraId="5EDA79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-9.145</w:t>
            </w:r>
          </w:p>
        </w:tc>
        <w:tc>
          <w:tcPr>
            <w:tcW w:w="1243" w:type="dxa"/>
          </w:tcPr>
          <w:p w14:paraId="2F86EC5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-44.10</w:t>
            </w:r>
          </w:p>
        </w:tc>
      </w:tr>
      <w:tr w14:paraId="3550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269B0B5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24</w:t>
            </w:r>
          </w:p>
        </w:tc>
        <w:tc>
          <w:tcPr>
            <w:tcW w:w="1254" w:type="dxa"/>
            <w:vAlign w:val="center"/>
          </w:tcPr>
          <w:p w14:paraId="250F36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8017-0016</w:t>
            </w:r>
          </w:p>
        </w:tc>
        <w:tc>
          <w:tcPr>
            <w:tcW w:w="980" w:type="dxa"/>
            <w:vAlign w:val="center"/>
          </w:tcPr>
          <w:p w14:paraId="53A570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-9.582</w:t>
            </w:r>
          </w:p>
        </w:tc>
        <w:tc>
          <w:tcPr>
            <w:tcW w:w="1408" w:type="dxa"/>
          </w:tcPr>
          <w:p w14:paraId="7153DAA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-51.21</w:t>
            </w:r>
          </w:p>
        </w:tc>
        <w:tc>
          <w:tcPr>
            <w:tcW w:w="589" w:type="dxa"/>
          </w:tcPr>
          <w:p w14:paraId="0CCFC7E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52</w:t>
            </w:r>
          </w:p>
        </w:tc>
        <w:tc>
          <w:tcPr>
            <w:tcW w:w="1276" w:type="dxa"/>
            <w:vAlign w:val="center"/>
          </w:tcPr>
          <w:p w14:paraId="1A359A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G856-6767</w:t>
            </w:r>
          </w:p>
        </w:tc>
        <w:tc>
          <w:tcPr>
            <w:tcW w:w="962" w:type="dxa"/>
            <w:vAlign w:val="center"/>
          </w:tcPr>
          <w:p w14:paraId="158549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-9.099</w:t>
            </w:r>
          </w:p>
        </w:tc>
        <w:tc>
          <w:tcPr>
            <w:tcW w:w="1243" w:type="dxa"/>
          </w:tcPr>
          <w:p w14:paraId="486ED79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-59.51</w:t>
            </w:r>
          </w:p>
        </w:tc>
      </w:tr>
      <w:tr w14:paraId="0B64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5A46725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25</w:t>
            </w:r>
          </w:p>
        </w:tc>
        <w:tc>
          <w:tcPr>
            <w:tcW w:w="1254" w:type="dxa"/>
            <w:vAlign w:val="center"/>
          </w:tcPr>
          <w:p w14:paraId="5B9E78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F076-0466</w:t>
            </w:r>
          </w:p>
        </w:tc>
        <w:tc>
          <w:tcPr>
            <w:tcW w:w="980" w:type="dxa"/>
            <w:vAlign w:val="center"/>
          </w:tcPr>
          <w:p w14:paraId="6986BB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-9.55</w:t>
            </w:r>
          </w:p>
        </w:tc>
        <w:tc>
          <w:tcPr>
            <w:tcW w:w="1408" w:type="dxa"/>
          </w:tcPr>
          <w:p w14:paraId="44AB0F9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-56.19</w:t>
            </w:r>
          </w:p>
        </w:tc>
        <w:tc>
          <w:tcPr>
            <w:tcW w:w="589" w:type="dxa"/>
          </w:tcPr>
          <w:p w14:paraId="70DB2AC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53</w:t>
            </w:r>
          </w:p>
        </w:tc>
        <w:tc>
          <w:tcPr>
            <w:tcW w:w="1276" w:type="dxa"/>
            <w:vAlign w:val="center"/>
          </w:tcPr>
          <w:p w14:paraId="2305C8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D084-0498</w:t>
            </w:r>
          </w:p>
        </w:tc>
        <w:tc>
          <w:tcPr>
            <w:tcW w:w="962" w:type="dxa"/>
            <w:vAlign w:val="center"/>
          </w:tcPr>
          <w:p w14:paraId="2FE8A7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-9.071</w:t>
            </w:r>
          </w:p>
        </w:tc>
        <w:tc>
          <w:tcPr>
            <w:tcW w:w="1243" w:type="dxa"/>
          </w:tcPr>
          <w:p w14:paraId="73822173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-52.53</w:t>
            </w:r>
          </w:p>
        </w:tc>
      </w:tr>
      <w:tr w14:paraId="58AD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602B326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26</w:t>
            </w:r>
          </w:p>
        </w:tc>
        <w:tc>
          <w:tcPr>
            <w:tcW w:w="1254" w:type="dxa"/>
            <w:vAlign w:val="center"/>
          </w:tcPr>
          <w:p w14:paraId="743A2D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G856-6819</w:t>
            </w:r>
          </w:p>
        </w:tc>
        <w:tc>
          <w:tcPr>
            <w:tcW w:w="980" w:type="dxa"/>
            <w:vAlign w:val="center"/>
          </w:tcPr>
          <w:p w14:paraId="76E31B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-9.537</w:t>
            </w:r>
          </w:p>
        </w:tc>
        <w:tc>
          <w:tcPr>
            <w:tcW w:w="1408" w:type="dxa"/>
          </w:tcPr>
          <w:p w14:paraId="454E8FC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-59.02</w:t>
            </w:r>
          </w:p>
        </w:tc>
        <w:tc>
          <w:tcPr>
            <w:tcW w:w="589" w:type="dxa"/>
          </w:tcPr>
          <w:p w14:paraId="01AE008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54</w:t>
            </w:r>
          </w:p>
        </w:tc>
        <w:tc>
          <w:tcPr>
            <w:tcW w:w="1276" w:type="dxa"/>
            <w:vAlign w:val="center"/>
          </w:tcPr>
          <w:p w14:paraId="0B5632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Y700-0440</w:t>
            </w:r>
          </w:p>
        </w:tc>
        <w:tc>
          <w:tcPr>
            <w:tcW w:w="962" w:type="dxa"/>
            <w:vAlign w:val="center"/>
          </w:tcPr>
          <w:p w14:paraId="04EB79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-9.063</w:t>
            </w:r>
          </w:p>
        </w:tc>
        <w:tc>
          <w:tcPr>
            <w:tcW w:w="1243" w:type="dxa"/>
          </w:tcPr>
          <w:p w14:paraId="54284A8D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-45.07</w:t>
            </w:r>
          </w:p>
        </w:tc>
      </w:tr>
      <w:tr w14:paraId="0B35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0DD86CC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27</w:t>
            </w:r>
          </w:p>
        </w:tc>
        <w:tc>
          <w:tcPr>
            <w:tcW w:w="1254" w:type="dxa"/>
            <w:vAlign w:val="center"/>
          </w:tcPr>
          <w:p w14:paraId="42D22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D084-0560</w:t>
            </w:r>
          </w:p>
        </w:tc>
        <w:tc>
          <w:tcPr>
            <w:tcW w:w="980" w:type="dxa"/>
            <w:vAlign w:val="center"/>
          </w:tcPr>
          <w:p w14:paraId="134304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-9.513</w:t>
            </w:r>
          </w:p>
        </w:tc>
        <w:tc>
          <w:tcPr>
            <w:tcW w:w="1408" w:type="dxa"/>
          </w:tcPr>
          <w:p w14:paraId="0268D80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-44.03</w:t>
            </w:r>
          </w:p>
        </w:tc>
        <w:tc>
          <w:tcPr>
            <w:tcW w:w="589" w:type="dxa"/>
          </w:tcPr>
          <w:p w14:paraId="0D14D91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55</w:t>
            </w:r>
          </w:p>
        </w:tc>
        <w:tc>
          <w:tcPr>
            <w:tcW w:w="1276" w:type="dxa"/>
            <w:vAlign w:val="center"/>
          </w:tcPr>
          <w:p w14:paraId="73D85F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5697-0340</w:t>
            </w:r>
          </w:p>
        </w:tc>
        <w:tc>
          <w:tcPr>
            <w:tcW w:w="962" w:type="dxa"/>
            <w:vAlign w:val="center"/>
          </w:tcPr>
          <w:p w14:paraId="4EE03A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-9.032</w:t>
            </w:r>
          </w:p>
        </w:tc>
        <w:tc>
          <w:tcPr>
            <w:tcW w:w="1243" w:type="dxa"/>
          </w:tcPr>
          <w:p w14:paraId="0AF314B8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-55.45</w:t>
            </w:r>
          </w:p>
        </w:tc>
      </w:tr>
      <w:tr w14:paraId="638A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</w:tcPr>
          <w:p w14:paraId="2F2E361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28</w:t>
            </w:r>
          </w:p>
        </w:tc>
        <w:tc>
          <w:tcPr>
            <w:tcW w:w="1254" w:type="dxa"/>
            <w:vAlign w:val="center"/>
          </w:tcPr>
          <w:p w14:paraId="1ADE95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G807-0565</w:t>
            </w:r>
          </w:p>
        </w:tc>
        <w:tc>
          <w:tcPr>
            <w:tcW w:w="980" w:type="dxa"/>
            <w:vAlign w:val="center"/>
          </w:tcPr>
          <w:p w14:paraId="68082A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-9.496</w:t>
            </w:r>
          </w:p>
        </w:tc>
        <w:tc>
          <w:tcPr>
            <w:tcW w:w="1408" w:type="dxa"/>
          </w:tcPr>
          <w:p w14:paraId="55B5F997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-65.17</w:t>
            </w:r>
          </w:p>
        </w:tc>
        <w:tc>
          <w:tcPr>
            <w:tcW w:w="589" w:type="dxa"/>
          </w:tcPr>
          <w:p w14:paraId="1C656ED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276" w:type="dxa"/>
          </w:tcPr>
          <w:p w14:paraId="7A5A2CE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2" w:type="dxa"/>
          </w:tcPr>
          <w:p w14:paraId="7078C0D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3" w:type="dxa"/>
          </w:tcPr>
          <w:p w14:paraId="6EF68F5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1C392F26">
      <w:pPr>
        <w:rPr>
          <w:rFonts w:ascii="Times New Roman" w:hAnsi="Times New Roman" w:cs="Times New Roman"/>
          <w:sz w:val="24"/>
          <w:szCs w:val="24"/>
        </w:rPr>
      </w:pPr>
    </w:p>
    <w:p w14:paraId="3285DD46">
      <w:pPr>
        <w:rPr>
          <w:rFonts w:ascii="Times New Roman" w:hAnsi="Times New Roman" w:eastAsia="Times New Roman" w:cs="Times New Roman"/>
          <w:sz w:val="24"/>
          <w:szCs w:val="24"/>
          <w:lang w:val="en-I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IN"/>
        </w:rPr>
        <w:t xml:space="preserve">Table S2: </w:t>
      </w:r>
      <w:r>
        <w:rPr>
          <w:rFonts w:ascii="Times New Roman" w:hAnsi="Times New Roman" w:eastAsia="Times New Roman" w:cs="Times New Roman"/>
          <w:sz w:val="24"/>
          <w:szCs w:val="24"/>
          <w:lang w:val="en-IN"/>
        </w:rPr>
        <w:t xml:space="preserve">Medicinal chemistry properties of the ligands estimated using the ADMETlab 3.0 webserver. </w:t>
      </w:r>
    </w:p>
    <w:p w14:paraId="548691CE">
      <w:pPr>
        <w:rPr>
          <w:rFonts w:ascii="Times New Roman" w:hAnsi="Times New Roman" w:eastAsia="Times New Roman" w:cs="Times New Roman"/>
          <w:sz w:val="24"/>
          <w:szCs w:val="24"/>
          <w:lang w:val="en-IN"/>
        </w:rPr>
      </w:pPr>
      <w:r>
        <w:rPr>
          <w:rFonts w:ascii="Times New Roman" w:hAnsi="Times New Roman" w:eastAsia="Times New Roman" w:cs="Times New Roman"/>
          <w:sz w:val="24"/>
          <w:szCs w:val="24"/>
          <w:lang w:val="en-IN"/>
        </w:rPr>
        <w:t>Accepted = “A” and Rejected = “R”</w:t>
      </w:r>
    </w:p>
    <w:p w14:paraId="499481B3">
      <w:pPr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61"/>
        <w:gridCol w:w="713"/>
        <w:gridCol w:w="847"/>
        <w:gridCol w:w="992"/>
        <w:gridCol w:w="992"/>
        <w:gridCol w:w="992"/>
        <w:gridCol w:w="845"/>
        <w:gridCol w:w="709"/>
        <w:gridCol w:w="1134"/>
      </w:tblGrid>
      <w:tr w14:paraId="4A71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1407F2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lang w:val="en-IN"/>
              </w:rPr>
              <w:t>Cpd.</w:t>
            </w:r>
          </w:p>
        </w:tc>
        <w:tc>
          <w:tcPr>
            <w:tcW w:w="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25ACDD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TPSA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968BD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QED</w:t>
            </w:r>
          </w:p>
        </w:tc>
        <w:tc>
          <w:tcPr>
            <w:tcW w:w="8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7E8FF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Cs w:val="21"/>
                <w:highlight w:val="yellow"/>
                <w:lang w:val="en-I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F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  <w:vertAlign w:val="subscript"/>
              </w:rPr>
              <w:t>sp3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464F82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MCE-18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91B83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  <w:r>
              <w:rPr>
                <w:rFonts w:ascii="Times New Roman" w:hAnsi="Times New Roman" w:eastAsia="Times New Roman" w:cs="Times New Roman"/>
                <w:b/>
                <w:szCs w:val="21"/>
              </w:rPr>
              <w:t>NPscore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54854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Lipinski</w:t>
            </w:r>
          </w:p>
        </w:tc>
        <w:tc>
          <w:tcPr>
            <w:tcW w:w="8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28994F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Pfizer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323921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GSK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84998A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GoldenTriangle</w:t>
            </w:r>
          </w:p>
        </w:tc>
      </w:tr>
      <w:tr w14:paraId="5D46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3BBAC3">
            <w:pPr>
              <w:jc w:val="center"/>
              <w:rPr>
                <w:rFonts w:ascii="Times New Roman" w:hAnsi="Times New Roman" w:eastAsia="Times New Roman" w:cs="Times New Roman"/>
                <w:b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G856-6814</w:t>
            </w:r>
          </w:p>
        </w:tc>
        <w:tc>
          <w:tcPr>
            <w:tcW w:w="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D78B2EA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83.36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74A062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0.683</w:t>
            </w:r>
          </w:p>
        </w:tc>
        <w:tc>
          <w:tcPr>
            <w:tcW w:w="8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39C696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0.294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E84536B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17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580EB11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-1.964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C6B1AF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A</w:t>
            </w:r>
          </w:p>
        </w:tc>
        <w:tc>
          <w:tcPr>
            <w:tcW w:w="8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9B5D7F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A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5E793A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5D605E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A</w:t>
            </w:r>
          </w:p>
        </w:tc>
      </w:tr>
      <w:tr w14:paraId="24E7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CB7DBD8">
            <w:pPr>
              <w:jc w:val="center"/>
              <w:rPr>
                <w:rFonts w:ascii="Times New Roman" w:hAnsi="Times New Roman" w:eastAsia="Times New Roman" w:cs="Times New Roman"/>
                <w:b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S396-0093</w:t>
            </w:r>
          </w:p>
        </w:tc>
        <w:tc>
          <w:tcPr>
            <w:tcW w:w="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79DDCA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78.09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23E4CA6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0.853</w:t>
            </w:r>
          </w:p>
        </w:tc>
        <w:tc>
          <w:tcPr>
            <w:tcW w:w="8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B0F53F8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0.389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153EDD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57.8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819822C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-1.644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A39C50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A</w:t>
            </w:r>
          </w:p>
        </w:tc>
        <w:tc>
          <w:tcPr>
            <w:tcW w:w="8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B08A19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A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AE9D2C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D094BF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A</w:t>
            </w:r>
          </w:p>
        </w:tc>
      </w:tr>
    </w:tbl>
    <w:p w14:paraId="4BC14290">
      <w:pPr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502363A8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QED: Quantitive Estimate of Druglikeness; QED &gt; 0.67: excellent; QED ≤ 0.67: poor.</w:t>
      </w:r>
    </w:p>
    <w:p w14:paraId="78B2F999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SA score: Synthetic accessibility score; ≤ 6: excellent; &gt; 6: poor.</w:t>
      </w:r>
    </w:p>
    <w:p w14:paraId="051E4D0F">
      <w:pPr>
        <w:rPr>
          <w:rFonts w:ascii="Times New Roman" w:hAnsi="Times New Roman" w:eastAsia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eastAsia="Times New Roman" w:cs="Times New Roman"/>
                <w:b/>
                <w:bCs/>
                <w:iCs/>
                <w:sz w:val="24"/>
                <w:szCs w:val="24"/>
                <w:lang w:eastAsia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eastAsia="Times New Roman" w:cs="Times New Roman"/>
                <w:sz w:val="24"/>
                <w:szCs w:val="24"/>
              </w:rPr>
              <m:t>F</m:t>
            </m:r>
            <m:ctrlPr>
              <w:rPr>
                <w:rFonts w:ascii="Cambria Math" w:hAnsi="Cambria Math" w:eastAsia="Times New Roman" w:cs="Times New Roman"/>
                <w:b/>
                <w:bCs/>
                <w:iCs/>
                <w:sz w:val="24"/>
                <w:szCs w:val="24"/>
                <w:lang w:eastAsia="en-US"/>
              </w:rPr>
            </m:ctrlPr>
          </m:e>
          <m:sub>
            <m:r>
              <m:rPr>
                <m:sty m:val="b"/>
              </m:rPr>
              <w:rPr>
                <w:rFonts w:ascii="Cambria Math" w:hAnsi="Cambria Math" w:eastAsia="Times New Roman" w:cs="Times New Roman"/>
                <w:sz w:val="24"/>
                <w:szCs w:val="24"/>
              </w:rPr>
              <m:t>sp3</m:t>
            </m:r>
            <m:ctrlPr>
              <w:rPr>
                <w:rFonts w:ascii="Cambria Math" w:hAnsi="Cambria Math" w:eastAsia="Times New Roman" w:cs="Times New Roman"/>
                <w:b/>
                <w:bCs/>
                <w:iCs/>
                <w:sz w:val="24"/>
                <w:szCs w:val="24"/>
                <w:lang w:eastAsia="en-US"/>
              </w:rPr>
            </m:ctrlPr>
          </m:sub>
        </m:sSub>
      </m:oMath>
      <w:r>
        <w:rPr>
          <w:rFonts w:ascii="Times New Roman" w:hAnsi="Times New Roman" w:eastAsia="Times New Roman" w:cs="Times New Roman"/>
          <w:sz w:val="24"/>
          <w:szCs w:val="24"/>
        </w:rPr>
        <w:t>: Number of sp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hybridized carbons/total carbon count; ≥ 0.42: excellent; &lt; 0.42: poor.</w:t>
      </w:r>
    </w:p>
    <w:p w14:paraId="767EF045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MCE-18: Medicinal chemistry evaluation in 2018; ≥ 45: excellent; &lt; 45: poor.</w:t>
      </w:r>
    </w:p>
    <w:p w14:paraId="7ED46D44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NPscore: Natural-product likeness score; typical calculated values range from –5 to 5; higher values indicate a higher probability of being a natural product.</w:t>
      </w:r>
    </w:p>
    <w:p w14:paraId="23A50E91">
      <w:pPr>
        <w:rPr>
          <w:rFonts w:ascii="Times New Roman" w:hAnsi="Times New Roman" w:cs="Times New Roman"/>
          <w:sz w:val="24"/>
          <w:szCs w:val="24"/>
        </w:rPr>
      </w:pPr>
    </w:p>
    <w:p w14:paraId="086EE521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IN"/>
        </w:rPr>
        <w:t xml:space="preserve">Table S3: </w:t>
      </w:r>
      <w:r>
        <w:rPr>
          <w:rFonts w:ascii="Times New Roman" w:hAnsi="Times New Roman" w:eastAsia="Times New Roman" w:cs="Times New Roman"/>
          <w:sz w:val="24"/>
          <w:szCs w:val="24"/>
          <w:lang w:val="en-IN"/>
        </w:rPr>
        <w:t>Absorption properties of the ligands estimated using the ADMETlab 3.0 webserver.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589"/>
        <w:gridCol w:w="1559"/>
        <w:gridCol w:w="1150"/>
        <w:gridCol w:w="1184"/>
        <w:gridCol w:w="765"/>
        <w:gridCol w:w="780"/>
        <w:gridCol w:w="774"/>
      </w:tblGrid>
      <w:tr w14:paraId="357D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58E8E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Hits</w:t>
            </w:r>
          </w:p>
        </w:tc>
        <w:tc>
          <w:tcPr>
            <w:tcW w:w="1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EB851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Caco-2 permeability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5D8C6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MDCK permeability</w:t>
            </w:r>
          </w:p>
        </w:tc>
        <w:tc>
          <w:tcPr>
            <w:tcW w:w="1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E075E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Pgp inhibitor</w:t>
            </w: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171B7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Pgp</w:t>
            </w:r>
          </w:p>
          <w:p w14:paraId="76869A0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GB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substrate</w:t>
            </w:r>
          </w:p>
        </w:tc>
        <w:tc>
          <w:tcPr>
            <w:tcW w:w="7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D0A01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HIA</w:t>
            </w:r>
          </w:p>
        </w:tc>
        <w:tc>
          <w:tcPr>
            <w:tcW w:w="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99809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szCs w:val="21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Cs w:val="21"/>
                        <w:lang w:val="en-IN"/>
                      </w:rPr>
                      <m:t>F</m:t>
                    </m:r>
                    <m:ctrlPr>
                      <w:rPr>
                        <w:rFonts w:ascii="Cambria Math" w:hAnsi="Cambria Math" w:cs="Times New Roman"/>
                        <w:b/>
                        <w:bCs/>
                        <w:szCs w:val="21"/>
                        <w:lang w:eastAsia="en-US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Cs w:val="21"/>
                        <w:lang w:val="en-IN"/>
                      </w:rPr>
                      <m:t>20%</m:t>
                    </m:r>
                    <m:ctrlPr>
                      <w:rPr>
                        <w:rFonts w:ascii="Cambria Math" w:hAnsi="Cambria Math" w:cs="Times New Roman"/>
                        <w:b/>
                        <w:bCs/>
                        <w:szCs w:val="21"/>
                        <w:lang w:eastAsia="en-US"/>
                      </w:rPr>
                    </m:ctrlPr>
                  </m:sub>
                </m:sSub>
              </m:oMath>
            </m:oMathPara>
          </w:p>
        </w:tc>
        <w:tc>
          <w:tcPr>
            <w:tcW w:w="7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E8227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Times New Roman" w:cs="Times New Roman"/>
                        <w:b/>
                        <w:bCs/>
                        <w:i/>
                        <w:szCs w:val="21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eastAsia="Times New Roman" w:cs="Times New Roman"/>
                        <w:szCs w:val="21"/>
                        <w:lang w:val="en-IN"/>
                      </w:rPr>
                      <m:t>F</m:t>
                    </m:r>
                    <m:ctrlPr>
                      <w:rPr>
                        <w:rFonts w:ascii="Cambria Math" w:hAnsi="Cambria Math" w:eastAsia="Times New Roman" w:cs="Times New Roman"/>
                        <w:b/>
                        <w:bCs/>
                        <w:i/>
                        <w:szCs w:val="21"/>
                        <w:lang w:eastAsia="en-US"/>
                      </w:rPr>
                    </m:ctrlP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eastAsia="Times New Roman" w:cs="Times New Roman"/>
                        <w:szCs w:val="21"/>
                        <w:lang w:val="en-IN"/>
                      </w:rPr>
                      <m:t>30%</m:t>
                    </m:r>
                    <m:ctrlPr>
                      <w:rPr>
                        <w:rFonts w:ascii="Cambria Math" w:hAnsi="Cambria Math" w:eastAsia="Times New Roman" w:cs="Times New Roman"/>
                        <w:b/>
                        <w:bCs/>
                        <w:i/>
                        <w:szCs w:val="21"/>
                        <w:lang w:eastAsia="en-US"/>
                      </w:rPr>
                    </m:ctrlPr>
                  </m:sub>
                </m:sSub>
              </m:oMath>
            </m:oMathPara>
          </w:p>
        </w:tc>
      </w:tr>
      <w:tr w14:paraId="530C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BBB2AD2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G856-6814</w:t>
            </w:r>
          </w:p>
        </w:tc>
        <w:tc>
          <w:tcPr>
            <w:tcW w:w="1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66952E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</w:rPr>
              <w:t>-5.217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75C5D9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</w:rPr>
              <w:t>-4.715</w:t>
            </w:r>
          </w:p>
        </w:tc>
        <w:tc>
          <w:tcPr>
            <w:tcW w:w="1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340241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</w:rPr>
              <w:t>0.412</w:t>
            </w: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474B29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</w:rPr>
              <w:t>0.121</w:t>
            </w:r>
          </w:p>
        </w:tc>
        <w:tc>
          <w:tcPr>
            <w:tcW w:w="7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1B2BAD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676622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7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C621D6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</w:rPr>
              <w:t>0.092</w:t>
            </w:r>
          </w:p>
        </w:tc>
      </w:tr>
      <w:tr w14:paraId="702E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7D9941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S396-0093</w:t>
            </w:r>
          </w:p>
        </w:tc>
        <w:tc>
          <w:tcPr>
            <w:tcW w:w="1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6D2F99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</w:rPr>
              <w:t>-5.014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C7EA61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</w:rPr>
              <w:t>-4.870</w:t>
            </w:r>
          </w:p>
        </w:tc>
        <w:tc>
          <w:tcPr>
            <w:tcW w:w="1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77775C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</w:rPr>
              <w:t>0.050</w:t>
            </w: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2AE262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7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3B9AE6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B24677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7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46260F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</w:rPr>
              <w:t>0.013</w:t>
            </w:r>
          </w:p>
        </w:tc>
      </w:tr>
    </w:tbl>
    <w:p w14:paraId="429B19BB">
      <w:pPr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5336F3F3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Caco-2: Human colon adenocarcinoma cell line; Caco2 permeability &gt; -5.15 log unit indicate excellent Caco-2 permeability.</w:t>
      </w:r>
    </w:p>
    <w:p w14:paraId="7E398305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MDCK permeability: Madin-Darby Canine Kidney cells permeability; apparent permeability coefficient (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Sub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P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  <w:szCs w:val="24"/>
              </w:rPr>
              <m:t>app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ub>
        </m:sSub>
      </m:oMath>
      <w:r>
        <w:rPr>
          <w:rFonts w:ascii="Times New Roman" w:hAnsi="Times New Roman" w:eastAsia="Times New Roman" w:cs="Times New Roman"/>
          <w:sz w:val="24"/>
          <w:szCs w:val="24"/>
        </w:rPr>
        <w:t xml:space="preserve">) &gt; 20 </w:t>
      </w:r>
      <m:oMath>
        <m:r>
          <m:rPr/>
          <w:rPr>
            <w:rFonts w:ascii="Cambria Math" w:hAnsi="Cambria Math" w:cs="Times New Roman"/>
            <w:sz w:val="24"/>
            <w:szCs w:val="24"/>
          </w:rPr>
          <m:t>×</m:t>
        </m:r>
      </m:oMath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10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−6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up>
        </m:sSup>
      </m:oMath>
      <w:r>
        <w:rPr>
          <w:rFonts w:ascii="Times New Roman" w:hAnsi="Times New Roman" w:eastAsia="Times New Roman" w:cs="Times New Roman"/>
          <w:sz w:val="24"/>
          <w:szCs w:val="24"/>
        </w:rPr>
        <w:t xml:space="preserve"> cm/s: high permeability;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Sub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P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  <w:szCs w:val="24"/>
              </w:rPr>
              <m:t>app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ub>
        </m:sSub>
      </m:oMath>
      <w:r>
        <w:rPr>
          <w:rFonts w:ascii="Times New Roman" w:hAnsi="Times New Roman" w:eastAsia="Times New Roman" w:cs="Times New Roman"/>
          <w:sz w:val="24"/>
          <w:szCs w:val="24"/>
        </w:rPr>
        <w:t xml:space="preserve"> value of 2-20 </w:t>
      </w:r>
      <m:oMath>
        <m:r>
          <m:rPr/>
          <w:rPr>
            <w:rFonts w:ascii="Cambria Math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10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−6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up>
        </m:sSup>
      </m:oMath>
      <w:r>
        <w:rPr>
          <w:rFonts w:ascii="Times New Roman" w:hAnsi="Times New Roman" w:eastAsia="Times New Roman" w:cs="Times New Roman"/>
          <w:sz w:val="24"/>
          <w:szCs w:val="24"/>
        </w:rPr>
        <w:t xml:space="preserve"> cm/s: medium permeability;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Sub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P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  <w:szCs w:val="24"/>
              </w:rPr>
              <m:t>app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ub>
        </m:sSub>
      </m:oMath>
      <w:r>
        <w:rPr>
          <w:rFonts w:ascii="Times New Roman" w:hAnsi="Times New Roman" w:eastAsia="Times New Roman" w:cs="Times New Roman"/>
          <w:sz w:val="24"/>
          <w:szCs w:val="24"/>
        </w:rPr>
        <w:t xml:space="preserve"> &lt; 2 </w:t>
      </w:r>
      <m:oMath>
        <m:r>
          <m:rPr/>
          <w:rPr>
            <w:rFonts w:ascii="Cambria Math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10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−6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up>
        </m:sSup>
      </m:oMath>
      <w:r>
        <w:rPr>
          <w:rFonts w:ascii="Times New Roman" w:hAnsi="Times New Roman" w:eastAsia="Times New Roman" w:cs="Times New Roman"/>
          <w:sz w:val="24"/>
          <w:szCs w:val="24"/>
        </w:rPr>
        <w:t xml:space="preserve"> cm/s: low permeability.</w:t>
      </w:r>
    </w:p>
    <w:p w14:paraId="7F645D89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Pgp-inhibitor: P-glycoprotein inhibitor; the output values predict the probability of being Pgp-inhibitor; selection of drugs: 0-0.3: excellent; 0.3-0.7: medium; 0.7-1.0: poor.</w:t>
      </w:r>
    </w:p>
    <w:p w14:paraId="48654163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Pgp-substrate: P-glycoprotein substrate; the output values predict the probability of being Pgp-substrate; selection of drugs: 0-0.3: excellent; 0.3-0.7: medium; 0.7-1.0: poor.</w:t>
      </w:r>
    </w:p>
    <w:p w14:paraId="6F8A4D1A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HIA: Human intestinal absorption; the output values predict the probability of being HIA+ (HIA+ indicates &lt; 30% human intestinal absorption); selection of drugs: 0-0.3: excellent; 0.3-0.7: medium; 0.7-1.0: poor.</w:t>
      </w:r>
    </w:p>
    <w:p w14:paraId="27BCCBFE">
      <w:pPr>
        <w:rPr>
          <w:rFonts w:ascii="Times New Roman" w:hAnsi="Times New Roman" w:eastAsia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Sub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F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  <w:szCs w:val="24"/>
              </w:rPr>
              <m:t>20%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ub>
        </m:sSub>
      </m:oMath>
      <w:r>
        <w:rPr>
          <w:rFonts w:ascii="Times New Roman" w:hAnsi="Times New Roman" w:eastAsia="Times New Roman" w:cs="Times New Roman"/>
          <w:sz w:val="24"/>
          <w:szCs w:val="24"/>
        </w:rPr>
        <w:t xml:space="preserve">: Human oral bioavailability 20%; the output values predict the probability of being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Sub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F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  <w:szCs w:val="24"/>
              </w:rPr>
              <m:t>20%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ub>
        </m:sSub>
      </m:oMath>
      <w:r>
        <w:rPr>
          <w:rFonts w:ascii="Times New Roman" w:hAnsi="Times New Roman" w:eastAsia="Times New Roman" w:cs="Times New Roman"/>
          <w:sz w:val="24"/>
          <w:szCs w:val="24"/>
        </w:rPr>
        <w:t>+ (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Sub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F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  <w:szCs w:val="24"/>
              </w:rPr>
              <m:t>20%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ub>
        </m:sSub>
      </m:oMath>
      <w:r>
        <w:rPr>
          <w:rFonts w:ascii="Times New Roman" w:hAnsi="Times New Roman" w:eastAsia="Times New Roman" w:cs="Times New Roman"/>
          <w:sz w:val="24"/>
          <w:szCs w:val="24"/>
        </w:rPr>
        <w:t>+ indicates predicted bioavailability &lt; 20%); selection of drugs: 0-0.3: excellent; 0.3-0.7: medium; 0.7-1.0: poor.</w:t>
      </w:r>
    </w:p>
    <w:p w14:paraId="10EA9855">
      <w:pPr>
        <w:rPr>
          <w:rFonts w:ascii="Times New Roman" w:hAnsi="Times New Roman" w:eastAsia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Sub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F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  <w:szCs w:val="24"/>
              </w:rPr>
              <m:t>30%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ub>
        </m:sSub>
      </m:oMath>
      <w:r>
        <w:rPr>
          <w:rFonts w:ascii="Times New Roman" w:hAnsi="Times New Roman" w:eastAsia="Times New Roman" w:cs="Times New Roman"/>
          <w:sz w:val="24"/>
          <w:szCs w:val="24"/>
        </w:rPr>
        <w:t xml:space="preserve">: Human oral bioavailability 30%; 0-0.3: the output values predict the probability of being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Sub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F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  <w:szCs w:val="24"/>
              </w:rPr>
              <m:t>30%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ub>
        </m:sSub>
      </m:oMath>
      <w:r>
        <w:rPr>
          <w:rFonts w:ascii="Times New Roman" w:hAnsi="Times New Roman" w:eastAsia="Times New Roman" w:cs="Times New Roman"/>
          <w:sz w:val="24"/>
          <w:szCs w:val="24"/>
        </w:rPr>
        <w:t>+ (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Sub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F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  <w:szCs w:val="24"/>
              </w:rPr>
              <m:t>30%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ub>
        </m:sSub>
      </m:oMath>
      <w:r>
        <w:rPr>
          <w:rFonts w:ascii="Times New Roman" w:hAnsi="Times New Roman" w:eastAsia="Times New Roman" w:cs="Times New Roman"/>
          <w:sz w:val="24"/>
          <w:szCs w:val="24"/>
        </w:rPr>
        <w:t>+ indicates predicted bioavailability &lt; 30%); selection of drugs: 0-0.3: excellent; 0.3-0.7: medium; 0.7-1.0: poor.</w:t>
      </w:r>
    </w:p>
    <w:p w14:paraId="5DC812FA">
      <w:pPr>
        <w:rPr>
          <w:rFonts w:ascii="Times New Roman" w:hAnsi="Times New Roman" w:cs="Times New Roman"/>
          <w:sz w:val="24"/>
          <w:szCs w:val="24"/>
        </w:rPr>
      </w:pPr>
    </w:p>
    <w:p w14:paraId="022A8014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IN"/>
        </w:rPr>
        <w:t xml:space="preserve">Table S4: </w:t>
      </w:r>
      <w:r>
        <w:rPr>
          <w:rFonts w:ascii="Times New Roman" w:hAnsi="Times New Roman" w:eastAsia="Times New Roman" w:cs="Times New Roman"/>
          <w:sz w:val="24"/>
          <w:szCs w:val="24"/>
          <w:lang w:val="en-IN"/>
        </w:rPr>
        <w:t>Distribution properties of the ligands estimated using the ADMETlab 3.0 webserver.</w:t>
      </w:r>
    </w:p>
    <w:tbl>
      <w:tblPr>
        <w:tblStyle w:val="5"/>
        <w:tblW w:w="7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194"/>
        <w:gridCol w:w="1339"/>
        <w:gridCol w:w="2144"/>
        <w:gridCol w:w="1488"/>
      </w:tblGrid>
      <w:tr w14:paraId="0D28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8033B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Hits</w:t>
            </w: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4CD30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PPB</w:t>
            </w:r>
          </w:p>
        </w:tc>
        <w:tc>
          <w:tcPr>
            <w:tcW w:w="13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4821A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VDss</w:t>
            </w:r>
          </w:p>
        </w:tc>
        <w:tc>
          <w:tcPr>
            <w:tcW w:w="2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3F343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GB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BBB penetration</w:t>
            </w:r>
          </w:p>
        </w:tc>
        <w:tc>
          <w:tcPr>
            <w:tcW w:w="1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C41A0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Fu</w:t>
            </w:r>
          </w:p>
        </w:tc>
      </w:tr>
      <w:tr w14:paraId="2592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4386517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G856-6814</w:t>
            </w: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8AFD46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</w:rPr>
              <w:t>72.00%</w:t>
            </w:r>
          </w:p>
        </w:tc>
        <w:tc>
          <w:tcPr>
            <w:tcW w:w="13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2318B4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2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77AD06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358DEE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</w:rPr>
              <w:t>26.52</w:t>
            </w:r>
          </w:p>
        </w:tc>
      </w:tr>
      <w:tr w14:paraId="36FE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8E82AFC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S396-0093</w:t>
            </w:r>
          </w:p>
        </w:tc>
        <w:tc>
          <w:tcPr>
            <w:tcW w:w="11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C5C2B0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</w:rPr>
              <w:t>55.97%</w:t>
            </w:r>
          </w:p>
        </w:tc>
        <w:tc>
          <w:tcPr>
            <w:tcW w:w="13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CABC2B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2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A19C7C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4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FCF2E0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</w:rPr>
              <w:t>41.13</w:t>
            </w:r>
          </w:p>
        </w:tc>
      </w:tr>
    </w:tbl>
    <w:p w14:paraId="7CCB32B2">
      <w:pPr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1A64D97E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PPB: Plasma protein binding; PPB ≤ 90%: excellent; otherwise: poor.</w:t>
      </w:r>
    </w:p>
    <w:p w14:paraId="29F86FF2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VD: Volume distribution; 0.04-20 L/kg: excellent; otherwise: poor.</w:t>
      </w:r>
    </w:p>
    <w:p w14:paraId="3AEB6118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BBB penetration: Blood-brain barrier penetration; the output values indicate the probability of being BBB+ (BBB+ is the logBBB value &gt; -1, where the BBB penetration is in cm/s); selection of drugs: 0-0.3: excellent; 0.3-0.7: medium; 0.7-1.0: poor.</w:t>
      </w:r>
    </w:p>
    <w:p w14:paraId="72F8A8D0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Fu: Fraction unbound in plasma; ≥ 5%: excellent; &lt; 5%: poor.</w:t>
      </w:r>
    </w:p>
    <w:p w14:paraId="03CD9216">
      <w:pPr>
        <w:rPr>
          <w:rFonts w:ascii="Times New Roman" w:hAnsi="Times New Roman" w:cs="Times New Roman"/>
          <w:sz w:val="24"/>
          <w:szCs w:val="24"/>
        </w:rPr>
      </w:pPr>
    </w:p>
    <w:p w14:paraId="1E158086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IN"/>
        </w:rPr>
        <w:t xml:space="preserve">Table S5: </w:t>
      </w:r>
      <w:r>
        <w:rPr>
          <w:rFonts w:ascii="Times New Roman" w:hAnsi="Times New Roman" w:eastAsia="Times New Roman" w:cs="Times New Roman"/>
          <w:sz w:val="24"/>
          <w:szCs w:val="24"/>
          <w:lang w:val="en-IN"/>
        </w:rPr>
        <w:t>Metabolism properties of the ligands predicted using the ADMETlab 3.0 webserver.</w:t>
      </w:r>
    </w:p>
    <w:tbl>
      <w:tblPr>
        <w:tblStyle w:val="5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94"/>
        <w:gridCol w:w="850"/>
        <w:gridCol w:w="851"/>
        <w:gridCol w:w="743"/>
        <w:gridCol w:w="810"/>
        <w:gridCol w:w="810"/>
        <w:gridCol w:w="825"/>
        <w:gridCol w:w="795"/>
        <w:gridCol w:w="795"/>
        <w:gridCol w:w="819"/>
      </w:tblGrid>
      <w:tr w14:paraId="2E1D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F04BE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Cpd.</w:t>
            </w:r>
          </w:p>
        </w:tc>
        <w:tc>
          <w:tcPr>
            <w:tcW w:w="4148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9CB1B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Inhibition probability</w:t>
            </w:r>
          </w:p>
        </w:tc>
        <w:tc>
          <w:tcPr>
            <w:tcW w:w="404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5B6AD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Probability of being a substrate</w:t>
            </w:r>
          </w:p>
        </w:tc>
      </w:tr>
      <w:tr w14:paraId="09EB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28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EF15FCE">
            <w:pPr>
              <w:rPr>
                <w:rFonts w:ascii="Times New Roman" w:hAnsi="Times New Roman" w:eastAsia="Times New Roman" w:cs="Times New Roman"/>
                <w:b/>
                <w:bCs/>
                <w:szCs w:val="21"/>
                <w:lang w:val="en-IN" w:eastAsia="en-US"/>
              </w:rPr>
            </w:pPr>
          </w:p>
        </w:tc>
        <w:tc>
          <w:tcPr>
            <w:tcW w:w="8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F5335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CYP1A2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C01BD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GB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CYP2C19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FA36D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CYP2C9</w:t>
            </w:r>
          </w:p>
        </w:tc>
        <w:tc>
          <w:tcPr>
            <w:tcW w:w="7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16C79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CYP2D6</w:t>
            </w: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F4FFB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GB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CYP3A4</w:t>
            </w: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03115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CYP1A2</w:t>
            </w:r>
          </w:p>
          <w:p w14:paraId="75BCBB6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</w:rPr>
            </w:pP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6E29D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CYP2C19</w:t>
            </w:r>
          </w:p>
        </w:tc>
        <w:tc>
          <w:tcPr>
            <w:tcW w:w="7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49268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CYP2C9</w:t>
            </w:r>
          </w:p>
          <w:p w14:paraId="1E58E78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</w:rPr>
            </w:pPr>
          </w:p>
        </w:tc>
        <w:tc>
          <w:tcPr>
            <w:tcW w:w="7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B827F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GB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CYP2D6</w:t>
            </w:r>
          </w:p>
          <w:p w14:paraId="5AE353A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</w:rPr>
            </w:pPr>
          </w:p>
        </w:tc>
        <w:tc>
          <w:tcPr>
            <w:tcW w:w="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0DFF3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  <w:t>CYP3A4</w:t>
            </w:r>
          </w:p>
          <w:p w14:paraId="5A04EC5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1"/>
                <w:lang w:val="en-IN"/>
              </w:rPr>
            </w:pPr>
          </w:p>
        </w:tc>
      </w:tr>
      <w:tr w14:paraId="5EDD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9F5AF7C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G856-6814</w:t>
            </w:r>
          </w:p>
        </w:tc>
        <w:tc>
          <w:tcPr>
            <w:tcW w:w="8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5A07BC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  <w:szCs w:val="21"/>
              </w:rPr>
              <w:t>0.0007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E7690D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  <w:szCs w:val="21"/>
              </w:rPr>
              <w:t>0.833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B5E293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  <w:szCs w:val="21"/>
              </w:rPr>
              <w:t>0.0001</w:t>
            </w:r>
          </w:p>
        </w:tc>
        <w:tc>
          <w:tcPr>
            <w:tcW w:w="7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C20CDB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  <w:szCs w:val="21"/>
              </w:rPr>
              <w:t>0.151</w:t>
            </w: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73CCCF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  <w:szCs w:val="21"/>
              </w:rPr>
              <w:t>0.000</w:t>
            </w: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84CADC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  <w:szCs w:val="21"/>
              </w:rPr>
              <w:t>0.833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674A74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  <w:szCs w:val="21"/>
              </w:rPr>
              <w:t>0.0001</w:t>
            </w:r>
          </w:p>
        </w:tc>
        <w:tc>
          <w:tcPr>
            <w:tcW w:w="7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A02E51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  <w:szCs w:val="21"/>
              </w:rPr>
              <w:t>0.151</w:t>
            </w:r>
          </w:p>
        </w:tc>
        <w:tc>
          <w:tcPr>
            <w:tcW w:w="7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1D9BBD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  <w:szCs w:val="21"/>
              </w:rPr>
              <w:t>0.000</w:t>
            </w:r>
          </w:p>
        </w:tc>
        <w:tc>
          <w:tcPr>
            <w:tcW w:w="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EC71FB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  <w:szCs w:val="21"/>
              </w:rPr>
              <w:t>0.003</w:t>
            </w:r>
          </w:p>
        </w:tc>
      </w:tr>
      <w:tr w14:paraId="712A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7407C42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21"/>
              </w:rPr>
              <w:t>S396-0093</w:t>
            </w:r>
          </w:p>
        </w:tc>
        <w:tc>
          <w:tcPr>
            <w:tcW w:w="8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EBDB58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  <w:szCs w:val="21"/>
              </w:rPr>
              <w:t>0.006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4ACA6A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  <w:szCs w:val="21"/>
              </w:rPr>
              <w:t>0.0008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43F955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  <w:szCs w:val="21"/>
              </w:rPr>
              <w:t>0.091</w:t>
            </w:r>
          </w:p>
        </w:tc>
        <w:tc>
          <w:tcPr>
            <w:tcW w:w="7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C10DE5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  <w:szCs w:val="21"/>
              </w:rPr>
              <w:t>0.420</w:t>
            </w: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3EBFC4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  <w:szCs w:val="21"/>
              </w:rPr>
              <w:t>0.082</w:t>
            </w: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4F972B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  <w:szCs w:val="21"/>
              </w:rPr>
              <w:t>0.996</w:t>
            </w:r>
          </w:p>
        </w:tc>
        <w:tc>
          <w:tcPr>
            <w:tcW w:w="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674C12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  <w:szCs w:val="21"/>
              </w:rPr>
              <w:t>1.000</w:t>
            </w:r>
          </w:p>
        </w:tc>
        <w:tc>
          <w:tcPr>
            <w:tcW w:w="7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DE4D9E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  <w:szCs w:val="21"/>
              </w:rPr>
              <w:t>0.849</w:t>
            </w:r>
          </w:p>
        </w:tc>
        <w:tc>
          <w:tcPr>
            <w:tcW w:w="7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5482A2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  <w:szCs w:val="21"/>
              </w:rPr>
              <w:t>0.330</w:t>
            </w:r>
          </w:p>
        </w:tc>
        <w:tc>
          <w:tcPr>
            <w:tcW w:w="8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2471B1">
            <w:pPr>
              <w:jc w:val="center"/>
              <w:rPr>
                <w:rFonts w:ascii="Times New Roman" w:hAnsi="Times New Roman" w:eastAsia="Times New Roman" w:cs="Times New Roman"/>
                <w:szCs w:val="21"/>
                <w:lang w:val="en-IN"/>
              </w:rPr>
            </w:pPr>
            <w:r>
              <w:rPr>
                <w:rFonts w:ascii="Times New Roman" w:hAnsi="Times New Roman" w:cs="Times New Roman"/>
                <w:szCs w:val="21"/>
              </w:rPr>
              <w:t>1.000</w:t>
            </w:r>
          </w:p>
        </w:tc>
      </w:tr>
    </w:tbl>
    <w:p w14:paraId="52E38BBD">
      <w:pPr>
        <w:rPr>
          <w:rFonts w:ascii="Times New Roman" w:hAnsi="Times New Roman" w:eastAsia="Times New Roman" w:cs="Times New Roman"/>
          <w:sz w:val="24"/>
          <w:szCs w:val="24"/>
          <w:lang w:val="en-IN" w:eastAsia="en-US"/>
        </w:rPr>
      </w:pPr>
    </w:p>
    <w:p w14:paraId="7E74C2A6">
      <w:pPr>
        <w:rPr>
          <w:rFonts w:ascii="Times New Roman" w:hAnsi="Times New Roman" w:eastAsia="Times New Roman" w:cs="Times New Roman"/>
          <w:sz w:val="24"/>
          <w:szCs w:val="24"/>
          <w:lang w:val="en-IN"/>
        </w:rPr>
      </w:pPr>
      <w:r>
        <w:rPr>
          <w:rFonts w:ascii="Times New Roman" w:hAnsi="Times New Roman" w:eastAsia="Times New Roman" w:cs="Times New Roman"/>
          <w:sz w:val="24"/>
          <w:szCs w:val="24"/>
          <w:lang w:val="en-IN"/>
        </w:rPr>
        <w:t>CYP 1A2/2C19/2C9/2D6/3A4: Isoenzymes of cytochrome P450; ranged from 0 to 1; the output values represent the probability of being substrate/inhibitor.</w:t>
      </w:r>
    </w:p>
    <w:p w14:paraId="7C175380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0F721F4A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IN"/>
        </w:rPr>
        <w:t xml:space="preserve">Table S6: </w:t>
      </w:r>
      <w:r>
        <w:rPr>
          <w:rFonts w:ascii="Times New Roman" w:hAnsi="Times New Roman" w:eastAsia="Times New Roman" w:cs="Times New Roman"/>
          <w:sz w:val="24"/>
          <w:szCs w:val="24"/>
          <w:lang w:val="en-IN"/>
        </w:rPr>
        <w:t>Excretion properties of the ligands predicted using the ADMETlab 2.0 webserver.</w:t>
      </w:r>
    </w:p>
    <w:tbl>
      <w:tblPr>
        <w:tblStyle w:val="5"/>
        <w:tblW w:w="4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377"/>
        <w:gridCol w:w="1096"/>
      </w:tblGrid>
      <w:tr w14:paraId="0667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27250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IN"/>
              </w:rPr>
              <w:t>Cpd.</w:t>
            </w:r>
          </w:p>
        </w:tc>
        <w:tc>
          <w:tcPr>
            <w:tcW w:w="13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C4AB3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IN"/>
              </w:rPr>
              <w:t>CL</w:t>
            </w:r>
          </w:p>
        </w:tc>
        <w:tc>
          <w:tcPr>
            <w:tcW w:w="1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E9AB9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sz w:val="24"/>
                        <w:szCs w:val="24"/>
                        <w:lang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IN"/>
                      </w:rPr>
                      <m:t>T</m:t>
                    </m:r>
                    <m:ctrlPr>
                      <w:rPr>
                        <w:rFonts w:ascii="Cambria Math" w:hAnsi="Cambria Math" w:cs="Times New Roman"/>
                        <w:b/>
                        <w:bCs/>
                        <w:sz w:val="24"/>
                        <w:szCs w:val="24"/>
                        <w:lang w:eastAsia="en-US"/>
                      </w:rPr>
                    </m:ctrlPr>
                  </m:e>
                  <m:sub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IN"/>
                          </w:rPr>
                          <m:t>1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</m:ctrlP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IN"/>
                          </w:rPr>
                          <m:t>2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</m:ctrlPr>
                      </m:den>
                    </m:f>
                    <m:ctrlPr>
                      <w:rPr>
                        <w:rFonts w:ascii="Cambria Math" w:hAnsi="Cambria Math" w:cs="Times New Roman"/>
                        <w:b/>
                        <w:bCs/>
                        <w:sz w:val="24"/>
                        <w:szCs w:val="24"/>
                        <w:lang w:eastAsia="en-US"/>
                      </w:rPr>
                    </m:ctrlPr>
                  </m:sub>
                </m:sSub>
              </m:oMath>
            </m:oMathPara>
          </w:p>
        </w:tc>
      </w:tr>
      <w:tr w14:paraId="7DDD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A01EE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21"/>
              </w:rPr>
              <w:t>G856-6814</w:t>
            </w:r>
          </w:p>
        </w:tc>
        <w:tc>
          <w:tcPr>
            <w:tcW w:w="13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7CEB5C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5.265</w:t>
            </w:r>
          </w:p>
        </w:tc>
        <w:tc>
          <w:tcPr>
            <w:tcW w:w="1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01FC53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0.662</w:t>
            </w:r>
          </w:p>
        </w:tc>
      </w:tr>
      <w:tr w14:paraId="7372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FD5619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21"/>
              </w:rPr>
              <w:t>S396-0093</w:t>
            </w:r>
          </w:p>
        </w:tc>
        <w:tc>
          <w:tcPr>
            <w:tcW w:w="13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0DD6D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4.038</w:t>
            </w:r>
          </w:p>
        </w:tc>
        <w:tc>
          <w:tcPr>
            <w:tcW w:w="1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F8C38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0.593</w:t>
            </w:r>
          </w:p>
        </w:tc>
      </w:tr>
    </w:tbl>
    <w:p w14:paraId="5352E760">
      <w:pPr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2E831FC6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CL: Clearance of a drug in </w:t>
      </w:r>
      <w:r>
        <w:rPr>
          <w:rFonts w:ascii="Times New Roman" w:hAnsi="Times New Roman" w:eastAsia="Times New Roman" w:cs="Times New Roman"/>
          <w:color w:val="212529"/>
          <w:sz w:val="24"/>
          <w:szCs w:val="24"/>
        </w:rPr>
        <w:t>ml/min/kg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CL </w:t>
      </w:r>
      <w:r>
        <w:rPr>
          <w:rFonts w:ascii="Times New Roman" w:hAnsi="Times New Roman" w:eastAsia="Times New Roman" w:cs="Times New Roman"/>
          <w:color w:val="212529"/>
          <w:sz w:val="24"/>
          <w:szCs w:val="24"/>
        </w:rPr>
        <w:t>&gt;15 ml/min/kg: high clearance; 5-15 ml/min/kg: moderate clearance; &lt;5 ml/min/kg: low clearance.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CL ≥ 5: excellent; CL &lt; 5: poor.</w:t>
      </w:r>
    </w:p>
    <w:p w14:paraId="7766B6DC">
      <w:pPr>
        <w:rPr>
          <w:rFonts w:ascii="Times New Roman" w:hAnsi="Times New Roman" w:eastAsia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Sub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T</m:t>
            </m:r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e>
          <m:sub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  <w:lang w:eastAsia="en-US"/>
                  </w:rPr>
                </m:ctrlPr>
              </m:den>
            </m:f>
            <m:ctrlPr>
              <w:rPr>
                <w:rFonts w:ascii="Cambria Math" w:hAnsi="Cambria Math" w:cs="Times New Roman"/>
                <w:sz w:val="24"/>
                <w:szCs w:val="24"/>
                <w:lang w:eastAsia="en-US"/>
              </w:rPr>
            </m:ctrlPr>
          </m:sub>
        </m:sSub>
      </m:oMath>
      <w:r>
        <w:rPr>
          <w:rFonts w:ascii="Times New Roman" w:hAnsi="Times New Roman" w:eastAsia="Times New Roman" w:cs="Times New Roman"/>
          <w:sz w:val="24"/>
          <w:szCs w:val="24"/>
        </w:rPr>
        <w:t>: The half-life of the drug; long half-life: &gt;3h, short half-life: &lt;3h; the output values represent the probability of having a long half-life.</w:t>
      </w:r>
    </w:p>
    <w:p w14:paraId="4DF0B538">
      <w:pPr>
        <w:rPr>
          <w:rFonts w:ascii="Times New Roman" w:hAnsi="Times New Roman" w:cs="Times New Roman"/>
          <w:sz w:val="24"/>
          <w:szCs w:val="24"/>
        </w:rPr>
      </w:pPr>
    </w:p>
    <w:p w14:paraId="766894B2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IN"/>
        </w:rPr>
        <w:t xml:space="preserve">Table S7: </w:t>
      </w:r>
      <w:r>
        <w:rPr>
          <w:rFonts w:ascii="Times New Roman" w:hAnsi="Times New Roman" w:eastAsia="Times New Roman" w:cs="Times New Roman"/>
          <w:sz w:val="24"/>
          <w:szCs w:val="24"/>
          <w:lang w:val="en-IN"/>
        </w:rPr>
        <w:t>Toxicity analysis of the ligands using the ADMETlab webserver.</w:t>
      </w:r>
    </w:p>
    <w:tbl>
      <w:tblPr>
        <w:tblStyle w:val="5"/>
        <w:tblW w:w="9615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896"/>
        <w:gridCol w:w="885"/>
        <w:gridCol w:w="810"/>
        <w:gridCol w:w="735"/>
        <w:gridCol w:w="930"/>
        <w:gridCol w:w="900"/>
        <w:gridCol w:w="960"/>
        <w:gridCol w:w="750"/>
        <w:gridCol w:w="1035"/>
        <w:gridCol w:w="915"/>
      </w:tblGrid>
      <w:tr w14:paraId="099B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1D754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Hits</w:t>
            </w:r>
          </w:p>
        </w:tc>
        <w:tc>
          <w:tcPr>
            <w:tcW w:w="8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295ED6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hERG blocker</w:t>
            </w:r>
          </w:p>
        </w:tc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28387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Hepato toxicity</w:t>
            </w: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0B2FD5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Drug-induced Liver injury</w:t>
            </w:r>
          </w:p>
        </w:tc>
        <w:tc>
          <w:tcPr>
            <w:tcW w:w="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36C8DC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AMES toxicity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C46888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Rat oral acute toxicity</w:t>
            </w:r>
          </w:p>
        </w:tc>
        <w:tc>
          <w:tcPr>
            <w:tcW w:w="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EADD42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Skin sensitization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36FB20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Carcinogenicity</w:t>
            </w:r>
          </w:p>
        </w:tc>
        <w:tc>
          <w:tcPr>
            <w:tcW w:w="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4CE5C7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Eye corrosion</w:t>
            </w:r>
          </w:p>
        </w:tc>
        <w:tc>
          <w:tcPr>
            <w:tcW w:w="1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17AD08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Eye irritation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55C60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en-IN"/>
              </w:rPr>
              <w:t>Respiratory toxicity</w:t>
            </w:r>
          </w:p>
        </w:tc>
      </w:tr>
      <w:tr w14:paraId="2C75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833E242">
            <w:pPr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21"/>
              </w:rPr>
              <w:t>G856-6814</w:t>
            </w:r>
          </w:p>
        </w:tc>
        <w:tc>
          <w:tcPr>
            <w:tcW w:w="8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7BD592">
            <w:pPr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0.365</w:t>
            </w:r>
          </w:p>
        </w:tc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BD027A">
            <w:pPr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0.609</w:t>
            </w: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14E441">
            <w:pPr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0.758</w:t>
            </w:r>
          </w:p>
        </w:tc>
        <w:tc>
          <w:tcPr>
            <w:tcW w:w="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85549A">
            <w:pPr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0.359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0B5A42">
            <w:pPr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0.337</w:t>
            </w:r>
          </w:p>
        </w:tc>
        <w:tc>
          <w:tcPr>
            <w:tcW w:w="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92664D">
            <w:pPr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0.743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6B7286">
            <w:pPr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0.551</w:t>
            </w:r>
          </w:p>
        </w:tc>
        <w:tc>
          <w:tcPr>
            <w:tcW w:w="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15590B">
            <w:pPr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05D716">
            <w:pPr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0.249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192389">
            <w:pPr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0.500</w:t>
            </w:r>
          </w:p>
        </w:tc>
      </w:tr>
      <w:tr w14:paraId="06C1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E4F9DD">
            <w:pPr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21"/>
              </w:rPr>
              <w:t>S396-0093</w:t>
            </w:r>
          </w:p>
        </w:tc>
        <w:tc>
          <w:tcPr>
            <w:tcW w:w="8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52687A">
            <w:pPr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0.637</w:t>
            </w:r>
          </w:p>
        </w:tc>
        <w:tc>
          <w:tcPr>
            <w:tcW w:w="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7EFE51">
            <w:pPr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0.561</w:t>
            </w: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EF35C6">
            <w:pPr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0.664</w:t>
            </w:r>
          </w:p>
        </w:tc>
        <w:tc>
          <w:tcPr>
            <w:tcW w:w="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EEF0A7">
            <w:pPr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0.306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931D19">
            <w:pPr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0.657</w:t>
            </w:r>
          </w:p>
        </w:tc>
        <w:tc>
          <w:tcPr>
            <w:tcW w:w="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D0072C">
            <w:pPr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0.111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AFFA94">
            <w:pPr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0.238</w:t>
            </w:r>
          </w:p>
        </w:tc>
        <w:tc>
          <w:tcPr>
            <w:tcW w:w="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2CC034">
            <w:pPr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1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D66CD3">
            <w:pPr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0.171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199DA4">
            <w:pPr>
              <w:jc w:val="center"/>
              <w:rPr>
                <w:rFonts w:ascii="Times New Roman" w:hAnsi="Times New Roman" w:eastAsia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</w:rPr>
              <w:t>0.793</w:t>
            </w:r>
          </w:p>
        </w:tc>
      </w:tr>
    </w:tbl>
    <w:p w14:paraId="6F80F764">
      <w:pPr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419FBAAD">
      <w:pPr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results indicate the probability of the ligand being active/toxic in the corresponding analyses; selection of drugs with less toxicity/adverse effects: 0-0.3: excellent; 0.3-0.7: medium; 0.7-1.0: poor.</w:t>
      </w:r>
    </w:p>
    <w:p w14:paraId="27C968B9">
      <w:pPr>
        <w:rPr>
          <w:rFonts w:ascii="Times New Roman" w:hAnsi="Times New Roman" w:cs="Times New Roman"/>
          <w:sz w:val="24"/>
          <w:szCs w:val="24"/>
        </w:rPr>
      </w:pPr>
    </w:p>
    <w:p w14:paraId="47B9AE1D">
      <w:pPr>
        <w:rPr>
          <w:rFonts w:ascii="Times New Roman" w:hAnsi="Times New Roman" w:cs="Times New Roman"/>
          <w:sz w:val="24"/>
          <w:szCs w:val="24"/>
        </w:rPr>
      </w:pPr>
    </w:p>
    <w:p w14:paraId="5A733CA0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Table S8: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Presents the hydrogen bond interactions established by NAT10 with inhibitors and the corresponding average distance and occupancy percentage. Hydrogen bonds greater than 10% occupancy are presented here.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2170"/>
        <w:gridCol w:w="1440"/>
        <w:gridCol w:w="1890"/>
      </w:tblGrid>
      <w:tr w14:paraId="14E3B9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00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E9B95E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Binding couples</w:t>
            </w: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790C8F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Molecular dynamics</w:t>
            </w:r>
          </w:p>
        </w:tc>
      </w:tr>
      <w:tr w14:paraId="374656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35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598829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Acceptor</w:t>
            </w:r>
          </w:p>
        </w:tc>
        <w:tc>
          <w:tcPr>
            <w:tcW w:w="2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C97A71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Donor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6B0A1B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Distance(</w:t>
            </w:r>
            <w:r>
              <w:rPr>
                <w:rFonts w:ascii="Times New Roman" w:hAnsi="Times New Roman" w:eastAsia="Times New Roman" w:cs="Times New Roman"/>
                <w:b/>
                <w:bCs/>
                <w:color w:val="3E3D40"/>
                <w:sz w:val="24"/>
                <w:szCs w:val="24"/>
              </w:rPr>
              <w:t>Å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6F8B78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Occupancy (%)</w:t>
            </w:r>
          </w:p>
        </w:tc>
      </w:tr>
      <w:tr w14:paraId="055A8C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35" w:type="dxa"/>
            <w:gridSpan w:val="4"/>
            <w:tcBorders>
              <w:top w:val="single" w:color="000000" w:themeColor="text1" w:sz="4" w:space="0"/>
              <w:left w:val="single" w:color="auto" w:sz="6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6CB4A3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G856-6814</w:t>
            </w:r>
          </w:p>
        </w:tc>
      </w:tr>
      <w:tr w14:paraId="65EE2B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35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D62D2E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Lig@O1</w:t>
            </w:r>
          </w:p>
        </w:tc>
        <w:tc>
          <w:tcPr>
            <w:tcW w:w="2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90129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GLY_642@N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26966F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2.88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65D6CD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37.85</w:t>
            </w:r>
          </w:p>
        </w:tc>
      </w:tr>
      <w:tr w14:paraId="7A9A4D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35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19BD74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Lig@O1</w:t>
            </w:r>
          </w:p>
        </w:tc>
        <w:tc>
          <w:tcPr>
            <w:tcW w:w="2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860EB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SER_643@H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EF5AD2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2.90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7C0A0C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17.98</w:t>
            </w:r>
          </w:p>
        </w:tc>
      </w:tr>
      <w:tr w14:paraId="0492D8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35" w:type="dxa"/>
            <w:gridSpan w:val="4"/>
            <w:tcBorders>
              <w:top w:val="single" w:color="000000" w:themeColor="text1" w:sz="4" w:space="0"/>
              <w:left w:val="single" w:color="auto" w:sz="6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99D526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S396-0093</w:t>
            </w:r>
          </w:p>
        </w:tc>
      </w:tr>
      <w:tr w14:paraId="16C781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35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AED3C7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Lig@O2</w:t>
            </w:r>
          </w:p>
        </w:tc>
        <w:tc>
          <w:tcPr>
            <w:tcW w:w="2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FF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ER_643@H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786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.86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04EB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2.42</w:t>
            </w:r>
          </w:p>
        </w:tc>
      </w:tr>
      <w:tr w14:paraId="113094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35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B800E5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Lig@O2</w:t>
            </w:r>
          </w:p>
        </w:tc>
        <w:tc>
          <w:tcPr>
            <w:tcW w:w="2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074B8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GLY_642@H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EA2B86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2.86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94A2A5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21.81</w:t>
            </w:r>
          </w:p>
        </w:tc>
      </w:tr>
      <w:tr w14:paraId="744595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35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BE8078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Lig@O2</w:t>
            </w:r>
          </w:p>
        </w:tc>
        <w:tc>
          <w:tcPr>
            <w:tcW w:w="2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53406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SER_643@HG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D99957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2.77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DC58BF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14.66</w:t>
            </w:r>
          </w:p>
        </w:tc>
      </w:tr>
    </w:tbl>
    <w:p w14:paraId="37BDC8C3">
      <w:pPr>
        <w:rPr>
          <w:rFonts w:ascii="Times New Roman" w:hAnsi="Times New Roman" w:cs="Times New Roman"/>
          <w:sz w:val="24"/>
          <w:szCs w:val="24"/>
        </w:rPr>
      </w:pPr>
    </w:p>
    <w:p w14:paraId="11D9B685">
      <w:pPr>
        <w:rPr>
          <w:rFonts w:ascii="Times New Roman" w:hAnsi="Times New Roman" w:cs="Times New Roman"/>
          <w:sz w:val="24"/>
          <w:szCs w:val="24"/>
        </w:rPr>
      </w:pPr>
    </w:p>
    <w:p w14:paraId="6CBB157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CE"/>
    <w:rsid w:val="0003777D"/>
    <w:rsid w:val="0005790E"/>
    <w:rsid w:val="00096165"/>
    <w:rsid w:val="000F57DD"/>
    <w:rsid w:val="00204076"/>
    <w:rsid w:val="00252A56"/>
    <w:rsid w:val="00272A3B"/>
    <w:rsid w:val="0029655A"/>
    <w:rsid w:val="0036384D"/>
    <w:rsid w:val="004211EC"/>
    <w:rsid w:val="004E4EC8"/>
    <w:rsid w:val="006F52A1"/>
    <w:rsid w:val="007432D9"/>
    <w:rsid w:val="00781982"/>
    <w:rsid w:val="00847930"/>
    <w:rsid w:val="00852AAF"/>
    <w:rsid w:val="0086541C"/>
    <w:rsid w:val="00974F80"/>
    <w:rsid w:val="00A8578A"/>
    <w:rsid w:val="00AA65CD"/>
    <w:rsid w:val="00C441CE"/>
    <w:rsid w:val="00C57846"/>
    <w:rsid w:val="00C8562D"/>
    <w:rsid w:val="00C86A0B"/>
    <w:rsid w:val="00C96E54"/>
    <w:rsid w:val="00CA7763"/>
    <w:rsid w:val="00D750D8"/>
    <w:rsid w:val="00DA28F1"/>
    <w:rsid w:val="00DB5664"/>
    <w:rsid w:val="00E91966"/>
    <w:rsid w:val="00EB0120"/>
    <w:rsid w:val="00EE696A"/>
    <w:rsid w:val="00F450F0"/>
    <w:rsid w:val="00F960BE"/>
    <w:rsid w:val="00FC07B9"/>
    <w:rsid w:val="00FC3B9C"/>
    <w:rsid w:val="414A3F69"/>
    <w:rsid w:val="7BD2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1145</Words>
  <Characters>6525</Characters>
  <Lines>606</Lines>
  <Paragraphs>521</Paragraphs>
  <TotalTime>0</TotalTime>
  <ScaleCrop>false</ScaleCrop>
  <LinksUpToDate>false</LinksUpToDate>
  <CharactersWithSpaces>7195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2025-09-26T09:36:00Z</dcterms:created>
  <dc:creator>jiali</dc:creator>
  <cp:lastModifiedBy>赵SL</cp:lastModifiedBy>
  <dcterms:modified xsi:type="dcterms:W3CDTF">2026-01-30T07:31:30Z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eyJoZGlkIjoiYjkyZmNhZmMwYTRkMzdjNDc0ZDBiODA4ZTNmNjg2YzYiLCJ1c2VySWQiOiIxMjUwMTE2NjE2In0=</vt:lpwstr>
  </property>
  <property fmtid="{D5CDD505-2E9C-101B-9397-08002B2CF9AE}" pid="3" name="KSOProductBuildVer">
    <vt:lpwstr>2052-12.1.0.24657</vt:lpwstr>
  </property>
  <property fmtid="{D5CDD505-2E9C-101B-9397-08002B2CF9AE}" pid="4" name="ICV">
    <vt:lpwstr>980BF04E441B422E8AA53C51B0DD3B0F_12</vt:lpwstr>
  </property>
</Properties>
</file>