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3997">
      <w:r>
        <w:rPr>
          <w:rFonts w:hint="eastAsia"/>
        </w:rPr>
        <w:t>TABLE 1. Demographic and Clinical Characteristics of All the Patients</w:t>
      </w:r>
    </w:p>
    <w:p w14:paraId="3342CC03"/>
    <w:p w14:paraId="5726265B">
      <w:r>
        <w:object>
          <v:shape id="_x0000_i1032" o:spt="75" type="#_x0000_t75" style="height:152.95pt;width:414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32" DrawAspect="Content" ObjectID="_1468075725" r:id="rId4">
            <o:LockedField>false</o:LockedField>
          </o:OLEObject>
        </w:object>
      </w:r>
    </w:p>
    <w:p w14:paraId="74C2C746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/>
          <w:sz w:val="18"/>
          <w:szCs w:val="18"/>
          <w:lang w:val="en-US" w:eastAsia="zh-CN"/>
        </w:rPr>
      </w:pP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BMI, body mass index; MSU classi</w:t>
      </w:r>
      <w:r>
        <w:rPr>
          <w:rFonts w:hint="default" w:eastAsia="AdvOT46dcae81+fb" w:cs="AdvOT46dcae81+fb" w:asciiTheme="minorAscii" w:hAnsiTheme="minorAscii"/>
          <w:color w:val="000000"/>
          <w:kern w:val="0"/>
          <w:sz w:val="18"/>
          <w:szCs w:val="18"/>
          <w:lang w:val="en-US" w:eastAsia="zh-CN" w:bidi="ar"/>
        </w:rPr>
        <w:t>fi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cation, Michigan State University classi</w:t>
      </w:r>
      <w:r>
        <w:rPr>
          <w:rFonts w:hint="default" w:eastAsia="AdvOT46dcae81+fb" w:cs="AdvOT46dcae81+fb" w:asciiTheme="minorAscii" w:hAnsiTheme="minorAscii"/>
          <w:color w:val="000000"/>
          <w:kern w:val="0"/>
          <w:sz w:val="18"/>
          <w:szCs w:val="18"/>
          <w:lang w:val="en-US" w:eastAsia="zh-CN" w:bidi="ar"/>
        </w:rPr>
        <w:t>fi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cation of intervertebral disk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herniation; OSE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default" w:eastAsia="MyriadPro-Light" w:cs="MyriadPro-Light" w:asciiTheme="minorAscii" w:hAnsiTheme="minorAscii"/>
          <w:color w:val="000000"/>
          <w:kern w:val="0"/>
          <w:sz w:val="18"/>
          <w:szCs w:val="18"/>
          <w:lang w:val="en-US" w:eastAsia="zh-CN" w:bidi="ar"/>
        </w:rPr>
        <w:t>one-hole split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UBE,u</w:t>
      </w:r>
      <w:r>
        <w:rPr>
          <w:rFonts w:hint="default" w:cs="Times New Roman" w:asciiTheme="minorAscii" w:hAnsiTheme="minorAscii"/>
          <w:sz w:val="18"/>
          <w:szCs w:val="18"/>
        </w:rPr>
        <w:t>nilateral biportal endoscopy</w:t>
      </w:r>
      <w:r>
        <w:rPr>
          <w:rFonts w:hint="default" w:cs="Times New Roman" w:asciiTheme="minorAscii" w:hAnsiTheme="minorAscii"/>
          <w:sz w:val="18"/>
          <w:szCs w:val="18"/>
          <w:lang w:val="en-US" w:eastAsia="zh-CN"/>
        </w:rPr>
        <w:t>.</w:t>
      </w:r>
    </w:p>
    <w:p w14:paraId="75D2ED74">
      <w:pPr>
        <w:keepNext w:val="0"/>
        <w:keepLines w:val="0"/>
        <w:widowControl/>
        <w:suppressLineNumbers w:val="0"/>
        <w:jc w:val="left"/>
      </w:pP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Values are presented as mean ± SD.</w:t>
      </w:r>
    </w:p>
    <w:p w14:paraId="714EFCB9"/>
    <w:p w14:paraId="499F7DF0"/>
    <w:p w14:paraId="3615ED03"/>
    <w:p w14:paraId="2E3EFF80"/>
    <w:p w14:paraId="1880A747"/>
    <w:p w14:paraId="0EBC7D1F"/>
    <w:p w14:paraId="32A86F2E"/>
    <w:p w14:paraId="1F8E200F"/>
    <w:p w14:paraId="4C4F6253"/>
    <w:p w14:paraId="1755CD65"/>
    <w:p w14:paraId="08A442F9"/>
    <w:p w14:paraId="71BE383A"/>
    <w:p w14:paraId="0145C7A0"/>
    <w:p w14:paraId="4D5FF5CB"/>
    <w:p w14:paraId="0FED168A"/>
    <w:p w14:paraId="316384F1"/>
    <w:p w14:paraId="76FE5FC5"/>
    <w:p w14:paraId="36D14567"/>
    <w:p w14:paraId="618ABAB9"/>
    <w:p w14:paraId="56A81C86"/>
    <w:p w14:paraId="03719306"/>
    <w:p w14:paraId="2FCAF171"/>
    <w:p w14:paraId="322692E0"/>
    <w:p w14:paraId="07E54A44"/>
    <w:p w14:paraId="71454EF4"/>
    <w:p w14:paraId="16CADA73"/>
    <w:p w14:paraId="7885EF6D"/>
    <w:p w14:paraId="7EA7140B"/>
    <w:p w14:paraId="7C59464B"/>
    <w:p w14:paraId="60A66154">
      <w:r>
        <w:rPr>
          <w:rFonts w:hint="eastAsia"/>
        </w:rPr>
        <w:t xml:space="preserve">TABLE 2. Clinical Outcomes of </w:t>
      </w:r>
      <w:r>
        <w:rPr>
          <w:rFonts w:hint="eastAsia"/>
          <w:lang w:val="en-US" w:eastAsia="zh-CN"/>
        </w:rPr>
        <w:t>OSE</w:t>
      </w:r>
      <w:r>
        <w:rPr>
          <w:rFonts w:hint="eastAsia"/>
        </w:rPr>
        <w:t xml:space="preserve"> and UBE</w:t>
      </w:r>
    </w:p>
    <w:p w14:paraId="32556127"/>
    <w:p w14:paraId="01FAD6B4">
      <w:r>
        <w:object>
          <v:shape id="_x0000_i1033" o:spt="75" type="#_x0000_t75" style="height:571.95pt;width:414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33" DrawAspect="Content" ObjectID="_1468075726" r:id="rId6">
            <o:LockedField>false</o:LockedField>
          </o:OLEObject>
        </w:object>
      </w:r>
    </w:p>
    <w:p w14:paraId="352D71DB"/>
    <w:p w14:paraId="603B029C"/>
    <w:p w14:paraId="3A54973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18"/>
          <w:szCs w:val="18"/>
        </w:rPr>
      </w:pP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ODI, Oswestry Disability Index; VAS, visual analog scale; 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 OSE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default" w:eastAsia="MyriadPro-Light" w:cs="MyriadPro-Light" w:asciiTheme="minorAscii" w:hAnsiTheme="minorAscii"/>
          <w:color w:val="000000"/>
          <w:kern w:val="0"/>
          <w:sz w:val="18"/>
          <w:szCs w:val="18"/>
          <w:lang w:val="en-US" w:eastAsia="zh-CN" w:bidi="ar"/>
        </w:rPr>
        <w:t>one-hole split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UBE,u</w:t>
      </w:r>
      <w:r>
        <w:rPr>
          <w:rFonts w:hint="default" w:cs="Times New Roman" w:asciiTheme="minorAscii" w:hAnsiTheme="minorAscii"/>
          <w:sz w:val="18"/>
          <w:szCs w:val="18"/>
        </w:rPr>
        <w:t>nilateral biportal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default" w:cs="Times New Roman" w:asciiTheme="minorAscii" w:hAnsiTheme="minorAscii"/>
          <w:sz w:val="18"/>
          <w:szCs w:val="18"/>
          <w:vertAlign w:val="superscript"/>
        </w:rPr>
        <w:t>a</w:t>
      </w:r>
      <w:r>
        <w:rPr>
          <w:rFonts w:hint="default" w:cs="Times New Roman" w:asciiTheme="minorAscii" w:hAnsiTheme="minorAscii"/>
          <w:sz w:val="18"/>
          <w:szCs w:val="18"/>
        </w:rPr>
        <w:t xml:space="preserve"> </w:t>
      </w:r>
      <w:r>
        <w:rPr>
          <w:rFonts w:hint="default" w:cs="Times New Roman" w:asciiTheme="minorAscii" w:hAnsiTheme="minorAscii"/>
          <w:sz w:val="18"/>
          <w:szCs w:val="18"/>
          <w:lang w:val="en-US" w:eastAsia="zh-CN"/>
        </w:rPr>
        <w:t>,</w:t>
      </w:r>
      <w:r>
        <w:rPr>
          <w:rFonts w:hint="default" w:eastAsia="AdvOT65f8a23b.I" w:cs="AdvOT65f8a23b.I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P 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&lt; 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0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.05, statistically signi</w:t>
      </w:r>
      <w:r>
        <w:rPr>
          <w:rFonts w:hint="default" w:eastAsia="AdvOT46dcae81+fb" w:cs="AdvOT46dcae81+fb" w:asciiTheme="minorAscii" w:hAnsiTheme="minorAscii"/>
          <w:color w:val="000000"/>
          <w:kern w:val="0"/>
          <w:sz w:val="18"/>
          <w:szCs w:val="18"/>
          <w:lang w:val="en-US" w:eastAsia="zh-CN" w:bidi="ar"/>
        </w:rPr>
        <w:t>fi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cant differences. </w:t>
      </w:r>
    </w:p>
    <w:p w14:paraId="6311841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18"/>
          <w:szCs w:val="18"/>
        </w:rPr>
      </w:pP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Values are presented as mean ± SD unless otherwise indicated.</w:t>
      </w:r>
    </w:p>
    <w:p w14:paraId="2C22580B">
      <w:pPr>
        <w:rPr>
          <w:rFonts w:hint="default" w:asciiTheme="minorAscii" w:hAnsiTheme="minorAscii"/>
          <w:sz w:val="18"/>
          <w:szCs w:val="18"/>
        </w:rPr>
      </w:pPr>
      <w:r>
        <w:rPr>
          <w:rFonts w:hint="default" w:asciiTheme="minorAscii" w:hAnsiTheme="minorAscii"/>
          <w:sz w:val="18"/>
          <w:szCs w:val="18"/>
        </w:rPr>
        <w:t>TABLE 3. Comparison of Perioperative Date of OSE and UBE</w:t>
      </w:r>
    </w:p>
    <w:p w14:paraId="472ED63E">
      <w:r>
        <w:object>
          <v:shape id="_x0000_i1034" o:spt="75" type="#_x0000_t75" style="height:98.2pt;width:414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034" DrawAspect="Content" ObjectID="_1468075727" r:id="rId8">
            <o:LockedField>false</o:LockedField>
          </o:OLEObject>
        </w:object>
      </w:r>
    </w:p>
    <w:p w14:paraId="7AB3E1C7">
      <w:pPr>
        <w:keepNext w:val="0"/>
        <w:keepLines w:val="0"/>
        <w:widowControl/>
        <w:suppressLineNumbers w:val="0"/>
        <w:jc w:val="left"/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OSE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default" w:eastAsia="MyriadPro-Light" w:cs="MyriadPro-Light" w:asciiTheme="minorAscii" w:hAnsiTheme="minorAscii"/>
          <w:color w:val="000000"/>
          <w:kern w:val="0"/>
          <w:sz w:val="18"/>
          <w:szCs w:val="18"/>
          <w:lang w:val="en-US" w:eastAsia="zh-CN" w:bidi="ar"/>
        </w:rPr>
        <w:t>one-hole split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UBE,u</w:t>
      </w:r>
      <w:r>
        <w:rPr>
          <w:rFonts w:hint="default" w:cs="Times New Roman" w:asciiTheme="minorAscii" w:hAnsiTheme="minorAscii"/>
          <w:sz w:val="18"/>
          <w:szCs w:val="18"/>
        </w:rPr>
        <w:t>nilateral biportal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21B6491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18"/>
          <w:szCs w:val="18"/>
        </w:rPr>
      </w:pPr>
      <w:r>
        <w:rPr>
          <w:rFonts w:hint="default" w:cs="Times New Roman" w:asciiTheme="minorAscii" w:hAnsiTheme="minorAscii"/>
          <w:sz w:val="18"/>
          <w:szCs w:val="18"/>
          <w:vertAlign w:val="superscript"/>
        </w:rPr>
        <w:t>a</w:t>
      </w:r>
      <w:r>
        <w:rPr>
          <w:rFonts w:hint="default" w:cs="Times New Roman" w:asciiTheme="minorAscii" w:hAnsiTheme="minorAscii"/>
          <w:sz w:val="18"/>
          <w:szCs w:val="18"/>
        </w:rPr>
        <w:t xml:space="preserve"> </w:t>
      </w:r>
      <w:r>
        <w:rPr>
          <w:rFonts w:hint="default" w:cs="Times New Roman" w:asciiTheme="minorAscii" w:hAnsiTheme="minorAscii"/>
          <w:sz w:val="18"/>
          <w:szCs w:val="18"/>
          <w:lang w:val="en-US" w:eastAsia="zh-CN"/>
        </w:rPr>
        <w:t>,</w:t>
      </w:r>
      <w:r>
        <w:rPr>
          <w:rFonts w:hint="default" w:eastAsia="AdvOT65f8a23b.I" w:cs="AdvOT65f8a23b.I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P 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&lt; 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0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.05, statistically signi</w:t>
      </w:r>
      <w:r>
        <w:rPr>
          <w:rFonts w:hint="default" w:eastAsia="AdvOT46dcae81+fb" w:cs="AdvOT46dcae81+fb" w:asciiTheme="minorAscii" w:hAnsiTheme="minorAscii"/>
          <w:color w:val="000000"/>
          <w:kern w:val="0"/>
          <w:sz w:val="18"/>
          <w:szCs w:val="18"/>
          <w:lang w:val="en-US" w:eastAsia="zh-CN" w:bidi="ar"/>
        </w:rPr>
        <w:t>fi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cant differences. </w:t>
      </w:r>
    </w:p>
    <w:p w14:paraId="67D3D0CC"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Values are presented as mean ± SD unless otherwise indicated.</w:t>
      </w:r>
    </w:p>
    <w:p w14:paraId="446A8A92"/>
    <w:p w14:paraId="5987BCFB"/>
    <w:p w14:paraId="6D5BEB1B"/>
    <w:p w14:paraId="77735610"/>
    <w:p w14:paraId="7A0622AE"/>
    <w:p w14:paraId="0E263007"/>
    <w:p w14:paraId="449A11E7"/>
    <w:p w14:paraId="358923A2"/>
    <w:p w14:paraId="2BBEE4B2"/>
    <w:p w14:paraId="6A5B7339"/>
    <w:p w14:paraId="59CDB26D"/>
    <w:p w14:paraId="62F99643"/>
    <w:p w14:paraId="147B605F"/>
    <w:p w14:paraId="071FF935"/>
    <w:p w14:paraId="58D3796D"/>
    <w:p w14:paraId="3F4BA924"/>
    <w:p w14:paraId="788D87E3"/>
    <w:p w14:paraId="69E68141"/>
    <w:p w14:paraId="2F2080E2"/>
    <w:p w14:paraId="75EB4944"/>
    <w:p w14:paraId="69F60B81"/>
    <w:p w14:paraId="0C0C7B97"/>
    <w:p w14:paraId="1EB0F71B"/>
    <w:p w14:paraId="4D353D8E"/>
    <w:p w14:paraId="3E4B1A48"/>
    <w:p w14:paraId="20961F4A"/>
    <w:p w14:paraId="14BCEDDC"/>
    <w:p w14:paraId="6D8040B3"/>
    <w:p w14:paraId="665F12F9"/>
    <w:p w14:paraId="2B965966"/>
    <w:p w14:paraId="3282BEE0"/>
    <w:p w14:paraId="1E2421FD"/>
    <w:p w14:paraId="07730E7D"/>
    <w:p w14:paraId="18E7A8F4"/>
    <w:p w14:paraId="711BC3C6">
      <w:r>
        <w:rPr>
          <w:rFonts w:hint="eastAsia"/>
          <w:lang w:val="en-US" w:eastAsia="zh-CN"/>
        </w:rPr>
        <w:t>T</w:t>
      </w:r>
      <w:r>
        <w:rPr>
          <w:rFonts w:hint="eastAsia"/>
        </w:rPr>
        <w:t>ABLE 4. Surgical Invasiveness and Radiographic Outcomes of OSE and UBE</w:t>
      </w:r>
    </w:p>
    <w:p w14:paraId="3135136E">
      <w:r>
        <w:object>
          <v:shape id="_x0000_i1037" o:spt="75" type="#_x0000_t75" style="height:485.6pt;width:414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37" DrawAspect="Content" ObjectID="_1468075728" r:id="rId10">
            <o:LockedField>false</o:LockedField>
          </o:OLEObject>
        </w:object>
      </w:r>
      <w:bookmarkStart w:id="0" w:name="_GoBack"/>
      <w:bookmarkEnd w:id="0"/>
    </w:p>
    <w:p w14:paraId="484154D1">
      <w:pPr>
        <w:keepNext w:val="0"/>
        <w:keepLines w:val="0"/>
        <w:widowControl/>
        <w:suppressLineNumbers w:val="0"/>
        <w:jc w:val="left"/>
        <w:rPr>
          <w:rFonts w:hint="default" w:cs="Times New Roman" w:asciiTheme="minorAscii" w:hAnsiTheme="minorAscii"/>
          <w:sz w:val="18"/>
          <w:szCs w:val="18"/>
          <w:vertAlign w:val="superscript"/>
        </w:rPr>
      </w:pP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PGE2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 prostaglandin E2;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 TTR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,transthyretin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; ROM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,range of</w:t>
      </w:r>
      <w:r>
        <w:rPr>
          <w:rFonts w:hint="eastAsia" w:cs="Times New Roman" w:asciiTheme="minorAscii" w:hAnsiTheme="minorAscii"/>
          <w:spacing w:val="9"/>
          <w:sz w:val="18"/>
          <w:szCs w:val="18"/>
          <w:lang w:val="en-US" w:eastAsia="zh-CN"/>
        </w:rPr>
        <w:t xml:space="preserve"> 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motion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; ST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,sagittal translation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; DHI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,disc height index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MF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,multifidus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;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 ES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,erector spinae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; PS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,psoas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R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CSA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eastAsia" w:cs="Times New Roman" w:asciiTheme="minorAscii" w:hAnsiTheme="minorAscii"/>
          <w:spacing w:val="9"/>
          <w:sz w:val="18"/>
          <w:szCs w:val="18"/>
          <w:lang w:val="en-US" w:eastAsia="zh-CN"/>
        </w:rPr>
        <w:t>r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elative cross—sectional area; OSE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,</w:t>
      </w:r>
      <w:r>
        <w:rPr>
          <w:rFonts w:hint="default" w:eastAsia="MyriadPro-Light" w:cs="MyriadPro-Light" w:asciiTheme="minorAscii" w:hAnsiTheme="minorAscii"/>
          <w:color w:val="000000"/>
          <w:kern w:val="0"/>
          <w:sz w:val="18"/>
          <w:szCs w:val="18"/>
          <w:lang w:val="en-US" w:eastAsia="zh-CN" w:bidi="ar"/>
        </w:rPr>
        <w:t>one-hole split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default" w:cs="Times New Roman" w:asciiTheme="minorAscii" w:hAnsiTheme="minorAscii"/>
          <w:spacing w:val="9"/>
          <w:sz w:val="18"/>
          <w:szCs w:val="18"/>
        </w:rPr>
        <w:t>UBE,</w:t>
      </w:r>
      <w:r>
        <w:rPr>
          <w:rFonts w:hint="eastAsia" w:cs="Times New Roman" w:asciiTheme="minorAscii" w:hAnsiTheme="minorAscii"/>
          <w:spacing w:val="9"/>
          <w:sz w:val="18"/>
          <w:szCs w:val="18"/>
          <w:lang w:val="en-US" w:eastAsia="zh-CN"/>
        </w:rPr>
        <w:t>u</w:t>
      </w:r>
      <w:r>
        <w:rPr>
          <w:rFonts w:hint="default" w:cs="Times New Roman" w:asciiTheme="minorAscii" w:hAnsiTheme="minorAscii"/>
          <w:sz w:val="18"/>
          <w:szCs w:val="18"/>
        </w:rPr>
        <w:t>nilateral biportal endoscopy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54D37F14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18"/>
          <w:szCs w:val="18"/>
        </w:rPr>
      </w:pPr>
      <w:r>
        <w:rPr>
          <w:rFonts w:hint="default" w:cs="Times New Roman" w:asciiTheme="minorAscii" w:hAnsiTheme="minorAscii"/>
          <w:sz w:val="18"/>
          <w:szCs w:val="18"/>
          <w:vertAlign w:val="superscript"/>
        </w:rPr>
        <w:t>a</w:t>
      </w:r>
      <w:r>
        <w:rPr>
          <w:rFonts w:hint="default" w:cs="Times New Roman" w:asciiTheme="minorAscii" w:hAnsiTheme="minorAscii"/>
          <w:sz w:val="18"/>
          <w:szCs w:val="18"/>
        </w:rPr>
        <w:t xml:space="preserve"> </w:t>
      </w:r>
      <w:r>
        <w:rPr>
          <w:rFonts w:hint="default" w:cs="Times New Roman" w:asciiTheme="minorAscii" w:hAnsiTheme="minorAscii"/>
          <w:sz w:val="18"/>
          <w:szCs w:val="18"/>
          <w:lang w:val="en-US" w:eastAsia="zh-CN"/>
        </w:rPr>
        <w:t>,</w:t>
      </w:r>
      <w:r>
        <w:rPr>
          <w:rFonts w:hint="default" w:eastAsia="AdvOT65f8a23b.I" w:cs="AdvOT65f8a23b.I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P 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&lt; </w:t>
      </w:r>
      <w:r>
        <w:rPr>
          <w:rFonts w:hint="eastAsia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0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.05, statistically signi</w:t>
      </w:r>
      <w:r>
        <w:rPr>
          <w:rFonts w:hint="default" w:eastAsia="AdvOT46dcae81+fb" w:cs="AdvOT46dcae81+fb" w:asciiTheme="minorAscii" w:hAnsiTheme="minorAscii"/>
          <w:color w:val="000000"/>
          <w:kern w:val="0"/>
          <w:sz w:val="18"/>
          <w:szCs w:val="18"/>
          <w:lang w:val="en-US" w:eastAsia="zh-CN" w:bidi="ar"/>
        </w:rPr>
        <w:t>fi</w:t>
      </w:r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 xml:space="preserve">cant differences. </w:t>
      </w:r>
    </w:p>
    <w:p w14:paraId="263EB42B">
      <w:r>
        <w:rPr>
          <w:rFonts w:hint="default" w:eastAsia="AdvOT46dcae81" w:cs="AdvOT46dcae81" w:asciiTheme="minorAscii" w:hAnsiTheme="minorAscii"/>
          <w:color w:val="000000"/>
          <w:kern w:val="0"/>
          <w:sz w:val="18"/>
          <w:szCs w:val="18"/>
          <w:lang w:val="en-US" w:eastAsia="zh-CN" w:bidi="ar"/>
        </w:rPr>
        <w:t>Values are presented as mean ± SD unless otherwise indicated.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46dcae8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46dcae81+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Pro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3b30f6db.B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65f8a23b.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051F4"/>
    <w:rsid w:val="04315861"/>
    <w:rsid w:val="0AC83782"/>
    <w:rsid w:val="140D0471"/>
    <w:rsid w:val="1AAE390F"/>
    <w:rsid w:val="239E4308"/>
    <w:rsid w:val="2A444941"/>
    <w:rsid w:val="2B3A5713"/>
    <w:rsid w:val="2E014517"/>
    <w:rsid w:val="31F051F4"/>
    <w:rsid w:val="34DF500B"/>
    <w:rsid w:val="3603097C"/>
    <w:rsid w:val="392A783C"/>
    <w:rsid w:val="482A5A71"/>
    <w:rsid w:val="4D8C0B39"/>
    <w:rsid w:val="4E2A6B61"/>
    <w:rsid w:val="5B8729BD"/>
    <w:rsid w:val="6D5C74B0"/>
    <w:rsid w:val="6E6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</Words>
  <Characters>1084</Characters>
  <Lines>0</Lines>
  <Paragraphs>0</Paragraphs>
  <TotalTime>7</TotalTime>
  <ScaleCrop>false</ScaleCrop>
  <LinksUpToDate>false</LinksUpToDate>
  <CharactersWithSpaces>1238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2025-12-28T15:07:00Z</dcterms:created>
  <dc:creator>张先一</dc:creator>
  <cp:lastModifiedBy>张先一</cp:lastModifiedBy>
  <dcterms:modified xsi:type="dcterms:W3CDTF">2026-01-06T13:37:05Z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EF96396666C845668260014316CC8C45_11</vt:lpwstr>
  </property>
  <property fmtid="{D5CDD505-2E9C-101B-9397-08002B2CF9AE}" pid="4" name="KSOTemplateDocerSaveRecord">
    <vt:lpwstr>eyJoZGlkIjoiODk4NzNjYmE0ZjkwMWFhNjRjMDQyMGNlMTZkN2Y5Y2UiLCJ1c2VySWQiOiI0ODIwNTIxNTQifQ==</vt:lpwstr>
  </property>
</Properties>
</file>