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BE023">
      <w:pPr>
        <w:pStyle w:val="8"/>
        <w:ind w:firstLine="720" w:firstLineChars="300"/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An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ACQUITY UHPLC I-Class system coupled with a Xevo XS quadrupole time of flight mass spectrometer (Waters, Milford, MA, USA) was used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for characterization of </w:t>
      </w:r>
      <w:bookmarkStart w:id="0" w:name="OLE_LINK2"/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chemical components</w:t>
      </w:r>
      <w:bookmarkEnd w:id="0"/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in Leonuri Herba.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Chromatographic separation was carried out at 4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5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°C on a Waters CORTECS C</w:t>
      </w:r>
      <w:r>
        <w:rPr>
          <w:rFonts w:ascii="Times New Roman" w:hAnsi="Times New Roman" w:eastAsia="宋体"/>
          <w:color w:val="auto"/>
          <w:sz w:val="24"/>
          <w:szCs w:val="24"/>
          <w:vertAlign w:val="subscript"/>
          <w:lang w:eastAsia="zh-CN"/>
        </w:rPr>
        <w:t>18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column (2.1 mm × 100 mm; 1.6 μm), with 0.1% of formic acid as mobile phase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A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and acetonitrile as mobile phase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B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. Gradient elution was performed as follows: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%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%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B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for 0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.0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2.0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min,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%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13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%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B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for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2.0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0.0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min,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13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%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25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%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B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for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6.0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15.0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min,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25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%–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60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%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B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for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15.0-20.0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min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.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The flow rate was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set at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0.25 mL/min. The mass-spectrometry conditions were optimized as follows: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ESI positive mode,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desolvent gas temperature, 500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°C; capillary voltage, +3.0 kV; source temperature: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15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°C; desolvent gas flow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(N</w:t>
      </w:r>
      <w:r>
        <w:rPr>
          <w:rFonts w:hint="eastAsia" w:ascii="Times New Roman" w:hAnsi="Times New Roman" w:eastAsia="宋体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: 800 L/h; and cone gas flow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(N</w:t>
      </w:r>
      <w:r>
        <w:rPr>
          <w:rFonts w:hint="eastAsia" w:ascii="Times New Roman" w:hAnsi="Times New Roman" w:eastAsia="宋体"/>
          <w:color w:val="auto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)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: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50 L/h. The MS scan range was </w:t>
      </w:r>
      <w:r>
        <w:rPr>
          <w:rFonts w:ascii="Times New Roman" w:hAnsi="Times New Roman" w:eastAsia="宋体"/>
          <w:i/>
          <w:iCs/>
          <w:color w:val="auto"/>
          <w:sz w:val="24"/>
          <w:szCs w:val="24"/>
          <w:lang w:eastAsia="zh-CN"/>
        </w:rPr>
        <w:t>m/z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 50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-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1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5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00. Total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base peak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i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 xml:space="preserve">on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c</w:t>
      </w:r>
      <w:r>
        <w:rPr>
          <w:rFonts w:ascii="Times New Roman" w:hAnsi="Times New Roman" w:eastAsia="宋体"/>
          <w:color w:val="auto"/>
          <w:sz w:val="24"/>
          <w:szCs w:val="24"/>
          <w:lang w:eastAsia="zh-CN"/>
        </w:rPr>
        <w:t>hromatogram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 (BPI)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 was shown in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Supplement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 xml:space="preserve">Fig1, the identified compounds list at </w:t>
      </w:r>
      <w:r>
        <w:rPr>
          <w:rFonts w:hint="eastAsia" w:ascii="Times New Roman" w:hAnsi="Times New Roman" w:eastAsia="宋体"/>
          <w:color w:val="auto"/>
          <w:sz w:val="24"/>
          <w:szCs w:val="24"/>
          <w:lang w:val="en-US" w:eastAsia="zh-CN"/>
        </w:rPr>
        <w:t xml:space="preserve">Supplement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Table 1.</w:t>
      </w:r>
    </w:p>
    <w:p w14:paraId="23BA2506">
      <w:pPr>
        <w:ind w:leftChars="-200" w:hanging="480" w:hangingChars="200"/>
        <w:jc w:val="center"/>
      </w:pPr>
    </w:p>
    <w:p w14:paraId="65D0D6EC">
      <w:pPr>
        <w:ind w:leftChars="-200" w:hanging="480" w:hangingChars="200"/>
        <w:jc w:val="center"/>
      </w:pPr>
    </w:p>
    <w:p w14:paraId="3010D771">
      <w:pPr>
        <w:ind w:leftChars="-200" w:hanging="480" w:hangingChars="200"/>
        <w:jc w:val="center"/>
      </w:pPr>
      <w:r>
        <w:drawing>
          <wp:inline distT="0" distB="0" distL="114300" distR="114300">
            <wp:extent cx="5274310" cy="2656205"/>
            <wp:effectExtent l="0" t="0" r="889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8C217">
      <w:pPr>
        <w:jc w:val="center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Note: 1 leonurine; (A) reference substance (5000 ng/ml); (B) Extract of Herba Leonuri</w:t>
      </w:r>
    </w:p>
    <w:p w14:paraId="02C53D41">
      <w:pPr>
        <w:jc w:val="center"/>
        <w:rPr>
          <w:rFonts w:hint="eastAsia" w:eastAsia="宋体"/>
          <w:lang w:val="en-US" w:eastAsia="zh-CN"/>
        </w:rPr>
      </w:pPr>
    </w:p>
    <w:p w14:paraId="7AC363AE">
      <w:pPr>
        <w:jc w:val="center"/>
        <w:rPr>
          <w:rFonts w:eastAsia="宋体"/>
          <w:lang w:val="en-US" w:eastAsia="zh-CN"/>
        </w:rPr>
      </w:pPr>
      <w:r>
        <w:rPr>
          <w:rFonts w:hint="eastAsia" w:eastAsia="宋体"/>
          <w:lang w:val="en-US" w:eastAsia="zh-CN"/>
        </w:rPr>
        <w:t>Supplement Figure</w:t>
      </w:r>
      <w:bookmarkStart w:id="3" w:name="_GoBack"/>
      <w:bookmarkEnd w:id="3"/>
      <w:r>
        <w:rPr>
          <w:rFonts w:hint="eastAsia" w:eastAsia="宋体"/>
          <w:lang w:val="en-US" w:eastAsia="zh-CN"/>
        </w:rPr>
        <w:t xml:space="preserve"> 1 </w:t>
      </w:r>
      <w:r>
        <w:rPr>
          <w:rFonts w:hint="eastAsia" w:eastAsia="宋体"/>
          <w:lang w:eastAsia="zh-CN"/>
        </w:rPr>
        <w:t xml:space="preserve">Total base peak ion chromatogram </w:t>
      </w:r>
      <w:r>
        <w:rPr>
          <w:rFonts w:hint="eastAsia" w:eastAsia="宋体"/>
          <w:lang w:val="en-US"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Leonuri Herba</w:t>
      </w:r>
    </w:p>
    <w:p w14:paraId="05922CA7">
      <w:pPr>
        <w:jc w:val="both"/>
      </w:pPr>
      <w:bookmarkStart w:id="1" w:name="_Hlk71135507"/>
    </w:p>
    <w:bookmarkEnd w:id="1"/>
    <w:p w14:paraId="11BFC7A4">
      <w:pPr>
        <w:jc w:val="both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C85651A">
      <w:pPr>
        <w:jc w:val="center"/>
        <w:rPr>
          <w:rFonts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Supplement </w:t>
      </w:r>
      <w:r>
        <w:t xml:space="preserve">Table 1. </w:t>
      </w:r>
      <w:r>
        <w:rPr>
          <w:lang w:eastAsia="zh-CN"/>
        </w:rPr>
        <w:t xml:space="preserve">Characterization of </w:t>
      </w:r>
      <w:r>
        <w:rPr>
          <w:rFonts w:hint="eastAsia" w:eastAsia="宋体"/>
          <w:lang w:val="en-US" w:eastAsia="zh-CN"/>
        </w:rPr>
        <w:t>chemical components</w:t>
      </w:r>
      <w:r>
        <w:rPr>
          <w:lang w:eastAsia="zh-CN"/>
        </w:rPr>
        <w:t xml:space="preserve"> in </w:t>
      </w:r>
      <w:r>
        <w:rPr>
          <w:rFonts w:hint="eastAsia" w:ascii="Times New Roman" w:hAnsi="Times New Roman" w:eastAsia="宋体"/>
          <w:color w:val="auto"/>
          <w:sz w:val="24"/>
          <w:szCs w:val="24"/>
          <w:lang w:eastAsia="zh-CN"/>
        </w:rPr>
        <w:t>Leonuri Herba</w:t>
      </w:r>
    </w:p>
    <w:p w14:paraId="3C097024">
      <w:pPr>
        <w:jc w:val="center"/>
      </w:pPr>
      <w:r>
        <w:rPr>
          <w:lang w:eastAsia="zh-CN"/>
        </w:rPr>
        <w:t xml:space="preserve"> by UPLC</w:t>
      </w:r>
      <w:r>
        <w:rPr>
          <w:rFonts w:hint="eastAsia"/>
          <w:lang w:val="en-US" w:eastAsia="zh-CN"/>
        </w:rPr>
        <w:t>-</w:t>
      </w:r>
      <w:r>
        <w:rPr>
          <w:lang w:eastAsia="zh-CN"/>
        </w:rPr>
        <w:t>Q</w:t>
      </w:r>
      <w:r>
        <w:rPr>
          <w:rFonts w:hint="eastAsia"/>
          <w:lang w:val="en-US" w:eastAsia="zh-CN"/>
        </w:rPr>
        <w:t>-</w:t>
      </w:r>
      <w:r>
        <w:rPr>
          <w:lang w:eastAsia="zh-CN"/>
        </w:rPr>
        <w:t>TOF</w:t>
      </w:r>
      <w:r>
        <w:rPr>
          <w:rFonts w:hint="eastAsia"/>
          <w:lang w:val="en-US" w:eastAsia="zh-CN"/>
        </w:rPr>
        <w:t>-</w:t>
      </w:r>
      <w:r>
        <w:rPr>
          <w:lang w:eastAsia="zh-CN"/>
        </w:rPr>
        <w:t>M</w:t>
      </w:r>
      <w:r>
        <w:rPr>
          <w:rFonts w:hint="eastAsia"/>
          <w:lang w:val="en-US" w:eastAsia="zh-CN"/>
        </w:rPr>
        <w:t>S/MS</w:t>
      </w:r>
    </w:p>
    <w:tbl>
      <w:tblPr>
        <w:tblStyle w:val="5"/>
        <w:tblpPr w:leftFromText="180" w:rightFromText="180" w:vertAnchor="text" w:horzAnchor="page" w:tblpXSpec="center" w:tblpY="306"/>
        <w:tblOverlap w:val="never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743"/>
        <w:gridCol w:w="1671"/>
        <w:gridCol w:w="1173"/>
        <w:gridCol w:w="730"/>
        <w:gridCol w:w="1220"/>
        <w:gridCol w:w="5156"/>
      </w:tblGrid>
      <w:tr w14:paraId="27B77B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3F0685C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No.</w:t>
            </w:r>
          </w:p>
        </w:tc>
        <w:tc>
          <w:tcPr>
            <w:tcW w:w="743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70A17DB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/min</w:t>
            </w:r>
          </w:p>
        </w:tc>
        <w:tc>
          <w:tcPr>
            <w:tcW w:w="1671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0C312DA6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MS</w:t>
            </w:r>
            <w:r>
              <w:rPr>
                <w:rFonts w:hint="eastAsia" w:eastAsia="宋体" w:cs="Times New Roman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bookmarkStart w:id="2" w:name="OLE_LINK1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 w:bidi="ar"/>
              </w:rPr>
              <w:t>m/z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)</w:t>
            </w:r>
            <w:bookmarkEnd w:id="2"/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80E5E8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Theoretical</w:t>
            </w:r>
          </w:p>
          <w:p w14:paraId="16D0E0A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Mass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lang w:val="en-US" w:eastAsia="zh-CN" w:bidi="ar"/>
              </w:rPr>
              <w:t>m/z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5489ED0D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Error</w:t>
            </w:r>
          </w:p>
          <w:p w14:paraId="0CB7B03E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(ppm)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71F5D8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Molecular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8F7F00B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Identification</w:t>
            </w:r>
          </w:p>
        </w:tc>
      </w:tr>
      <w:tr w14:paraId="389AC5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464D0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43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BADF3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0.98</w:t>
            </w:r>
          </w:p>
        </w:tc>
        <w:tc>
          <w:tcPr>
            <w:tcW w:w="1671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5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144.1037[M+H]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FDD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144.1025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122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8.65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73D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007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Stachydrine</w:t>
            </w:r>
          </w:p>
        </w:tc>
      </w:tr>
      <w:tr w14:paraId="692E63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A7B9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5EB43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1.09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EC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193.0365[M+H]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247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yellow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193.0349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C2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C09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318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Citricacid</w:t>
            </w:r>
          </w:p>
        </w:tc>
      </w:tr>
      <w:tr w14:paraId="516996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10E3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75E23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4.4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85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355.1046[M+H]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16F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E4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5EB0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5D3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neochlorogenicacid</w:t>
            </w:r>
          </w:p>
        </w:tc>
      </w:tr>
      <w:tr w14:paraId="3965BE5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25E45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6CC3B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4.86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232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355.1003[M+H]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43A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864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-7.34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337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3B4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Chlorogenic-acid(3-caffeoylquinicacid)</w:t>
            </w:r>
          </w:p>
        </w:tc>
      </w:tr>
      <w:tr w14:paraId="212ADF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0" w:type="auto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934D5B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743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5B86BE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4.86</w:t>
            </w:r>
          </w:p>
        </w:tc>
        <w:tc>
          <w:tcPr>
            <w:tcW w:w="1671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BB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139.0405[M+H]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F4D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139.0395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1B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019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BFDC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4-Hydroxybenzoicacid</w:t>
            </w:r>
          </w:p>
        </w:tc>
      </w:tr>
      <w:tr w14:paraId="22C3A3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0" w:type="auto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2DBED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743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0ACD92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6.41</w:t>
            </w:r>
          </w:p>
        </w:tc>
        <w:tc>
          <w:tcPr>
            <w:tcW w:w="1671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425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355.1046[M+H]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35CD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355.1029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2CA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F71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BF1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7FBFF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4-DicaffeoylquinicAcid</w:t>
            </w:r>
          </w:p>
        </w:tc>
      </w:tr>
      <w:tr w14:paraId="20382E3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49531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42029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7.19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A5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199.0618[M+H]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E0E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199.0606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A2E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3C4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4F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Syringicacid</w:t>
            </w:r>
          </w:p>
        </w:tc>
      </w:tr>
      <w:tr w14:paraId="56A34A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75431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5B2CF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7.91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A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315.0723[M+H]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702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315.0716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A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519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BA46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Syringyl-malicacid</w:t>
            </w:r>
          </w:p>
        </w:tc>
      </w:tr>
      <w:tr w14:paraId="666D40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C485E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21365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8.25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4B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312.1582[M+H]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BB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312.1559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93E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F5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36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Leonurine</w:t>
            </w:r>
          </w:p>
        </w:tc>
      </w:tr>
      <w:tr w14:paraId="224C28F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174AD1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02EE0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9.15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F2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611.164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65F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750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5F1C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7DE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Quercetin-3-O-robinobioside</w:t>
            </w:r>
          </w:p>
        </w:tc>
      </w:tr>
      <w:tr w14:paraId="648BCF2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6CB2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CCB92D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9.36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9A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611.164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BA7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611.1612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6A1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5E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B36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Rutin</w:t>
            </w:r>
          </w:p>
        </w:tc>
      </w:tr>
      <w:tr w14:paraId="468ECDF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0A2B4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A54C8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9.46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7F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465.1053[M+H]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C90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465.1033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72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746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EF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Isoquercetin</w:t>
            </w:r>
          </w:p>
        </w:tc>
      </w:tr>
      <w:tr w14:paraId="252B53D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55C0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CD277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9.71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0E9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465.1053[M+H]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9E15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465.1033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0E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525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A02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Hyperoside</w:t>
            </w:r>
          </w:p>
        </w:tc>
      </w:tr>
      <w:tr w14:paraId="7914227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6BBE5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FDB2D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10.95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D6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449.1091[M+H]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04C3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6BB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B8B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CEB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Astragalin</w:t>
            </w:r>
          </w:p>
        </w:tc>
      </w:tr>
      <w:tr w14:paraId="5DBD6F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7C85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8F6FA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11.29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D7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326.1737[M+H]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7F7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326.1716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C5E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D3BF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66F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5-Guanidine-1-pentanolsyringate</w:t>
            </w:r>
          </w:p>
        </w:tc>
      </w:tr>
      <w:tr w14:paraId="72161D1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51812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6F2D2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11.32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03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195.0667[M+H]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F73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195.0657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CE41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EE0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6C9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7FBFF"/>
                <w:lang w:val="en-GB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Ferulicacid</w:t>
            </w:r>
          </w:p>
        </w:tc>
      </w:tr>
      <w:tr w14:paraId="33AF03A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B289C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EB3CF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11.95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EE2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449.1091[M+H]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158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451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07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E03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Kaempferol-7-O-β-D-glucopyranoside</w:t>
            </w:r>
          </w:p>
        </w:tc>
      </w:tr>
      <w:tr w14:paraId="4A2B3C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87175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C3EA5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12.31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DB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449.1091[M+H]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769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449.1084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7DD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CE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2F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Quercitrin</w:t>
            </w:r>
          </w:p>
        </w:tc>
      </w:tr>
      <w:tr w14:paraId="6DABD30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68510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6C3726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13.71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D7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775.2085[M+H]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16B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yellow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775.2086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0D1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53B7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8BA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LeonurusoideC</w:t>
            </w:r>
          </w:p>
        </w:tc>
      </w:tr>
      <w:tr w14:paraId="5878B3E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16A2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22B45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13.96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E60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775.2085[M+H]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7FB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775.2086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442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A0B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8E2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LeonurusoideA</w:t>
            </w:r>
          </w:p>
        </w:tc>
      </w:tr>
      <w:tr w14:paraId="6D956EB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18BDD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A1C98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14.55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66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791.1992[M+H]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F39B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yellow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791.2035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F83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en-GB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31D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DEA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LeonurusoideE</w:t>
            </w:r>
          </w:p>
        </w:tc>
      </w:tr>
      <w:tr w14:paraId="7B3EDD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69EDF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2DA9F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14.67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8B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791.1992[M+H]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417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791.2035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064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8A6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F7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2000-Syringylrutin</w:t>
            </w:r>
          </w:p>
        </w:tc>
      </w:tr>
      <w:tr w14:paraId="1BF0B9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FC7A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DAAE0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15.72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016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595.1434[M+H]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420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595.1452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200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7AA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C4D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Kaempferol-7-coumaroylglu-coside</w:t>
            </w:r>
          </w:p>
        </w:tc>
      </w:tr>
      <w:tr w14:paraId="6A0D26B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B5342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709A4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16.34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33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595.1434[M+H]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904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595.1452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09B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4DD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F99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Kaempferol-7-coumaroylglu-cosideorisomer</w:t>
            </w:r>
          </w:p>
        </w:tc>
      </w:tr>
      <w:tr w14:paraId="0A4D46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6197B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DD479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16.88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43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D9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DBC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CC8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2E69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Apigenin7-(3''-coumaroyl)-galactopy-ranoside</w:t>
            </w:r>
          </w:p>
        </w:tc>
      </w:tr>
      <w:tr w14:paraId="61E3A5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99F6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34AA42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17.07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FA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584.2769[M+H]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EA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584.2761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905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3B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E32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N-(3-Aminopropyl)-1,4-buta-nediamine-tricoumarinamide</w:t>
            </w:r>
          </w:p>
        </w:tc>
      </w:tr>
      <w:tr w14:paraId="1B3AFFD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33C3C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41F2A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17.19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9CC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38A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E35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7F4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105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Apigenin-7-(3''-coumaroyl)-glucoside</w:t>
            </w:r>
          </w:p>
        </w:tc>
      </w:tr>
      <w:tr w14:paraId="4409718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45461C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6A534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17.69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38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579.1505[M+H]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91F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579.1503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A283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4FD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A9E6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Apigenin-7-(2'''-coumaroyl)-galactopy-ranoside</w:t>
            </w:r>
          </w:p>
        </w:tc>
      </w:tr>
      <w:tr w14:paraId="35C8A92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C8884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80B53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18.21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8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585.3358[M+H]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EBD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585.3309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3F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D3C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52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5AF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Glycerylsulfoquinovoside</w:t>
            </w:r>
          </w:p>
        </w:tc>
      </w:tr>
      <w:tr w14:paraId="709D54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0D0F86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D0636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18.52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B5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301.0753[M+H]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9B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301.0712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F70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AD887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DF2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3-Methylkaempferol</w:t>
            </w:r>
          </w:p>
        </w:tc>
      </w:tr>
      <w:tr w14:paraId="68F01F6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F4EA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EE2B8B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19.02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AA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725.1866[M+H]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C85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725.1870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192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74251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0E2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7FB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Apigenin7-(3',6'-di-O-p-coumaroyl)-galactopyranoside</w:t>
            </w:r>
          </w:p>
        </w:tc>
      </w:tr>
      <w:tr w14:paraId="5B8B4E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9F369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A0908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19.14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7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271.064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8EF9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271.0606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7A1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EE40E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36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3396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Apigenin</w:t>
            </w:r>
          </w:p>
        </w:tc>
      </w:tr>
      <w:tr w14:paraId="7725DEF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1D8F4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74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63B0F">
            <w:pPr>
              <w:tabs>
                <w:tab w:val="left" w:pos="593"/>
              </w:tabs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19.</w:t>
            </w:r>
            <w:r>
              <w:rPr>
                <w:rFonts w:hint="eastAsia" w:eastAsia="宋体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6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9C2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725.1866[M+H]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361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725.1870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E04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7143A">
            <w:pPr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baseline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bscript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82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AnisofolinA</w:t>
            </w:r>
          </w:p>
        </w:tc>
      </w:tr>
    </w:tbl>
    <w:p w14:paraId="2E093D0C">
      <w:pPr>
        <w:rPr>
          <w:rFonts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MinionPro-Regular2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WU5NDlhMTE3OGUwMzdiYTNiOTE1ZWYxOTI4YzYifQ=="/>
  </w:docVars>
  <w:rsids>
    <w:rsidRoot w:val="10BB2ABA"/>
    <w:rsid w:val="00001E12"/>
    <w:rsid w:val="000939DA"/>
    <w:rsid w:val="000B57D1"/>
    <w:rsid w:val="0015503A"/>
    <w:rsid w:val="001742C3"/>
    <w:rsid w:val="001E195A"/>
    <w:rsid w:val="00460CE7"/>
    <w:rsid w:val="00483307"/>
    <w:rsid w:val="005519EA"/>
    <w:rsid w:val="005917C0"/>
    <w:rsid w:val="006B0BFA"/>
    <w:rsid w:val="007152D6"/>
    <w:rsid w:val="00881778"/>
    <w:rsid w:val="0088468D"/>
    <w:rsid w:val="008E1659"/>
    <w:rsid w:val="00A96B6E"/>
    <w:rsid w:val="00AB0D20"/>
    <w:rsid w:val="00C21058"/>
    <w:rsid w:val="00CE6660"/>
    <w:rsid w:val="00D17D30"/>
    <w:rsid w:val="00F46F8B"/>
    <w:rsid w:val="00FE7026"/>
    <w:rsid w:val="01267513"/>
    <w:rsid w:val="0350044F"/>
    <w:rsid w:val="05A565F9"/>
    <w:rsid w:val="06CE3F39"/>
    <w:rsid w:val="0A657C8D"/>
    <w:rsid w:val="0B631E65"/>
    <w:rsid w:val="0C4F6530"/>
    <w:rsid w:val="0F970ACF"/>
    <w:rsid w:val="0FFD4027"/>
    <w:rsid w:val="10386173"/>
    <w:rsid w:val="10BB2ABA"/>
    <w:rsid w:val="15E61A3F"/>
    <w:rsid w:val="1B2C7709"/>
    <w:rsid w:val="1BB05AD7"/>
    <w:rsid w:val="1DE05CA8"/>
    <w:rsid w:val="1F752B43"/>
    <w:rsid w:val="23745E25"/>
    <w:rsid w:val="26025181"/>
    <w:rsid w:val="293D088A"/>
    <w:rsid w:val="2D27052A"/>
    <w:rsid w:val="2E870919"/>
    <w:rsid w:val="3783034F"/>
    <w:rsid w:val="3A915C19"/>
    <w:rsid w:val="3B842468"/>
    <w:rsid w:val="3CA01523"/>
    <w:rsid w:val="3D624A2B"/>
    <w:rsid w:val="409D2D5A"/>
    <w:rsid w:val="40F24318"/>
    <w:rsid w:val="41435488"/>
    <w:rsid w:val="4476700E"/>
    <w:rsid w:val="4CEA7C4C"/>
    <w:rsid w:val="4D2E4EEC"/>
    <w:rsid w:val="4F3F7F32"/>
    <w:rsid w:val="4F73004B"/>
    <w:rsid w:val="58C86DA9"/>
    <w:rsid w:val="59193642"/>
    <w:rsid w:val="5D1A3F8A"/>
    <w:rsid w:val="5FE62E42"/>
    <w:rsid w:val="60866FE9"/>
    <w:rsid w:val="6156308C"/>
    <w:rsid w:val="63D86F45"/>
    <w:rsid w:val="66F90187"/>
    <w:rsid w:val="6C147355"/>
    <w:rsid w:val="6E5154A6"/>
    <w:rsid w:val="6F5C2991"/>
    <w:rsid w:val="6FEC2050"/>
    <w:rsid w:val="730E2B4C"/>
    <w:rsid w:val="73AB1F81"/>
    <w:rsid w:val="74383E7B"/>
    <w:rsid w:val="77FB2266"/>
    <w:rsid w:val="7DA939D5"/>
    <w:rsid w:val="7DE45A66"/>
    <w:rsid w:val="7F05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4"/>
      <w:szCs w:val="24"/>
      <w:lang w:val="en-GB" w:eastAsia="en-GB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/>
      <w:b/>
      <w:bCs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MDPI_3.1_text"/>
    <w:qFormat/>
    <w:uiPriority w:val="0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9">
    <w:name w:val="fontstyle01"/>
    <w:qFormat/>
    <w:uiPriority w:val="0"/>
    <w:rPr>
      <w:rFonts w:ascii="MinionPro-Regular2" w:hAnsi="MinionPro-Regular2" w:eastAsia="MinionPro-Regular2" w:cs="MinionPro-Regular2"/>
      <w:color w:val="1E1E1B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11">
    <w:name w:val="font9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2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4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6">
    <w:name w:val="font101"/>
    <w:basedOn w:val="6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  <w:vertAlign w:val="subscript"/>
    </w:rPr>
  </w:style>
  <w:style w:type="character" w:customStyle="1" w:styleId="17">
    <w:name w:val="font61"/>
    <w:basedOn w:val="6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122"/>
    <w:basedOn w:val="6"/>
    <w:qFormat/>
    <w:uiPriority w:val="0"/>
    <w:rPr>
      <w:rFonts w:hint="default" w:ascii="Times New Roman" w:hAnsi="Times New Roman" w:cs="Times New Roman"/>
      <w:color w:val="222222"/>
      <w:sz w:val="22"/>
      <w:szCs w:val="22"/>
      <w:u w:val="none"/>
      <w:vertAlign w:val="subscript"/>
    </w:rPr>
  </w:style>
  <w:style w:type="character" w:customStyle="1" w:styleId="21">
    <w:name w:val="font12"/>
    <w:basedOn w:val="6"/>
    <w:qFormat/>
    <w:uiPriority w:val="0"/>
    <w:rPr>
      <w:rFonts w:hint="default" w:ascii="Times New Roman" w:hAnsi="Times New Roman" w:cs="Times New Roman"/>
      <w:color w:val="222222"/>
      <w:sz w:val="22"/>
      <w:szCs w:val="22"/>
      <w:u w:val="none"/>
    </w:rPr>
  </w:style>
  <w:style w:type="character" w:customStyle="1" w:styleId="22">
    <w:name w:val="font11"/>
    <w:basedOn w:val="6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  <w:vertAlign w:val="subscript"/>
    </w:rPr>
  </w:style>
  <w:style w:type="character" w:customStyle="1" w:styleId="23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121"/>
    <w:basedOn w:val="6"/>
    <w:qFormat/>
    <w:uiPriority w:val="0"/>
    <w:rPr>
      <w:rFonts w:hint="default" w:ascii="Times New Roman" w:hAnsi="Times New Roman" w:cs="Times New Roman"/>
      <w:color w:val="231F20"/>
      <w:sz w:val="22"/>
      <w:szCs w:val="22"/>
      <w:u w:val="none"/>
      <w:vertAlign w:val="subscript"/>
    </w:rPr>
  </w:style>
  <w:style w:type="character" w:customStyle="1" w:styleId="25">
    <w:name w:val="font131"/>
    <w:basedOn w:val="6"/>
    <w:qFormat/>
    <w:uiPriority w:val="0"/>
    <w:rPr>
      <w:rFonts w:hint="eastAsia" w:ascii="宋体" w:hAnsi="宋体" w:eastAsia="宋体" w:cs="宋体"/>
      <w:color w:val="231F20"/>
      <w:sz w:val="14"/>
      <w:szCs w:val="14"/>
      <w:u w:val="none"/>
    </w:rPr>
  </w:style>
  <w:style w:type="character" w:customStyle="1" w:styleId="26">
    <w:name w:val="页眉 字符"/>
    <w:basedOn w:val="6"/>
    <w:link w:val="4"/>
    <w:qFormat/>
    <w:uiPriority w:val="0"/>
    <w:rPr>
      <w:rFonts w:eastAsiaTheme="minorHAnsi"/>
      <w:sz w:val="18"/>
      <w:szCs w:val="18"/>
      <w:lang w:val="en-GB" w:eastAsia="en-GB"/>
    </w:rPr>
  </w:style>
  <w:style w:type="character" w:customStyle="1" w:styleId="27">
    <w:name w:val="页脚 字符"/>
    <w:basedOn w:val="6"/>
    <w:link w:val="3"/>
    <w:qFormat/>
    <w:uiPriority w:val="0"/>
    <w:rPr>
      <w:rFonts w:eastAsiaTheme="minorHAnsi"/>
      <w:sz w:val="18"/>
      <w:szCs w:val="18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434</Words>
  <Characters>3142</Characters>
  <Lines>38</Lines>
  <Paragraphs>10</Paragraphs>
  <TotalTime>1</TotalTime>
  <ScaleCrop>false</ScaleCrop>
  <LinksUpToDate>false</LinksUpToDate>
  <CharactersWithSpaces>3332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2021-05-04T12:37:00Z</dcterms:created>
  <dc:creator>许文</dc:creator>
  <cp:lastModifiedBy>玖贰</cp:lastModifiedBy>
  <cp:lastPrinted>2021-05-04T13:15:00Z</cp:lastPrinted>
  <dcterms:modified xsi:type="dcterms:W3CDTF">2025-11-27T15:07:52Z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E0BCDECBD4DC4666B151FA9BB0FEEC07_13</vt:lpwstr>
  </property>
  <property fmtid="{D5CDD505-2E9C-101B-9397-08002B2CF9AE}" pid="4" name="KSOTemplateDocerSaveRecord">
    <vt:lpwstr>eyJoZGlkIjoiOGE3N2ViODEzMDU3NDMwNjVmNzlhMzAxZDRiZjA2MWIiLCJ1c2VySWQiOiI2NjY3OTQzMjAifQ==</vt:lpwstr>
  </property>
</Properties>
</file>