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02DB75" w14:textId="77777777" w:rsidR="00891C8E" w:rsidRPr="0086508D" w:rsidRDefault="00891C8E" w:rsidP="00891C8E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  <w:proofErr w:type="spellStart"/>
      <w:r w:rsidRPr="0086508D">
        <w:rPr>
          <w:rFonts w:ascii="Times New Roman" w:hAnsi="Times New Roman"/>
          <w:b/>
          <w:bCs/>
          <w:color w:val="auto"/>
          <w:sz w:val="24"/>
          <w:szCs w:val="24"/>
          <w:lang w:val="tr-TR" w:eastAsia="tr-TR"/>
        </w:rPr>
        <w:t>Table</w:t>
      </w:r>
      <w:proofErr w:type="spellEnd"/>
      <w:r w:rsidRPr="0086508D">
        <w:rPr>
          <w:rFonts w:ascii="Times New Roman" w:hAnsi="Times New Roman"/>
          <w:b/>
          <w:bCs/>
          <w:color w:val="auto"/>
          <w:sz w:val="24"/>
          <w:szCs w:val="24"/>
          <w:lang w:val="tr-TR" w:eastAsia="tr-TR"/>
        </w:rPr>
        <w:t xml:space="preserve"> 3.</w:t>
      </w:r>
      <w:r w:rsidRPr="0086508D">
        <w:rPr>
          <w:rFonts w:ascii="Times New Roman" w:hAnsi="Times New Roman"/>
          <w:snapToGrid w:val="0"/>
          <w:color w:val="auto"/>
          <w:sz w:val="24"/>
          <w:szCs w:val="24"/>
        </w:rPr>
        <w:t xml:space="preserve"> Comparison of phototherapy and exchange transfusion thresholds according to the Turkish Neonatology Society and AAP 2022 guidelines.</w:t>
      </w:r>
    </w:p>
    <w:p w14:paraId="0FA9E2CF" w14:textId="77777777" w:rsidR="00891C8E" w:rsidRDefault="00891C8E" w:rsidP="00891C8E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tbl>
      <w:tblPr>
        <w:tblStyle w:val="Balk4Char"/>
        <w:tblW w:w="1047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1"/>
        <w:gridCol w:w="426"/>
        <w:gridCol w:w="709"/>
        <w:gridCol w:w="567"/>
        <w:gridCol w:w="992"/>
        <w:gridCol w:w="841"/>
        <w:gridCol w:w="1287"/>
        <w:gridCol w:w="967"/>
      </w:tblGrid>
      <w:tr w:rsidR="00891C8E" w14:paraId="0E3D4FCA" w14:textId="77777777" w:rsidTr="002C706C">
        <w:trPr>
          <w:jc w:val="center"/>
        </w:trPr>
        <w:tc>
          <w:tcPr>
            <w:tcW w:w="4678" w:type="dxa"/>
            <w:tcBorders>
              <w:bottom w:val="single" w:sz="4" w:space="0" w:color="auto"/>
            </w:tcBorders>
            <w:hideMark/>
          </w:tcPr>
          <w:p w14:paraId="036EE7BC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napToGrid w:val="0"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Variable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hideMark/>
          </w:tcPr>
          <w:p w14:paraId="50BCC42E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n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14:paraId="74BEEAFB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Mean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hideMark/>
          </w:tcPr>
          <w:p w14:paraId="5B4989F4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SD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14:paraId="2F3E4FB3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25th Percentile</w:t>
            </w:r>
          </w:p>
        </w:tc>
        <w:tc>
          <w:tcPr>
            <w:tcW w:w="841" w:type="dxa"/>
            <w:tcBorders>
              <w:bottom w:val="single" w:sz="4" w:space="0" w:color="auto"/>
            </w:tcBorders>
            <w:hideMark/>
          </w:tcPr>
          <w:p w14:paraId="04845BC0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Median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hideMark/>
          </w:tcPr>
          <w:p w14:paraId="64C0806E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75th Percentile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hideMark/>
          </w:tcPr>
          <w:p w14:paraId="480BF831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/>
                <w:bCs/>
                <w:i/>
                <w:iCs/>
                <w:snapToGrid w:val="0"/>
                <w:color w:val="auto"/>
                <w:sz w:val="24"/>
                <w:szCs w:val="24"/>
              </w:rPr>
              <w:t>p</w:t>
            </w:r>
            <w:r w:rsidRPr="0086508D">
              <w:rPr>
                <w:rFonts w:ascii="Times New Roman" w:hAnsi="Times New Roman"/>
                <w:b/>
                <w:bCs/>
                <w:snapToGrid w:val="0"/>
                <w:color w:val="auto"/>
                <w:sz w:val="24"/>
                <w:szCs w:val="24"/>
              </w:rPr>
              <w:t>-Value *</w:t>
            </w:r>
          </w:p>
        </w:tc>
      </w:tr>
      <w:tr w:rsidR="00891C8E" w14:paraId="636BBA33" w14:textId="77777777" w:rsidTr="002C706C">
        <w:trPr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A9FA5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TNS phototherapy threshold (mg/dL) 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3B5DAD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57C6D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15.83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0365D8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67003C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15.00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80E5DF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15.70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F8163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18.00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3A9F3" w14:textId="77777777" w:rsidR="00891C8E" w:rsidRPr="0086508D" w:rsidRDefault="00891C8E" w:rsidP="002C706C">
            <w:pPr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&lt;0.001</w:t>
            </w:r>
          </w:p>
        </w:tc>
      </w:tr>
      <w:tr w:rsidR="00891C8E" w14:paraId="5EA5D4CB" w14:textId="77777777" w:rsidTr="002C706C">
        <w:trPr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D31816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AAP 2022 phototherapy threshold (mg/dL) 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FCA80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18676B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19.61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444253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12473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19.00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00F64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20.00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B5155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C1A32" w14:textId="77777777" w:rsidR="00891C8E" w:rsidRPr="0086508D" w:rsidRDefault="00891C8E" w:rsidP="002C706C">
            <w:pPr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  <w:tr w:rsidR="00891C8E" w14:paraId="00CD796D" w14:textId="77777777" w:rsidTr="002C706C">
        <w:trPr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1477D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  <w:lang w:eastAsia="de-DE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TNS exchange transfusion threshold (mg/dL) 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054C9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417CB6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20.43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A15DB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52DD5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19.00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BEB7D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21.00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61392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22.50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996DD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&lt;0.001</w:t>
            </w:r>
          </w:p>
        </w:tc>
      </w:tr>
      <w:tr w:rsidR="00891C8E" w14:paraId="186E4F0E" w14:textId="77777777" w:rsidTr="002C706C">
        <w:trPr>
          <w:jc w:val="center"/>
        </w:trPr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5B7F59B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AAP 2022 exchange transfusion threshold (mg/dL) 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D561F30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344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BF75E9C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25.76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BF56F45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1.57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1BA99C9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25.50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EAA8744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26.00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F140DF9" w14:textId="77777777" w:rsidR="00891C8E" w:rsidRPr="0086508D" w:rsidRDefault="00891C8E" w:rsidP="002C706C">
            <w:pPr>
              <w:spacing w:line="240" w:lineRule="auto"/>
              <w:jc w:val="center"/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  <w:r w:rsidRPr="0086508D">
              <w:rPr>
                <w:rFonts w:ascii="Times New Roman" w:hAnsi="Times New Roman"/>
                <w:bCs/>
                <w:color w:val="auto"/>
                <w:sz w:val="24"/>
                <w:szCs w:val="24"/>
              </w:rPr>
              <w:t>27.00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F68F43B" w14:textId="77777777" w:rsidR="00891C8E" w:rsidRPr="0086508D" w:rsidRDefault="00891C8E" w:rsidP="002C706C">
            <w:pPr>
              <w:rPr>
                <w:rFonts w:ascii="Times New Roman" w:hAnsi="Times New Roman"/>
                <w:bCs/>
                <w:color w:val="auto"/>
                <w:sz w:val="24"/>
                <w:szCs w:val="24"/>
              </w:rPr>
            </w:pPr>
          </w:p>
        </w:tc>
      </w:tr>
    </w:tbl>
    <w:p w14:paraId="5ADB9AD6" w14:textId="77777777" w:rsidR="00891C8E" w:rsidRDefault="00891C8E" w:rsidP="00891C8E">
      <w:pPr>
        <w:spacing w:line="240" w:lineRule="auto"/>
        <w:jc w:val="left"/>
        <w:rPr>
          <w:rFonts w:ascii="Times New Roman" w:hAnsi="Times New Roman"/>
          <w:color w:val="auto"/>
          <w:sz w:val="24"/>
          <w:szCs w:val="24"/>
          <w:lang w:val="tr-TR" w:eastAsia="tr-TR"/>
        </w:rPr>
      </w:pPr>
    </w:p>
    <w:p w14:paraId="35CFD9E9" w14:textId="77777777" w:rsidR="00891C8E" w:rsidRDefault="00891C8E" w:rsidP="00891C8E">
      <w:pPr>
        <w:spacing w:line="240" w:lineRule="auto"/>
        <w:jc w:val="left"/>
        <w:rPr>
          <w:bCs/>
          <w:color w:val="auto"/>
          <w:sz w:val="18"/>
          <w:szCs w:val="18"/>
        </w:rPr>
      </w:pPr>
      <w:r>
        <w:rPr>
          <w:bCs/>
          <w:color w:val="auto"/>
          <w:sz w:val="18"/>
          <w:szCs w:val="18"/>
        </w:rPr>
        <w:t>*Paired comparisons between guideline thresholds were performed using the Wilcoxon signed-rank test.</w:t>
      </w:r>
    </w:p>
    <w:p w14:paraId="3025517E" w14:textId="77777777" w:rsidR="009B13FC" w:rsidRDefault="009B13FC"/>
    <w:sectPr w:rsidR="009B13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C8E"/>
    <w:rsid w:val="000C7BB8"/>
    <w:rsid w:val="00891C8E"/>
    <w:rsid w:val="009B13FC"/>
    <w:rsid w:val="00AC54DB"/>
    <w:rsid w:val="00C0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3C434"/>
  <w15:chartTrackingRefBased/>
  <w15:docId w15:val="{B81BC1D5-9ADC-4D9F-85B4-BDF2E3108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C8E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</w:rPr>
  </w:style>
  <w:style w:type="paragraph" w:styleId="Balk1">
    <w:name w:val="heading 1"/>
    <w:basedOn w:val="Normal"/>
    <w:next w:val="Normal"/>
    <w:link w:val="Balk1Char"/>
    <w:uiPriority w:val="9"/>
    <w:qFormat/>
    <w:rsid w:val="00891C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91C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91C8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91C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91C8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91C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91C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91C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91C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91C8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91C8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91C8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91C8E"/>
    <w:rPr>
      <w:rFonts w:eastAsiaTheme="majorEastAsia" w:cstheme="majorBidi"/>
      <w:i/>
      <w:iCs/>
      <w:color w:val="365F9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91C8E"/>
    <w:rPr>
      <w:rFonts w:eastAsiaTheme="majorEastAsia" w:cstheme="majorBidi"/>
      <w:color w:val="365F9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91C8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91C8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91C8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91C8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91C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91C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91C8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91C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91C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91C8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91C8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91C8E"/>
    <w:rPr>
      <w:i/>
      <w:iCs/>
      <w:color w:val="365F9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91C8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91C8E"/>
    <w:rPr>
      <w:i/>
      <w:iCs/>
      <w:color w:val="365F9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91C8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Senem ALKAN OZDEMIR</dc:creator>
  <cp:keywords/>
  <dc:description/>
  <cp:lastModifiedBy>Senem ALKAN OZDEMIR</cp:lastModifiedBy>
  <cp:revision>1</cp:revision>
  <dcterms:created xsi:type="dcterms:W3CDTF">2026-01-30T10:16:00Z</dcterms:created>
  <dcterms:modified xsi:type="dcterms:W3CDTF">2026-01-30T10:16:00Z</dcterms:modified>
</cp:coreProperties>
</file>