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A7C3" w14:textId="77777777" w:rsidR="006640C7" w:rsidRDefault="006640C7" w:rsidP="006640C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95323739"/>
      <w:bookmarkStart w:id="1" w:name="_Hlk104120800"/>
      <w:bookmarkStart w:id="2" w:name="_Hlk219994936"/>
      <w:bookmarkStart w:id="3" w:name="_Hlk218945839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Design, </w:t>
      </w:r>
      <w:r w:rsidRPr="00530CD0">
        <w:rPr>
          <w:rFonts w:ascii="Times New Roman" w:hAnsi="Times New Roman" w:cs="Times New Roman"/>
          <w:b/>
          <w:bCs/>
          <w:sz w:val="30"/>
          <w:szCs w:val="30"/>
        </w:rPr>
        <w:t xml:space="preserve">Synthesis and </w:t>
      </w:r>
      <w:r w:rsidRPr="00530CD0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Antitumor Activity Evaluation </w:t>
      </w:r>
      <w:r w:rsidRPr="002F4D9C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in Vitro</w:t>
      </w:r>
      <w:r w:rsidRPr="00530CD0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of</w:t>
      </w:r>
      <w:bookmarkStart w:id="4" w:name="OLE_LINK19"/>
      <w:bookmarkEnd w:id="0"/>
    </w:p>
    <w:p w14:paraId="1FDABF54" w14:textId="77777777" w:rsidR="006640C7" w:rsidRPr="00AF784D" w:rsidRDefault="006640C7" w:rsidP="006640C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N</w:t>
      </w:r>
      <w:r w:rsidRPr="004E3DCA">
        <w:rPr>
          <w:rFonts w:ascii="Times New Roman" w:hAnsi="Times New Roman" w:cs="Times New Roman"/>
          <w:b/>
          <w:bCs/>
          <w:sz w:val="30"/>
          <w:szCs w:val="30"/>
        </w:rPr>
        <w:t xml:space="preserve">ovel </w:t>
      </w:r>
      <w:r w:rsidRPr="00F774DF">
        <w:rPr>
          <w:rFonts w:ascii="Times New Roman" w:hAnsi="Times New Roman" w:cs="Times New Roman" w:hint="eastAsia"/>
          <w:b/>
          <w:bCs/>
          <w:sz w:val="30"/>
          <w:szCs w:val="30"/>
        </w:rPr>
        <w:t>1,6-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N</w:t>
      </w:r>
      <w:r w:rsidRPr="00F774DF">
        <w:rPr>
          <w:rFonts w:ascii="Times New Roman" w:hAnsi="Times New Roman" w:cs="Times New Roman" w:hint="eastAsia"/>
          <w:b/>
          <w:bCs/>
          <w:sz w:val="30"/>
          <w:szCs w:val="30"/>
        </w:rPr>
        <w:t>aphthyridine</w:t>
      </w:r>
      <w:r w:rsidRPr="004E3DC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D</w:t>
      </w:r>
      <w:r w:rsidRPr="004E3DCA">
        <w:rPr>
          <w:rFonts w:ascii="Times New Roman" w:hAnsi="Times New Roman" w:cs="Times New Roman"/>
          <w:b/>
          <w:bCs/>
          <w:sz w:val="30"/>
          <w:szCs w:val="30"/>
        </w:rPr>
        <w:t>erivatives</w:t>
      </w:r>
    </w:p>
    <w:p w14:paraId="25EACB0A" w14:textId="596F9F74" w:rsidR="006640C7" w:rsidRPr="00F774DF" w:rsidRDefault="006640C7" w:rsidP="006640C7">
      <w:pPr>
        <w:pStyle w:val="af2"/>
        <w:spacing w:before="318"/>
        <w:contextualSpacing/>
        <w:jc w:val="both"/>
        <w:rPr>
          <w:rFonts w:eastAsiaTheme="minorEastAsia"/>
          <w:sz w:val="24"/>
          <w:szCs w:val="24"/>
          <w:vertAlign w:val="superscript"/>
          <w:lang w:eastAsia="zh-CN"/>
        </w:rPr>
      </w:pPr>
      <w:bookmarkStart w:id="5" w:name="_Hlk104120818"/>
      <w:bookmarkEnd w:id="1"/>
      <w:bookmarkEnd w:id="4"/>
      <w:r w:rsidRPr="009626B7">
        <w:rPr>
          <w:sz w:val="24"/>
          <w:szCs w:val="24"/>
        </w:rPr>
        <w:t>Xiao</w:t>
      </w:r>
      <w:r>
        <w:rPr>
          <w:rFonts w:eastAsiaTheme="minorEastAsia" w:hint="eastAsia"/>
          <w:sz w:val="24"/>
          <w:szCs w:val="24"/>
          <w:lang w:eastAsia="zh-CN"/>
        </w:rPr>
        <w:t>-J</w:t>
      </w:r>
      <w:r w:rsidRPr="009626B7">
        <w:rPr>
          <w:sz w:val="24"/>
          <w:szCs w:val="24"/>
        </w:rPr>
        <w:t>ie Si</w:t>
      </w:r>
      <w:r w:rsidRPr="00F774DF">
        <w:rPr>
          <w:rFonts w:hint="eastAsia"/>
          <w:color w:val="000000" w:themeColor="text1"/>
          <w:vertAlign w:val="superscript"/>
          <w:lang w:eastAsia="zh-CN"/>
        </w:rPr>
        <w:t xml:space="preserve"> </w:t>
      </w:r>
      <w:r>
        <w:rPr>
          <w:rFonts w:eastAsiaTheme="minorEastAsia" w:hint="eastAsia"/>
          <w:color w:val="000000" w:themeColor="text1"/>
          <w:vertAlign w:val="superscript"/>
          <w:lang w:eastAsia="zh-CN"/>
        </w:rPr>
        <w:t>1</w:t>
      </w:r>
      <w:r w:rsidRPr="009626B7">
        <w:rPr>
          <w:sz w:val="24"/>
          <w:szCs w:val="24"/>
        </w:rPr>
        <w:t>,</w:t>
      </w:r>
      <w:r w:rsidRPr="002C7491">
        <w:rPr>
          <w:rFonts w:hint="eastAsia"/>
        </w:rPr>
        <w:t xml:space="preserve"> </w:t>
      </w:r>
      <w:r w:rsidRPr="002C7491">
        <w:rPr>
          <w:rFonts w:hint="eastAsia"/>
          <w:sz w:val="24"/>
          <w:szCs w:val="24"/>
        </w:rPr>
        <w:t>Xin</w:t>
      </w:r>
      <w:r>
        <w:rPr>
          <w:rFonts w:eastAsiaTheme="minorEastAsia" w:hint="eastAsia"/>
          <w:sz w:val="24"/>
          <w:szCs w:val="24"/>
          <w:lang w:eastAsia="zh-CN"/>
        </w:rPr>
        <w:t>-Y</w:t>
      </w:r>
      <w:r w:rsidRPr="002C7491">
        <w:rPr>
          <w:rFonts w:hint="eastAsia"/>
          <w:sz w:val="24"/>
          <w:szCs w:val="24"/>
        </w:rPr>
        <w:t>i Ma</w:t>
      </w:r>
      <w:r>
        <w:rPr>
          <w:rFonts w:eastAsiaTheme="minorEastAsia" w:hint="eastAsia"/>
          <w:sz w:val="24"/>
          <w:szCs w:val="24"/>
          <w:lang w:eastAsia="zh-CN"/>
        </w:rPr>
        <w:t xml:space="preserve"> </w:t>
      </w:r>
      <w:r>
        <w:rPr>
          <w:rFonts w:eastAsiaTheme="minorEastAsia" w:hint="eastAsia"/>
          <w:color w:val="000000" w:themeColor="text1"/>
          <w:vertAlign w:val="superscript"/>
          <w:lang w:eastAsia="zh-CN"/>
        </w:rPr>
        <w:t>2</w:t>
      </w:r>
      <w:r w:rsidRPr="002C7491">
        <w:rPr>
          <w:rFonts w:hint="eastAsia"/>
          <w:sz w:val="24"/>
          <w:szCs w:val="24"/>
        </w:rPr>
        <w:t>, Su</w:t>
      </w:r>
      <w:r>
        <w:rPr>
          <w:rFonts w:eastAsiaTheme="minorEastAsia" w:hint="eastAsia"/>
          <w:sz w:val="24"/>
          <w:szCs w:val="24"/>
          <w:lang w:eastAsia="zh-CN"/>
        </w:rPr>
        <w:t>-L</w:t>
      </w:r>
      <w:r w:rsidRPr="002C7491">
        <w:rPr>
          <w:rFonts w:hint="eastAsia"/>
          <w:sz w:val="24"/>
          <w:szCs w:val="24"/>
        </w:rPr>
        <w:t>in Zhang</w:t>
      </w:r>
      <w:r>
        <w:rPr>
          <w:rFonts w:eastAsiaTheme="minorEastAsia" w:hint="eastAsia"/>
          <w:sz w:val="24"/>
          <w:szCs w:val="24"/>
          <w:lang w:eastAsia="zh-CN"/>
        </w:rPr>
        <w:t xml:space="preserve"> </w:t>
      </w:r>
      <w:r>
        <w:rPr>
          <w:rFonts w:eastAsiaTheme="minorEastAsia" w:hint="eastAsia"/>
          <w:color w:val="000000" w:themeColor="text1"/>
          <w:vertAlign w:val="superscript"/>
          <w:lang w:eastAsia="zh-CN"/>
        </w:rPr>
        <w:t>2</w:t>
      </w:r>
      <w:r w:rsidRPr="002C7491">
        <w:rPr>
          <w:rFonts w:hint="eastAsia"/>
          <w:sz w:val="24"/>
          <w:szCs w:val="24"/>
        </w:rPr>
        <w:t>, Ming</w:t>
      </w:r>
      <w:r>
        <w:rPr>
          <w:rFonts w:eastAsiaTheme="minorEastAsia" w:hint="eastAsia"/>
          <w:sz w:val="24"/>
          <w:szCs w:val="24"/>
          <w:lang w:eastAsia="zh-CN"/>
        </w:rPr>
        <w:t>-Y</w:t>
      </w:r>
      <w:r w:rsidRPr="002C7491">
        <w:rPr>
          <w:rFonts w:hint="eastAsia"/>
          <w:sz w:val="24"/>
          <w:szCs w:val="24"/>
        </w:rPr>
        <w:t>ue Zheng</w:t>
      </w:r>
      <w:r>
        <w:rPr>
          <w:rFonts w:eastAsiaTheme="minorEastAsia" w:hint="eastAsia"/>
          <w:sz w:val="24"/>
          <w:szCs w:val="24"/>
          <w:lang w:eastAsia="zh-CN"/>
        </w:rPr>
        <w:t xml:space="preserve"> </w:t>
      </w:r>
      <w:r>
        <w:rPr>
          <w:rFonts w:eastAsiaTheme="minorEastAsia" w:hint="eastAsia"/>
          <w:color w:val="000000" w:themeColor="text1"/>
          <w:vertAlign w:val="superscript"/>
          <w:lang w:eastAsia="zh-CN"/>
        </w:rPr>
        <w:t>2</w:t>
      </w:r>
      <w:r>
        <w:rPr>
          <w:rFonts w:eastAsiaTheme="minorEastAsia" w:hint="eastAsia"/>
          <w:sz w:val="24"/>
          <w:szCs w:val="24"/>
          <w:lang w:eastAsia="zh-CN"/>
        </w:rPr>
        <w:t xml:space="preserve">, </w:t>
      </w:r>
      <w:proofErr w:type="spellStart"/>
      <w:r w:rsidRPr="002C7491">
        <w:rPr>
          <w:rFonts w:hint="eastAsia"/>
          <w:sz w:val="24"/>
          <w:szCs w:val="24"/>
        </w:rPr>
        <w:t>Motahareh</w:t>
      </w:r>
      <w:proofErr w:type="spellEnd"/>
      <w:r w:rsidRPr="002C7491">
        <w:rPr>
          <w:rFonts w:hint="eastAsia"/>
          <w:sz w:val="24"/>
          <w:szCs w:val="24"/>
        </w:rPr>
        <w:t xml:space="preserve"> Asgari</w:t>
      </w:r>
      <w:r>
        <w:rPr>
          <w:rFonts w:eastAsiaTheme="minorEastAsia" w:hint="eastAsia"/>
          <w:sz w:val="24"/>
          <w:szCs w:val="24"/>
          <w:lang w:eastAsia="zh-CN"/>
        </w:rPr>
        <w:t xml:space="preserve"> </w:t>
      </w:r>
      <w:r>
        <w:rPr>
          <w:rFonts w:eastAsiaTheme="minorEastAsia" w:hint="eastAsia"/>
          <w:color w:val="000000" w:themeColor="text1"/>
          <w:vertAlign w:val="superscript"/>
          <w:lang w:eastAsia="zh-CN"/>
        </w:rPr>
        <w:t>1</w:t>
      </w:r>
      <w:r w:rsidRPr="008941D8">
        <w:rPr>
          <w:rFonts w:hint="eastAsia"/>
          <w:color w:val="000000" w:themeColor="text1"/>
          <w:vertAlign w:val="superscript"/>
        </w:rPr>
        <w:t>*</w:t>
      </w:r>
      <w:r>
        <w:rPr>
          <w:rFonts w:eastAsiaTheme="minorEastAsia" w:hint="eastAsia"/>
          <w:color w:val="000000" w:themeColor="text1"/>
          <w:lang w:eastAsia="zh-CN"/>
        </w:rPr>
        <w:t>,</w:t>
      </w:r>
      <w:r w:rsidRPr="00530CD0">
        <w:rPr>
          <w:sz w:val="24"/>
          <w:szCs w:val="24"/>
        </w:rPr>
        <w:t xml:space="preserve"> </w:t>
      </w:r>
      <w:r>
        <w:rPr>
          <w:rFonts w:eastAsiaTheme="minorEastAsia" w:hint="eastAsia"/>
          <w:sz w:val="24"/>
          <w:szCs w:val="24"/>
          <w:lang w:eastAsia="zh-CN"/>
        </w:rPr>
        <w:t>Chen-Guo Feng</w:t>
      </w:r>
      <w:r w:rsidRPr="00F774DF">
        <w:rPr>
          <w:rFonts w:hint="eastAsia"/>
          <w:color w:val="000000" w:themeColor="text1"/>
          <w:vertAlign w:val="superscript"/>
          <w:lang w:eastAsia="zh-CN"/>
        </w:rPr>
        <w:t xml:space="preserve"> </w:t>
      </w:r>
      <w:r>
        <w:rPr>
          <w:rFonts w:eastAsiaTheme="minorEastAsia" w:hint="eastAsia"/>
          <w:color w:val="000000" w:themeColor="text1"/>
          <w:vertAlign w:val="superscript"/>
          <w:lang w:eastAsia="zh-CN"/>
        </w:rPr>
        <w:t>1</w:t>
      </w:r>
      <w:r w:rsidRPr="008941D8">
        <w:rPr>
          <w:rFonts w:hint="eastAsia"/>
          <w:color w:val="000000" w:themeColor="text1"/>
          <w:vertAlign w:val="superscript"/>
        </w:rPr>
        <w:t>*</w:t>
      </w:r>
      <w:r w:rsidRPr="00530CD0">
        <w:rPr>
          <w:sz w:val="24"/>
          <w:szCs w:val="24"/>
        </w:rPr>
        <w:t xml:space="preserve"> </w:t>
      </w:r>
    </w:p>
    <w:bookmarkEnd w:id="5"/>
    <w:p w14:paraId="3B7C0A16" w14:textId="77777777" w:rsidR="006640C7" w:rsidRPr="003837E8" w:rsidRDefault="006640C7" w:rsidP="006640C7">
      <w:pPr>
        <w:pStyle w:val="af2"/>
        <w:spacing w:before="318"/>
        <w:ind w:left="562"/>
        <w:contextualSpacing/>
        <w:jc w:val="both"/>
        <w:rPr>
          <w:sz w:val="24"/>
          <w:szCs w:val="24"/>
          <w:vertAlign w:val="superscript"/>
        </w:rPr>
      </w:pPr>
    </w:p>
    <w:p w14:paraId="209BC476" w14:textId="77777777" w:rsidR="006640C7" w:rsidRPr="003837E8" w:rsidRDefault="006640C7" w:rsidP="006640C7">
      <w:pPr>
        <w:pStyle w:val="af2"/>
        <w:spacing w:before="318"/>
        <w:ind w:left="562"/>
        <w:contextualSpacing/>
        <w:jc w:val="both"/>
        <w:rPr>
          <w:sz w:val="24"/>
          <w:szCs w:val="24"/>
          <w:vertAlign w:val="superscript"/>
        </w:rPr>
      </w:pPr>
    </w:p>
    <w:p w14:paraId="497B71A3" w14:textId="77777777" w:rsidR="006640C7" w:rsidRPr="0080303F" w:rsidRDefault="006640C7" w:rsidP="006640C7">
      <w:pPr>
        <w:pStyle w:val="a9"/>
        <w:numPr>
          <w:ilvl w:val="0"/>
          <w:numId w:val="1"/>
        </w:numPr>
        <w:ind w:left="562"/>
        <w:contextualSpacing w:val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 w:hint="eastAsia"/>
          <w:sz w:val="22"/>
        </w:rPr>
        <w:t>Motahareh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Asgari</w:t>
      </w:r>
    </w:p>
    <w:p w14:paraId="1FC34AFD" w14:textId="77777777" w:rsidR="006640C7" w:rsidRPr="002C7491" w:rsidRDefault="006640C7" w:rsidP="006640C7">
      <w:pPr>
        <w:ind w:firstLineChars="200" w:firstLine="440"/>
        <w:rPr>
          <w:rFonts w:ascii="Times New Roman" w:hAnsi="Times New Roman" w:cs="Times New Roman"/>
          <w:sz w:val="22"/>
        </w:rPr>
      </w:pPr>
      <w:bookmarkStart w:id="6" w:name="_Hlk97297621"/>
      <w:r w:rsidRPr="002C7491">
        <w:rPr>
          <w:rFonts w:ascii="Times New Roman" w:hAnsi="Times New Roman" w:cs="Times New Roman" w:hint="eastAsia"/>
          <w:sz w:val="22"/>
        </w:rPr>
        <w:t>motahareh_asgari@shutcm.edu.cn</w:t>
      </w:r>
    </w:p>
    <w:p w14:paraId="22209E69" w14:textId="77777777" w:rsidR="006640C7" w:rsidRPr="0080303F" w:rsidRDefault="006640C7" w:rsidP="006640C7">
      <w:pPr>
        <w:pStyle w:val="a9"/>
        <w:numPr>
          <w:ilvl w:val="0"/>
          <w:numId w:val="1"/>
        </w:numPr>
        <w:ind w:left="562"/>
        <w:contextualSpacing w:val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 w:hint="eastAsia"/>
          <w:sz w:val="22"/>
        </w:rPr>
        <w:t>Chenguo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Feng</w:t>
      </w:r>
    </w:p>
    <w:bookmarkEnd w:id="6"/>
    <w:p w14:paraId="5869D518" w14:textId="77777777" w:rsidR="006640C7" w:rsidRPr="003837E8" w:rsidRDefault="006640C7" w:rsidP="006640C7">
      <w:pPr>
        <w:widowControl/>
        <w:spacing w:line="360" w:lineRule="auto"/>
        <w:ind w:firstLineChars="200" w:firstLine="440"/>
        <w:jc w:val="left"/>
        <w:rPr>
          <w:rFonts w:ascii="Times New Roman" w:hAnsi="Times New Roman" w:cs="Times New Roman"/>
          <w:sz w:val="22"/>
        </w:rPr>
      </w:pPr>
      <w:r w:rsidRPr="003837E8">
        <w:rPr>
          <w:rFonts w:ascii="Times New Roman" w:hAnsi="Times New Roman" w:cs="Times New Roman"/>
          <w:sz w:val="22"/>
        </w:rPr>
        <w:fldChar w:fldCharType="begin"/>
      </w:r>
      <w:r w:rsidRPr="003837E8">
        <w:rPr>
          <w:rFonts w:ascii="Times New Roman" w:hAnsi="Times New Roman" w:cs="Times New Roman"/>
          <w:sz w:val="22"/>
        </w:rPr>
        <w:instrText>HYPERLINK "mailto:fengcg@shutcm.edu.cn"</w:instrText>
      </w:r>
      <w:r w:rsidRPr="003837E8">
        <w:rPr>
          <w:rFonts w:ascii="Times New Roman" w:hAnsi="Times New Roman" w:cs="Times New Roman"/>
          <w:sz w:val="22"/>
        </w:rPr>
      </w:r>
      <w:r w:rsidRPr="003837E8">
        <w:rPr>
          <w:rFonts w:ascii="Times New Roman" w:hAnsi="Times New Roman" w:cs="Times New Roman"/>
          <w:sz w:val="22"/>
        </w:rPr>
        <w:fldChar w:fldCharType="separate"/>
      </w:r>
      <w:r w:rsidRPr="003837E8">
        <w:rPr>
          <w:rFonts w:ascii="Times New Roman" w:hAnsi="Times New Roman" w:cs="Times New Roman"/>
        </w:rPr>
        <w:t>fengcg@shutcm.edu.cn</w:t>
      </w:r>
      <w:r w:rsidRPr="003837E8">
        <w:rPr>
          <w:rFonts w:ascii="Times New Roman" w:hAnsi="Times New Roman" w:cs="Times New Roman"/>
          <w:sz w:val="22"/>
        </w:rPr>
        <w:fldChar w:fldCharType="end"/>
      </w:r>
    </w:p>
    <w:p w14:paraId="6F20E756" w14:textId="77777777" w:rsidR="006640C7" w:rsidRDefault="006640C7" w:rsidP="006640C7">
      <w:pPr>
        <w:widowControl/>
        <w:spacing w:line="360" w:lineRule="auto"/>
        <w:ind w:firstLineChars="200" w:firstLine="440"/>
        <w:jc w:val="left"/>
        <w:rPr>
          <w:rFonts w:ascii="Times New Roman" w:hAnsi="Times New Roman" w:cs="Times New Roman"/>
          <w:sz w:val="22"/>
        </w:rPr>
      </w:pPr>
    </w:p>
    <w:p w14:paraId="5C57C47A" w14:textId="77777777" w:rsidR="006640C7" w:rsidRPr="002C7491" w:rsidRDefault="006640C7" w:rsidP="006640C7">
      <w:pPr>
        <w:widowControl/>
        <w:spacing w:line="360" w:lineRule="auto"/>
        <w:ind w:firstLineChars="200" w:firstLine="440"/>
        <w:jc w:val="left"/>
        <w:rPr>
          <w:rFonts w:ascii="Times New Roman" w:hAnsi="Times New Roman" w:cs="Times New Roman"/>
          <w:sz w:val="22"/>
        </w:rPr>
      </w:pPr>
    </w:p>
    <w:p w14:paraId="2E196E70" w14:textId="77777777" w:rsidR="006640C7" w:rsidRDefault="006640C7" w:rsidP="006640C7">
      <w:pPr>
        <w:widowControl/>
        <w:spacing w:line="360" w:lineRule="auto"/>
        <w:rPr>
          <w:rFonts w:ascii="Times New Roman" w:eastAsia="宋体" w:hAnsi="Times New Roman" w:cs="Times New Roman"/>
          <w:iCs/>
          <w:color w:val="000000"/>
          <w:kern w:val="0"/>
          <w:sz w:val="22"/>
        </w:rPr>
      </w:pPr>
      <w:bookmarkStart w:id="7" w:name="_Hlk97297644"/>
      <w:r w:rsidRPr="0080303F">
        <w:rPr>
          <w:rFonts w:ascii="Times New Roman" w:eastAsia="宋体" w:hAnsi="Times New Roman" w:cs="Times New Roman"/>
          <w:iCs/>
          <w:color w:val="000000"/>
          <w:kern w:val="0"/>
          <w:sz w:val="22"/>
          <w:vertAlign w:val="superscript"/>
        </w:rPr>
        <w:t>1</w:t>
      </w:r>
      <w:r w:rsidRPr="00F774DF">
        <w:rPr>
          <w:rFonts w:ascii="Times New Roman" w:eastAsia="宋体" w:hAnsi="Times New Roman" w:cs="Times New Roman"/>
          <w:iCs/>
          <w:color w:val="000000"/>
          <w:kern w:val="0"/>
          <w:sz w:val="22"/>
        </w:rPr>
        <w:t xml:space="preserve"> </w:t>
      </w:r>
      <w:r w:rsidRPr="00F774DF">
        <w:rPr>
          <w:rFonts w:ascii="Times New Roman" w:eastAsia="宋体" w:hAnsi="Times New Roman" w:cs="Times New Roman" w:hint="eastAsia"/>
          <w:iCs/>
          <w:color w:val="000000"/>
          <w:kern w:val="0"/>
          <w:sz w:val="22"/>
        </w:rPr>
        <w:t>The Research Center of Chiral Drugs, Shanghai Frontiers Science Center for TCM Chemical Biology, Innovation Research Institute of Traditional Chinese Medicine, Shanghai University of Traditional Chinese Medicine, Shanghai, 201203, China</w:t>
      </w:r>
      <w:r w:rsidRPr="00F774DF">
        <w:rPr>
          <w:rFonts w:ascii="Times New Roman" w:eastAsia="宋体" w:hAnsi="Times New Roman" w:cs="Times New Roman"/>
          <w:iCs/>
          <w:color w:val="000000"/>
          <w:kern w:val="0"/>
          <w:sz w:val="22"/>
        </w:rPr>
        <w:t>.</w:t>
      </w:r>
    </w:p>
    <w:p w14:paraId="20AE8AAB" w14:textId="77777777" w:rsidR="006640C7" w:rsidRPr="003837E8" w:rsidRDefault="006640C7" w:rsidP="006640C7">
      <w:pPr>
        <w:widowControl/>
        <w:spacing w:line="360" w:lineRule="auto"/>
        <w:rPr>
          <w:rFonts w:ascii="Times New Roman" w:eastAsia="宋体" w:hAnsi="Times New Roman" w:cs="Times New Roman"/>
          <w:i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iCs/>
          <w:color w:val="000000"/>
          <w:kern w:val="0"/>
          <w:sz w:val="22"/>
          <w:vertAlign w:val="superscript"/>
        </w:rPr>
        <w:t>2</w:t>
      </w:r>
      <w:r w:rsidRPr="00F774DF">
        <w:rPr>
          <w:rFonts w:ascii="Times New Roman" w:eastAsia="宋体" w:hAnsi="Times New Roman" w:cs="Times New Roman"/>
          <w:iCs/>
          <w:color w:val="000000"/>
          <w:kern w:val="0"/>
          <w:sz w:val="22"/>
        </w:rPr>
        <w:t xml:space="preserve"> </w:t>
      </w:r>
      <w:r w:rsidRPr="003837E8">
        <w:rPr>
          <w:rFonts w:ascii="Times New Roman" w:eastAsia="宋体" w:hAnsi="Times New Roman" w:cs="Times New Roman"/>
          <w:iCs/>
          <w:color w:val="000000"/>
          <w:kern w:val="0"/>
          <w:sz w:val="22"/>
        </w:rPr>
        <w:t xml:space="preserve">Drug Discovery and Design Center, State Key Laboratory of Drug Research, Shanghai Institute of Materia Medica, Chinese Academy of Sciences, 555 </w:t>
      </w:r>
      <w:proofErr w:type="spellStart"/>
      <w:r w:rsidRPr="003837E8">
        <w:rPr>
          <w:rFonts w:ascii="Times New Roman" w:eastAsia="宋体" w:hAnsi="Times New Roman" w:cs="Times New Roman"/>
          <w:iCs/>
          <w:color w:val="000000"/>
          <w:kern w:val="0"/>
          <w:sz w:val="22"/>
        </w:rPr>
        <w:t>Zuchongzhi</w:t>
      </w:r>
      <w:proofErr w:type="spellEnd"/>
      <w:r w:rsidRPr="003837E8">
        <w:rPr>
          <w:rFonts w:ascii="Times New Roman" w:eastAsia="宋体" w:hAnsi="Times New Roman" w:cs="Times New Roman"/>
          <w:iCs/>
          <w:color w:val="000000"/>
          <w:kern w:val="0"/>
          <w:sz w:val="22"/>
        </w:rPr>
        <w:t xml:space="preserve"> Road, Shanghai 201203, China</w:t>
      </w:r>
      <w:r>
        <w:rPr>
          <w:rFonts w:ascii="Times New Roman" w:eastAsia="宋体" w:hAnsi="Times New Roman" w:cs="Times New Roman" w:hint="eastAsia"/>
          <w:iCs/>
          <w:color w:val="000000"/>
          <w:kern w:val="0"/>
          <w:sz w:val="22"/>
        </w:rPr>
        <w:t xml:space="preserve">. </w:t>
      </w:r>
      <w:bookmarkEnd w:id="2"/>
    </w:p>
    <w:bookmarkEnd w:id="3"/>
    <w:bookmarkEnd w:id="7"/>
    <w:p w14:paraId="244CC154" w14:textId="77777777" w:rsidR="00F46006" w:rsidRPr="006640C7" w:rsidRDefault="00F46006">
      <w:pPr>
        <w:rPr>
          <w:rFonts w:hint="eastAsia"/>
        </w:rPr>
      </w:pPr>
    </w:p>
    <w:p w14:paraId="5E9708D5" w14:textId="77777777" w:rsidR="00F46006" w:rsidRDefault="00F46006">
      <w:pPr>
        <w:rPr>
          <w:rFonts w:hint="eastAsia"/>
        </w:rPr>
      </w:pPr>
    </w:p>
    <w:p w14:paraId="5D89E9B6" w14:textId="77777777" w:rsidR="00F46006" w:rsidRDefault="00F46006">
      <w:pPr>
        <w:rPr>
          <w:rFonts w:hint="eastAsia"/>
        </w:rPr>
      </w:pPr>
    </w:p>
    <w:p w14:paraId="0A073603" w14:textId="77777777" w:rsidR="00F46006" w:rsidRDefault="00F46006">
      <w:pPr>
        <w:rPr>
          <w:rFonts w:hint="eastAsia"/>
        </w:rPr>
      </w:pPr>
    </w:p>
    <w:p w14:paraId="5E542903" w14:textId="77777777" w:rsidR="00F46006" w:rsidRDefault="00F46006">
      <w:pPr>
        <w:rPr>
          <w:rFonts w:hint="eastAsia"/>
        </w:rPr>
      </w:pPr>
    </w:p>
    <w:p w14:paraId="32B75CD9" w14:textId="77777777" w:rsidR="00F46006" w:rsidRDefault="00F46006">
      <w:pPr>
        <w:rPr>
          <w:rFonts w:hint="eastAsia"/>
        </w:rPr>
      </w:pPr>
    </w:p>
    <w:p w14:paraId="0A39E884" w14:textId="77777777" w:rsidR="00F46006" w:rsidRDefault="00F46006">
      <w:pPr>
        <w:rPr>
          <w:rFonts w:hint="eastAsia"/>
        </w:rPr>
      </w:pPr>
    </w:p>
    <w:p w14:paraId="2769CA74" w14:textId="77777777" w:rsidR="00F46006" w:rsidRDefault="00F46006">
      <w:pPr>
        <w:rPr>
          <w:rFonts w:hint="eastAsia"/>
        </w:rPr>
      </w:pPr>
    </w:p>
    <w:p w14:paraId="331BE3A0" w14:textId="77777777" w:rsidR="00F46006" w:rsidRDefault="00F46006">
      <w:pPr>
        <w:rPr>
          <w:rFonts w:hint="eastAsia"/>
        </w:rPr>
      </w:pPr>
    </w:p>
    <w:p w14:paraId="0204E70E" w14:textId="77777777" w:rsidR="00F46006" w:rsidRDefault="00F46006">
      <w:pPr>
        <w:rPr>
          <w:rFonts w:hint="eastAsia"/>
        </w:rPr>
      </w:pPr>
    </w:p>
    <w:p w14:paraId="2F1AC1E5" w14:textId="77777777" w:rsidR="00F46006" w:rsidRDefault="00F46006">
      <w:pPr>
        <w:rPr>
          <w:rFonts w:hint="eastAsia"/>
        </w:rPr>
      </w:pPr>
    </w:p>
    <w:p w14:paraId="3345984B" w14:textId="77777777" w:rsidR="00F46006" w:rsidRDefault="00F46006">
      <w:pPr>
        <w:rPr>
          <w:rFonts w:hint="eastAsia"/>
        </w:rPr>
      </w:pPr>
    </w:p>
    <w:p w14:paraId="0D0BFF3A" w14:textId="77777777" w:rsidR="00F46006" w:rsidRDefault="00F46006">
      <w:pPr>
        <w:rPr>
          <w:rFonts w:hint="eastAsia"/>
        </w:rPr>
      </w:pPr>
    </w:p>
    <w:p w14:paraId="77792E08" w14:textId="77777777" w:rsidR="00F46006" w:rsidRDefault="00F46006">
      <w:pPr>
        <w:rPr>
          <w:rFonts w:hint="eastAsia"/>
        </w:rPr>
      </w:pPr>
    </w:p>
    <w:p w14:paraId="4AE93AF4" w14:textId="77777777" w:rsidR="00F46006" w:rsidRDefault="00F46006">
      <w:pPr>
        <w:rPr>
          <w:rFonts w:hint="eastAsia"/>
        </w:rPr>
      </w:pPr>
    </w:p>
    <w:p w14:paraId="405099BC" w14:textId="09F68DF2" w:rsidR="00F46006" w:rsidRPr="0068705E" w:rsidRDefault="0068705E" w:rsidP="0068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A66F73" wp14:editId="4B648121">
            <wp:simplePos x="0" y="0"/>
            <wp:positionH relativeFrom="column">
              <wp:posOffset>-255187</wp:posOffset>
            </wp:positionH>
            <wp:positionV relativeFrom="paragraph">
              <wp:posOffset>92710</wp:posOffset>
            </wp:positionV>
            <wp:extent cx="5844540" cy="1179195"/>
            <wp:effectExtent l="0" t="0" r="3810" b="1905"/>
            <wp:wrapSquare wrapText="bothSides"/>
            <wp:docPr id="6351253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253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006" w:rsidRPr="00F46006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F46006"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 w:rsidR="00F46006" w:rsidRPr="00F46006">
        <w:rPr>
          <w:rFonts w:ascii="Times New Roman" w:hAnsi="Times New Roman" w:cs="Times New Roman"/>
          <w:sz w:val="24"/>
          <w:szCs w:val="24"/>
        </w:rPr>
        <w:t xml:space="preserve"> The inhibitory activity of the compounds (</w:t>
      </w:r>
      <w:r w:rsidR="00F46006" w:rsidRPr="00F46006">
        <w:rPr>
          <w:rFonts w:ascii="Times New Roman" w:hAnsi="Times New Roman" w:cs="Times New Roman"/>
          <w:b/>
          <w:bCs/>
          <w:sz w:val="24"/>
          <w:szCs w:val="24"/>
        </w:rPr>
        <w:t>16a–16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="00F46006" w:rsidRPr="00F46006">
        <w:rPr>
          <w:rFonts w:ascii="Times New Roman" w:hAnsi="Times New Roman" w:cs="Times New Roman"/>
          <w:sz w:val="24"/>
          <w:szCs w:val="24"/>
        </w:rPr>
        <w:t>) against HepG2 cells</w:t>
      </w:r>
    </w:p>
    <w:p w14:paraId="0BCBC26C" w14:textId="2D9C9BFB" w:rsidR="0068705E" w:rsidRDefault="0068705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DDC056" wp14:editId="6CB9C3E2">
            <wp:simplePos x="0" y="0"/>
            <wp:positionH relativeFrom="column">
              <wp:posOffset>-199362</wp:posOffset>
            </wp:positionH>
            <wp:positionV relativeFrom="paragraph">
              <wp:posOffset>290830</wp:posOffset>
            </wp:positionV>
            <wp:extent cx="5788660" cy="1384300"/>
            <wp:effectExtent l="0" t="0" r="2540" b="6350"/>
            <wp:wrapSquare wrapText="bothSides"/>
            <wp:docPr id="17104808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808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66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33DE3" w14:textId="1D30F32B" w:rsidR="0068705E" w:rsidRPr="0068705E" w:rsidRDefault="0068705E" w:rsidP="006870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B247F3" wp14:editId="17246CA9">
            <wp:simplePos x="0" y="0"/>
            <wp:positionH relativeFrom="column">
              <wp:posOffset>-255297</wp:posOffset>
            </wp:positionH>
            <wp:positionV relativeFrom="paragraph">
              <wp:posOffset>1934044</wp:posOffset>
            </wp:positionV>
            <wp:extent cx="5888355" cy="1550035"/>
            <wp:effectExtent l="0" t="0" r="0" b="0"/>
            <wp:wrapSquare wrapText="bothSides"/>
            <wp:docPr id="14935073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0733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006" w:rsidRPr="00F46006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F46006">
        <w:rPr>
          <w:rFonts w:ascii="Times New Roman" w:hAnsi="Times New Roman" w:cs="Times New Roman" w:hint="eastAsia"/>
          <w:b/>
          <w:bCs/>
          <w:sz w:val="24"/>
          <w:szCs w:val="24"/>
        </w:rPr>
        <w:t>S2</w:t>
      </w:r>
      <w:r w:rsidR="00F46006" w:rsidRPr="00F460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006" w:rsidRPr="0068705E">
        <w:rPr>
          <w:rFonts w:ascii="Times New Roman" w:hAnsi="Times New Roman" w:cs="Times New Roman"/>
          <w:sz w:val="24"/>
          <w:szCs w:val="24"/>
        </w:rPr>
        <w:t>The inhibitory activity of the compounds (</w:t>
      </w:r>
      <w:r w:rsidR="00F46006" w:rsidRPr="0068705E">
        <w:rPr>
          <w:rFonts w:ascii="Times New Roman" w:hAnsi="Times New Roman" w:cs="Times New Roman"/>
          <w:b/>
          <w:bCs/>
          <w:sz w:val="24"/>
          <w:szCs w:val="24"/>
        </w:rPr>
        <w:t>16a–16</w:t>
      </w:r>
      <w:r w:rsidRPr="0068705E"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="00F46006" w:rsidRPr="0068705E">
        <w:rPr>
          <w:rFonts w:ascii="Times New Roman" w:hAnsi="Times New Roman" w:cs="Times New Roman"/>
          <w:sz w:val="24"/>
          <w:szCs w:val="24"/>
        </w:rPr>
        <w:t xml:space="preserve">) against </w:t>
      </w:r>
      <w:r w:rsidR="00F46006" w:rsidRPr="0068705E">
        <w:rPr>
          <w:rFonts w:ascii="Times New Roman" w:hAnsi="Times New Roman" w:cs="Times New Roman" w:hint="eastAsia"/>
          <w:sz w:val="24"/>
          <w:szCs w:val="24"/>
        </w:rPr>
        <w:t>MCF-7</w:t>
      </w:r>
      <w:r w:rsidR="00F46006" w:rsidRPr="0068705E">
        <w:rPr>
          <w:rFonts w:ascii="Times New Roman" w:hAnsi="Times New Roman" w:cs="Times New Roman"/>
          <w:sz w:val="24"/>
          <w:szCs w:val="24"/>
        </w:rPr>
        <w:t xml:space="preserve"> cells</w:t>
      </w:r>
    </w:p>
    <w:p w14:paraId="514D84FA" w14:textId="5720FD76" w:rsidR="00F46006" w:rsidRPr="001F7F21" w:rsidRDefault="0068705E" w:rsidP="0068705E">
      <w:pPr>
        <w:pStyle w:val="ElsParagraph"/>
        <w:spacing w:line="480" w:lineRule="auto"/>
        <w:ind w:right="85" w:firstLine="0"/>
        <w:rPr>
          <w:rFonts w:eastAsia="宋体"/>
          <w:color w:val="000000"/>
          <w:kern w:val="2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144DCAA" wp14:editId="4B613069">
            <wp:simplePos x="0" y="0"/>
            <wp:positionH relativeFrom="column">
              <wp:posOffset>-334811</wp:posOffset>
            </wp:positionH>
            <wp:positionV relativeFrom="paragraph">
              <wp:posOffset>2300218</wp:posOffset>
            </wp:positionV>
            <wp:extent cx="6136005" cy="1947545"/>
            <wp:effectExtent l="0" t="0" r="0" b="0"/>
            <wp:wrapSquare wrapText="bothSides"/>
            <wp:docPr id="102860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05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006" w:rsidRPr="00A17470">
        <w:rPr>
          <w:b/>
          <w:bCs/>
          <w:sz w:val="24"/>
          <w:szCs w:val="24"/>
        </w:rPr>
        <w:t xml:space="preserve">Fig. </w:t>
      </w:r>
      <w:r w:rsidR="00F46006">
        <w:rPr>
          <w:rFonts w:hint="eastAsia"/>
          <w:b/>
          <w:bCs/>
          <w:sz w:val="24"/>
          <w:szCs w:val="24"/>
          <w:lang w:eastAsia="zh-CN"/>
        </w:rPr>
        <w:t>S3</w:t>
      </w:r>
      <w:r w:rsidR="00F46006" w:rsidRPr="00A17470">
        <w:rPr>
          <w:sz w:val="24"/>
          <w:szCs w:val="24"/>
        </w:rPr>
        <w:t xml:space="preserve"> </w:t>
      </w:r>
      <w:r w:rsidR="00F46006" w:rsidRPr="00183039">
        <w:rPr>
          <w:sz w:val="24"/>
          <w:szCs w:val="24"/>
        </w:rPr>
        <w:t>The inhibitory activity of the compounds (</w:t>
      </w:r>
      <w:r w:rsidR="00F46006" w:rsidRPr="00183039">
        <w:rPr>
          <w:b/>
          <w:bCs/>
          <w:sz w:val="24"/>
          <w:szCs w:val="24"/>
        </w:rPr>
        <w:t>16a–16</w:t>
      </w:r>
      <w:r>
        <w:rPr>
          <w:rFonts w:hint="eastAsia"/>
          <w:b/>
          <w:bCs/>
          <w:sz w:val="24"/>
          <w:szCs w:val="24"/>
          <w:lang w:eastAsia="zh-CN"/>
        </w:rPr>
        <w:t>w</w:t>
      </w:r>
      <w:r w:rsidR="00F46006" w:rsidRPr="00183039">
        <w:rPr>
          <w:sz w:val="24"/>
          <w:szCs w:val="24"/>
        </w:rPr>
        <w:t xml:space="preserve">) against </w:t>
      </w:r>
      <w:r w:rsidR="00F46006" w:rsidRPr="000E2E4D">
        <w:rPr>
          <w:rFonts w:eastAsia="宋体" w:hint="eastAsia"/>
          <w:color w:val="000000"/>
          <w:kern w:val="2"/>
          <w:sz w:val="24"/>
          <w:szCs w:val="24"/>
          <w:lang w:eastAsia="zh-CN"/>
        </w:rPr>
        <w:t>NCI-H1650</w:t>
      </w:r>
      <w:r w:rsidR="00F46006" w:rsidRPr="00183039">
        <w:rPr>
          <w:sz w:val="24"/>
          <w:szCs w:val="24"/>
        </w:rPr>
        <w:t xml:space="preserve"> cell</w:t>
      </w:r>
      <w:r w:rsidR="00F46006">
        <w:rPr>
          <w:rFonts w:hint="eastAsia"/>
          <w:sz w:val="24"/>
          <w:szCs w:val="24"/>
          <w:lang w:eastAsia="zh-CN"/>
        </w:rPr>
        <w:t>s</w:t>
      </w:r>
    </w:p>
    <w:p w14:paraId="282DA82E" w14:textId="77777777" w:rsidR="0068705E" w:rsidRDefault="0068705E" w:rsidP="006870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6006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S4</w:t>
      </w:r>
      <w:r w:rsidRPr="00F46006">
        <w:rPr>
          <w:rFonts w:ascii="Times New Roman" w:hAnsi="Times New Roman" w:cs="Times New Roman"/>
          <w:sz w:val="24"/>
          <w:szCs w:val="24"/>
        </w:rPr>
        <w:t xml:space="preserve"> The inhibitory activity of the compounds (</w:t>
      </w:r>
      <w:r w:rsidRPr="00F46006">
        <w:rPr>
          <w:rFonts w:ascii="Times New Roman" w:hAnsi="Times New Roman" w:cs="Times New Roman"/>
          <w:b/>
          <w:bCs/>
          <w:sz w:val="24"/>
          <w:szCs w:val="24"/>
        </w:rPr>
        <w:t>16a–16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Pr="00F46006">
        <w:rPr>
          <w:rFonts w:ascii="Times New Roman" w:hAnsi="Times New Roman" w:cs="Times New Roman"/>
          <w:sz w:val="24"/>
          <w:szCs w:val="24"/>
        </w:rPr>
        <w:t xml:space="preserve">) against </w:t>
      </w:r>
      <w:r w:rsidRPr="00F46006">
        <w:rPr>
          <w:rFonts w:ascii="Times New Roman" w:eastAsia="宋体" w:hAnsi="Times New Roman" w:cs="Times New Roman"/>
          <w:color w:val="000000"/>
          <w:sz w:val="24"/>
          <w:szCs w:val="24"/>
        </w:rPr>
        <w:t>U87MG</w:t>
      </w:r>
      <w:r w:rsidRPr="00F46006">
        <w:rPr>
          <w:rFonts w:ascii="Times New Roman" w:hAnsi="Times New Roman" w:cs="Times New Roman"/>
          <w:sz w:val="24"/>
          <w:szCs w:val="24"/>
        </w:rPr>
        <w:t xml:space="preserve"> cells</w:t>
      </w:r>
    </w:p>
    <w:p w14:paraId="28C279EE" w14:textId="7B827720" w:rsidR="0068705E" w:rsidRPr="0068705E" w:rsidRDefault="0068705E" w:rsidP="006870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C84160" w14:textId="5946A221" w:rsidR="00F46006" w:rsidRPr="0068705E" w:rsidRDefault="0068705E" w:rsidP="0068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05E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E4C7D44" wp14:editId="1E0CA801">
            <wp:simplePos x="0" y="0"/>
            <wp:positionH relativeFrom="column">
              <wp:posOffset>-420784</wp:posOffset>
            </wp:positionH>
            <wp:positionV relativeFrom="paragraph">
              <wp:posOffset>118745</wp:posOffset>
            </wp:positionV>
            <wp:extent cx="6242685" cy="1404620"/>
            <wp:effectExtent l="0" t="0" r="5715" b="5080"/>
            <wp:wrapSquare wrapText="bothSides"/>
            <wp:docPr id="777426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266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006" w:rsidRPr="0068705E">
        <w:rPr>
          <w:rFonts w:ascii="Times New Roman" w:hAnsi="Times New Roman" w:cs="Times New Roman"/>
          <w:b/>
          <w:bCs/>
          <w:sz w:val="24"/>
          <w:szCs w:val="24"/>
        </w:rPr>
        <w:t>Fig. S5</w:t>
      </w:r>
      <w:r w:rsidR="00F46006" w:rsidRPr="0068705E">
        <w:rPr>
          <w:rFonts w:ascii="Times New Roman" w:hAnsi="Times New Roman" w:cs="Times New Roman"/>
          <w:sz w:val="24"/>
          <w:szCs w:val="24"/>
        </w:rPr>
        <w:t xml:space="preserve"> The inhibitory activity of the compounds (</w:t>
      </w:r>
      <w:r w:rsidR="00F46006" w:rsidRPr="0068705E">
        <w:rPr>
          <w:rFonts w:ascii="Times New Roman" w:hAnsi="Times New Roman" w:cs="Times New Roman"/>
          <w:b/>
          <w:bCs/>
          <w:sz w:val="24"/>
          <w:szCs w:val="24"/>
        </w:rPr>
        <w:t>16a–16</w:t>
      </w:r>
      <w:r w:rsidRPr="0068705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46006" w:rsidRPr="0068705E">
        <w:rPr>
          <w:rFonts w:ascii="Times New Roman" w:hAnsi="Times New Roman" w:cs="Times New Roman"/>
          <w:sz w:val="24"/>
          <w:szCs w:val="24"/>
        </w:rPr>
        <w:t xml:space="preserve">) against </w:t>
      </w:r>
      <w:r w:rsidR="00F46006" w:rsidRPr="0068705E">
        <w:rPr>
          <w:rFonts w:ascii="Times New Roman" w:eastAsia="宋体" w:hAnsi="Times New Roman" w:cs="Times New Roman"/>
          <w:color w:val="000000"/>
          <w:sz w:val="24"/>
          <w:szCs w:val="24"/>
        </w:rPr>
        <w:t>A549</w:t>
      </w:r>
      <w:r w:rsidR="00F46006" w:rsidRPr="0068705E">
        <w:rPr>
          <w:rFonts w:ascii="Times New Roman" w:hAnsi="Times New Roman" w:cs="Times New Roman"/>
          <w:sz w:val="24"/>
          <w:szCs w:val="24"/>
        </w:rPr>
        <w:t xml:space="preserve"> cel</w:t>
      </w:r>
      <w:r w:rsidR="00F46006" w:rsidRPr="0068705E">
        <w:rPr>
          <w:rFonts w:ascii="Times New Roman" w:hAnsi="Times New Roman" w:cs="Times New Roman" w:hint="eastAsia"/>
          <w:sz w:val="24"/>
          <w:szCs w:val="24"/>
        </w:rPr>
        <w:t>ls</w:t>
      </w:r>
    </w:p>
    <w:p w14:paraId="41C1AC20" w14:textId="72C2C48B" w:rsidR="00F46006" w:rsidRDefault="00F46006" w:rsidP="00F46006">
      <w:pPr>
        <w:jc w:val="center"/>
        <w:rPr>
          <w:rFonts w:ascii="Times New Roman" w:hAnsi="Times New Roman" w:cs="Times New Roman"/>
        </w:rPr>
      </w:pPr>
    </w:p>
    <w:p w14:paraId="1A260156" w14:textId="0C7AACDF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334957CB" w14:textId="4FBE679B" w:rsidR="006640C7" w:rsidRDefault="006640C7" w:rsidP="000A5EFC">
      <w:pPr>
        <w:jc w:val="left"/>
        <w:rPr>
          <w:rFonts w:ascii="Times New Roman" w:hAnsi="Times New Roman" w:cs="Times New Roman"/>
        </w:rPr>
      </w:pPr>
    </w:p>
    <w:p w14:paraId="373D5F6F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647B2051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715E3E2A" w14:textId="2832A412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273E0B3C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7EDD4A89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21442D36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0EB71BF0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1675A3ED" w14:textId="7D8B770A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3BE0F672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0A5360EB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60E1616D" w14:textId="77777777" w:rsidR="006640C7" w:rsidRDefault="006640C7" w:rsidP="00F46006">
      <w:pPr>
        <w:jc w:val="center"/>
        <w:rPr>
          <w:rFonts w:ascii="Times New Roman" w:hAnsi="Times New Roman" w:cs="Times New Roman"/>
        </w:rPr>
      </w:pPr>
    </w:p>
    <w:p w14:paraId="20911BDA" w14:textId="170095AC" w:rsidR="006640C7" w:rsidRPr="0068705E" w:rsidRDefault="006640C7" w:rsidP="00F46006">
      <w:pPr>
        <w:jc w:val="center"/>
        <w:rPr>
          <w:rFonts w:ascii="Times New Roman" w:hAnsi="Times New Roman" w:cs="Times New Roman"/>
        </w:rPr>
      </w:pPr>
    </w:p>
    <w:sectPr w:rsidR="006640C7" w:rsidRPr="0068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E0D5" w14:textId="77777777" w:rsidR="00F50104" w:rsidRDefault="00F50104" w:rsidP="00F46006">
      <w:pPr>
        <w:rPr>
          <w:rFonts w:hint="eastAsia"/>
        </w:rPr>
      </w:pPr>
      <w:r>
        <w:separator/>
      </w:r>
    </w:p>
  </w:endnote>
  <w:endnote w:type="continuationSeparator" w:id="0">
    <w:p w14:paraId="4B7099C1" w14:textId="77777777" w:rsidR="00F50104" w:rsidRDefault="00F50104" w:rsidP="00F460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6653" w14:textId="77777777" w:rsidR="00F50104" w:rsidRDefault="00F50104" w:rsidP="00F46006">
      <w:pPr>
        <w:rPr>
          <w:rFonts w:hint="eastAsia"/>
        </w:rPr>
      </w:pPr>
      <w:r>
        <w:separator/>
      </w:r>
    </w:p>
  </w:footnote>
  <w:footnote w:type="continuationSeparator" w:id="0">
    <w:p w14:paraId="4A469C0C" w14:textId="77777777" w:rsidR="00F50104" w:rsidRDefault="00F50104" w:rsidP="00F460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5E55"/>
    <w:multiLevelType w:val="hybridMultilevel"/>
    <w:tmpl w:val="3A26184C"/>
    <w:lvl w:ilvl="0" w:tplc="B62C5F7A">
      <w:start w:val="1"/>
      <w:numFmt w:val="bullet"/>
      <w:lvlText w:val=""/>
      <w:lvlJc w:val="left"/>
      <w:pPr>
        <w:ind w:left="420" w:hanging="420"/>
      </w:pPr>
      <w:rPr>
        <w:rFonts w:ascii="Wingdings" w:eastAsia="Gulim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370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C5"/>
    <w:rsid w:val="000A5EFC"/>
    <w:rsid w:val="00227B08"/>
    <w:rsid w:val="00295EA1"/>
    <w:rsid w:val="003240D3"/>
    <w:rsid w:val="00367159"/>
    <w:rsid w:val="00512D6C"/>
    <w:rsid w:val="006168C5"/>
    <w:rsid w:val="006640C7"/>
    <w:rsid w:val="0068705E"/>
    <w:rsid w:val="00784D37"/>
    <w:rsid w:val="007927E6"/>
    <w:rsid w:val="00863562"/>
    <w:rsid w:val="008A0403"/>
    <w:rsid w:val="008E6333"/>
    <w:rsid w:val="009518E4"/>
    <w:rsid w:val="00A471D3"/>
    <w:rsid w:val="00B557DF"/>
    <w:rsid w:val="00BD151D"/>
    <w:rsid w:val="00BD5D41"/>
    <w:rsid w:val="00E84F71"/>
    <w:rsid w:val="00EF5AB7"/>
    <w:rsid w:val="00F46006"/>
    <w:rsid w:val="00F5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6F59D"/>
  <w15:chartTrackingRefBased/>
  <w15:docId w15:val="{74CCD75E-A44E-4A23-B73D-D90ACB24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0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8C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8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8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8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8C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6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8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8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8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8C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60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60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6006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F46006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customStyle="1" w:styleId="af3">
    <w:name w:val="正文文本 字符"/>
    <w:basedOn w:val="a0"/>
    <w:link w:val="af2"/>
    <w:uiPriority w:val="1"/>
    <w:rsid w:val="00F46006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paragraph" w:customStyle="1" w:styleId="ElsParagraph">
    <w:name w:val="Els_Paragraph"/>
    <w:link w:val="ElsParagraph0"/>
    <w:rsid w:val="00F46006"/>
    <w:pPr>
      <w:spacing w:after="120" w:line="220" w:lineRule="exact"/>
      <w:ind w:firstLine="230"/>
      <w:jc w:val="both"/>
    </w:pPr>
    <w:rPr>
      <w:rFonts w:ascii="Times New Roman" w:eastAsia="等线" w:hAnsi="Times New Roman" w:cs="Times New Roman"/>
      <w:kern w:val="0"/>
      <w:sz w:val="19"/>
      <w:szCs w:val="20"/>
      <w:lang w:eastAsia="en-US"/>
    </w:rPr>
  </w:style>
  <w:style w:type="character" w:customStyle="1" w:styleId="ElsParagraph0">
    <w:name w:val="Els_Paragraph 字符"/>
    <w:link w:val="ElsParagraph"/>
    <w:rsid w:val="00F46006"/>
    <w:rPr>
      <w:rFonts w:ascii="Times New Roman" w:eastAsia="等线" w:hAnsi="Times New Roman" w:cs="Times New Roman"/>
      <w:kern w:val="0"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缘可爱</dc:creator>
  <cp:keywords/>
  <dc:description/>
  <cp:lastModifiedBy>缘可爱</cp:lastModifiedBy>
  <cp:revision>7</cp:revision>
  <dcterms:created xsi:type="dcterms:W3CDTF">2026-01-14T08:16:00Z</dcterms:created>
  <dcterms:modified xsi:type="dcterms:W3CDTF">2026-01-28T06:53:00Z</dcterms:modified>
</cp:coreProperties>
</file>