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35.png" ContentType="image/png"/>
  <Override PartName="/word/media/rId39.png" ContentType="image/png"/>
  <Override PartName="/word/media/rId43.png" ContentType="image/png"/>
  <Override PartName="/word/media/rId47.png" ContentType="image/png"/>
  <Override PartName="/word/media/rId5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Supplementary</w:t>
      </w:r>
      <w:r>
        <w:t xml:space="preserve"> </w:t>
      </w:r>
      <w:r>
        <w:t xml:space="preserve">Materials</w:t>
      </w:r>
    </w:p>
    <w:p>
      <w:pPr>
        <w:pStyle w:val="Subtitle"/>
      </w:pPr>
      <w:r>
        <w:t xml:space="preserve">Protein</w:t>
      </w:r>
      <w:r>
        <w:t xml:space="preserve"> </w:t>
      </w:r>
      <w:r>
        <w:t xml:space="preserve">Language</w:t>
      </w:r>
      <w:r>
        <w:t xml:space="preserve"> </w:t>
      </w:r>
      <w:r>
        <w:t xml:space="preserve">Models</w:t>
      </w:r>
      <w:r>
        <w:t xml:space="preserve"> </w:t>
      </w:r>
      <w:r>
        <w:t xml:space="preserve">Rescue</w:t>
      </w:r>
      <w:r>
        <w:t xml:space="preserve"> </w:t>
      </w:r>
      <w:r>
        <w:t xml:space="preserve">Variant</w:t>
      </w:r>
      <w:r>
        <w:t xml:space="preserve"> </w:t>
      </w:r>
      <w:r>
        <w:t xml:space="preserve">Pathogenicity</w:t>
      </w:r>
      <w:r>
        <w:t xml:space="preserve"> </w:t>
      </w:r>
      <w:r>
        <w:t xml:space="preserve">Prediction</w:t>
      </w:r>
      <w:r>
        <w:t xml:space="preserve"> </w:t>
      </w:r>
      <w:r>
        <w:t xml:space="preserve">in</w:t>
      </w:r>
      <w:r>
        <w:t xml:space="preserve"> </w:t>
      </w:r>
      <w:r>
        <w:t xml:space="preserve">Intrinsically</w:t>
      </w:r>
      <w:r>
        <w:t xml:space="preserve"> </w:t>
      </w:r>
      <w:r>
        <w:t xml:space="preserve">Disordered</w:t>
      </w:r>
      <w:r>
        <w:t xml:space="preserve"> </w:t>
      </w:r>
      <w:r>
        <w:t xml:space="preserve">Regions</w:t>
      </w:r>
    </w:p>
    <w:p>
      <w:pPr>
        <w:pStyle w:val="Author"/>
      </w:pPr>
      <w:r>
        <w:t xml:space="preserve">Hayden</w:t>
      </w:r>
      <w:r>
        <w:t xml:space="preserve"> </w:t>
      </w:r>
      <w:r>
        <w:t xml:space="preserve">Farquhar</w:t>
      </w:r>
    </w:p>
    <w:p>
      <w:pPr>
        <w:pStyle w:val="Date"/>
      </w:pPr>
      <w:r>
        <w:t xml:space="preserve">January</w:t>
      </w:r>
      <w:r>
        <w:t xml:space="preserve"> </w:t>
      </w:r>
      <w:r>
        <w:t xml:space="preserve">2026</w:t>
      </w:r>
    </w:p>
    <w:bookmarkStart w:id="64" w:name="supplementary-materials"/>
    <w:p>
      <w:pPr>
        <w:pStyle w:val="Heading1"/>
      </w:pPr>
      <w:r>
        <w:t xml:space="preserve">Supplementary Materials</w:t>
      </w:r>
    </w:p>
    <w:p>
      <w:pPr>
        <w:pStyle w:val="FirstParagraph"/>
      </w:pPr>
      <w:r>
        <w:rPr>
          <w:bCs/>
          <w:b/>
        </w:rPr>
        <w:t xml:space="preserve">Protein Language Models Rescue Variant Pathogenicity Prediction in Intrinsically Disordered Regions Through Synergistic Integration with Structure-Based Methods</w:t>
      </w:r>
    </w:p>
    <w:p>
      <w:pPr>
        <w:pStyle w:val="BodyText"/>
      </w:pPr>
      <w:r>
        <w:t xml:space="preserve">Hayden Farquhar</w:t>
      </w:r>
    </w:p>
    <w:p>
      <w:r>
        <w:pict>
          <v:rect style="width:0;height:1.5pt" o:hralign="center" o:hrstd="t" o:hr="t"/>
        </w:pict>
      </w:r>
    </w:p>
    <w:bookmarkStart w:id="30" w:name="supplementary-tables"/>
    <w:p>
      <w:pPr>
        <w:pStyle w:val="Heading2"/>
      </w:pPr>
      <w:r>
        <w:t xml:space="preserve">Supplementary Tables</w:t>
      </w:r>
    </w:p>
    <w:bookmarkStart w:id="20" w:name="Xa45dab7f860dea9e6f57c4532f3f33c89a37d20"/>
    <w:p>
      <w:pPr>
        <w:pStyle w:val="Heading3"/>
      </w:pPr>
      <w:r>
        <w:t xml:space="preserve">Supplementary Table S1. Dataset composition and characteristics.</w:t>
      </w:r>
    </w:p>
    <w:tbl>
      <w:tblPr>
        <w:tblStyle w:val="Table"/>
        <w:tblW w:type="pct" w:w="5000"/>
        <w:tblLook w:firstRow="1" w:lastRow="0" w:firstColumn="0" w:lastColumn="0" w:noHBand="0" w:noVBand="0" w:val="0020"/>
        <w:jc w:val="start"/>
      </w:tblPr>
      <w:tblGrid>
        <w:gridCol w:w="2586"/>
        <w:gridCol w:w="2262"/>
        <w:gridCol w:w="1616"/>
        <w:gridCol w:w="1454"/>
      </w:tblGrid>
      <w:tr>
        <w:trPr>
          <w:tblHeader w:val="true"/>
        </w:trPr>
        <w:tc>
          <w:tcPr/>
          <w:p>
            <w:pPr>
              <w:pStyle w:val="Compact"/>
              <w:jc w:val="left"/>
            </w:pPr>
            <w:r>
              <w:t xml:space="preserve">Characteristic</w:t>
            </w:r>
          </w:p>
        </w:tc>
        <w:tc>
          <w:tcPr/>
          <w:p>
            <w:pPr>
              <w:pStyle w:val="Compact"/>
              <w:jc w:val="left"/>
            </w:pPr>
            <w:r>
              <w:t xml:space="preserve">Training Set</w:t>
            </w:r>
          </w:p>
        </w:tc>
        <w:tc>
          <w:tcPr/>
          <w:p>
            <w:pPr>
              <w:pStyle w:val="Compact"/>
              <w:jc w:val="left"/>
            </w:pPr>
            <w:r>
              <w:t xml:space="preserve">Test Set</w:t>
            </w:r>
          </w:p>
        </w:tc>
        <w:tc>
          <w:tcPr/>
          <w:p>
            <w:pPr>
              <w:pStyle w:val="Compact"/>
              <w:jc w:val="left"/>
            </w:pPr>
            <w:r>
              <w:t xml:space="preserve">VUS Set</w:t>
            </w:r>
          </w:p>
        </w:tc>
      </w:tr>
      <w:tr>
        <w:tc>
          <w:tcPr/>
          <w:p>
            <w:pPr>
              <w:pStyle w:val="Compact"/>
              <w:jc w:val="left"/>
            </w:pPr>
            <w:r>
              <w:t xml:space="preserve">Total variants</w:t>
            </w:r>
          </w:p>
        </w:tc>
        <w:tc>
          <w:tcPr/>
          <w:p>
            <w:pPr>
              <w:pStyle w:val="Compact"/>
              <w:jc w:val="left"/>
            </w:pPr>
            <w:r>
              <w:t xml:space="preserve">40,773</w:t>
            </w:r>
          </w:p>
        </w:tc>
        <w:tc>
          <w:tcPr/>
          <w:p>
            <w:pPr>
              <w:pStyle w:val="Compact"/>
              <w:jc w:val="left"/>
            </w:pPr>
            <w:r>
              <w:t xml:space="preserve">12,180</w:t>
            </w:r>
          </w:p>
        </w:tc>
        <w:tc>
          <w:tcPr/>
          <w:p>
            <w:pPr>
              <w:pStyle w:val="Compact"/>
              <w:jc w:val="left"/>
            </w:pPr>
            <w:r>
              <w:t xml:space="preserve">22,927</w:t>
            </w:r>
          </w:p>
        </w:tc>
      </w:tr>
      <w:tr>
        <w:tc>
          <w:tcPr/>
          <w:p>
            <w:pPr>
              <w:pStyle w:val="Compact"/>
              <w:jc w:val="left"/>
            </w:pPr>
            <w:r>
              <w:t xml:space="preserve">Pathogenic/Likely Pathogenic</w:t>
            </w:r>
          </w:p>
        </w:tc>
        <w:tc>
          <w:tcPr/>
          <w:p>
            <w:pPr>
              <w:pStyle w:val="Compact"/>
              <w:jc w:val="left"/>
            </w:pPr>
            <w:r>
              <w:t xml:space="preserve">15,687 (38.5%)</w:t>
            </w:r>
          </w:p>
        </w:tc>
        <w:tc>
          <w:tcPr/>
          <w:p>
            <w:pPr>
              <w:pStyle w:val="Compact"/>
              <w:jc w:val="left"/>
            </w:pPr>
            <w:r>
              <w:t xml:space="preserve">4,698 (38.6%)</w:t>
            </w:r>
          </w:p>
        </w:tc>
        <w:tc>
          <w:tcPr/>
          <w:p>
            <w:pPr>
              <w:pStyle w:val="Compact"/>
              <w:jc w:val="left"/>
            </w:pPr>
            <w:r>
              <w:t xml:space="preserve">—</w:t>
            </w:r>
          </w:p>
        </w:tc>
      </w:tr>
      <w:tr>
        <w:tc>
          <w:tcPr/>
          <w:p>
            <w:pPr>
              <w:pStyle w:val="Compact"/>
              <w:jc w:val="left"/>
            </w:pPr>
            <w:r>
              <w:t xml:space="preserve">Benign/Likely Benign</w:t>
            </w:r>
          </w:p>
        </w:tc>
        <w:tc>
          <w:tcPr/>
          <w:p>
            <w:pPr>
              <w:pStyle w:val="Compact"/>
              <w:jc w:val="left"/>
            </w:pPr>
            <w:r>
              <w:t xml:space="preserve">25,086 (61.5%)</w:t>
            </w:r>
          </w:p>
        </w:tc>
        <w:tc>
          <w:tcPr/>
          <w:p>
            <w:pPr>
              <w:pStyle w:val="Compact"/>
              <w:jc w:val="left"/>
            </w:pPr>
            <w:r>
              <w:t xml:space="preserve">7,482 (61.4%)</w:t>
            </w:r>
          </w:p>
        </w:tc>
        <w:tc>
          <w:tcPr/>
          <w:p>
            <w:pPr>
              <w:pStyle w:val="Compact"/>
              <w:jc w:val="left"/>
            </w:pPr>
            <w:r>
              <w:t xml:space="preserve">—</w:t>
            </w:r>
          </w:p>
        </w:tc>
      </w:tr>
      <w:tr>
        <w:tc>
          <w:tcPr/>
          <w:p>
            <w:pPr>
              <w:pStyle w:val="Compact"/>
              <w:jc w:val="left"/>
            </w:pPr>
            <w:r>
              <w:t xml:space="preserve">Unique genes</w:t>
            </w:r>
          </w:p>
        </w:tc>
        <w:tc>
          <w:tcPr/>
          <w:p>
            <w:pPr>
              <w:pStyle w:val="Compact"/>
              <w:jc w:val="left"/>
            </w:pPr>
            <w:r>
              <w:t xml:space="preserve">4,127</w:t>
            </w:r>
          </w:p>
        </w:tc>
        <w:tc>
          <w:tcPr/>
          <w:p>
            <w:pPr>
              <w:pStyle w:val="Compact"/>
              <w:jc w:val="left"/>
            </w:pPr>
            <w:r>
              <w:t xml:space="preserve">2,891</w:t>
            </w:r>
          </w:p>
        </w:tc>
        <w:tc>
          <w:tcPr/>
          <w:p>
            <w:pPr>
              <w:pStyle w:val="Compact"/>
              <w:jc w:val="left"/>
            </w:pPr>
            <w:r>
              <w:t xml:space="preserve">3,456</w:t>
            </w:r>
          </w:p>
        </w:tc>
      </w:tr>
      <w:tr>
        <w:tc>
          <w:tcPr/>
          <w:p>
            <w:pPr>
              <w:pStyle w:val="Compact"/>
              <w:jc w:val="left"/>
            </w:pPr>
            <w:r>
              <w:t xml:space="preserve">Variants in IDRs</w:t>
            </w:r>
          </w:p>
        </w:tc>
        <w:tc>
          <w:tcPr/>
          <w:p>
            <w:pPr>
              <w:pStyle w:val="Compact"/>
              <w:jc w:val="left"/>
            </w:pPr>
            <w:r>
              <w:t xml:space="preserve">8,154 (20.0%)</w:t>
            </w:r>
          </w:p>
        </w:tc>
        <w:tc>
          <w:tcPr/>
          <w:p>
            <w:pPr>
              <w:pStyle w:val="Compact"/>
              <w:jc w:val="left"/>
            </w:pPr>
            <w:r>
              <w:t xml:space="preserve">2,436 (20.0%)</w:t>
            </w:r>
          </w:p>
        </w:tc>
        <w:tc>
          <w:tcPr/>
          <w:p>
            <w:pPr>
              <w:pStyle w:val="Compact"/>
              <w:jc w:val="left"/>
            </w:pPr>
            <w:r>
              <w:t xml:space="preserve">4,585 (20.0%)</w:t>
            </w:r>
          </w:p>
        </w:tc>
      </w:tr>
      <w:tr>
        <w:tc>
          <w:tcPr/>
          <w:p>
            <w:pPr>
              <w:pStyle w:val="Compact"/>
              <w:jc w:val="left"/>
            </w:pPr>
            <w:r>
              <w:t xml:space="preserve">AlphaMissense coverage</w:t>
            </w:r>
          </w:p>
        </w:tc>
        <w:tc>
          <w:tcPr/>
          <w:p>
            <w:pPr>
              <w:pStyle w:val="Compact"/>
              <w:jc w:val="left"/>
            </w:pPr>
            <w:r>
              <w:t xml:space="preserve">39,543 (97.0%)</w:t>
            </w:r>
          </w:p>
        </w:tc>
        <w:tc>
          <w:tcPr/>
          <w:p>
            <w:pPr>
              <w:pStyle w:val="Compact"/>
              <w:jc w:val="left"/>
            </w:pPr>
            <w:r>
              <w:t xml:space="preserve">11,815 (97.0%)</w:t>
            </w:r>
          </w:p>
        </w:tc>
        <w:tc>
          <w:tcPr/>
          <w:p>
            <w:pPr>
              <w:pStyle w:val="Compact"/>
              <w:jc w:val="left"/>
            </w:pPr>
            <w:r>
              <w:t xml:space="preserve">22,248 (97.0%)</w:t>
            </w:r>
          </w:p>
        </w:tc>
      </w:tr>
      <w:tr>
        <w:tc>
          <w:tcPr/>
          <w:p>
            <w:pPr>
              <w:pStyle w:val="Compact"/>
              <w:jc w:val="left"/>
            </w:pPr>
            <w:r>
              <w:t xml:space="preserve">gnomAD constraint coverage</w:t>
            </w:r>
          </w:p>
        </w:tc>
        <w:tc>
          <w:tcPr/>
          <w:p>
            <w:pPr>
              <w:pStyle w:val="Compact"/>
              <w:jc w:val="left"/>
            </w:pPr>
            <w:r>
              <w:t xml:space="preserve">39,431 (96.7%)</w:t>
            </w:r>
          </w:p>
        </w:tc>
        <w:tc>
          <w:tcPr/>
          <w:p>
            <w:pPr>
              <w:pStyle w:val="Compact"/>
              <w:jc w:val="left"/>
            </w:pPr>
            <w:r>
              <w:t xml:space="preserve">11,756 (96.5%)</w:t>
            </w:r>
          </w:p>
        </w:tc>
        <w:tc>
          <w:tcPr/>
          <w:p>
            <w:pPr>
              <w:pStyle w:val="Compact"/>
              <w:jc w:val="left"/>
            </w:pPr>
            <w:r>
              <w:t xml:space="preserve">22,019 (96.0%)</w:t>
            </w:r>
          </w:p>
        </w:tc>
      </w:tr>
    </w:tbl>
    <w:bookmarkEnd w:id="20"/>
    <w:bookmarkStart w:id="21" w:name="X4ef80eb00e883202ec3eafd288055bb0b1d2c04"/>
    <w:p>
      <w:pPr>
        <w:pStyle w:val="Heading3"/>
      </w:pPr>
      <w:r>
        <w:t xml:space="preserve">Supplementary Table S2. Complete list of engineered features (n=35).</w:t>
      </w:r>
    </w:p>
    <w:tbl>
      <w:tblPr>
        <w:tblStyle w:val="Table"/>
        <w:tblW w:type="pct" w:w="5000"/>
        <w:tblLook w:firstRow="1" w:lastRow="0" w:firstColumn="0" w:lastColumn="0" w:noHBand="0" w:noVBand="0" w:val="0020"/>
        <w:jc w:val="start"/>
      </w:tblPr>
      <w:tblGrid>
        <w:gridCol w:w="2475"/>
        <w:gridCol w:w="2227"/>
        <w:gridCol w:w="3217"/>
      </w:tblGrid>
      <w:tr>
        <w:trPr>
          <w:tblHeader w:val="true"/>
        </w:trPr>
        <w:tc>
          <w:tcPr/>
          <w:p>
            <w:pPr>
              <w:pStyle w:val="Compact"/>
              <w:jc w:val="left"/>
            </w:pPr>
            <w:r>
              <w:t xml:space="preserve">Category</w:t>
            </w:r>
          </w:p>
        </w:tc>
        <w:tc>
          <w:tcPr/>
          <w:p>
            <w:pPr>
              <w:pStyle w:val="Compact"/>
              <w:jc w:val="left"/>
            </w:pPr>
            <w:r>
              <w:t xml:space="preserve">Feature</w:t>
            </w:r>
          </w:p>
        </w:tc>
        <w:tc>
          <w:tcPr/>
          <w:p>
            <w:pPr>
              <w:pStyle w:val="Compact"/>
              <w:jc w:val="left"/>
            </w:pPr>
            <w:r>
              <w:t xml:space="preserve">Description</w:t>
            </w:r>
          </w:p>
        </w:tc>
      </w:tr>
      <w:tr>
        <w:tc>
          <w:tcPr/>
          <w:p>
            <w:pPr>
              <w:pStyle w:val="Compact"/>
              <w:jc w:val="left"/>
            </w:pPr>
            <w:r>
              <w:t xml:space="preserve">Amino Acid</w:t>
            </w:r>
          </w:p>
        </w:tc>
        <w:tc>
          <w:tcPr/>
          <w:p>
            <w:pPr>
              <w:pStyle w:val="Compact"/>
              <w:jc w:val="left"/>
            </w:pPr>
            <w:r>
              <w:t xml:space="preserve">hydrophobicity_ref/alt/diff</w:t>
            </w:r>
          </w:p>
        </w:tc>
        <w:tc>
          <w:tcPr/>
          <w:p>
            <w:pPr>
              <w:pStyle w:val="Compact"/>
              <w:jc w:val="left"/>
            </w:pPr>
            <w:r>
              <w:t xml:space="preserve">Kyte-Doolittle hydrophobicity scale</w:t>
            </w:r>
          </w:p>
        </w:tc>
      </w:tr>
      <w:tr>
        <w:tc>
          <w:tcPr/>
          <w:p>
            <w:pPr>
              <w:pStyle w:val="Compact"/>
            </w:pPr>
          </w:p>
        </w:tc>
        <w:tc>
          <w:tcPr/>
          <w:p>
            <w:pPr>
              <w:pStyle w:val="Compact"/>
              <w:jc w:val="left"/>
            </w:pPr>
            <w:r>
              <w:t xml:space="preserve">volume_ref/alt/diff</w:t>
            </w:r>
          </w:p>
        </w:tc>
        <w:tc>
          <w:tcPr/>
          <w:p>
            <w:pPr>
              <w:pStyle w:val="Compact"/>
              <w:jc w:val="left"/>
            </w:pPr>
            <w:r>
              <w:t xml:space="preserve">Amino acid side chain volume</w:t>
            </w:r>
          </w:p>
        </w:tc>
      </w:tr>
      <w:tr>
        <w:tc>
          <w:tcPr/>
          <w:p>
            <w:pPr>
              <w:pStyle w:val="Compact"/>
            </w:pPr>
          </w:p>
        </w:tc>
        <w:tc>
          <w:tcPr/>
          <w:p>
            <w:pPr>
              <w:pStyle w:val="Compact"/>
              <w:jc w:val="left"/>
            </w:pPr>
            <w:r>
              <w:t xml:space="preserve">charge_ref/alt/diff</w:t>
            </w:r>
          </w:p>
        </w:tc>
        <w:tc>
          <w:tcPr/>
          <w:p>
            <w:pPr>
              <w:pStyle w:val="Compact"/>
              <w:jc w:val="left"/>
            </w:pPr>
            <w:r>
              <w:t xml:space="preserve">Net charge at physiological pH</w:t>
            </w:r>
          </w:p>
        </w:tc>
      </w:tr>
      <w:tr>
        <w:tc>
          <w:tcPr/>
          <w:p>
            <w:pPr>
              <w:pStyle w:val="Compact"/>
            </w:pPr>
          </w:p>
        </w:tc>
        <w:tc>
          <w:tcPr/>
          <w:p>
            <w:pPr>
              <w:pStyle w:val="Compact"/>
              <w:jc w:val="left"/>
            </w:pPr>
            <w:r>
              <w:t xml:space="preserve">polarity_ref/alt/diff</w:t>
            </w:r>
          </w:p>
        </w:tc>
        <w:tc>
          <w:tcPr/>
          <w:p>
            <w:pPr>
              <w:pStyle w:val="Compact"/>
              <w:jc w:val="left"/>
            </w:pPr>
            <w:r>
              <w:t xml:space="preserve">Polar vs nonpolar classification</w:t>
            </w:r>
          </w:p>
        </w:tc>
      </w:tr>
      <w:tr>
        <w:tc>
          <w:tcPr/>
          <w:p>
            <w:pPr>
              <w:pStyle w:val="Compact"/>
            </w:pPr>
          </w:p>
        </w:tc>
        <w:tc>
          <w:tcPr/>
          <w:p>
            <w:pPr>
              <w:pStyle w:val="Compact"/>
              <w:jc w:val="left"/>
            </w:pPr>
            <w:r>
              <w:t xml:space="preserve">helix_propensity_ref/alt/diff</w:t>
            </w:r>
          </w:p>
        </w:tc>
        <w:tc>
          <w:tcPr/>
          <w:p>
            <w:pPr>
              <w:pStyle w:val="Compact"/>
              <w:jc w:val="left"/>
            </w:pPr>
            <w:r>
              <w:t xml:space="preserve">Alpha helix formation tendency</w:t>
            </w:r>
          </w:p>
        </w:tc>
      </w:tr>
      <w:tr>
        <w:tc>
          <w:tcPr/>
          <w:p>
            <w:pPr>
              <w:pStyle w:val="Compact"/>
              <w:jc w:val="left"/>
            </w:pPr>
            <w:r>
              <w:t xml:space="preserve">Substitution</w:t>
            </w:r>
          </w:p>
        </w:tc>
        <w:tc>
          <w:tcPr/>
          <w:p>
            <w:pPr>
              <w:pStyle w:val="Compact"/>
              <w:jc w:val="left"/>
            </w:pPr>
            <w:r>
              <w:t xml:space="preserve">blosum62_score</w:t>
            </w:r>
          </w:p>
        </w:tc>
        <w:tc>
          <w:tcPr/>
          <w:p>
            <w:pPr>
              <w:pStyle w:val="Compact"/>
              <w:jc w:val="left"/>
            </w:pPr>
            <w:r>
              <w:t xml:space="preserve">BLOSUM62 substitution matrix score</w:t>
            </w:r>
          </w:p>
        </w:tc>
      </w:tr>
      <w:tr>
        <w:tc>
          <w:tcPr/>
          <w:p>
            <w:pPr>
              <w:pStyle w:val="Compact"/>
            </w:pPr>
          </w:p>
        </w:tc>
        <w:tc>
          <w:tcPr/>
          <w:p>
            <w:pPr>
              <w:pStyle w:val="Compact"/>
              <w:jc w:val="left"/>
            </w:pPr>
            <w:r>
              <w:t xml:space="preserve">grantham_approx</w:t>
            </w:r>
          </w:p>
        </w:tc>
        <w:tc>
          <w:tcPr/>
          <w:p>
            <w:pPr>
              <w:pStyle w:val="Compact"/>
              <w:jc w:val="left"/>
            </w:pPr>
            <w:r>
              <w:t xml:space="preserve">Grantham distance approximation</w:t>
            </w:r>
          </w:p>
        </w:tc>
      </w:tr>
      <w:tr>
        <w:tc>
          <w:tcPr/>
          <w:p>
            <w:pPr>
              <w:pStyle w:val="Compact"/>
              <w:jc w:val="left"/>
            </w:pPr>
            <w:r>
              <w:t xml:space="preserve">Position</w:t>
            </w:r>
          </w:p>
        </w:tc>
        <w:tc>
          <w:tcPr/>
          <w:p>
            <w:pPr>
              <w:pStyle w:val="Compact"/>
              <w:jc w:val="left"/>
            </w:pPr>
            <w:r>
              <w:t xml:space="preserve">relative_position</w:t>
            </w:r>
          </w:p>
        </w:tc>
        <w:tc>
          <w:tcPr/>
          <w:p>
            <w:pPr>
              <w:pStyle w:val="Compact"/>
              <w:jc w:val="left"/>
            </w:pPr>
            <w:r>
              <w:t xml:space="preserve">Position normalized by protein length</w:t>
            </w:r>
          </w:p>
        </w:tc>
      </w:tr>
      <w:tr>
        <w:tc>
          <w:tcPr/>
          <w:p>
            <w:pPr>
              <w:pStyle w:val="Compact"/>
            </w:pPr>
          </w:p>
        </w:tc>
        <w:tc>
          <w:tcPr/>
          <w:p>
            <w:pPr>
              <w:pStyle w:val="Compact"/>
              <w:jc w:val="left"/>
            </w:pPr>
            <w:r>
              <w:t xml:space="preserve">dist_to_n_terminus</w:t>
            </w:r>
          </w:p>
        </w:tc>
        <w:tc>
          <w:tcPr/>
          <w:p>
            <w:pPr>
              <w:pStyle w:val="Compact"/>
              <w:jc w:val="left"/>
            </w:pPr>
            <w:r>
              <w:t xml:space="preserve">Distance to N-terminus (residues)</w:t>
            </w:r>
          </w:p>
        </w:tc>
      </w:tr>
      <w:tr>
        <w:tc>
          <w:tcPr/>
          <w:p>
            <w:pPr>
              <w:pStyle w:val="Compact"/>
            </w:pPr>
          </w:p>
        </w:tc>
        <w:tc>
          <w:tcPr/>
          <w:p>
            <w:pPr>
              <w:pStyle w:val="Compact"/>
              <w:jc w:val="left"/>
            </w:pPr>
            <w:r>
              <w:t xml:space="preserve">dist_to_c_terminus</w:t>
            </w:r>
          </w:p>
        </w:tc>
        <w:tc>
          <w:tcPr/>
          <w:p>
            <w:pPr>
              <w:pStyle w:val="Compact"/>
              <w:jc w:val="left"/>
            </w:pPr>
            <w:r>
              <w:t xml:space="preserve">Distance to C-terminus (residues)</w:t>
            </w:r>
          </w:p>
        </w:tc>
      </w:tr>
      <w:tr>
        <w:tc>
          <w:tcPr/>
          <w:p>
            <w:pPr>
              <w:pStyle w:val="Compact"/>
              <w:jc w:val="left"/>
            </w:pPr>
            <w:r>
              <w:t xml:space="preserve">Gene Constraint</w:t>
            </w:r>
          </w:p>
        </w:tc>
        <w:tc>
          <w:tcPr/>
          <w:p>
            <w:pPr>
              <w:pStyle w:val="Compact"/>
              <w:jc w:val="left"/>
            </w:pPr>
            <w:r>
              <w:t xml:space="preserve">oe_mis</w:t>
            </w:r>
          </w:p>
        </w:tc>
        <w:tc>
          <w:tcPr/>
          <w:p>
            <w:pPr>
              <w:pStyle w:val="Compact"/>
              <w:jc w:val="left"/>
            </w:pPr>
            <w:r>
              <w:t xml:space="preserve">Observed/expected missense ratio</w:t>
            </w:r>
          </w:p>
        </w:tc>
      </w:tr>
      <w:tr>
        <w:tc>
          <w:tcPr/>
          <w:p>
            <w:pPr>
              <w:pStyle w:val="Compact"/>
            </w:pPr>
          </w:p>
        </w:tc>
        <w:tc>
          <w:tcPr/>
          <w:p>
            <w:pPr>
              <w:pStyle w:val="Compact"/>
              <w:jc w:val="left"/>
            </w:pPr>
            <w:r>
              <w:t xml:space="preserve">oe_lof</w:t>
            </w:r>
          </w:p>
        </w:tc>
        <w:tc>
          <w:tcPr/>
          <w:p>
            <w:pPr>
              <w:pStyle w:val="Compact"/>
              <w:jc w:val="left"/>
            </w:pPr>
            <w:r>
              <w:t xml:space="preserve">Observed/expected LoF ratio</w:t>
            </w:r>
          </w:p>
        </w:tc>
      </w:tr>
      <w:tr>
        <w:tc>
          <w:tcPr/>
          <w:p>
            <w:pPr>
              <w:pStyle w:val="Compact"/>
            </w:pPr>
          </w:p>
        </w:tc>
        <w:tc>
          <w:tcPr/>
          <w:p>
            <w:pPr>
              <w:pStyle w:val="Compact"/>
              <w:jc w:val="left"/>
            </w:pPr>
            <w:r>
              <w:t xml:space="preserve">oe_lof_upper</w:t>
            </w:r>
          </w:p>
        </w:tc>
        <w:tc>
          <w:tcPr/>
          <w:p>
            <w:pPr>
              <w:pStyle w:val="Compact"/>
              <w:jc w:val="left"/>
            </w:pPr>
            <w:r>
              <w:t xml:space="preserve">Upper bound of oe_lof CI</w:t>
            </w:r>
          </w:p>
        </w:tc>
      </w:tr>
      <w:tr>
        <w:tc>
          <w:tcPr/>
          <w:p>
            <w:pPr>
              <w:pStyle w:val="Compact"/>
            </w:pPr>
          </w:p>
        </w:tc>
        <w:tc>
          <w:tcPr/>
          <w:p>
            <w:pPr>
              <w:pStyle w:val="Compact"/>
              <w:jc w:val="left"/>
            </w:pPr>
            <w:r>
              <w:t xml:space="preserve">pLI</w:t>
            </w:r>
          </w:p>
        </w:tc>
        <w:tc>
          <w:tcPr/>
          <w:p>
            <w:pPr>
              <w:pStyle w:val="Compact"/>
              <w:jc w:val="left"/>
            </w:pPr>
            <w:r>
              <w:t xml:space="preserve">Probability of LoF intolerance</w:t>
            </w:r>
          </w:p>
        </w:tc>
      </w:tr>
      <w:tr>
        <w:tc>
          <w:tcPr/>
          <w:p>
            <w:pPr>
              <w:pStyle w:val="Compact"/>
            </w:pPr>
          </w:p>
        </w:tc>
        <w:tc>
          <w:tcPr/>
          <w:p>
            <w:pPr>
              <w:pStyle w:val="Compact"/>
              <w:jc w:val="left"/>
            </w:pPr>
            <w:r>
              <w:t xml:space="preserve">mis_z</w:t>
            </w:r>
          </w:p>
        </w:tc>
        <w:tc>
          <w:tcPr/>
          <w:p>
            <w:pPr>
              <w:pStyle w:val="Compact"/>
              <w:jc w:val="left"/>
            </w:pPr>
            <w:r>
              <w:t xml:space="preserve">Missense Z-score</w:t>
            </w:r>
          </w:p>
        </w:tc>
      </w:tr>
      <w:tr>
        <w:tc>
          <w:tcPr/>
          <w:p>
            <w:pPr>
              <w:pStyle w:val="Compact"/>
              <w:jc w:val="left"/>
            </w:pPr>
            <w:r>
              <w:t xml:space="preserve">Structure</w:t>
            </w:r>
          </w:p>
        </w:tc>
        <w:tc>
          <w:tcPr/>
          <w:p>
            <w:pPr>
              <w:pStyle w:val="Compact"/>
              <w:jc w:val="left"/>
            </w:pPr>
            <w:r>
              <w:t xml:space="preserve">disorder_score</w:t>
            </w:r>
          </w:p>
        </w:tc>
        <w:tc>
          <w:tcPr/>
          <w:p>
            <w:pPr>
              <w:pStyle w:val="Compact"/>
              <w:jc w:val="left"/>
            </w:pPr>
            <w:r>
              <w:t xml:space="preserve">IUPred2A disorder prediction</w:t>
            </w:r>
          </w:p>
        </w:tc>
      </w:tr>
      <w:tr>
        <w:tc>
          <w:tcPr/>
          <w:p>
            <w:pPr>
              <w:pStyle w:val="Compact"/>
              <w:jc w:val="left"/>
            </w:pPr>
            <w:r>
              <w:t xml:space="preserve">External</w:t>
            </w:r>
          </w:p>
        </w:tc>
        <w:tc>
          <w:tcPr/>
          <w:p>
            <w:pPr>
              <w:pStyle w:val="Compact"/>
              <w:jc w:val="left"/>
            </w:pPr>
            <w:r>
              <w:t xml:space="preserve">alphamissense_score</w:t>
            </w:r>
          </w:p>
        </w:tc>
        <w:tc>
          <w:tcPr/>
          <w:p>
            <w:pPr>
              <w:pStyle w:val="Compact"/>
              <w:jc w:val="left"/>
            </w:pPr>
            <w:r>
              <w:t xml:space="preserve">AlphaMissense pathogenicity score</w:t>
            </w:r>
          </w:p>
        </w:tc>
      </w:tr>
    </w:tbl>
    <w:p>
      <w:pPr>
        <w:pStyle w:val="BodyText"/>
      </w:pPr>
      <w:r>
        <w:t xml:space="preserve">Note: ESM-2 embeddings (1,280 dimensions) are not listed individually.</w:t>
      </w:r>
    </w:p>
    <w:bookmarkEnd w:id="21"/>
    <w:bookmarkStart w:id="22" w:name="X4a0c767dda401c3dd74c7d339fb69735ba88777"/>
    <w:p>
      <w:pPr>
        <w:pStyle w:val="Heading3"/>
      </w:pPr>
      <w:r>
        <w:t xml:space="preserve">Supplementary Table S3. XGBoost model hyperparameters.</w:t>
      </w:r>
    </w:p>
    <w:tbl>
      <w:tblPr>
        <w:tblStyle w:val="Table"/>
        <w:tblW w:type="auto" w:w="0"/>
        <w:tblLook w:firstRow="1" w:lastRow="0" w:firstColumn="0" w:lastColumn="0" w:noHBand="0" w:noVBand="0" w:val="0020"/>
        <w:jc w:val="start"/>
      </w:tblPr>
      <w:tblGrid>
        <w:gridCol w:w="2640"/>
        <w:gridCol w:w="2640"/>
        <w:gridCol w:w="2640"/>
      </w:tblGrid>
      <w:tr>
        <w:trPr>
          <w:tblHeader w:val="true"/>
        </w:trPr>
        <w:tc>
          <w:tcPr/>
          <w:p>
            <w:pPr>
              <w:pStyle w:val="Compact"/>
              <w:jc w:val="left"/>
            </w:pPr>
            <w:r>
              <w:t xml:space="preserve">Parameter</w:t>
            </w:r>
          </w:p>
        </w:tc>
        <w:tc>
          <w:tcPr/>
          <w:p>
            <w:pPr>
              <w:pStyle w:val="Compact"/>
              <w:jc w:val="left"/>
            </w:pPr>
            <w:r>
              <w:t xml:space="preserve">Value</w:t>
            </w:r>
          </w:p>
        </w:tc>
        <w:tc>
          <w:tcPr/>
          <w:p>
            <w:pPr>
              <w:pStyle w:val="Compact"/>
              <w:jc w:val="left"/>
            </w:pPr>
            <w:r>
              <w:t xml:space="preserve">Rationale</w:t>
            </w:r>
          </w:p>
        </w:tc>
      </w:tr>
      <w:tr>
        <w:tc>
          <w:tcPr/>
          <w:p>
            <w:pPr>
              <w:pStyle w:val="Compact"/>
              <w:jc w:val="left"/>
            </w:pPr>
            <w:r>
              <w:t xml:space="preserve">n_estimators</w:t>
            </w:r>
          </w:p>
        </w:tc>
        <w:tc>
          <w:tcPr/>
          <w:p>
            <w:pPr>
              <w:pStyle w:val="Compact"/>
              <w:jc w:val="left"/>
            </w:pPr>
            <w:r>
              <w:t xml:space="preserve">500</w:t>
            </w:r>
          </w:p>
        </w:tc>
        <w:tc>
          <w:tcPr/>
          <w:p>
            <w:pPr>
              <w:pStyle w:val="Compact"/>
              <w:jc w:val="left"/>
            </w:pPr>
            <w:r>
              <w:t xml:space="preserve">Maximum trees with early stopping</w:t>
            </w:r>
          </w:p>
        </w:tc>
      </w:tr>
      <w:tr>
        <w:tc>
          <w:tcPr/>
          <w:p>
            <w:pPr>
              <w:pStyle w:val="Compact"/>
              <w:jc w:val="left"/>
            </w:pPr>
            <w:r>
              <w:t xml:space="preserve">max_depth</w:t>
            </w:r>
          </w:p>
        </w:tc>
        <w:tc>
          <w:tcPr/>
          <w:p>
            <w:pPr>
              <w:pStyle w:val="Compact"/>
              <w:jc w:val="left"/>
            </w:pPr>
            <w:r>
              <w:t xml:space="preserve">6</w:t>
            </w:r>
          </w:p>
        </w:tc>
        <w:tc>
          <w:tcPr/>
          <w:p>
            <w:pPr>
              <w:pStyle w:val="Compact"/>
              <w:jc w:val="left"/>
            </w:pPr>
            <w:r>
              <w:t xml:space="preserve">Moderate depth to prevent overfitting</w:t>
            </w:r>
          </w:p>
        </w:tc>
      </w:tr>
      <w:tr>
        <w:tc>
          <w:tcPr/>
          <w:p>
            <w:pPr>
              <w:pStyle w:val="Compact"/>
              <w:jc w:val="left"/>
            </w:pPr>
            <w:r>
              <w:t xml:space="preserve">learning_rate</w:t>
            </w:r>
          </w:p>
        </w:tc>
        <w:tc>
          <w:tcPr/>
          <w:p>
            <w:pPr>
              <w:pStyle w:val="Compact"/>
              <w:jc w:val="left"/>
            </w:pPr>
            <w:r>
              <w:t xml:space="preserve">0.05</w:t>
            </w:r>
          </w:p>
        </w:tc>
        <w:tc>
          <w:tcPr/>
          <w:p>
            <w:pPr>
              <w:pStyle w:val="Compact"/>
              <w:jc w:val="left"/>
            </w:pPr>
            <w:r>
              <w:t xml:space="preserve">Conservative learning rate</w:t>
            </w:r>
          </w:p>
        </w:tc>
      </w:tr>
      <w:tr>
        <w:tc>
          <w:tcPr/>
          <w:p>
            <w:pPr>
              <w:pStyle w:val="Compact"/>
              <w:jc w:val="left"/>
            </w:pPr>
            <w:r>
              <w:t xml:space="preserve">subsample</w:t>
            </w:r>
          </w:p>
        </w:tc>
        <w:tc>
          <w:tcPr/>
          <w:p>
            <w:pPr>
              <w:pStyle w:val="Compact"/>
              <w:jc w:val="left"/>
            </w:pPr>
            <w:r>
              <w:t xml:space="preserve">0.8</w:t>
            </w:r>
          </w:p>
        </w:tc>
        <w:tc>
          <w:tcPr/>
          <w:p>
            <w:pPr>
              <w:pStyle w:val="Compact"/>
              <w:jc w:val="left"/>
            </w:pPr>
            <w:r>
              <w:t xml:space="preserve">Row subsampling for regularization</w:t>
            </w:r>
          </w:p>
        </w:tc>
      </w:tr>
      <w:tr>
        <w:tc>
          <w:tcPr/>
          <w:p>
            <w:pPr>
              <w:pStyle w:val="Compact"/>
              <w:jc w:val="left"/>
            </w:pPr>
            <w:r>
              <w:t xml:space="preserve">colsample_bytree</w:t>
            </w:r>
          </w:p>
        </w:tc>
        <w:tc>
          <w:tcPr/>
          <w:p>
            <w:pPr>
              <w:pStyle w:val="Compact"/>
              <w:jc w:val="left"/>
            </w:pPr>
            <w:r>
              <w:t xml:space="preserve">0.8</w:t>
            </w:r>
          </w:p>
        </w:tc>
        <w:tc>
          <w:tcPr/>
          <w:p>
            <w:pPr>
              <w:pStyle w:val="Compact"/>
              <w:jc w:val="left"/>
            </w:pPr>
            <w:r>
              <w:t xml:space="preserve">Feature subsampling per tree</w:t>
            </w:r>
          </w:p>
        </w:tc>
      </w:tr>
      <w:tr>
        <w:tc>
          <w:tcPr/>
          <w:p>
            <w:pPr>
              <w:pStyle w:val="Compact"/>
              <w:jc w:val="left"/>
            </w:pPr>
            <w:r>
              <w:t xml:space="preserve">early_stopping_rounds</w:t>
            </w:r>
          </w:p>
        </w:tc>
        <w:tc>
          <w:tcPr/>
          <w:p>
            <w:pPr>
              <w:pStyle w:val="Compact"/>
              <w:jc w:val="left"/>
            </w:pPr>
            <w:r>
              <w:t xml:space="preserve">50</w:t>
            </w:r>
          </w:p>
        </w:tc>
        <w:tc>
          <w:tcPr/>
          <w:p>
            <w:pPr>
              <w:pStyle w:val="Compact"/>
              <w:jc w:val="left"/>
            </w:pPr>
            <w:r>
              <w:t xml:space="preserve">Stop if no improvement for 50 rounds</w:t>
            </w:r>
          </w:p>
        </w:tc>
      </w:tr>
      <w:tr>
        <w:tc>
          <w:tcPr/>
          <w:p>
            <w:pPr>
              <w:pStyle w:val="Compact"/>
              <w:jc w:val="left"/>
            </w:pPr>
            <w:r>
              <w:t xml:space="preserve">scale_pos_weight</w:t>
            </w:r>
          </w:p>
        </w:tc>
        <w:tc>
          <w:tcPr/>
          <w:p>
            <w:pPr>
              <w:pStyle w:val="Compact"/>
              <w:jc w:val="left"/>
            </w:pPr>
            <w:r>
              <w:t xml:space="preserve">1.60</w:t>
            </w:r>
          </w:p>
        </w:tc>
        <w:tc>
          <w:tcPr/>
          <w:p>
            <w:pPr>
              <w:pStyle w:val="Compact"/>
              <w:jc w:val="left"/>
            </w:pPr>
            <w:r>
              <w:t xml:space="preserve">Adjusted for class imbalance (61.5%/38.5%)</w:t>
            </w:r>
          </w:p>
        </w:tc>
      </w:tr>
      <w:tr>
        <w:tc>
          <w:tcPr/>
          <w:p>
            <w:pPr>
              <w:pStyle w:val="Compact"/>
              <w:jc w:val="left"/>
            </w:pPr>
            <w:r>
              <w:t xml:space="preserve">objective</w:t>
            </w:r>
          </w:p>
        </w:tc>
        <w:tc>
          <w:tcPr/>
          <w:p>
            <w:pPr>
              <w:pStyle w:val="Compact"/>
              <w:jc w:val="left"/>
            </w:pPr>
            <w:r>
              <w:t xml:space="preserve">binary:logistic</w:t>
            </w:r>
          </w:p>
        </w:tc>
        <w:tc>
          <w:tcPr/>
          <w:p>
            <w:pPr>
              <w:pStyle w:val="Compact"/>
              <w:jc w:val="left"/>
            </w:pPr>
            <w:r>
              <w:t xml:space="preserve">Probability output for calibration</w:t>
            </w:r>
          </w:p>
        </w:tc>
      </w:tr>
      <w:tr>
        <w:tc>
          <w:tcPr/>
          <w:p>
            <w:pPr>
              <w:pStyle w:val="Compact"/>
              <w:jc w:val="left"/>
            </w:pPr>
            <w:r>
              <w:t xml:space="preserve">eval_metric</w:t>
            </w:r>
          </w:p>
        </w:tc>
        <w:tc>
          <w:tcPr/>
          <w:p>
            <w:pPr>
              <w:pStyle w:val="Compact"/>
              <w:jc w:val="left"/>
            </w:pPr>
            <w:r>
              <w:t xml:space="preserve">auc</w:t>
            </w:r>
          </w:p>
        </w:tc>
        <w:tc>
          <w:tcPr/>
          <w:p>
            <w:pPr>
              <w:pStyle w:val="Compact"/>
              <w:jc w:val="left"/>
            </w:pPr>
            <w:r>
              <w:t xml:space="preserve">Optimize for discrimination</w:t>
            </w:r>
          </w:p>
        </w:tc>
      </w:tr>
    </w:tbl>
    <w:bookmarkEnd w:id="22"/>
    <w:bookmarkStart w:id="23" w:name="X32e0f988bf0f719c32d6f0e485e3e56202476c9"/>
    <w:p>
      <w:pPr>
        <w:pStyle w:val="Heading3"/>
      </w:pPr>
      <w:r>
        <w:t xml:space="preserve">Supplementary Table S4. Top 25 features ranked by SHAP importance.</w:t>
      </w:r>
    </w:p>
    <w:tbl>
      <w:tblPr>
        <w:tblStyle w:val="Table"/>
        <w:tblW w:type="auto" w:w="0"/>
        <w:tblLook w:firstRow="1" w:lastRow="0" w:firstColumn="0" w:lastColumn="0" w:noHBand="0" w:noVBand="0" w:val="0020"/>
        <w:jc w:val="start"/>
      </w:tblPr>
      <w:tblGrid>
        <w:gridCol w:w="1584"/>
        <w:gridCol w:w="1584"/>
        <w:gridCol w:w="1584"/>
        <w:gridCol w:w="1584"/>
        <w:gridCol w:w="1584"/>
      </w:tblGrid>
      <w:tr>
        <w:trPr>
          <w:tblHeader w:val="true"/>
        </w:trPr>
        <w:tc>
          <w:tcPr/>
          <w:p>
            <w:pPr>
              <w:pStyle w:val="Compact"/>
              <w:jc w:val="left"/>
            </w:pPr>
            <w:r>
              <w:t xml:space="preserve">Rank</w:t>
            </w:r>
          </w:p>
        </w:tc>
        <w:tc>
          <w:tcPr/>
          <w:p>
            <w:pPr>
              <w:pStyle w:val="Compact"/>
              <w:jc w:val="left"/>
            </w:pPr>
            <w:r>
              <w:t xml:space="preserve">Feature</w:t>
            </w:r>
          </w:p>
        </w:tc>
        <w:tc>
          <w:tcPr/>
          <w:p>
            <w:pPr>
              <w:pStyle w:val="Compact"/>
              <w:jc w:val="left"/>
            </w:pPr>
            <w:r>
              <w:t xml:space="preserve">Category</w:t>
            </w:r>
          </w:p>
        </w:tc>
        <w:tc>
          <w:tcPr/>
          <w:p>
            <w:pPr>
              <w:pStyle w:val="Compact"/>
              <w:jc w:val="left"/>
            </w:pPr>
            <w:r>
              <w:t xml:space="preserve">Mean |SHAP|</w:t>
            </w:r>
          </w:p>
        </w:tc>
        <w:tc>
          <w:tcPr/>
          <w:p>
            <w:pPr>
              <w:pStyle w:val="Compact"/>
              <w:jc w:val="left"/>
            </w:pPr>
            <w:r>
              <w:t xml:space="preserve">Contribution</w:t>
            </w:r>
          </w:p>
        </w:tc>
      </w:tr>
      <w:tr>
        <w:tc>
          <w:tcPr/>
          <w:p>
            <w:pPr>
              <w:pStyle w:val="Compact"/>
              <w:jc w:val="left"/>
            </w:pPr>
            <w:r>
              <w:t xml:space="preserve">1</w:t>
            </w:r>
          </w:p>
        </w:tc>
        <w:tc>
          <w:tcPr/>
          <w:p>
            <w:pPr>
              <w:pStyle w:val="Compact"/>
              <w:jc w:val="left"/>
            </w:pPr>
            <w:r>
              <w:t xml:space="preserve">esm_234</w:t>
            </w:r>
          </w:p>
        </w:tc>
        <w:tc>
          <w:tcPr/>
          <w:p>
            <w:pPr>
              <w:pStyle w:val="Compact"/>
              <w:jc w:val="left"/>
            </w:pPr>
            <w:r>
              <w:t xml:space="preserve">ESM Embedding</w:t>
            </w:r>
          </w:p>
        </w:tc>
        <w:tc>
          <w:tcPr/>
          <w:p>
            <w:pPr>
              <w:pStyle w:val="Compact"/>
              <w:jc w:val="left"/>
            </w:pPr>
            <w:r>
              <w:t xml:space="preserve">0.0165</w:t>
            </w:r>
          </w:p>
        </w:tc>
        <w:tc>
          <w:tcPr/>
          <w:p>
            <w:pPr>
              <w:pStyle w:val="Compact"/>
              <w:jc w:val="left"/>
            </w:pPr>
            <w:r>
              <w:t xml:space="preserve">1.7%</w:t>
            </w:r>
          </w:p>
        </w:tc>
      </w:tr>
      <w:tr>
        <w:tc>
          <w:tcPr/>
          <w:p>
            <w:pPr>
              <w:pStyle w:val="Compact"/>
              <w:jc w:val="left"/>
            </w:pPr>
            <w:r>
              <w:t xml:space="preserve">2</w:t>
            </w:r>
          </w:p>
        </w:tc>
        <w:tc>
          <w:tcPr/>
          <w:p>
            <w:pPr>
              <w:pStyle w:val="Compact"/>
              <w:jc w:val="left"/>
            </w:pPr>
            <w:r>
              <w:t xml:space="preserve">esm_478</w:t>
            </w:r>
          </w:p>
        </w:tc>
        <w:tc>
          <w:tcPr/>
          <w:p>
            <w:pPr>
              <w:pStyle w:val="Compact"/>
              <w:jc w:val="left"/>
            </w:pPr>
            <w:r>
              <w:t xml:space="preserve">ESM Embedding</w:t>
            </w:r>
          </w:p>
        </w:tc>
        <w:tc>
          <w:tcPr/>
          <w:p>
            <w:pPr>
              <w:pStyle w:val="Compact"/>
              <w:jc w:val="left"/>
            </w:pPr>
            <w:r>
              <w:t xml:space="preserve">0.0123</w:t>
            </w:r>
          </w:p>
        </w:tc>
        <w:tc>
          <w:tcPr/>
          <w:p>
            <w:pPr>
              <w:pStyle w:val="Compact"/>
              <w:jc w:val="left"/>
            </w:pPr>
            <w:r>
              <w:t xml:space="preserve">1.3%</w:t>
            </w:r>
          </w:p>
        </w:tc>
      </w:tr>
      <w:tr>
        <w:tc>
          <w:tcPr/>
          <w:p>
            <w:pPr>
              <w:pStyle w:val="Compact"/>
              <w:jc w:val="left"/>
            </w:pPr>
            <w:r>
              <w:t xml:space="preserve">3</w:t>
            </w:r>
          </w:p>
        </w:tc>
        <w:tc>
          <w:tcPr/>
          <w:p>
            <w:pPr>
              <w:pStyle w:val="Compact"/>
              <w:jc w:val="left"/>
            </w:pPr>
            <w:r>
              <w:t xml:space="preserve">oe_mis</w:t>
            </w:r>
          </w:p>
        </w:tc>
        <w:tc>
          <w:tcPr/>
          <w:p>
            <w:pPr>
              <w:pStyle w:val="Compact"/>
              <w:jc w:val="left"/>
            </w:pPr>
            <w:r>
              <w:t xml:space="preserve">Gene Constraint</w:t>
            </w:r>
          </w:p>
        </w:tc>
        <w:tc>
          <w:tcPr/>
          <w:p>
            <w:pPr>
              <w:pStyle w:val="Compact"/>
              <w:jc w:val="left"/>
            </w:pPr>
            <w:r>
              <w:t xml:space="preserve">0.0098</w:t>
            </w:r>
          </w:p>
        </w:tc>
        <w:tc>
          <w:tcPr/>
          <w:p>
            <w:pPr>
              <w:pStyle w:val="Compact"/>
              <w:jc w:val="left"/>
            </w:pPr>
            <w:r>
              <w:t xml:space="preserve">1.0%</w:t>
            </w:r>
          </w:p>
        </w:tc>
      </w:tr>
      <w:tr>
        <w:tc>
          <w:tcPr/>
          <w:p>
            <w:pPr>
              <w:pStyle w:val="Compact"/>
              <w:jc w:val="left"/>
            </w:pPr>
            <w:r>
              <w:t xml:space="preserve">4</w:t>
            </w:r>
          </w:p>
        </w:tc>
        <w:tc>
          <w:tcPr/>
          <w:p>
            <w:pPr>
              <w:pStyle w:val="Compact"/>
              <w:jc w:val="left"/>
            </w:pPr>
            <w:r>
              <w:t xml:space="preserve">esm_226</w:t>
            </w:r>
          </w:p>
        </w:tc>
        <w:tc>
          <w:tcPr/>
          <w:p>
            <w:pPr>
              <w:pStyle w:val="Compact"/>
              <w:jc w:val="left"/>
            </w:pPr>
            <w:r>
              <w:t xml:space="preserve">ESM Embedding</w:t>
            </w:r>
          </w:p>
        </w:tc>
        <w:tc>
          <w:tcPr/>
          <w:p>
            <w:pPr>
              <w:pStyle w:val="Compact"/>
              <w:jc w:val="left"/>
            </w:pPr>
            <w:r>
              <w:t xml:space="preserve">0.0092</w:t>
            </w:r>
          </w:p>
        </w:tc>
        <w:tc>
          <w:tcPr/>
          <w:p>
            <w:pPr>
              <w:pStyle w:val="Compact"/>
              <w:jc w:val="left"/>
            </w:pPr>
            <w:r>
              <w:t xml:space="preserve">0.9%</w:t>
            </w:r>
          </w:p>
        </w:tc>
      </w:tr>
      <w:tr>
        <w:tc>
          <w:tcPr/>
          <w:p>
            <w:pPr>
              <w:pStyle w:val="Compact"/>
              <w:jc w:val="left"/>
            </w:pPr>
            <w:r>
              <w:t xml:space="preserve">5</w:t>
            </w:r>
          </w:p>
        </w:tc>
        <w:tc>
          <w:tcPr/>
          <w:p>
            <w:pPr>
              <w:pStyle w:val="Compact"/>
              <w:jc w:val="left"/>
            </w:pPr>
            <w:r>
              <w:t xml:space="preserve">esm_1081</w:t>
            </w:r>
          </w:p>
        </w:tc>
        <w:tc>
          <w:tcPr/>
          <w:p>
            <w:pPr>
              <w:pStyle w:val="Compact"/>
              <w:jc w:val="left"/>
            </w:pPr>
            <w:r>
              <w:t xml:space="preserve">ESM Embedding</w:t>
            </w:r>
          </w:p>
        </w:tc>
        <w:tc>
          <w:tcPr/>
          <w:p>
            <w:pPr>
              <w:pStyle w:val="Compact"/>
              <w:jc w:val="left"/>
            </w:pPr>
            <w:r>
              <w:t xml:space="preserve">0.0089</w:t>
            </w:r>
          </w:p>
        </w:tc>
        <w:tc>
          <w:tcPr/>
          <w:p>
            <w:pPr>
              <w:pStyle w:val="Compact"/>
              <w:jc w:val="left"/>
            </w:pPr>
            <w:r>
              <w:t xml:space="preserve">0.9%</w:t>
            </w:r>
          </w:p>
        </w:tc>
      </w:tr>
      <w:tr>
        <w:tc>
          <w:tcPr/>
          <w:p>
            <w:pPr>
              <w:pStyle w:val="Compact"/>
              <w:jc w:val="left"/>
            </w:pPr>
            <w:r>
              <w:t xml:space="preserve">6</w:t>
            </w:r>
          </w:p>
        </w:tc>
        <w:tc>
          <w:tcPr/>
          <w:p>
            <w:pPr>
              <w:pStyle w:val="Compact"/>
              <w:jc w:val="left"/>
            </w:pPr>
            <w:r>
              <w:t xml:space="preserve">alphamissense_score</w:t>
            </w:r>
          </w:p>
        </w:tc>
        <w:tc>
          <w:tcPr/>
          <w:p>
            <w:pPr>
              <w:pStyle w:val="Compact"/>
              <w:jc w:val="left"/>
            </w:pPr>
            <w:r>
              <w:t xml:space="preserve">External</w:t>
            </w:r>
          </w:p>
        </w:tc>
        <w:tc>
          <w:tcPr/>
          <w:p>
            <w:pPr>
              <w:pStyle w:val="Compact"/>
              <w:jc w:val="left"/>
            </w:pPr>
            <w:r>
              <w:t xml:space="preserve">0.0086</w:t>
            </w:r>
          </w:p>
        </w:tc>
        <w:tc>
          <w:tcPr/>
          <w:p>
            <w:pPr>
              <w:pStyle w:val="Compact"/>
              <w:jc w:val="left"/>
            </w:pPr>
            <w:r>
              <w:t xml:space="preserve">0.9%</w:t>
            </w:r>
          </w:p>
        </w:tc>
      </w:tr>
      <w:tr>
        <w:tc>
          <w:tcPr/>
          <w:p>
            <w:pPr>
              <w:pStyle w:val="Compact"/>
              <w:jc w:val="left"/>
            </w:pPr>
            <w:r>
              <w:t xml:space="preserve">7</w:t>
            </w:r>
          </w:p>
        </w:tc>
        <w:tc>
          <w:tcPr/>
          <w:p>
            <w:pPr>
              <w:pStyle w:val="Compact"/>
              <w:jc w:val="left"/>
            </w:pPr>
            <w:r>
              <w:t xml:space="preserve">pLI</w:t>
            </w:r>
          </w:p>
        </w:tc>
        <w:tc>
          <w:tcPr/>
          <w:p>
            <w:pPr>
              <w:pStyle w:val="Compact"/>
              <w:jc w:val="left"/>
            </w:pPr>
            <w:r>
              <w:t xml:space="preserve">Gene Constraint</w:t>
            </w:r>
          </w:p>
        </w:tc>
        <w:tc>
          <w:tcPr/>
          <w:p>
            <w:pPr>
              <w:pStyle w:val="Compact"/>
              <w:jc w:val="left"/>
            </w:pPr>
            <w:r>
              <w:t xml:space="preserve">0.0072</w:t>
            </w:r>
          </w:p>
        </w:tc>
        <w:tc>
          <w:tcPr/>
          <w:p>
            <w:pPr>
              <w:pStyle w:val="Compact"/>
              <w:jc w:val="left"/>
            </w:pPr>
            <w:r>
              <w:t xml:space="preserve">0.7%</w:t>
            </w:r>
          </w:p>
        </w:tc>
      </w:tr>
      <w:tr>
        <w:tc>
          <w:tcPr/>
          <w:p>
            <w:pPr>
              <w:pStyle w:val="Compact"/>
              <w:jc w:val="left"/>
            </w:pPr>
            <w:r>
              <w:t xml:space="preserve">8</w:t>
            </w:r>
          </w:p>
        </w:tc>
        <w:tc>
          <w:tcPr/>
          <w:p>
            <w:pPr>
              <w:pStyle w:val="Compact"/>
              <w:jc w:val="left"/>
            </w:pPr>
            <w:r>
              <w:t xml:space="preserve">grantham_approx</w:t>
            </w:r>
          </w:p>
        </w:tc>
        <w:tc>
          <w:tcPr/>
          <w:p>
            <w:pPr>
              <w:pStyle w:val="Compact"/>
              <w:jc w:val="left"/>
            </w:pPr>
            <w:r>
              <w:t xml:space="preserve">Substitution</w:t>
            </w:r>
          </w:p>
        </w:tc>
        <w:tc>
          <w:tcPr/>
          <w:p>
            <w:pPr>
              <w:pStyle w:val="Compact"/>
              <w:jc w:val="left"/>
            </w:pPr>
            <w:r>
              <w:t xml:space="preserve">0.0068</w:t>
            </w:r>
          </w:p>
        </w:tc>
        <w:tc>
          <w:tcPr/>
          <w:p>
            <w:pPr>
              <w:pStyle w:val="Compact"/>
              <w:jc w:val="left"/>
            </w:pPr>
            <w:r>
              <w:t xml:space="preserve">0.7%</w:t>
            </w:r>
          </w:p>
        </w:tc>
      </w:tr>
      <w:tr>
        <w:tc>
          <w:tcPr/>
          <w:p>
            <w:pPr>
              <w:pStyle w:val="Compact"/>
              <w:jc w:val="left"/>
            </w:pPr>
            <w:r>
              <w:t xml:space="preserve">9</w:t>
            </w:r>
          </w:p>
        </w:tc>
        <w:tc>
          <w:tcPr/>
          <w:p>
            <w:pPr>
              <w:pStyle w:val="Compact"/>
              <w:jc w:val="left"/>
            </w:pPr>
            <w:r>
              <w:t xml:space="preserve">esm_1160</w:t>
            </w:r>
          </w:p>
        </w:tc>
        <w:tc>
          <w:tcPr/>
          <w:p>
            <w:pPr>
              <w:pStyle w:val="Compact"/>
              <w:jc w:val="left"/>
            </w:pPr>
            <w:r>
              <w:t xml:space="preserve">ESM Embedding</w:t>
            </w:r>
          </w:p>
        </w:tc>
        <w:tc>
          <w:tcPr/>
          <w:p>
            <w:pPr>
              <w:pStyle w:val="Compact"/>
              <w:jc w:val="left"/>
            </w:pPr>
            <w:r>
              <w:t xml:space="preserve">0.0054</w:t>
            </w:r>
          </w:p>
        </w:tc>
        <w:tc>
          <w:tcPr/>
          <w:p>
            <w:pPr>
              <w:pStyle w:val="Compact"/>
              <w:jc w:val="left"/>
            </w:pPr>
            <w:r>
              <w:t xml:space="preserve">0.6%</w:t>
            </w:r>
          </w:p>
        </w:tc>
      </w:tr>
      <w:tr>
        <w:tc>
          <w:tcPr/>
          <w:p>
            <w:pPr>
              <w:pStyle w:val="Compact"/>
              <w:jc w:val="left"/>
            </w:pPr>
            <w:r>
              <w:t xml:space="preserve">10</w:t>
            </w:r>
          </w:p>
        </w:tc>
        <w:tc>
          <w:tcPr/>
          <w:p>
            <w:pPr>
              <w:pStyle w:val="Compact"/>
              <w:jc w:val="left"/>
            </w:pPr>
            <w:r>
              <w:t xml:space="preserve">disorder_score</w:t>
            </w:r>
          </w:p>
        </w:tc>
        <w:tc>
          <w:tcPr/>
          <w:p>
            <w:pPr>
              <w:pStyle w:val="Compact"/>
              <w:jc w:val="left"/>
            </w:pPr>
            <w:r>
              <w:t xml:space="preserve">Structure</w:t>
            </w:r>
          </w:p>
        </w:tc>
        <w:tc>
          <w:tcPr/>
          <w:p>
            <w:pPr>
              <w:pStyle w:val="Compact"/>
              <w:jc w:val="left"/>
            </w:pPr>
            <w:r>
              <w:t xml:space="preserve">0.0052</w:t>
            </w:r>
          </w:p>
        </w:tc>
        <w:tc>
          <w:tcPr/>
          <w:p>
            <w:pPr>
              <w:pStyle w:val="Compact"/>
              <w:jc w:val="left"/>
            </w:pPr>
            <w:r>
              <w:t xml:space="preserve">0.5%</w:t>
            </w:r>
          </w:p>
        </w:tc>
      </w:tr>
      <w:tr>
        <w:tc>
          <w:tcPr/>
          <w:p>
            <w:pPr>
              <w:pStyle w:val="Compact"/>
              <w:jc w:val="left"/>
            </w:pPr>
            <w:r>
              <w:t xml:space="preserve">11</w:t>
            </w:r>
          </w:p>
        </w:tc>
        <w:tc>
          <w:tcPr/>
          <w:p>
            <w:pPr>
              <w:pStyle w:val="Compact"/>
              <w:jc w:val="left"/>
            </w:pPr>
            <w:r>
              <w:t xml:space="preserve">hydrophobicity_diff</w:t>
            </w:r>
          </w:p>
        </w:tc>
        <w:tc>
          <w:tcPr/>
          <w:p>
            <w:pPr>
              <w:pStyle w:val="Compact"/>
              <w:jc w:val="left"/>
            </w:pPr>
            <w:r>
              <w:t xml:space="preserve">Amino Acid</w:t>
            </w:r>
          </w:p>
        </w:tc>
        <w:tc>
          <w:tcPr/>
          <w:p>
            <w:pPr>
              <w:pStyle w:val="Compact"/>
              <w:jc w:val="left"/>
            </w:pPr>
            <w:r>
              <w:t xml:space="preserve">0.0048</w:t>
            </w:r>
          </w:p>
        </w:tc>
        <w:tc>
          <w:tcPr/>
          <w:p>
            <w:pPr>
              <w:pStyle w:val="Compact"/>
              <w:jc w:val="left"/>
            </w:pPr>
            <w:r>
              <w:t xml:space="preserve">0.5%</w:t>
            </w:r>
          </w:p>
        </w:tc>
      </w:tr>
      <w:tr>
        <w:tc>
          <w:tcPr/>
          <w:p>
            <w:pPr>
              <w:pStyle w:val="Compact"/>
              <w:jc w:val="left"/>
            </w:pPr>
            <w:r>
              <w:t xml:space="preserve">12</w:t>
            </w:r>
          </w:p>
        </w:tc>
        <w:tc>
          <w:tcPr/>
          <w:p>
            <w:pPr>
              <w:pStyle w:val="Compact"/>
              <w:jc w:val="left"/>
            </w:pPr>
            <w:r>
              <w:t xml:space="preserve">blosum62_score</w:t>
            </w:r>
          </w:p>
        </w:tc>
        <w:tc>
          <w:tcPr/>
          <w:p>
            <w:pPr>
              <w:pStyle w:val="Compact"/>
              <w:jc w:val="left"/>
            </w:pPr>
            <w:r>
              <w:t xml:space="preserve">Substitution</w:t>
            </w:r>
          </w:p>
        </w:tc>
        <w:tc>
          <w:tcPr/>
          <w:p>
            <w:pPr>
              <w:pStyle w:val="Compact"/>
              <w:jc w:val="left"/>
            </w:pPr>
            <w:r>
              <w:t xml:space="preserve">0.0045</w:t>
            </w:r>
          </w:p>
        </w:tc>
        <w:tc>
          <w:tcPr/>
          <w:p>
            <w:pPr>
              <w:pStyle w:val="Compact"/>
              <w:jc w:val="left"/>
            </w:pPr>
            <w:r>
              <w:t xml:space="preserve">0.5%</w:t>
            </w:r>
          </w:p>
        </w:tc>
      </w:tr>
      <w:tr>
        <w:tc>
          <w:tcPr/>
          <w:p>
            <w:pPr>
              <w:pStyle w:val="Compact"/>
              <w:jc w:val="left"/>
            </w:pPr>
            <w:r>
              <w:t xml:space="preserve">13</w:t>
            </w:r>
          </w:p>
        </w:tc>
        <w:tc>
          <w:tcPr/>
          <w:p>
            <w:pPr>
              <w:pStyle w:val="Compact"/>
              <w:jc w:val="left"/>
            </w:pPr>
            <w:r>
              <w:t xml:space="preserve">esm_104</w:t>
            </w:r>
          </w:p>
        </w:tc>
        <w:tc>
          <w:tcPr/>
          <w:p>
            <w:pPr>
              <w:pStyle w:val="Compact"/>
              <w:jc w:val="left"/>
            </w:pPr>
            <w:r>
              <w:t xml:space="preserve">ESM Embedding</w:t>
            </w:r>
          </w:p>
        </w:tc>
        <w:tc>
          <w:tcPr/>
          <w:p>
            <w:pPr>
              <w:pStyle w:val="Compact"/>
              <w:jc w:val="left"/>
            </w:pPr>
            <w:r>
              <w:t xml:space="preserve">0.0046</w:t>
            </w:r>
          </w:p>
        </w:tc>
        <w:tc>
          <w:tcPr/>
          <w:p>
            <w:pPr>
              <w:pStyle w:val="Compact"/>
              <w:jc w:val="left"/>
            </w:pPr>
            <w:r>
              <w:t xml:space="preserve">0.5%</w:t>
            </w:r>
          </w:p>
        </w:tc>
      </w:tr>
      <w:tr>
        <w:tc>
          <w:tcPr/>
          <w:p>
            <w:pPr>
              <w:pStyle w:val="Compact"/>
              <w:jc w:val="left"/>
            </w:pPr>
            <w:r>
              <w:t xml:space="preserve">14</w:t>
            </w:r>
          </w:p>
        </w:tc>
        <w:tc>
          <w:tcPr/>
          <w:p>
            <w:pPr>
              <w:pStyle w:val="Compact"/>
              <w:jc w:val="left"/>
            </w:pPr>
            <w:r>
              <w:t xml:space="preserve">volume_diff</w:t>
            </w:r>
          </w:p>
        </w:tc>
        <w:tc>
          <w:tcPr/>
          <w:p>
            <w:pPr>
              <w:pStyle w:val="Compact"/>
              <w:jc w:val="left"/>
            </w:pPr>
            <w:r>
              <w:t xml:space="preserve">Amino Acid</w:t>
            </w:r>
          </w:p>
        </w:tc>
        <w:tc>
          <w:tcPr/>
          <w:p>
            <w:pPr>
              <w:pStyle w:val="Compact"/>
              <w:jc w:val="left"/>
            </w:pPr>
            <w:r>
              <w:t xml:space="preserve">0.0042</w:t>
            </w:r>
          </w:p>
        </w:tc>
        <w:tc>
          <w:tcPr/>
          <w:p>
            <w:pPr>
              <w:pStyle w:val="Compact"/>
              <w:jc w:val="left"/>
            </w:pPr>
            <w:r>
              <w:t xml:space="preserve">0.4%</w:t>
            </w:r>
          </w:p>
        </w:tc>
      </w:tr>
      <w:tr>
        <w:tc>
          <w:tcPr/>
          <w:p>
            <w:pPr>
              <w:pStyle w:val="Compact"/>
              <w:jc w:val="left"/>
            </w:pPr>
            <w:r>
              <w:t xml:space="preserve">15</w:t>
            </w:r>
          </w:p>
        </w:tc>
        <w:tc>
          <w:tcPr/>
          <w:p>
            <w:pPr>
              <w:pStyle w:val="Compact"/>
              <w:jc w:val="left"/>
            </w:pPr>
            <w:r>
              <w:t xml:space="preserve">mis_z</w:t>
            </w:r>
          </w:p>
        </w:tc>
        <w:tc>
          <w:tcPr/>
          <w:p>
            <w:pPr>
              <w:pStyle w:val="Compact"/>
              <w:jc w:val="left"/>
            </w:pPr>
            <w:r>
              <w:t xml:space="preserve">Gene Constraint</w:t>
            </w:r>
          </w:p>
        </w:tc>
        <w:tc>
          <w:tcPr/>
          <w:p>
            <w:pPr>
              <w:pStyle w:val="Compact"/>
              <w:jc w:val="left"/>
            </w:pPr>
            <w:r>
              <w:t xml:space="preserve">0.0038</w:t>
            </w:r>
          </w:p>
        </w:tc>
        <w:tc>
          <w:tcPr/>
          <w:p>
            <w:pPr>
              <w:pStyle w:val="Compact"/>
              <w:jc w:val="left"/>
            </w:pPr>
            <w:r>
              <w:t xml:space="preserve">0.4%</w:t>
            </w:r>
          </w:p>
        </w:tc>
      </w:tr>
    </w:tbl>
    <w:p>
      <w:pPr>
        <w:pStyle w:val="BodyText"/>
      </w:pPr>
      <w:r>
        <w:t xml:space="preserve">Note: ESM embedding dimensions contributed 89.4% of total importance collectively.</w:t>
      </w:r>
    </w:p>
    <w:bookmarkEnd w:id="23"/>
    <w:bookmarkStart w:id="24" w:name="Xb6a303f4d340737efe40545adf1331e68910017"/>
    <w:p>
      <w:pPr>
        <w:pStyle w:val="Heading3"/>
      </w:pPr>
      <w:r>
        <w:t xml:space="preserve">Supplementary Table S5. Statistical comparison of model performance.</w:t>
      </w:r>
    </w:p>
    <w:tbl>
      <w:tblPr>
        <w:tblStyle w:val="Table"/>
        <w:tblW w:type="pct" w:w="5000"/>
        <w:tblLook w:firstRow="1" w:lastRow="0" w:firstColumn="0" w:lastColumn="0" w:noHBand="0" w:noVBand="0" w:val="0020"/>
        <w:jc w:val="start"/>
      </w:tblPr>
      <w:tblGrid>
        <w:gridCol w:w="2501"/>
        <w:gridCol w:w="1250"/>
        <w:gridCol w:w="2292"/>
        <w:gridCol w:w="1875"/>
      </w:tblGrid>
      <w:tr>
        <w:trPr>
          <w:tblHeader w:val="true"/>
        </w:trPr>
        <w:tc>
          <w:tcPr/>
          <w:p>
            <w:pPr>
              <w:pStyle w:val="Compact"/>
              <w:jc w:val="left"/>
            </w:pPr>
            <w:r>
              <w:t xml:space="preserve">Comparison</w:t>
            </w:r>
          </w:p>
        </w:tc>
        <w:tc>
          <w:tcPr/>
          <w:p>
            <w:pPr>
              <w:pStyle w:val="Compact"/>
              <w:jc w:val="left"/>
            </w:pPr>
            <w:r>
              <w:t xml:space="preserve">Test</w:t>
            </w:r>
          </w:p>
        </w:tc>
        <w:tc>
          <w:tcPr/>
          <w:p>
            <w:pPr>
              <w:pStyle w:val="Compact"/>
              <w:jc w:val="left"/>
            </w:pPr>
            <w:r>
              <w:t xml:space="preserve">Statistic</w:t>
            </w:r>
          </w:p>
        </w:tc>
        <w:tc>
          <w:tcPr/>
          <w:p>
            <w:pPr>
              <w:pStyle w:val="Compact"/>
              <w:jc w:val="left"/>
            </w:pPr>
            <w:r>
              <w:t xml:space="preserve">P-value</w:t>
            </w:r>
          </w:p>
        </w:tc>
      </w:tr>
      <w:tr>
        <w:tc>
          <w:tcPr/>
          <w:p>
            <w:pPr>
              <w:pStyle w:val="Compact"/>
              <w:jc w:val="left"/>
            </w:pPr>
            <w:r>
              <w:t xml:space="preserve">Our Model vs AlphaMissense (AUC)</w:t>
            </w:r>
          </w:p>
        </w:tc>
        <w:tc>
          <w:tcPr/>
          <w:p>
            <w:pPr>
              <w:pStyle w:val="Compact"/>
              <w:jc w:val="left"/>
            </w:pPr>
            <w:r>
              <w:t xml:space="preserve">DeLong</w:t>
            </w:r>
          </w:p>
        </w:tc>
        <w:tc>
          <w:tcPr/>
          <w:p>
            <w:pPr>
              <w:pStyle w:val="Compact"/>
              <w:jc w:val="left"/>
            </w:pPr>
            <w:r>
              <w:t xml:space="preserve">Z = 8.42</w:t>
            </w:r>
          </w:p>
        </w:tc>
        <w:tc>
          <w:tcPr/>
          <w:p>
            <w:pPr>
              <w:pStyle w:val="Compact"/>
              <w:jc w:val="left"/>
            </w:pPr>
            <w:r>
              <w:t xml:space="preserve">&lt;0.001</w:t>
            </w:r>
          </w:p>
        </w:tc>
      </w:tr>
      <w:tr>
        <w:tc>
          <w:tcPr/>
          <w:p>
            <w:pPr>
              <w:pStyle w:val="Compact"/>
              <w:jc w:val="left"/>
            </w:pPr>
            <w:r>
              <w:t xml:space="preserve">Our Model vs CADD (AUC)</w:t>
            </w:r>
          </w:p>
        </w:tc>
        <w:tc>
          <w:tcPr/>
          <w:p>
            <w:pPr>
              <w:pStyle w:val="Compact"/>
              <w:jc w:val="left"/>
            </w:pPr>
            <w:r>
              <w:t xml:space="preserve">DeLong</w:t>
            </w:r>
          </w:p>
        </w:tc>
        <w:tc>
          <w:tcPr/>
          <w:p>
            <w:pPr>
              <w:pStyle w:val="Compact"/>
              <w:jc w:val="left"/>
            </w:pPr>
            <w:r>
              <w:t xml:space="preserve">Z = 31.7</w:t>
            </w:r>
          </w:p>
        </w:tc>
        <w:tc>
          <w:tcPr/>
          <w:p>
            <w:pPr>
              <w:pStyle w:val="Compact"/>
              <w:jc w:val="left"/>
            </w:pPr>
            <w:r>
              <w:t xml:space="preserve">&lt;0.001</w:t>
            </w:r>
          </w:p>
        </w:tc>
      </w:tr>
      <w:tr>
        <w:tc>
          <w:tcPr/>
          <w:p>
            <w:pPr>
              <w:pStyle w:val="Compact"/>
              <w:jc w:val="left"/>
            </w:pPr>
            <w:r>
              <w:t xml:space="preserve">Our Model vs REVEL (AUC)</w:t>
            </w:r>
          </w:p>
        </w:tc>
        <w:tc>
          <w:tcPr/>
          <w:p>
            <w:pPr>
              <w:pStyle w:val="Compact"/>
              <w:jc w:val="left"/>
            </w:pPr>
            <w:r>
              <w:t xml:space="preserve">DeLong</w:t>
            </w:r>
          </w:p>
        </w:tc>
        <w:tc>
          <w:tcPr/>
          <w:p>
            <w:pPr>
              <w:pStyle w:val="Compact"/>
              <w:jc w:val="left"/>
            </w:pPr>
            <w:r>
              <w:t xml:space="preserve">Z = 6.89</w:t>
            </w:r>
          </w:p>
        </w:tc>
        <w:tc>
          <w:tcPr/>
          <w:p>
            <w:pPr>
              <w:pStyle w:val="Compact"/>
              <w:jc w:val="left"/>
            </w:pPr>
            <w:r>
              <w:t xml:space="preserve">&lt;0.001</w:t>
            </w:r>
          </w:p>
        </w:tc>
      </w:tr>
      <w:tr>
        <w:tc>
          <w:tcPr/>
          <w:p>
            <w:pPr>
              <w:pStyle w:val="Compact"/>
              <w:jc w:val="left"/>
            </w:pPr>
            <w:r>
              <w:t xml:space="preserve">Classification concordance (vs AM)</w:t>
            </w:r>
          </w:p>
        </w:tc>
        <w:tc>
          <w:tcPr/>
          <w:p>
            <w:pPr>
              <w:pStyle w:val="Compact"/>
              <w:jc w:val="left"/>
            </w:pPr>
            <w:r>
              <w:t xml:space="preserve">McNemar</w:t>
            </w:r>
          </w:p>
        </w:tc>
        <w:tc>
          <w:tcPr/>
          <w:p>
            <w:pPr>
              <w:pStyle w:val="Compact"/>
              <w:jc w:val="left"/>
            </w:pPr>
            <w:r>
              <w:t xml:space="preserve">chi-squared = 89.3</w:t>
            </w:r>
          </w:p>
        </w:tc>
        <w:tc>
          <w:tcPr/>
          <w:p>
            <w:pPr>
              <w:pStyle w:val="Compact"/>
              <w:jc w:val="left"/>
            </w:pPr>
            <w:r>
              <w:t xml:space="preserve">&lt;0.001</w:t>
            </w:r>
          </w:p>
        </w:tc>
      </w:tr>
      <w:tr>
        <w:tc>
          <w:tcPr/>
          <w:p>
            <w:pPr>
              <w:pStyle w:val="Compact"/>
              <w:jc w:val="left"/>
            </w:pPr>
            <w:r>
              <w:t xml:space="preserve">AUC-ROC difference (Our - AM)</w:t>
            </w:r>
          </w:p>
        </w:tc>
        <w:tc>
          <w:tcPr/>
          <w:p>
            <w:pPr>
              <w:pStyle w:val="Compact"/>
              <w:jc w:val="left"/>
            </w:pPr>
            <w:r>
              <w:t xml:space="preserve">Bootstrap</w:t>
            </w:r>
          </w:p>
        </w:tc>
        <w:tc>
          <w:tcPr/>
          <w:p>
            <w:pPr>
              <w:pStyle w:val="Compact"/>
              <w:jc w:val="left"/>
            </w:pPr>
            <w:r>
              <w:t xml:space="preserve">0.044</w:t>
            </w:r>
          </w:p>
        </w:tc>
        <w:tc>
          <w:tcPr/>
          <w:p>
            <w:pPr>
              <w:pStyle w:val="Compact"/>
              <w:jc w:val="left"/>
            </w:pPr>
            <w:r>
              <w:t xml:space="preserve">95% CI: 0.036-0.052</w:t>
            </w:r>
          </w:p>
        </w:tc>
      </w:tr>
    </w:tbl>
    <w:bookmarkEnd w:id="24"/>
    <w:bookmarkStart w:id="25" w:name="Xf0fccf562173e45db7eaba636447bddabd07fa8"/>
    <w:p>
      <w:pPr>
        <w:pStyle w:val="Heading3"/>
      </w:pPr>
      <w:r>
        <w:t xml:space="preserve">Supplementary Table S6. Mean pathogenic probability by amino acid substitution type.</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Substitution Type</w:t>
            </w:r>
          </w:p>
        </w:tc>
        <w:tc>
          <w:tcPr/>
          <w:p>
            <w:pPr>
              <w:pStyle w:val="Compact"/>
              <w:jc w:val="left"/>
            </w:pPr>
            <w:r>
              <w:t xml:space="preserve">Mean P(Path)</w:t>
            </w:r>
          </w:p>
        </w:tc>
        <w:tc>
          <w:tcPr/>
          <w:p>
            <w:pPr>
              <w:pStyle w:val="Compact"/>
              <w:jc w:val="left"/>
            </w:pPr>
            <w:r>
              <w:t xml:space="preserve">95% CI</w:t>
            </w:r>
          </w:p>
        </w:tc>
        <w:tc>
          <w:tcPr/>
          <w:p>
            <w:pPr>
              <w:pStyle w:val="Compact"/>
              <w:jc w:val="left"/>
            </w:pPr>
            <w:r>
              <w:t xml:space="preserve">N variants</w:t>
            </w:r>
          </w:p>
        </w:tc>
      </w:tr>
      <w:tr>
        <w:tc>
          <w:tcPr/>
          <w:p>
            <w:pPr>
              <w:pStyle w:val="Compact"/>
              <w:jc w:val="left"/>
            </w:pPr>
            <w:r>
              <w:t xml:space="preserve">Conservative (I&lt;-&gt;V, L&lt;-&gt;I)</w:t>
            </w:r>
          </w:p>
        </w:tc>
        <w:tc>
          <w:tcPr/>
          <w:p>
            <w:pPr>
              <w:pStyle w:val="Compact"/>
              <w:jc w:val="left"/>
            </w:pPr>
            <w:r>
              <w:t xml:space="preserve">0.18</w:t>
            </w:r>
          </w:p>
        </w:tc>
        <w:tc>
          <w:tcPr/>
          <w:p>
            <w:pPr>
              <w:pStyle w:val="Compact"/>
              <w:jc w:val="left"/>
            </w:pPr>
            <w:r>
              <w:t xml:space="preserve">0.15-0.21</w:t>
            </w:r>
          </w:p>
        </w:tc>
        <w:tc>
          <w:tcPr/>
          <w:p>
            <w:pPr>
              <w:pStyle w:val="Compact"/>
              <w:jc w:val="left"/>
            </w:pPr>
            <w:r>
              <w:t xml:space="preserve">1,247</w:t>
            </w:r>
          </w:p>
        </w:tc>
      </w:tr>
      <w:tr>
        <w:tc>
          <w:tcPr/>
          <w:p>
            <w:pPr>
              <w:pStyle w:val="Compact"/>
              <w:jc w:val="left"/>
            </w:pPr>
            <w:r>
              <w:t xml:space="preserve">Similar charge (K&lt;-&gt;R, D&lt;-&gt;E)</w:t>
            </w:r>
          </w:p>
        </w:tc>
        <w:tc>
          <w:tcPr/>
          <w:p>
            <w:pPr>
              <w:pStyle w:val="Compact"/>
              <w:jc w:val="left"/>
            </w:pPr>
            <w:r>
              <w:t xml:space="preserve">0.31</w:t>
            </w:r>
          </w:p>
        </w:tc>
        <w:tc>
          <w:tcPr/>
          <w:p>
            <w:pPr>
              <w:pStyle w:val="Compact"/>
              <w:jc w:val="left"/>
            </w:pPr>
            <w:r>
              <w:t xml:space="preserve">0.28-0.34</w:t>
            </w:r>
          </w:p>
        </w:tc>
        <w:tc>
          <w:tcPr/>
          <w:p>
            <w:pPr>
              <w:pStyle w:val="Compact"/>
              <w:jc w:val="left"/>
            </w:pPr>
            <w:r>
              <w:t xml:space="preserve">2,891</w:t>
            </w:r>
          </w:p>
        </w:tc>
      </w:tr>
      <w:tr>
        <w:tc>
          <w:tcPr/>
          <w:p>
            <w:pPr>
              <w:pStyle w:val="Compact"/>
              <w:jc w:val="left"/>
            </w:pPr>
            <w:r>
              <w:t xml:space="preserve">Hydrophobic to polar</w:t>
            </w:r>
          </w:p>
        </w:tc>
        <w:tc>
          <w:tcPr/>
          <w:p>
            <w:pPr>
              <w:pStyle w:val="Compact"/>
              <w:jc w:val="left"/>
            </w:pPr>
            <w:r>
              <w:t xml:space="preserve">0.52</w:t>
            </w:r>
          </w:p>
        </w:tc>
        <w:tc>
          <w:tcPr/>
          <w:p>
            <w:pPr>
              <w:pStyle w:val="Compact"/>
              <w:jc w:val="left"/>
            </w:pPr>
            <w:r>
              <w:t xml:space="preserve">0.49-0.55</w:t>
            </w:r>
          </w:p>
        </w:tc>
        <w:tc>
          <w:tcPr/>
          <w:p>
            <w:pPr>
              <w:pStyle w:val="Compact"/>
              <w:jc w:val="left"/>
            </w:pPr>
            <w:r>
              <w:t xml:space="preserve">3,456</w:t>
            </w:r>
          </w:p>
        </w:tc>
      </w:tr>
      <w:tr>
        <w:tc>
          <w:tcPr/>
          <w:p>
            <w:pPr>
              <w:pStyle w:val="Compact"/>
              <w:jc w:val="left"/>
            </w:pPr>
            <w:r>
              <w:t xml:space="preserve">Charge change (R-&gt;Q, E-&gt;K)</w:t>
            </w:r>
          </w:p>
        </w:tc>
        <w:tc>
          <w:tcPr/>
          <w:p>
            <w:pPr>
              <w:pStyle w:val="Compact"/>
              <w:jc w:val="left"/>
            </w:pPr>
            <w:r>
              <w:t xml:space="preserve">0.58</w:t>
            </w:r>
          </w:p>
        </w:tc>
        <w:tc>
          <w:tcPr/>
          <w:p>
            <w:pPr>
              <w:pStyle w:val="Compact"/>
              <w:jc w:val="left"/>
            </w:pPr>
            <w:r>
              <w:t xml:space="preserve">0.55-0.61</w:t>
            </w:r>
          </w:p>
        </w:tc>
        <w:tc>
          <w:tcPr/>
          <w:p>
            <w:pPr>
              <w:pStyle w:val="Compact"/>
              <w:jc w:val="left"/>
            </w:pPr>
            <w:r>
              <w:t xml:space="preserve">2,134</w:t>
            </w:r>
          </w:p>
        </w:tc>
      </w:tr>
      <w:tr>
        <w:tc>
          <w:tcPr/>
          <w:p>
            <w:pPr>
              <w:pStyle w:val="Compact"/>
              <w:jc w:val="left"/>
            </w:pPr>
            <w:r>
              <w:t xml:space="preserve">Proline introduction (X-&gt;P)</w:t>
            </w:r>
          </w:p>
        </w:tc>
        <w:tc>
          <w:tcPr/>
          <w:p>
            <w:pPr>
              <w:pStyle w:val="Compact"/>
              <w:jc w:val="left"/>
            </w:pPr>
            <w:r>
              <w:t xml:space="preserve">0.72</w:t>
            </w:r>
          </w:p>
        </w:tc>
        <w:tc>
          <w:tcPr/>
          <w:p>
            <w:pPr>
              <w:pStyle w:val="Compact"/>
              <w:jc w:val="left"/>
            </w:pPr>
            <w:r>
              <w:t xml:space="preserve">0.68-0.76</w:t>
            </w:r>
          </w:p>
        </w:tc>
        <w:tc>
          <w:tcPr/>
          <w:p>
            <w:pPr>
              <w:pStyle w:val="Compact"/>
              <w:jc w:val="left"/>
            </w:pPr>
            <w:r>
              <w:t xml:space="preserve">892</w:t>
            </w:r>
          </w:p>
        </w:tc>
      </w:tr>
      <w:tr>
        <w:tc>
          <w:tcPr/>
          <w:p>
            <w:pPr>
              <w:pStyle w:val="Compact"/>
              <w:jc w:val="left"/>
            </w:pPr>
            <w:r>
              <w:t xml:space="preserve">Cysteine disruption (C-&gt;X)</w:t>
            </w:r>
          </w:p>
        </w:tc>
        <w:tc>
          <w:tcPr/>
          <w:p>
            <w:pPr>
              <w:pStyle w:val="Compact"/>
              <w:jc w:val="left"/>
            </w:pPr>
            <w:r>
              <w:t xml:space="preserve">0.78</w:t>
            </w:r>
          </w:p>
        </w:tc>
        <w:tc>
          <w:tcPr/>
          <w:p>
            <w:pPr>
              <w:pStyle w:val="Compact"/>
              <w:jc w:val="left"/>
            </w:pPr>
            <w:r>
              <w:t xml:space="preserve">0.74-0.82</w:t>
            </w:r>
          </w:p>
        </w:tc>
        <w:tc>
          <w:tcPr/>
          <w:p>
            <w:pPr>
              <w:pStyle w:val="Compact"/>
              <w:jc w:val="left"/>
            </w:pPr>
            <w:r>
              <w:t xml:space="preserve">645</w:t>
            </w:r>
          </w:p>
        </w:tc>
      </w:tr>
      <w:tr>
        <w:tc>
          <w:tcPr/>
          <w:p>
            <w:pPr>
              <w:pStyle w:val="Compact"/>
              <w:jc w:val="left"/>
            </w:pPr>
            <w:r>
              <w:t xml:space="preserve">Glycine to bulky (G-&gt;R/W/Y)</w:t>
            </w:r>
          </w:p>
        </w:tc>
        <w:tc>
          <w:tcPr/>
          <w:p>
            <w:pPr>
              <w:pStyle w:val="Compact"/>
              <w:jc w:val="left"/>
            </w:pPr>
            <w:r>
              <w:t xml:space="preserve">0.81</w:t>
            </w:r>
          </w:p>
        </w:tc>
        <w:tc>
          <w:tcPr/>
          <w:p>
            <w:pPr>
              <w:pStyle w:val="Compact"/>
              <w:jc w:val="left"/>
            </w:pPr>
            <w:r>
              <w:t xml:space="preserve">0.77-0.85</w:t>
            </w:r>
          </w:p>
        </w:tc>
        <w:tc>
          <w:tcPr/>
          <w:p>
            <w:pPr>
              <w:pStyle w:val="Compact"/>
              <w:jc w:val="left"/>
            </w:pPr>
            <w:r>
              <w:t xml:space="preserve">423</w:t>
            </w:r>
          </w:p>
        </w:tc>
      </w:tr>
    </w:tbl>
    <w:bookmarkEnd w:id="25"/>
    <w:bookmarkStart w:id="26" w:name="X1885930a4bcf8b0cffdb91900ac3670fab53c5f"/>
    <w:p>
      <w:pPr>
        <w:pStyle w:val="Heading3"/>
      </w:pPr>
      <w:r>
        <w:t xml:space="preserve">Supplementary Table S7. Performance in top 10 most frequently tested genes.</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jc w:val="left"/>
            </w:pPr>
            <w:r>
              <w:t xml:space="preserve">Gene</w:t>
            </w:r>
          </w:p>
        </w:tc>
        <w:tc>
          <w:tcPr/>
          <w:p>
            <w:pPr>
              <w:pStyle w:val="Compact"/>
              <w:jc w:val="left"/>
            </w:pPr>
            <w:r>
              <w:t xml:space="preserve">Variants</w:t>
            </w:r>
          </w:p>
        </w:tc>
        <w:tc>
          <w:tcPr/>
          <w:p>
            <w:pPr>
              <w:pStyle w:val="Compact"/>
              <w:jc w:val="left"/>
            </w:pPr>
            <w:r>
              <w:t xml:space="preserve">Our AUC</w:t>
            </w:r>
          </w:p>
        </w:tc>
        <w:tc>
          <w:tcPr/>
          <w:p>
            <w:pPr>
              <w:pStyle w:val="Compact"/>
              <w:jc w:val="left"/>
            </w:pPr>
            <w:r>
              <w:t xml:space="preserve">AM AUC</w:t>
            </w:r>
          </w:p>
        </w:tc>
        <w:tc>
          <w:tcPr/>
          <w:p>
            <w:pPr>
              <w:pStyle w:val="Compact"/>
              <w:jc w:val="left"/>
            </w:pPr>
            <w:r>
              <w:t xml:space="preserve">Difference</w:t>
            </w:r>
          </w:p>
        </w:tc>
        <w:tc>
          <w:tcPr/>
          <w:p>
            <w:pPr>
              <w:pStyle w:val="Compact"/>
              <w:jc w:val="left"/>
            </w:pPr>
            <w:r>
              <w:t xml:space="preserve">VUS Reclass.</w:t>
            </w:r>
          </w:p>
        </w:tc>
      </w:tr>
      <w:tr>
        <w:tc>
          <w:tcPr/>
          <w:p>
            <w:pPr>
              <w:pStyle w:val="Compact"/>
              <w:jc w:val="left"/>
            </w:pPr>
            <w:r>
              <w:t xml:space="preserve">BRCA1</w:t>
            </w:r>
          </w:p>
        </w:tc>
        <w:tc>
          <w:tcPr/>
          <w:p>
            <w:pPr>
              <w:pStyle w:val="Compact"/>
              <w:jc w:val="left"/>
            </w:pPr>
            <w:r>
              <w:t xml:space="preserve">1,247</w:t>
            </w:r>
          </w:p>
        </w:tc>
        <w:tc>
          <w:tcPr/>
          <w:p>
            <w:pPr>
              <w:pStyle w:val="Compact"/>
              <w:jc w:val="left"/>
            </w:pPr>
            <w:r>
              <w:t xml:space="preserve">0.981</w:t>
            </w:r>
          </w:p>
        </w:tc>
        <w:tc>
          <w:tcPr/>
          <w:p>
            <w:pPr>
              <w:pStyle w:val="Compact"/>
              <w:jc w:val="left"/>
            </w:pPr>
            <w:r>
              <w:t xml:space="preserve">0.942</w:t>
            </w:r>
          </w:p>
        </w:tc>
        <w:tc>
          <w:tcPr/>
          <w:p>
            <w:pPr>
              <w:pStyle w:val="Compact"/>
              <w:jc w:val="left"/>
            </w:pPr>
            <w:r>
              <w:t xml:space="preserve">+4.1%</w:t>
            </w:r>
          </w:p>
        </w:tc>
        <w:tc>
          <w:tcPr/>
          <w:p>
            <w:pPr>
              <w:pStyle w:val="Compact"/>
              <w:jc w:val="left"/>
            </w:pPr>
            <w:r>
              <w:t xml:space="preserve">58.3%</w:t>
            </w:r>
          </w:p>
        </w:tc>
      </w:tr>
      <w:tr>
        <w:tc>
          <w:tcPr/>
          <w:p>
            <w:pPr>
              <w:pStyle w:val="Compact"/>
              <w:jc w:val="left"/>
            </w:pPr>
            <w:r>
              <w:t xml:space="preserve">BRCA2</w:t>
            </w:r>
          </w:p>
        </w:tc>
        <w:tc>
          <w:tcPr/>
          <w:p>
            <w:pPr>
              <w:pStyle w:val="Compact"/>
              <w:jc w:val="left"/>
            </w:pPr>
            <w:r>
              <w:t xml:space="preserve">1,892</w:t>
            </w:r>
          </w:p>
        </w:tc>
        <w:tc>
          <w:tcPr/>
          <w:p>
            <w:pPr>
              <w:pStyle w:val="Compact"/>
              <w:jc w:val="left"/>
            </w:pPr>
            <w:r>
              <w:t xml:space="preserve">0.976</w:t>
            </w:r>
          </w:p>
        </w:tc>
        <w:tc>
          <w:tcPr/>
          <w:p>
            <w:pPr>
              <w:pStyle w:val="Compact"/>
              <w:jc w:val="left"/>
            </w:pPr>
            <w:r>
              <w:t xml:space="preserve">0.931</w:t>
            </w:r>
          </w:p>
        </w:tc>
        <w:tc>
          <w:tcPr/>
          <w:p>
            <w:pPr>
              <w:pStyle w:val="Compact"/>
              <w:jc w:val="left"/>
            </w:pPr>
            <w:r>
              <w:t xml:space="preserve">+4.8%</w:t>
            </w:r>
          </w:p>
        </w:tc>
        <w:tc>
          <w:tcPr/>
          <w:p>
            <w:pPr>
              <w:pStyle w:val="Compact"/>
              <w:jc w:val="left"/>
            </w:pPr>
            <w:r>
              <w:t xml:space="preserve">54.2%</w:t>
            </w:r>
          </w:p>
        </w:tc>
      </w:tr>
      <w:tr>
        <w:tc>
          <w:tcPr/>
          <w:p>
            <w:pPr>
              <w:pStyle w:val="Compact"/>
              <w:jc w:val="left"/>
            </w:pPr>
            <w:r>
              <w:t xml:space="preserve">SCN5A</w:t>
            </w:r>
          </w:p>
        </w:tc>
        <w:tc>
          <w:tcPr/>
          <w:p>
            <w:pPr>
              <w:pStyle w:val="Compact"/>
              <w:jc w:val="left"/>
            </w:pPr>
            <w:r>
              <w:t xml:space="preserve">734</w:t>
            </w:r>
          </w:p>
        </w:tc>
        <w:tc>
          <w:tcPr/>
          <w:p>
            <w:pPr>
              <w:pStyle w:val="Compact"/>
              <w:jc w:val="left"/>
            </w:pPr>
            <w:r>
              <w:t xml:space="preserve">0.968</w:t>
            </w:r>
          </w:p>
        </w:tc>
        <w:tc>
          <w:tcPr/>
          <w:p>
            <w:pPr>
              <w:pStyle w:val="Compact"/>
              <w:jc w:val="left"/>
            </w:pPr>
            <w:r>
              <w:t xml:space="preserve">0.923</w:t>
            </w:r>
          </w:p>
        </w:tc>
        <w:tc>
          <w:tcPr/>
          <w:p>
            <w:pPr>
              <w:pStyle w:val="Compact"/>
              <w:jc w:val="left"/>
            </w:pPr>
            <w:r>
              <w:t xml:space="preserve">+4.9%</w:t>
            </w:r>
          </w:p>
        </w:tc>
        <w:tc>
          <w:tcPr/>
          <w:p>
            <w:pPr>
              <w:pStyle w:val="Compact"/>
              <w:jc w:val="left"/>
            </w:pPr>
            <w:r>
              <w:t xml:space="preserve">49.1%</w:t>
            </w:r>
          </w:p>
        </w:tc>
      </w:tr>
      <w:tr>
        <w:tc>
          <w:tcPr/>
          <w:p>
            <w:pPr>
              <w:pStyle w:val="Compact"/>
              <w:jc w:val="left"/>
            </w:pPr>
            <w:r>
              <w:t xml:space="preserve">KCNQ1</w:t>
            </w:r>
          </w:p>
        </w:tc>
        <w:tc>
          <w:tcPr/>
          <w:p>
            <w:pPr>
              <w:pStyle w:val="Compact"/>
              <w:jc w:val="left"/>
            </w:pPr>
            <w:r>
              <w:t xml:space="preserve">521</w:t>
            </w:r>
          </w:p>
        </w:tc>
        <w:tc>
          <w:tcPr/>
          <w:p>
            <w:pPr>
              <w:pStyle w:val="Compact"/>
              <w:jc w:val="left"/>
            </w:pPr>
            <w:r>
              <w:t xml:space="preserve">0.972</w:t>
            </w:r>
          </w:p>
        </w:tc>
        <w:tc>
          <w:tcPr/>
          <w:p>
            <w:pPr>
              <w:pStyle w:val="Compact"/>
              <w:jc w:val="left"/>
            </w:pPr>
            <w:r>
              <w:t xml:space="preserve">0.938</w:t>
            </w:r>
          </w:p>
        </w:tc>
        <w:tc>
          <w:tcPr/>
          <w:p>
            <w:pPr>
              <w:pStyle w:val="Compact"/>
              <w:jc w:val="left"/>
            </w:pPr>
            <w:r>
              <w:t xml:space="preserve">+3.6%</w:t>
            </w:r>
          </w:p>
        </w:tc>
        <w:tc>
          <w:tcPr/>
          <w:p>
            <w:pPr>
              <w:pStyle w:val="Compact"/>
              <w:jc w:val="left"/>
            </w:pPr>
            <w:r>
              <w:t xml:space="preserve">51.4%</w:t>
            </w:r>
          </w:p>
        </w:tc>
      </w:tr>
      <w:tr>
        <w:tc>
          <w:tcPr/>
          <w:p>
            <w:pPr>
              <w:pStyle w:val="Compact"/>
              <w:jc w:val="left"/>
            </w:pPr>
            <w:r>
              <w:t xml:space="preserve">LDLR</w:t>
            </w:r>
          </w:p>
        </w:tc>
        <w:tc>
          <w:tcPr/>
          <w:p>
            <w:pPr>
              <w:pStyle w:val="Compact"/>
              <w:jc w:val="left"/>
            </w:pPr>
            <w:r>
              <w:t xml:space="preserve">612</w:t>
            </w:r>
          </w:p>
        </w:tc>
        <w:tc>
          <w:tcPr/>
          <w:p>
            <w:pPr>
              <w:pStyle w:val="Compact"/>
              <w:jc w:val="left"/>
            </w:pPr>
            <w:r>
              <w:t xml:space="preserve">0.984</w:t>
            </w:r>
          </w:p>
        </w:tc>
        <w:tc>
          <w:tcPr/>
          <w:p>
            <w:pPr>
              <w:pStyle w:val="Compact"/>
              <w:jc w:val="left"/>
            </w:pPr>
            <w:r>
              <w:t xml:space="preserve">0.951</w:t>
            </w:r>
          </w:p>
        </w:tc>
        <w:tc>
          <w:tcPr/>
          <w:p>
            <w:pPr>
              <w:pStyle w:val="Compact"/>
              <w:jc w:val="left"/>
            </w:pPr>
            <w:r>
              <w:t xml:space="preserve">+3.5%</w:t>
            </w:r>
          </w:p>
        </w:tc>
        <w:tc>
          <w:tcPr/>
          <w:p>
            <w:pPr>
              <w:pStyle w:val="Compact"/>
              <w:jc w:val="left"/>
            </w:pPr>
            <w:r>
              <w:t xml:space="preserve">62.7%</w:t>
            </w:r>
          </w:p>
        </w:tc>
      </w:tr>
      <w:tr>
        <w:tc>
          <w:tcPr/>
          <w:p>
            <w:pPr>
              <w:pStyle w:val="Compact"/>
              <w:jc w:val="left"/>
            </w:pPr>
            <w:r>
              <w:t xml:space="preserve">MYH7</w:t>
            </w:r>
          </w:p>
        </w:tc>
        <w:tc>
          <w:tcPr/>
          <w:p>
            <w:pPr>
              <w:pStyle w:val="Compact"/>
              <w:jc w:val="left"/>
            </w:pPr>
            <w:r>
              <w:t xml:space="preserve">489</w:t>
            </w:r>
          </w:p>
        </w:tc>
        <w:tc>
          <w:tcPr/>
          <w:p>
            <w:pPr>
              <w:pStyle w:val="Compact"/>
              <w:jc w:val="left"/>
            </w:pPr>
            <w:r>
              <w:t xml:space="preserve">0.971</w:t>
            </w:r>
          </w:p>
        </w:tc>
        <w:tc>
          <w:tcPr/>
          <w:p>
            <w:pPr>
              <w:pStyle w:val="Compact"/>
              <w:jc w:val="left"/>
            </w:pPr>
            <w:r>
              <w:t xml:space="preserve">0.929</w:t>
            </w:r>
          </w:p>
        </w:tc>
        <w:tc>
          <w:tcPr/>
          <w:p>
            <w:pPr>
              <w:pStyle w:val="Compact"/>
              <w:jc w:val="left"/>
            </w:pPr>
            <w:r>
              <w:t xml:space="preserve">+4.5%</w:t>
            </w:r>
          </w:p>
        </w:tc>
        <w:tc>
          <w:tcPr/>
          <w:p>
            <w:pPr>
              <w:pStyle w:val="Compact"/>
              <w:jc w:val="left"/>
            </w:pPr>
            <w:r>
              <w:t xml:space="preserve">47.8%</w:t>
            </w:r>
          </w:p>
        </w:tc>
      </w:tr>
      <w:tr>
        <w:tc>
          <w:tcPr/>
          <w:p>
            <w:pPr>
              <w:pStyle w:val="Compact"/>
              <w:jc w:val="left"/>
            </w:pPr>
            <w:r>
              <w:t xml:space="preserve">PKP2</w:t>
            </w:r>
          </w:p>
        </w:tc>
        <w:tc>
          <w:tcPr/>
          <w:p>
            <w:pPr>
              <w:pStyle w:val="Compact"/>
              <w:jc w:val="left"/>
            </w:pPr>
            <w:r>
              <w:t xml:space="preserve">287</w:t>
            </w:r>
          </w:p>
        </w:tc>
        <w:tc>
          <w:tcPr/>
          <w:p>
            <w:pPr>
              <w:pStyle w:val="Compact"/>
              <w:jc w:val="left"/>
            </w:pPr>
            <w:r>
              <w:t xml:space="preserve">0.969</w:t>
            </w:r>
          </w:p>
        </w:tc>
        <w:tc>
          <w:tcPr/>
          <w:p>
            <w:pPr>
              <w:pStyle w:val="Compact"/>
              <w:jc w:val="left"/>
            </w:pPr>
            <w:r>
              <w:t xml:space="preserve">0.918</w:t>
            </w:r>
          </w:p>
        </w:tc>
        <w:tc>
          <w:tcPr/>
          <w:p>
            <w:pPr>
              <w:pStyle w:val="Compact"/>
              <w:jc w:val="left"/>
            </w:pPr>
            <w:r>
              <w:t xml:space="preserve">+5.6%</w:t>
            </w:r>
          </w:p>
        </w:tc>
        <w:tc>
          <w:tcPr/>
          <w:p>
            <w:pPr>
              <w:pStyle w:val="Compact"/>
              <w:jc w:val="left"/>
            </w:pPr>
            <w:r>
              <w:t xml:space="preserve">55.1%</w:t>
            </w:r>
          </w:p>
        </w:tc>
      </w:tr>
      <w:tr>
        <w:tc>
          <w:tcPr/>
          <w:p>
            <w:pPr>
              <w:pStyle w:val="Compact"/>
              <w:jc w:val="left"/>
            </w:pPr>
            <w:r>
              <w:t xml:space="preserve">RYR2</w:t>
            </w:r>
          </w:p>
        </w:tc>
        <w:tc>
          <w:tcPr/>
          <w:p>
            <w:pPr>
              <w:pStyle w:val="Compact"/>
              <w:jc w:val="left"/>
            </w:pPr>
            <w:r>
              <w:t xml:space="preserve">445</w:t>
            </w:r>
          </w:p>
        </w:tc>
        <w:tc>
          <w:tcPr/>
          <w:p>
            <w:pPr>
              <w:pStyle w:val="Compact"/>
              <w:jc w:val="left"/>
            </w:pPr>
            <w:r>
              <w:t xml:space="preserve">0.963</w:t>
            </w:r>
          </w:p>
        </w:tc>
        <w:tc>
          <w:tcPr/>
          <w:p>
            <w:pPr>
              <w:pStyle w:val="Compact"/>
              <w:jc w:val="left"/>
            </w:pPr>
            <w:r>
              <w:t xml:space="preserve">0.912</w:t>
            </w:r>
          </w:p>
        </w:tc>
        <w:tc>
          <w:tcPr/>
          <w:p>
            <w:pPr>
              <w:pStyle w:val="Compact"/>
              <w:jc w:val="left"/>
            </w:pPr>
            <w:r>
              <w:t xml:space="preserve">+5.6%</w:t>
            </w:r>
          </w:p>
        </w:tc>
        <w:tc>
          <w:tcPr/>
          <w:p>
            <w:pPr>
              <w:pStyle w:val="Compact"/>
              <w:jc w:val="left"/>
            </w:pPr>
            <w:r>
              <w:t xml:space="preserve">44.9%</w:t>
            </w:r>
          </w:p>
        </w:tc>
      </w:tr>
      <w:tr>
        <w:tc>
          <w:tcPr/>
          <w:p>
            <w:pPr>
              <w:pStyle w:val="Compact"/>
              <w:jc w:val="left"/>
            </w:pPr>
            <w:r>
              <w:t xml:space="preserve">TTN</w:t>
            </w:r>
          </w:p>
        </w:tc>
        <w:tc>
          <w:tcPr/>
          <w:p>
            <w:pPr>
              <w:pStyle w:val="Compact"/>
              <w:jc w:val="left"/>
            </w:pPr>
            <w:r>
              <w:t xml:space="preserve">892</w:t>
            </w:r>
          </w:p>
        </w:tc>
        <w:tc>
          <w:tcPr/>
          <w:p>
            <w:pPr>
              <w:pStyle w:val="Compact"/>
              <w:jc w:val="left"/>
            </w:pPr>
            <w:r>
              <w:t xml:space="preserve">0.958</w:t>
            </w:r>
          </w:p>
        </w:tc>
        <w:tc>
          <w:tcPr/>
          <w:p>
            <w:pPr>
              <w:pStyle w:val="Compact"/>
              <w:jc w:val="left"/>
            </w:pPr>
            <w:r>
              <w:t xml:space="preserve">0.901</w:t>
            </w:r>
          </w:p>
        </w:tc>
        <w:tc>
          <w:tcPr/>
          <w:p>
            <w:pPr>
              <w:pStyle w:val="Compact"/>
              <w:jc w:val="left"/>
            </w:pPr>
            <w:r>
              <w:t xml:space="preserve">+6.3%</w:t>
            </w:r>
          </w:p>
        </w:tc>
        <w:tc>
          <w:tcPr/>
          <w:p>
            <w:pPr>
              <w:pStyle w:val="Compact"/>
              <w:jc w:val="left"/>
            </w:pPr>
            <w:r>
              <w:t xml:space="preserve">41.2%</w:t>
            </w:r>
          </w:p>
        </w:tc>
      </w:tr>
      <w:tr>
        <w:tc>
          <w:tcPr/>
          <w:p>
            <w:pPr>
              <w:pStyle w:val="Compact"/>
              <w:jc w:val="left"/>
            </w:pPr>
            <w:r>
              <w:t xml:space="preserve">TP53</w:t>
            </w:r>
          </w:p>
        </w:tc>
        <w:tc>
          <w:tcPr/>
          <w:p>
            <w:pPr>
              <w:pStyle w:val="Compact"/>
              <w:jc w:val="left"/>
            </w:pPr>
            <w:r>
              <w:t xml:space="preserve">378</w:t>
            </w:r>
          </w:p>
        </w:tc>
        <w:tc>
          <w:tcPr/>
          <w:p>
            <w:pPr>
              <w:pStyle w:val="Compact"/>
              <w:jc w:val="left"/>
            </w:pPr>
            <w:r>
              <w:t xml:space="preserve">0.989</w:t>
            </w:r>
          </w:p>
        </w:tc>
        <w:tc>
          <w:tcPr/>
          <w:p>
            <w:pPr>
              <w:pStyle w:val="Compact"/>
              <w:jc w:val="left"/>
            </w:pPr>
            <w:r>
              <w:t xml:space="preserve">0.962</w:t>
            </w:r>
          </w:p>
        </w:tc>
        <w:tc>
          <w:tcPr/>
          <w:p>
            <w:pPr>
              <w:pStyle w:val="Compact"/>
              <w:jc w:val="left"/>
            </w:pPr>
            <w:r>
              <w:t xml:space="preserve">+2.8%</w:t>
            </w:r>
          </w:p>
        </w:tc>
        <w:tc>
          <w:tcPr/>
          <w:p>
            <w:pPr>
              <w:pStyle w:val="Compact"/>
              <w:jc w:val="left"/>
            </w:pPr>
            <w:r>
              <w:t xml:space="preserve">67.3%</w:t>
            </w:r>
          </w:p>
        </w:tc>
      </w:tr>
    </w:tbl>
    <w:bookmarkEnd w:id="26"/>
    <w:bookmarkStart w:id="27" w:name="X5136024edf8ae7c9139b79ad4a328a9efd7ac24"/>
    <w:p>
      <w:pPr>
        <w:pStyle w:val="Heading3"/>
      </w:pPr>
      <w:r>
        <w:t xml:space="preserve">Supplementary Table S8. Model calibration assessment.</w:t>
      </w:r>
    </w:p>
    <w:tbl>
      <w:tblPr>
        <w:tblStyle w:val="Table"/>
        <w:tblW w:type="auto" w:w="0"/>
        <w:tblLook w:firstRow="1" w:lastRow="0" w:firstColumn="0" w:lastColumn="0" w:noHBand="0" w:noVBand="0" w:val="0020"/>
        <w:jc w:val="start"/>
      </w:tblPr>
      <w:tblGrid>
        <w:gridCol w:w="1980"/>
        <w:gridCol w:w="1980"/>
        <w:gridCol w:w="1980"/>
        <w:gridCol w:w="1980"/>
      </w:tblGrid>
      <w:tr>
        <w:trPr>
          <w:tblHeader w:val="true"/>
        </w:trPr>
        <w:tc>
          <w:tcPr/>
          <w:p>
            <w:pPr>
              <w:pStyle w:val="Compact"/>
              <w:jc w:val="left"/>
            </w:pPr>
            <w:r>
              <w:t xml:space="preserve">Metric</w:t>
            </w:r>
          </w:p>
        </w:tc>
        <w:tc>
          <w:tcPr/>
          <w:p>
            <w:pPr>
              <w:pStyle w:val="Compact"/>
              <w:jc w:val="left"/>
            </w:pPr>
            <w:r>
              <w:t xml:space="preserve">Our Model</w:t>
            </w:r>
          </w:p>
        </w:tc>
        <w:tc>
          <w:tcPr/>
          <w:p>
            <w:pPr>
              <w:pStyle w:val="Compact"/>
              <w:jc w:val="left"/>
            </w:pPr>
            <w:r>
              <w:t xml:space="preserve">AlphaMissense</w:t>
            </w:r>
          </w:p>
        </w:tc>
        <w:tc>
          <w:tcPr/>
          <w:p>
            <w:pPr>
              <w:pStyle w:val="Compact"/>
              <w:jc w:val="left"/>
            </w:pPr>
            <w:r>
              <w:t xml:space="preserve">Interpretation</w:t>
            </w:r>
          </w:p>
        </w:tc>
      </w:tr>
      <w:tr>
        <w:tc>
          <w:tcPr/>
          <w:p>
            <w:pPr>
              <w:pStyle w:val="Compact"/>
              <w:jc w:val="left"/>
            </w:pPr>
            <w:r>
              <w:t xml:space="preserve">Brier Score</w:t>
            </w:r>
          </w:p>
        </w:tc>
        <w:tc>
          <w:tcPr/>
          <w:p>
            <w:pPr>
              <w:pStyle w:val="Compact"/>
              <w:jc w:val="left"/>
            </w:pPr>
            <w:r>
              <w:t xml:space="preserve">0.053</w:t>
            </w:r>
          </w:p>
        </w:tc>
        <w:tc>
          <w:tcPr/>
          <w:p>
            <w:pPr>
              <w:pStyle w:val="Compact"/>
              <w:jc w:val="left"/>
            </w:pPr>
            <w:r>
              <w:t xml:space="preserve">0.098</w:t>
            </w:r>
          </w:p>
        </w:tc>
        <w:tc>
          <w:tcPr/>
          <w:p>
            <w:pPr>
              <w:pStyle w:val="Compact"/>
              <w:jc w:val="left"/>
            </w:pPr>
            <w:r>
              <w:t xml:space="preserve">Lower = better</w:t>
            </w:r>
          </w:p>
        </w:tc>
      </w:tr>
      <w:tr>
        <w:tc>
          <w:tcPr/>
          <w:p>
            <w:pPr>
              <w:pStyle w:val="Compact"/>
              <w:jc w:val="left"/>
            </w:pPr>
            <w:r>
              <w:t xml:space="preserve">Expected Calibration Error</w:t>
            </w:r>
          </w:p>
        </w:tc>
        <w:tc>
          <w:tcPr/>
          <w:p>
            <w:pPr>
              <w:pStyle w:val="Compact"/>
              <w:jc w:val="left"/>
            </w:pPr>
            <w:r>
              <w:t xml:space="preserve">0.007</w:t>
            </w:r>
          </w:p>
        </w:tc>
        <w:tc>
          <w:tcPr/>
          <w:p>
            <w:pPr>
              <w:pStyle w:val="Compact"/>
              <w:jc w:val="left"/>
            </w:pPr>
            <w:r>
              <w:t xml:space="preserve">0.034</w:t>
            </w:r>
          </w:p>
        </w:tc>
        <w:tc>
          <w:tcPr/>
          <w:p>
            <w:pPr>
              <w:pStyle w:val="Compact"/>
              <w:jc w:val="left"/>
            </w:pPr>
            <w:r>
              <w:t xml:space="preserve">Lower = better</w:t>
            </w:r>
          </w:p>
        </w:tc>
      </w:tr>
      <w:tr>
        <w:tc>
          <w:tcPr/>
          <w:p>
            <w:pPr>
              <w:pStyle w:val="Compact"/>
              <w:jc w:val="left"/>
            </w:pPr>
            <w:r>
              <w:t xml:space="preserve">Maximum Calibration Error</w:t>
            </w:r>
          </w:p>
        </w:tc>
        <w:tc>
          <w:tcPr/>
          <w:p>
            <w:pPr>
              <w:pStyle w:val="Compact"/>
              <w:jc w:val="left"/>
            </w:pPr>
            <w:r>
              <w:t xml:space="preserve">0.023</w:t>
            </w:r>
          </w:p>
        </w:tc>
        <w:tc>
          <w:tcPr/>
          <w:p>
            <w:pPr>
              <w:pStyle w:val="Compact"/>
              <w:jc w:val="left"/>
            </w:pPr>
            <w:r>
              <w:t xml:space="preserve">0.089</w:t>
            </w:r>
          </w:p>
        </w:tc>
        <w:tc>
          <w:tcPr/>
          <w:p>
            <w:pPr>
              <w:pStyle w:val="Compact"/>
              <w:jc w:val="left"/>
            </w:pPr>
            <w:r>
              <w:t xml:space="preserve">Lower = better</w:t>
            </w:r>
          </w:p>
        </w:tc>
      </w:tr>
      <w:tr>
        <w:tc>
          <w:tcPr/>
          <w:p>
            <w:pPr>
              <w:pStyle w:val="Compact"/>
              <w:jc w:val="left"/>
            </w:pPr>
            <w:r>
              <w:t xml:space="preserve">Hosmer-Lemeshow chi-squared</w:t>
            </w:r>
          </w:p>
        </w:tc>
        <w:tc>
          <w:tcPr/>
          <w:p>
            <w:pPr>
              <w:pStyle w:val="Compact"/>
              <w:jc w:val="left"/>
            </w:pPr>
            <w:r>
              <w:t xml:space="preserve">8.7</w:t>
            </w:r>
          </w:p>
        </w:tc>
        <w:tc>
          <w:tcPr/>
          <w:p>
            <w:pPr>
              <w:pStyle w:val="Compact"/>
              <w:jc w:val="left"/>
            </w:pPr>
            <w:r>
              <w:t xml:space="preserve">34.2</w:t>
            </w:r>
          </w:p>
        </w:tc>
        <w:tc>
          <w:tcPr/>
          <w:p>
            <w:pPr>
              <w:pStyle w:val="Compact"/>
              <w:jc w:val="left"/>
            </w:pPr>
            <w:r>
              <w:t xml:space="preserve">p&gt;0.05 = good fit</w:t>
            </w:r>
          </w:p>
        </w:tc>
      </w:tr>
      <w:tr>
        <w:tc>
          <w:tcPr/>
          <w:p>
            <w:pPr>
              <w:pStyle w:val="Compact"/>
              <w:jc w:val="left"/>
            </w:pPr>
            <w:r>
              <w:t xml:space="preserve">Hosmer-Lemeshow p-value</w:t>
            </w:r>
          </w:p>
        </w:tc>
        <w:tc>
          <w:tcPr/>
          <w:p>
            <w:pPr>
              <w:pStyle w:val="Compact"/>
              <w:jc w:val="left"/>
            </w:pPr>
            <w:r>
              <w:t xml:space="preserve">0.37</w:t>
            </w:r>
          </w:p>
        </w:tc>
        <w:tc>
          <w:tcPr/>
          <w:p>
            <w:pPr>
              <w:pStyle w:val="Compact"/>
              <w:jc w:val="left"/>
            </w:pPr>
            <w:r>
              <w:t xml:space="preserve">&lt;0.001</w:t>
            </w:r>
          </w:p>
        </w:tc>
        <w:tc>
          <w:tcPr/>
          <w:p>
            <w:pPr>
              <w:pStyle w:val="Compact"/>
              <w:jc w:val="left"/>
            </w:pPr>
            <w:r>
              <w:t xml:space="preserve">Non-significant = good</w:t>
            </w:r>
          </w:p>
        </w:tc>
      </w:tr>
    </w:tbl>
    <w:bookmarkEnd w:id="27"/>
    <w:bookmarkStart w:id="28" w:name="X88b7e4357a589b61862873f5cd3129c5d541f8e"/>
    <w:p>
      <w:pPr>
        <w:pStyle w:val="Heading3"/>
      </w:pPr>
      <w:r>
        <w:t xml:space="preserve">Supplementary Table S9. Ablation analysis demonstrating independent value of ESM-2 embeddings.</w:t>
      </w:r>
    </w:p>
    <w:tbl>
      <w:tblPr>
        <w:tblStyle w:val="Table"/>
        <w:tblW w:type="pct" w:w="5000"/>
        <w:tblLook w:firstRow="1" w:lastRow="0" w:firstColumn="0" w:lastColumn="0" w:noHBand="0" w:noVBand="0" w:val="0020"/>
        <w:jc w:val="start"/>
      </w:tblPr>
      <w:tblGrid>
        <w:gridCol w:w="803"/>
        <w:gridCol w:w="1033"/>
        <w:gridCol w:w="918"/>
        <w:gridCol w:w="2066"/>
        <w:gridCol w:w="3099"/>
      </w:tblGrid>
      <w:tr>
        <w:trPr>
          <w:tblHeader w:val="true"/>
        </w:trPr>
        <w:tc>
          <w:tcPr/>
          <w:p>
            <w:pPr>
              <w:pStyle w:val="Compact"/>
              <w:jc w:val="left"/>
            </w:pPr>
            <w:r>
              <w:t xml:space="preserve">Model</w:t>
            </w:r>
          </w:p>
        </w:tc>
        <w:tc>
          <w:tcPr/>
          <w:p>
            <w:pPr>
              <w:pStyle w:val="Compact"/>
              <w:jc w:val="left"/>
            </w:pPr>
            <w:r>
              <w:t xml:space="preserve">AUC-ROC</w:t>
            </w:r>
          </w:p>
        </w:tc>
        <w:tc>
          <w:tcPr/>
          <w:p>
            <w:pPr>
              <w:pStyle w:val="Compact"/>
              <w:jc w:val="left"/>
            </w:pPr>
            <w:r>
              <w:t xml:space="preserve">95% CI</w:t>
            </w:r>
          </w:p>
        </w:tc>
        <w:tc>
          <w:tcPr/>
          <w:p>
            <w:pPr>
              <w:pStyle w:val="Compact"/>
              <w:jc w:val="left"/>
            </w:pPr>
            <w:r>
              <w:t xml:space="preserve">vs AlphaMissense</w:t>
            </w:r>
          </w:p>
        </w:tc>
        <w:tc>
          <w:tcPr/>
          <w:p>
            <w:pPr>
              <w:pStyle w:val="Compact"/>
              <w:jc w:val="left"/>
            </w:pPr>
            <w:r>
              <w:t xml:space="preserve">FP Reduction at 90% Sens.</w:t>
            </w:r>
          </w:p>
        </w:tc>
      </w:tr>
      <w:tr>
        <w:tc>
          <w:tcPr/>
          <w:p>
            <w:pPr>
              <w:pStyle w:val="Compact"/>
              <w:jc w:val="left"/>
            </w:pPr>
            <w:r>
              <w:t xml:space="preserve">Full Model (ESM-2 + AM + Features)</w:t>
            </w:r>
          </w:p>
        </w:tc>
        <w:tc>
          <w:tcPr/>
          <w:p>
            <w:pPr>
              <w:pStyle w:val="Compact"/>
              <w:jc w:val="left"/>
            </w:pPr>
            <w:r>
              <w:t xml:space="preserve">0.978</w:t>
            </w:r>
          </w:p>
        </w:tc>
        <w:tc>
          <w:tcPr/>
          <w:p>
            <w:pPr>
              <w:pStyle w:val="Compact"/>
              <w:jc w:val="left"/>
            </w:pPr>
            <w:r>
              <w:t xml:space="preserve">0.973-0.982</w:t>
            </w:r>
          </w:p>
        </w:tc>
        <w:tc>
          <w:tcPr/>
          <w:p>
            <w:pPr>
              <w:pStyle w:val="Compact"/>
              <w:jc w:val="left"/>
            </w:pPr>
            <w:r>
              <w:t xml:space="preserve">+4.7% (p&lt;0.0001)</w:t>
            </w:r>
          </w:p>
        </w:tc>
        <w:tc>
          <w:tcPr/>
          <w:p>
            <w:pPr>
              <w:pStyle w:val="Compact"/>
              <w:jc w:val="left"/>
            </w:pPr>
            <w:r>
              <w:t xml:space="preserve">55.4%</w:t>
            </w:r>
          </w:p>
        </w:tc>
      </w:tr>
      <w:tr>
        <w:tc>
          <w:tcPr/>
          <w:p>
            <w:pPr>
              <w:pStyle w:val="Compact"/>
              <w:jc w:val="left"/>
            </w:pPr>
            <w:r>
              <w:rPr>
                <w:bCs/>
                <w:b/>
              </w:rPr>
              <w:t xml:space="preserve">Ablated Model (ESM-2 + Features, NO AM)</w:t>
            </w:r>
          </w:p>
        </w:tc>
        <w:tc>
          <w:tcPr/>
          <w:p>
            <w:pPr>
              <w:pStyle w:val="Compact"/>
              <w:jc w:val="left"/>
            </w:pPr>
            <w:r>
              <w:rPr>
                <w:bCs/>
                <w:b/>
              </w:rPr>
              <w:t xml:space="preserve">0.929</w:t>
            </w:r>
          </w:p>
        </w:tc>
        <w:tc>
          <w:tcPr/>
          <w:p>
            <w:pPr>
              <w:pStyle w:val="Compact"/>
              <w:jc w:val="left"/>
            </w:pPr>
            <w:r>
              <w:rPr>
                <w:bCs/>
                <w:b/>
              </w:rPr>
              <w:t xml:space="preserve">0.924-0.934</w:t>
            </w:r>
          </w:p>
        </w:tc>
        <w:tc>
          <w:tcPr/>
          <w:p>
            <w:pPr>
              <w:pStyle w:val="Compact"/>
              <w:jc w:val="left"/>
            </w:pPr>
            <w:r>
              <w:rPr>
                <w:bCs/>
                <w:b/>
              </w:rPr>
              <w:t xml:space="preserve">-0.5% (comparable)</w:t>
            </w:r>
          </w:p>
        </w:tc>
        <w:tc>
          <w:tcPr/>
          <w:p>
            <w:pPr>
              <w:pStyle w:val="Compact"/>
              <w:jc w:val="left"/>
            </w:pPr>
            <w:r>
              <w:rPr>
                <w:bCs/>
                <w:b/>
              </w:rPr>
              <w:t xml:space="preserve">19.9%</w:t>
            </w:r>
          </w:p>
        </w:tc>
      </w:tr>
      <w:tr>
        <w:tc>
          <w:tcPr/>
          <w:p>
            <w:pPr>
              <w:pStyle w:val="Compact"/>
              <w:jc w:val="left"/>
            </w:pPr>
            <w:r>
              <w:t xml:space="preserve">AlphaMissense (baseline)</w:t>
            </w:r>
          </w:p>
        </w:tc>
        <w:tc>
          <w:tcPr/>
          <w:p>
            <w:pPr>
              <w:pStyle w:val="Compact"/>
              <w:jc w:val="left"/>
            </w:pPr>
            <w:r>
              <w:t xml:space="preserve">0.934</w:t>
            </w:r>
          </w:p>
        </w:tc>
        <w:tc>
          <w:tcPr/>
          <w:p>
            <w:pPr>
              <w:pStyle w:val="Compact"/>
              <w:jc w:val="left"/>
            </w:pPr>
            <w:r>
              <w:t xml:space="preserve">0.928-0.940</w:t>
            </w:r>
          </w:p>
        </w:tc>
        <w:tc>
          <w:tcPr/>
          <w:p>
            <w:pPr>
              <w:pStyle w:val="Compact"/>
              <w:jc w:val="left"/>
            </w:pPr>
            <w:r>
              <w:t xml:space="preserve">—</w:t>
            </w:r>
          </w:p>
        </w:tc>
        <w:tc>
          <w:tcPr/>
          <w:p>
            <w:pPr>
              <w:pStyle w:val="Compact"/>
              <w:jc w:val="left"/>
            </w:pPr>
            <w:r>
              <w:t xml:space="preserve">—</w:t>
            </w:r>
          </w:p>
        </w:tc>
      </w:tr>
    </w:tbl>
    <w:p>
      <w:pPr>
        <w:pStyle w:val="BodyText"/>
      </w:pPr>
      <w:r>
        <w:rPr>
          <w:iCs/>
          <w:i/>
        </w:rPr>
        <w:t xml:space="preserve">Note: Ablated model excludes AlphaMissense as an input feature, demonstrating ESM-2 provides independent predictive value. Test set n=12,180 variants. Permutation test used for statistical significance.</w:t>
      </w:r>
    </w:p>
    <w:bookmarkEnd w:id="28"/>
    <w:bookmarkStart w:id="29" w:name="X027b6d5f3d528cfa70e72bd249b7749ecd2fbb9"/>
    <w:p>
      <w:pPr>
        <w:pStyle w:val="Heading3"/>
      </w:pPr>
      <w:r>
        <w:t xml:space="preserve">Supplementary Table S10. Temporal validation on post-AlphaMissense variants (prospective-like validation).</w:t>
      </w:r>
    </w:p>
    <w:tbl>
      <w:tblPr>
        <w:tblStyle w:val="Table"/>
        <w:tblW w:type="pct" w:w="5000"/>
        <w:tblLook w:firstRow="1" w:lastRow="0" w:firstColumn="0" w:lastColumn="0" w:noHBand="0" w:noVBand="0" w:val="0020"/>
        <w:jc w:val="start"/>
      </w:tblPr>
      <w:tblGrid>
        <w:gridCol w:w="1386"/>
        <w:gridCol w:w="1782"/>
        <w:gridCol w:w="1584"/>
        <w:gridCol w:w="3168"/>
      </w:tblGrid>
      <w:tr>
        <w:trPr>
          <w:tblHeader w:val="true"/>
        </w:trPr>
        <w:tc>
          <w:tcPr/>
          <w:p>
            <w:pPr>
              <w:pStyle w:val="Compact"/>
              <w:jc w:val="left"/>
            </w:pPr>
            <w:r>
              <w:t xml:space="preserve">Model</w:t>
            </w:r>
          </w:p>
        </w:tc>
        <w:tc>
          <w:tcPr/>
          <w:p>
            <w:pPr>
              <w:pStyle w:val="Compact"/>
              <w:jc w:val="left"/>
            </w:pPr>
            <w:r>
              <w:t xml:space="preserve">AUC-ROC</w:t>
            </w:r>
          </w:p>
        </w:tc>
        <w:tc>
          <w:tcPr/>
          <w:p>
            <w:pPr>
              <w:pStyle w:val="Compact"/>
              <w:jc w:val="left"/>
            </w:pPr>
            <w:r>
              <w:t xml:space="preserve">95% CI</w:t>
            </w:r>
          </w:p>
        </w:tc>
        <w:tc>
          <w:tcPr/>
          <w:p>
            <w:pPr>
              <w:pStyle w:val="Compact"/>
              <w:jc w:val="left"/>
            </w:pPr>
            <w:r>
              <w:t xml:space="preserve">Interpretation</w:t>
            </w:r>
          </w:p>
        </w:tc>
      </w:tr>
      <w:tr>
        <w:tc>
          <w:tcPr/>
          <w:p>
            <w:pPr>
              <w:pStyle w:val="Compact"/>
              <w:jc w:val="left"/>
            </w:pPr>
            <w:r>
              <w:t xml:space="preserve">Full Model</w:t>
            </w:r>
          </w:p>
        </w:tc>
        <w:tc>
          <w:tcPr/>
          <w:p>
            <w:pPr>
              <w:pStyle w:val="Compact"/>
              <w:jc w:val="left"/>
            </w:pPr>
            <w:r>
              <w:t xml:space="preserve">0.968</w:t>
            </w:r>
          </w:p>
        </w:tc>
        <w:tc>
          <w:tcPr/>
          <w:p>
            <w:pPr>
              <w:pStyle w:val="Compact"/>
              <w:jc w:val="left"/>
            </w:pPr>
            <w:r>
              <w:t xml:space="preserve">0.966-0.970</w:t>
            </w:r>
          </w:p>
        </w:tc>
        <w:tc>
          <w:tcPr/>
          <w:p>
            <w:pPr>
              <w:pStyle w:val="Compact"/>
              <w:jc w:val="left"/>
            </w:pPr>
            <w:r>
              <w:t xml:space="preserve">Robust on novel variants</w:t>
            </w:r>
          </w:p>
        </w:tc>
      </w:tr>
      <w:tr>
        <w:tc>
          <w:tcPr/>
          <w:p>
            <w:pPr>
              <w:pStyle w:val="Compact"/>
              <w:jc w:val="left"/>
            </w:pPr>
            <w:r>
              <w:rPr>
                <w:bCs/>
                <w:b/>
              </w:rPr>
              <w:t xml:space="preserve">Ablated Model (no AM)</w:t>
            </w:r>
          </w:p>
        </w:tc>
        <w:tc>
          <w:tcPr/>
          <w:p>
            <w:pPr>
              <w:pStyle w:val="Compact"/>
              <w:jc w:val="left"/>
            </w:pPr>
            <w:r>
              <w:rPr>
                <w:bCs/>
                <w:b/>
              </w:rPr>
              <w:t xml:space="preserve">0.945</w:t>
            </w:r>
          </w:p>
        </w:tc>
        <w:tc>
          <w:tcPr/>
          <w:p>
            <w:pPr>
              <w:pStyle w:val="Compact"/>
              <w:jc w:val="left"/>
            </w:pPr>
            <w:r>
              <w:rPr>
                <w:bCs/>
                <w:b/>
              </w:rPr>
              <w:t xml:space="preserve">0.942-0.947</w:t>
            </w:r>
          </w:p>
        </w:tc>
        <w:tc>
          <w:tcPr/>
          <w:p>
            <w:pPr>
              <w:pStyle w:val="Compact"/>
              <w:jc w:val="left"/>
            </w:pPr>
            <w:r>
              <w:rPr>
                <w:bCs/>
                <w:b/>
              </w:rPr>
              <w:t xml:space="preserve">ESM-2 independent value confirmed</w:t>
            </w:r>
          </w:p>
        </w:tc>
      </w:tr>
      <w:tr>
        <w:tc>
          <w:tcPr/>
          <w:p>
            <w:pPr>
              <w:pStyle w:val="Compact"/>
              <w:jc w:val="left"/>
            </w:pPr>
            <w:r>
              <w:t xml:space="preserve">AlphaMissense</w:t>
            </w:r>
          </w:p>
        </w:tc>
        <w:tc>
          <w:tcPr/>
          <w:p>
            <w:pPr>
              <w:pStyle w:val="Compact"/>
              <w:jc w:val="left"/>
            </w:pPr>
            <w:r>
              <w:t xml:space="preserve">0.925</w:t>
            </w:r>
          </w:p>
        </w:tc>
        <w:tc>
          <w:tcPr/>
          <w:p>
            <w:pPr>
              <w:pStyle w:val="Compact"/>
              <w:jc w:val="left"/>
            </w:pPr>
            <w:r>
              <w:t xml:space="preserve">0.923-0.928</w:t>
            </w:r>
          </w:p>
        </w:tc>
        <w:tc>
          <w:tcPr/>
          <w:p>
            <w:pPr>
              <w:pStyle w:val="Compact"/>
              <w:jc w:val="left"/>
            </w:pPr>
            <w:r>
              <w:t xml:space="preserve">Baseline comparison</w:t>
            </w:r>
          </w:p>
        </w:tc>
      </w:tr>
    </w:tbl>
    <w:p>
      <w:pPr>
        <w:pStyle w:val="BodyText"/>
      </w:pPr>
      <w:r>
        <w:rPr>
          <w:iCs/>
          <w:i/>
        </w:rPr>
        <w:t xml:space="preserve">Note: Temporal validation on n=7,891 variants added to ClinVar after AlphaMissense publication (September 2023). This prospective-like validation demonstrates robust generalization to truly novel variants and confirms ESM-2 provides independent predictive value on data completely independent of AlphaMissense’s training set.</w:t>
      </w:r>
    </w:p>
    <w:p>
      <w:r>
        <w:pict>
          <v:rect style="width:0;height:1.5pt" o:hralign="center" o:hrstd="t" o:hr="t"/>
        </w:pict>
      </w:r>
    </w:p>
    <w:bookmarkEnd w:id="29"/>
    <w:bookmarkEnd w:id="30"/>
    <w:bookmarkStart w:id="55" w:name="supplementary-figures"/>
    <w:p>
      <w:pPr>
        <w:pStyle w:val="Heading2"/>
      </w:pPr>
      <w:r>
        <w:t xml:space="preserve">Supplementary Figures</w:t>
      </w:r>
    </w:p>
    <w:bookmarkStart w:id="34" w:name="supplementary-figure-s1"/>
    <w:p>
      <w:pPr>
        <w:pStyle w:val="Heading3"/>
      </w:pPr>
      <w:r>
        <w:t xml:space="preserve">Supplementary Figure S1</w:t>
      </w:r>
    </w:p>
    <w:p>
      <w:pPr>
        <w:pStyle w:val="CaptionedFigure"/>
      </w:pPr>
      <w:r>
        <w:drawing>
          <wp:inline>
            <wp:extent cx="3200400" cy="3906981"/>
            <wp:effectExtent b="0" l="0" r="0" t="0"/>
            <wp:docPr descr="Supplementary Figure S1. SHAP summary plot for engineered features. SHAP (SHapley Additive exPlanations) values for the top 20 engineered features, showing the distribution of feature effects on model predictions. Features are ranked by mean absolute SHAP value. Red indicates high feature values; blue indicates low values. Positive SHAP values push predictions toward pathogenic; negative values push toward benign. Top features include gene constraint metrics (oe_mis, oe_lof_upper), Grantham distance, and position features." title="" id="32" name="Picture"/>
            <a:graphic>
              <a:graphicData uri="http://schemas.openxmlformats.org/drawingml/2006/picture">
                <pic:pic>
                  <pic:nvPicPr>
                    <pic:cNvPr descr="images/supplementary/figureS1.png" id="33" name="Picture"/>
                    <pic:cNvPicPr>
                      <a:picLocks noChangeArrowheads="1" noChangeAspect="1"/>
                    </pic:cNvPicPr>
                  </pic:nvPicPr>
                  <pic:blipFill>
                    <a:blip r:embed="rId31"/>
                    <a:stretch>
                      <a:fillRect/>
                    </a:stretch>
                  </pic:blipFill>
                  <pic:spPr bwMode="auto">
                    <a:xfrm>
                      <a:off x="0" y="0"/>
                      <a:ext cx="3200400" cy="3906981"/>
                    </a:xfrm>
                    <a:prstGeom prst="rect">
                      <a:avLst/>
                    </a:prstGeom>
                    <a:noFill/>
                    <a:ln w="9525">
                      <a:noFill/>
                      <a:headEnd/>
                      <a:tailEnd/>
                    </a:ln>
                  </pic:spPr>
                </pic:pic>
              </a:graphicData>
            </a:graphic>
          </wp:inline>
        </w:drawing>
      </w:r>
    </w:p>
    <w:p>
      <w:pPr>
        <w:pStyle w:val="ImageCaption"/>
      </w:pPr>
      <w:r>
        <w:rPr>
          <w:bCs/>
          <w:b/>
        </w:rPr>
        <w:t xml:space="preserve">Supplementary Figure S1. SHAP summary plot for engineered features.</w:t>
      </w:r>
      <w:r>
        <w:t xml:space="preserve"> </w:t>
      </w:r>
      <w:r>
        <w:t xml:space="preserve">SHAP (SHapley Additive exPlanations) values for the top 20 engineered features, showing the distribution of feature effects on model predictions. Features are ranked by mean absolute SHAP value. Red indicates high feature values; blue indicates low values. Positive SHAP values push predictions toward pathogenic; negative values push toward benign. Top features include gene constraint metrics (oe_mis, oe_lof_upper), Grantham distance, and position features.</w:t>
      </w:r>
    </w:p>
    <w:bookmarkEnd w:id="34"/>
    <w:bookmarkStart w:id="38" w:name="supplementary-figure-s2"/>
    <w:p>
      <w:pPr>
        <w:pStyle w:val="Heading3"/>
      </w:pPr>
      <w:r>
        <w:t xml:space="preserve">Supplementary Figure S2</w:t>
      </w:r>
    </w:p>
    <w:p>
      <w:pPr>
        <w:pStyle w:val="CaptionedFigure"/>
      </w:pPr>
      <w:r>
        <w:drawing>
          <wp:inline>
            <wp:extent cx="5334000" cy="1754134"/>
            <wp:effectExtent b="0" l="0" r="0" t="0"/>
            <wp:docPr descr="Supplementary Figure S2. Amino acid substitution heatmap. Mean predicted pathogenic probability for amino acid substitution patterns. (A) Heatmap showing pathogenicity by reference-&gt;alternate amino acid pair. Red indicates high pathogenic probability; green indicates low. (B) Most pathogenic substitutions ranked by mean probability, showing W-&gt;R, C-&gt;Y, R-&gt;P as highest risk. (C) Most benign substitutions, with I-&gt;V, V-&gt;I showing lowest pathogenic probability, consistent with conservative substitution patterns." title="" id="36" name="Picture"/>
            <a:graphic>
              <a:graphicData uri="http://schemas.openxmlformats.org/drawingml/2006/picture">
                <pic:pic>
                  <pic:nvPicPr>
                    <pic:cNvPr descr="images/supplementary/figureS2.png" id="37" name="Picture"/>
                    <pic:cNvPicPr>
                      <a:picLocks noChangeArrowheads="1" noChangeAspect="1"/>
                    </pic:cNvPicPr>
                  </pic:nvPicPr>
                  <pic:blipFill>
                    <a:blip r:embed="rId35"/>
                    <a:stretch>
                      <a:fillRect/>
                    </a:stretch>
                  </pic:blipFill>
                  <pic:spPr bwMode="auto">
                    <a:xfrm>
                      <a:off x="0" y="0"/>
                      <a:ext cx="5334000" cy="1754134"/>
                    </a:xfrm>
                    <a:prstGeom prst="rect">
                      <a:avLst/>
                    </a:prstGeom>
                    <a:noFill/>
                    <a:ln w="9525">
                      <a:noFill/>
                      <a:headEnd/>
                      <a:tailEnd/>
                    </a:ln>
                  </pic:spPr>
                </pic:pic>
              </a:graphicData>
            </a:graphic>
          </wp:inline>
        </w:drawing>
      </w:r>
    </w:p>
    <w:p>
      <w:pPr>
        <w:pStyle w:val="ImageCaption"/>
      </w:pPr>
      <w:r>
        <w:rPr>
          <w:bCs/>
          <w:b/>
        </w:rPr>
        <w:t xml:space="preserve">Supplementary Figure S2. Amino acid substitution heatmap.</w:t>
      </w:r>
      <w:r>
        <w:t xml:space="preserve"> </w:t>
      </w:r>
      <w:r>
        <w:t xml:space="preserve">Mean predicted pathogenic probability for amino acid substitution patterns. (A) Heatmap showing pathogenicity by reference-&gt;alternate amino acid pair. Red indicates high pathogenic probability; green indicates low. (B) Most pathogenic substitutions ranked by mean probability, showing W-&gt;R, C-&gt;Y, R-&gt;P as highest risk. (C) Most benign substitutions, with I-&gt;V, V-&gt;I showing lowest pathogenic probability, consistent with conservative substitution patterns.</w:t>
      </w:r>
    </w:p>
    <w:bookmarkEnd w:id="38"/>
    <w:bookmarkStart w:id="42" w:name="supplementary-figure-s3"/>
    <w:p>
      <w:pPr>
        <w:pStyle w:val="Heading3"/>
      </w:pPr>
      <w:r>
        <w:t xml:space="preserve">Supplementary Figure S3</w:t>
      </w:r>
    </w:p>
    <w:p>
      <w:pPr>
        <w:pStyle w:val="CaptionedFigure"/>
      </w:pPr>
      <w:r>
        <w:drawing>
          <wp:inline>
            <wp:extent cx="4267200" cy="2545095"/>
            <wp:effectExtent b="0" l="0" r="0" t="0"/>
            <wp:docPr descr="Supplementary Figure S3. Decision curve analysis. Net benefit curves comparing our model, AlphaMissense, and the default strategies of treating all or no patients. The x-axis represents the threshold probability at which a clinician would act on a pathogenic prediction. Net benefit represents the expected benefit minus expected harm, weighted by the threshold. Our model (green) shows superior net benefit across all clinically relevant thresholds (0.1-0.9) compared to AlphaMissense (gray)." title="" id="40" name="Picture"/>
            <a:graphic>
              <a:graphicData uri="http://schemas.openxmlformats.org/drawingml/2006/picture">
                <pic:pic>
                  <pic:nvPicPr>
                    <pic:cNvPr descr="images/supplementary/figureS3.png" id="41" name="Picture"/>
                    <pic:cNvPicPr>
                      <a:picLocks noChangeArrowheads="1" noChangeAspect="1"/>
                    </pic:cNvPicPr>
                  </pic:nvPicPr>
                  <pic:blipFill>
                    <a:blip r:embed="rId39"/>
                    <a:stretch>
                      <a:fillRect/>
                    </a:stretch>
                  </pic:blipFill>
                  <pic:spPr bwMode="auto">
                    <a:xfrm>
                      <a:off x="0" y="0"/>
                      <a:ext cx="4267200" cy="2545095"/>
                    </a:xfrm>
                    <a:prstGeom prst="rect">
                      <a:avLst/>
                    </a:prstGeom>
                    <a:noFill/>
                    <a:ln w="9525">
                      <a:noFill/>
                      <a:headEnd/>
                      <a:tailEnd/>
                    </a:ln>
                  </pic:spPr>
                </pic:pic>
              </a:graphicData>
            </a:graphic>
          </wp:inline>
        </w:drawing>
      </w:r>
    </w:p>
    <w:p>
      <w:pPr>
        <w:pStyle w:val="ImageCaption"/>
      </w:pPr>
      <w:r>
        <w:rPr>
          <w:bCs/>
          <w:b/>
        </w:rPr>
        <w:t xml:space="preserve">Supplementary Figure S3. Decision curve analysis.</w:t>
      </w:r>
      <w:r>
        <w:t xml:space="preserve"> </w:t>
      </w:r>
      <w:r>
        <w:t xml:space="preserve">Net benefit curves comparing our model, AlphaMissense, and the default strategies of treating all or no patients. The x-axis represents the threshold probability at which a clinician would act on a pathogenic prediction. Net benefit represents the expected benefit minus expected harm, weighted by the threshold. Our model (green) shows superior net benefit across all clinically relevant thresholds (0.1-0.9) compared to AlphaMissense (gray).</w:t>
      </w:r>
    </w:p>
    <w:bookmarkEnd w:id="42"/>
    <w:bookmarkStart w:id="46" w:name="supplementary-figure-s4"/>
    <w:p>
      <w:pPr>
        <w:pStyle w:val="Heading3"/>
      </w:pPr>
      <w:r>
        <w:t xml:space="preserve">Supplementary Figure S4</w:t>
      </w:r>
    </w:p>
    <w:p>
      <w:pPr>
        <w:pStyle w:val="CaptionedFigure"/>
      </w:pPr>
      <w:r>
        <w:drawing>
          <wp:inline>
            <wp:extent cx="4267200" cy="3652338"/>
            <wp:effectExtent b="0" l="0" r="0" t="0"/>
            <wp:docPr descr="Supplementary Figure S4. Feature importance by category. Comprehensive feature importance analysis. (A) Pie chart showing feature category contributions: ESM-2 embeddings dominate at 89.4%, with amino acid properties (4.7%), AlphaMissense score (3.3%), gene constraint (0.9%), substitution matrix scores (0.9%), position features (0.5%), and disorder score (0.3%) providing complementary information. (B) Top 20 engineered features ranked by mean |SHAP| value, with oe_mis showing highest importance. (C) Top 30 ESM embedding dimensions showing rapid decay in importance. (D) Cumulative importance curve showing 501 features capture 80% of total importance." title="" id="44" name="Picture"/>
            <a:graphic>
              <a:graphicData uri="http://schemas.openxmlformats.org/drawingml/2006/picture">
                <pic:pic>
                  <pic:nvPicPr>
                    <pic:cNvPr descr="images/supplementary/figureS4.png" id="45" name="Picture"/>
                    <pic:cNvPicPr>
                      <a:picLocks noChangeArrowheads="1" noChangeAspect="1"/>
                    </pic:cNvPicPr>
                  </pic:nvPicPr>
                  <pic:blipFill>
                    <a:blip r:embed="rId43"/>
                    <a:stretch>
                      <a:fillRect/>
                    </a:stretch>
                  </pic:blipFill>
                  <pic:spPr bwMode="auto">
                    <a:xfrm>
                      <a:off x="0" y="0"/>
                      <a:ext cx="4267200" cy="3652338"/>
                    </a:xfrm>
                    <a:prstGeom prst="rect">
                      <a:avLst/>
                    </a:prstGeom>
                    <a:noFill/>
                    <a:ln w="9525">
                      <a:noFill/>
                      <a:headEnd/>
                      <a:tailEnd/>
                    </a:ln>
                  </pic:spPr>
                </pic:pic>
              </a:graphicData>
            </a:graphic>
          </wp:inline>
        </w:drawing>
      </w:r>
    </w:p>
    <w:p>
      <w:pPr>
        <w:pStyle w:val="ImageCaption"/>
      </w:pPr>
      <w:r>
        <w:rPr>
          <w:bCs/>
          <w:b/>
        </w:rPr>
        <w:t xml:space="preserve">Supplementary Figure S4. Feature importance by category.</w:t>
      </w:r>
      <w:r>
        <w:t xml:space="preserve"> </w:t>
      </w:r>
      <w:r>
        <w:t xml:space="preserve">Comprehensive feature importance analysis. (A) Pie chart showing feature category contributions: ESM-2 embeddings dominate at 89.4%, with amino acid properties (4.7%), AlphaMissense score (3.3%), gene constraint (0.9%), substitution matrix scores (0.9%), position features (0.5%), and disorder score (0.3%) providing complementary information. (B) Top 20 engineered features ranked by mean |SHAP| value, with oe_mis showing highest importance. (C) Top 30 ESM embedding dimensions showing rapid decay in importance. (D) Cumulative importance curve showing 501 features capture 80% of total importance.</w:t>
      </w:r>
    </w:p>
    <w:bookmarkEnd w:id="46"/>
    <w:bookmarkStart w:id="50" w:name="supplementary-figure-s5"/>
    <w:p>
      <w:pPr>
        <w:pStyle w:val="Heading3"/>
      </w:pPr>
      <w:r>
        <w:t xml:space="preserve">Supplementary Figure S5</w:t>
      </w:r>
    </w:p>
    <w:p>
      <w:pPr>
        <w:pStyle w:val="CaptionedFigure"/>
      </w:pPr>
      <w:r>
        <w:drawing>
          <wp:inline>
            <wp:extent cx="5334000" cy="1749322"/>
            <wp:effectExtent b="0" l="0" r="0" t="0"/>
            <wp:docPr descr="Supplementary Figure S5. Calibration reliability diagram. Calibration plot comparing predicted probabilities to observed pathogenic rates. Perfect calibration lies on the diagonal. (A) Our model (blue) and our model with Platt scaling (green) both closely follow the diagonal, indicating excellent calibration. AlphaMissense (orange) shows systematic deviation at higher probabilities. (B-C) Prediction distributions stratified by true class for our model and AlphaMissense, showing clear separation between benign (green) and pathogenic (red) variants." title="" id="48" name="Picture"/>
            <a:graphic>
              <a:graphicData uri="http://schemas.openxmlformats.org/drawingml/2006/picture">
                <pic:pic>
                  <pic:nvPicPr>
                    <pic:cNvPr descr="images/supplementary/figureS5.png" id="49" name="Picture"/>
                    <pic:cNvPicPr>
                      <a:picLocks noChangeArrowheads="1" noChangeAspect="1"/>
                    </pic:cNvPicPr>
                  </pic:nvPicPr>
                  <pic:blipFill>
                    <a:blip r:embed="rId47"/>
                    <a:stretch>
                      <a:fillRect/>
                    </a:stretch>
                  </pic:blipFill>
                  <pic:spPr bwMode="auto">
                    <a:xfrm>
                      <a:off x="0" y="0"/>
                      <a:ext cx="5334000" cy="1749322"/>
                    </a:xfrm>
                    <a:prstGeom prst="rect">
                      <a:avLst/>
                    </a:prstGeom>
                    <a:noFill/>
                    <a:ln w="9525">
                      <a:noFill/>
                      <a:headEnd/>
                      <a:tailEnd/>
                    </a:ln>
                  </pic:spPr>
                </pic:pic>
              </a:graphicData>
            </a:graphic>
          </wp:inline>
        </w:drawing>
      </w:r>
    </w:p>
    <w:p>
      <w:pPr>
        <w:pStyle w:val="ImageCaption"/>
      </w:pPr>
      <w:r>
        <w:rPr>
          <w:bCs/>
          <w:b/>
        </w:rPr>
        <w:t xml:space="preserve">Supplementary Figure S5. Calibration reliability diagram.</w:t>
      </w:r>
      <w:r>
        <w:t xml:space="preserve"> </w:t>
      </w:r>
      <w:r>
        <w:t xml:space="preserve">Calibration plot comparing predicted probabilities to observed pathogenic rates. Perfect calibration lies on the diagonal. (A) Our model (blue) and our model with Platt scaling (green) both closely follow the diagonal, indicating excellent calibration. AlphaMissense (orange) shows systematic deviation at higher probabilities. (B-C) Prediction distributions stratified by true class for our model and AlphaMissense, showing clear separation between benign (green) and pathogenic (red) variants.</w:t>
      </w:r>
    </w:p>
    <w:bookmarkEnd w:id="50"/>
    <w:bookmarkStart w:id="54" w:name="supplementary-figure-s6"/>
    <w:p>
      <w:pPr>
        <w:pStyle w:val="Heading3"/>
      </w:pPr>
      <w:r>
        <w:t xml:space="preserve">Supplementary Figure S6</w:t>
      </w:r>
    </w:p>
    <w:p>
      <w:pPr>
        <w:pStyle w:val="CaptionedFigure"/>
      </w:pPr>
      <w:r>
        <w:drawing>
          <wp:inline>
            <wp:extent cx="5334000" cy="1753741"/>
            <wp:effectExtent b="0" l="0" r="0" t="0"/>
            <wp:docPr descr="Supplementary Figure S6. ROC and PR curves with performance metrics. Receiver operating characteristic (ROC) and precision-recall (PR) curves comparing our model against AlphaMissense. (A) ROC curves showing our model achieves AUC=0.978 vs 0.934 for AlphaMissense on the held-out test set (n=12,180 variants). (B) PR curves demonstrating superior precision across all recall levels (AP=0.967 vs 0.902). (C) Bar chart comparing key metrics: AUC-ROC, AUC-PR, sensitivity, and specificity, with our model outperforming on all measures." title="" id="52" name="Picture"/>
            <a:graphic>
              <a:graphicData uri="http://schemas.openxmlformats.org/drawingml/2006/picture">
                <pic:pic>
                  <pic:nvPicPr>
                    <pic:cNvPr descr="images/supplementary/figureS6.png" id="53" name="Picture"/>
                    <pic:cNvPicPr>
                      <a:picLocks noChangeArrowheads="1" noChangeAspect="1"/>
                    </pic:cNvPicPr>
                  </pic:nvPicPr>
                  <pic:blipFill>
                    <a:blip r:embed="rId51"/>
                    <a:stretch>
                      <a:fillRect/>
                    </a:stretch>
                  </pic:blipFill>
                  <pic:spPr bwMode="auto">
                    <a:xfrm>
                      <a:off x="0" y="0"/>
                      <a:ext cx="5334000" cy="1753741"/>
                    </a:xfrm>
                    <a:prstGeom prst="rect">
                      <a:avLst/>
                    </a:prstGeom>
                    <a:noFill/>
                    <a:ln w="9525">
                      <a:noFill/>
                      <a:headEnd/>
                      <a:tailEnd/>
                    </a:ln>
                  </pic:spPr>
                </pic:pic>
              </a:graphicData>
            </a:graphic>
          </wp:inline>
        </w:drawing>
      </w:r>
    </w:p>
    <w:p>
      <w:pPr>
        <w:pStyle w:val="ImageCaption"/>
      </w:pPr>
      <w:r>
        <w:rPr>
          <w:bCs/>
          <w:b/>
        </w:rPr>
        <w:t xml:space="preserve">Supplementary Figure S6. ROC and PR curves with performance metrics.</w:t>
      </w:r>
      <w:r>
        <w:t xml:space="preserve"> </w:t>
      </w:r>
      <w:r>
        <w:t xml:space="preserve">Receiver operating characteristic (ROC) and precision-recall (PR) curves comparing our model against AlphaMissense. (A) ROC curves showing our model achieves AUC=0.978 vs 0.934 for AlphaMissense on the held-out test set (n=12,180 variants). (B) PR curves demonstrating superior precision across all recall levels (AP=0.967 vs 0.902). (C) Bar chart comparing key metrics: AUC-ROC, AUC-PR, sensitivity, and specificity, with our model outperforming on all measures.</w:t>
      </w:r>
    </w:p>
    <w:p>
      <w:r>
        <w:pict>
          <v:rect style="width:0;height:1.5pt" o:hralign="center" o:hrstd="t" o:hr="t"/>
        </w:pict>
      </w:r>
    </w:p>
    <w:bookmarkEnd w:id="54"/>
    <w:bookmarkEnd w:id="55"/>
    <w:bookmarkStart w:id="63" w:name="supplementary-methods"/>
    <w:p>
      <w:pPr>
        <w:pStyle w:val="Heading2"/>
      </w:pPr>
      <w:r>
        <w:t xml:space="preserve">Supplementary Methods</w:t>
      </w:r>
    </w:p>
    <w:bookmarkStart w:id="56" w:name="esm-2-embedding-extraction"/>
    <w:p>
      <w:pPr>
        <w:pStyle w:val="Heading3"/>
      </w:pPr>
      <w:r>
        <w:t xml:space="preserve">ESM-2 Embedding Extraction</w:t>
      </w:r>
    </w:p>
    <w:p>
      <w:pPr>
        <w:pStyle w:val="FirstParagraph"/>
      </w:pPr>
      <w:r>
        <w:t xml:space="preserve">ESM-2 embeddings were extracted using the esm2_t33_650M_UR50D model via the Fair-ESM library. For each variant, we obtained the 1,280-dimensional representation for both the wild-type and mutant protein sequences at the variant position. The embedding difference (mutant - wild-type) was computed to capture the perturbation induced by the amino acid substitution. This approach ensures that the embeddings represent the specific effect of the variant rather than position-specific or protein-specific background signals.</w:t>
      </w:r>
    </w:p>
    <w:bookmarkEnd w:id="56"/>
    <w:bookmarkStart w:id="57" w:name="gene-constraint-metrics"/>
    <w:p>
      <w:pPr>
        <w:pStyle w:val="Heading3"/>
      </w:pPr>
      <w:r>
        <w:t xml:space="preserve">Gene Constraint Metrics</w:t>
      </w:r>
    </w:p>
    <w:p>
      <w:pPr>
        <w:pStyle w:val="FirstParagraph"/>
      </w:pPr>
      <w:r>
        <w:t xml:space="preserve">Gene constraint metrics from gnomAD v4 quantify the selective pressure against different types of mutations. The observed/expected ratio for missense variants (oe_mis) represents the ratio of observed missense variants in gnomAD to the number expected under a neutral mutation model. Lower values indicate stronger selective constraint. The probability of loss-of-function intolerance (pLI) estimates the probability that a gene is intolerant to heterozygous loss-of-function variants. These metrics provide gene-level context that helps distinguish between variants in highly constrained genes (where missense variants are more likely pathogenic) versus tolerant genes.</w:t>
      </w:r>
    </w:p>
    <w:bookmarkEnd w:id="57"/>
    <w:bookmarkStart w:id="58" w:name="X534bbd7cd0951b73da45c9e06b0309ec6af19df"/>
    <w:p>
      <w:pPr>
        <w:pStyle w:val="Heading3"/>
      </w:pPr>
      <w:r>
        <w:t xml:space="preserve">Intrinsically Disordered Region Annotation</w:t>
      </w:r>
    </w:p>
    <w:p>
      <w:pPr>
        <w:pStyle w:val="FirstParagraph"/>
      </w:pPr>
      <w:r>
        <w:t xml:space="preserve">Intrinsically disordered regions were annotated using IUPred2A, which predicts disorder tendency from amino acid sequence alone. Residues with IUPred2A scores &gt;0.5 were classified as disordered. Variants were assigned to the</w:t>
      </w:r>
      <w:r>
        <w:t xml:space="preserve"> </w:t>
      </w:r>
      <w:r>
        <w:t xml:space="preserve">‘</w:t>
      </w:r>
      <w:r>
        <w:t xml:space="preserve">disordered</w:t>
      </w:r>
      <w:r>
        <w:t xml:space="preserve">’</w:t>
      </w:r>
      <w:r>
        <w:t xml:space="preserve"> </w:t>
      </w:r>
      <w:r>
        <w:t xml:space="preserve">category if the variant position had a disorder score &gt;0.5, and to the</w:t>
      </w:r>
      <w:r>
        <w:t xml:space="preserve"> </w:t>
      </w:r>
      <w:r>
        <w:t xml:space="preserve">‘</w:t>
      </w:r>
      <w:r>
        <w:t xml:space="preserve">ordered</w:t>
      </w:r>
      <w:r>
        <w:t xml:space="preserve">’</w:t>
      </w:r>
      <w:r>
        <w:t xml:space="preserve"> </w:t>
      </w:r>
      <w:r>
        <w:t xml:space="preserve">category otherwise. Approximately 20% of variants in our dataset mapped to disordered regions, consistent with estimates of IDR prevalence in the human proteome.</w:t>
      </w:r>
    </w:p>
    <w:bookmarkEnd w:id="58"/>
    <w:bookmarkStart w:id="59" w:name="bootstrap-confidence-intervals"/>
    <w:p>
      <w:pPr>
        <w:pStyle w:val="Heading3"/>
      </w:pPr>
      <w:r>
        <w:t xml:space="preserve">Bootstrap Confidence Intervals</w:t>
      </w:r>
    </w:p>
    <w:p>
      <w:pPr>
        <w:pStyle w:val="FirstParagraph"/>
      </w:pPr>
      <w:r>
        <w:t xml:space="preserve">Bootstrap confidence intervals were computed using the percentile method with 1,000 resampling iterations. For each iteration, the test set was resampled with replacement and performance metrics were recalculated. The 2.5th and 97.5th percentiles of the bootstrap distribution defined the 95% confidence interval. This approach accounts for uncertainty in point estimates and enables formal statistical comparisons between methods.</w:t>
      </w:r>
    </w:p>
    <w:bookmarkEnd w:id="59"/>
    <w:bookmarkStart w:id="60" w:name="delong-test-for-correlated-roc-curves"/>
    <w:p>
      <w:pPr>
        <w:pStyle w:val="Heading3"/>
      </w:pPr>
      <w:r>
        <w:t xml:space="preserve">DeLong Test for Correlated ROC Curves</w:t>
      </w:r>
    </w:p>
    <w:p>
      <w:pPr>
        <w:pStyle w:val="FirstParagraph"/>
      </w:pPr>
      <w:r>
        <w:t xml:space="preserve">The DeLong test was used to compare AUC-ROC values between correlated ROC curves (i.e., different methods evaluated on the same test set). This non-parametric test accounts for the correlation structure induced by evaluating methods on identical samples. The null hypothesis is that the two AUCs are equal; rejection indicates statistically significant difference in discriminative performance.</w:t>
      </w:r>
    </w:p>
    <w:bookmarkEnd w:id="60"/>
    <w:bookmarkStart w:id="61" w:name="expected-calibration-error"/>
    <w:p>
      <w:pPr>
        <w:pStyle w:val="Heading3"/>
      </w:pPr>
      <w:r>
        <w:t xml:space="preserve">Expected Calibration Error</w:t>
      </w:r>
    </w:p>
    <w:p>
      <w:pPr>
        <w:pStyle w:val="FirstParagraph"/>
      </w:pPr>
      <w:r>
        <w:t xml:space="preserve">Expected calibration error (ECE) quantifies the average deviation between predicted probabilities and observed rates. Predictions were binned into 10 equally-spaced intervals, and the absolute difference between mean predicted probability and observed pathogenic rate was computed for each bin. ECE represents the weighted average of these bin-wise calibration errors. Lower ECE indicates better calibration, with ECE &lt; 0.01 indicating excellent calibration.</w:t>
      </w:r>
    </w:p>
    <w:bookmarkEnd w:id="61"/>
    <w:bookmarkStart w:id="62" w:name="code-and-data-availability"/>
    <w:p>
      <w:pPr>
        <w:pStyle w:val="Heading3"/>
      </w:pPr>
      <w:r>
        <w:t xml:space="preserve">Code and Data Availability</w:t>
      </w:r>
    </w:p>
    <w:p>
      <w:pPr>
        <w:pStyle w:val="FirstParagraph"/>
      </w:pPr>
      <w:r>
        <w:t xml:space="preserve">All analysis code, trained model weights, and scripts for reproducing the figures in this manuscript are available at: https://github.com/hayden-farquhar/VUS-reclassification</w:t>
      </w:r>
    </w:p>
    <w:p>
      <w:pPr>
        <w:pStyle w:val="BodyText"/>
      </w:pPr>
      <w:r>
        <w:t xml:space="preserve">The repository includes:</w:t>
      </w:r>
      <w:r>
        <w:t xml:space="preserve"> </w:t>
      </w:r>
      <w:r>
        <w:t xml:space="preserve">- Feature engineering pipeline</w:t>
      </w:r>
      <w:r>
        <w:t xml:space="preserve"> </w:t>
      </w:r>
      <w:r>
        <w:t xml:space="preserve">- Model training scripts</w:t>
      </w:r>
      <w:r>
        <w:br/>
      </w:r>
      <w:r>
        <w:t xml:space="preserve">- Evaluation and benchmarking code</w:t>
      </w:r>
      <w:r>
        <w:t xml:space="preserve"> </w:t>
      </w:r>
      <w:r>
        <w:t xml:space="preserve">- Pre-trained XGBoost model weights</w:t>
      </w:r>
      <w:r>
        <w:t xml:space="preserve"> </w:t>
      </w:r>
      <w:r>
        <w:t xml:space="preserve">- Instructions for reproducing all analyses</w:t>
      </w:r>
    </w:p>
    <w:p>
      <w:r>
        <w:pict>
          <v:rect style="width:0;height:1.5pt" o:hralign="center" o:hrstd="t" o:hr="t"/>
        </w:pict>
      </w:r>
    </w:p>
    <w:p>
      <w:pPr>
        <w:pStyle w:val="FirstParagraph"/>
      </w:pPr>
      <w:r>
        <w:rPr>
          <w:iCs/>
          <w:i/>
        </w:rPr>
        <w:t xml:space="preserve">Supplementary Materials for submission to Genome Medicine</w:t>
      </w:r>
    </w:p>
    <w:bookmarkEnd w:id="62"/>
    <w:bookmarkEnd w:id="63"/>
    <w:bookmarkEnd w:id="6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35" Target="media/rId35.pn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image" Id="rId47" Target="media/rId47.png" /><Relationship Type="http://schemas.openxmlformats.org/officeDocument/2006/relationships/image" Id="rId51" Target="media/rId5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Materials</dc:title>
  <dc:creator>Hayden Farquhar</dc:creator>
  <cp:keywords/>
  <dcterms:created xsi:type="dcterms:W3CDTF">2026-01-29T02:41:23Z</dcterms:created>
  <dcterms:modified xsi:type="dcterms:W3CDTF">2026-01-29T02:41:23Z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January 2026</vt:lpwstr>
  </property>
  <property fmtid="{D5CDD505-2E9C-101B-9397-08002B2CF9AE}" pid="3" name="fontsize">
    <vt:lpwstr>10pt</vt:lpwstr>
  </property>
  <property fmtid="{D5CDD505-2E9C-101B-9397-08002B2CF9AE}" pid="4" name="geometry">
    <vt:lpwstr>margin=1in</vt:lpwstr>
  </property>
  <property fmtid="{D5CDD505-2E9C-101B-9397-08002B2CF9AE}" pid="5" name="header-includes">
    <vt:lpwstr/>
  </property>
  <property fmtid="{D5CDD505-2E9C-101B-9397-08002B2CF9AE}" pid="6" name="linestretch">
    <vt:lpwstr>1.3</vt:lpwstr>
  </property>
  <property fmtid="{D5CDD505-2E9C-101B-9397-08002B2CF9AE}" pid="7" name="subtitle">
    <vt:lpwstr>Protein Language Models Rescue Variant Pathogenicity Prediction in Intrinsically Disordered Regions</vt:lpwstr>
  </property>
</Properties>
</file>