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4E8F" w14:textId="77777777" w:rsidR="00D67A19" w:rsidRPr="00035A55" w:rsidRDefault="00D67A19" w:rsidP="00D67A1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35A55">
        <w:rPr>
          <w:rFonts w:ascii="Arial" w:hAnsi="Arial" w:cs="Arial"/>
          <w:b/>
          <w:bCs/>
        </w:rPr>
        <w:t>Exercise (Wheel-Running) Reduces Chronic Alcohol-Induced Escalation of Drinking in Mice via Elevated BDNF-</w:t>
      </w:r>
      <w:proofErr w:type="spellStart"/>
      <w:r w:rsidRPr="00035A55">
        <w:rPr>
          <w:rFonts w:ascii="Arial" w:hAnsi="Arial" w:cs="Arial"/>
          <w:b/>
          <w:bCs/>
        </w:rPr>
        <w:t>TrkB</w:t>
      </w:r>
      <w:proofErr w:type="spellEnd"/>
      <w:r w:rsidRPr="00035A55">
        <w:rPr>
          <w:rFonts w:ascii="Arial" w:hAnsi="Arial" w:cs="Arial"/>
          <w:b/>
          <w:bCs/>
        </w:rPr>
        <w:t xml:space="preserve"> Receptor Activity</w:t>
      </w:r>
    </w:p>
    <w:p w14:paraId="54A48B94" w14:textId="77777777" w:rsidR="00D67A19" w:rsidRPr="00035A55" w:rsidRDefault="00D67A19" w:rsidP="00D67A1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8B9F7B" w14:textId="77777777" w:rsidR="00D67A19" w:rsidRPr="00035A55" w:rsidRDefault="00D67A19" w:rsidP="00D67A1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720F0B" w14:textId="77777777" w:rsidR="00D67A19" w:rsidRPr="00035A55" w:rsidRDefault="00D67A19" w:rsidP="00D67A1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5A55">
        <w:rPr>
          <w:rFonts w:ascii="Arial" w:hAnsi="Arial" w:cs="Arial"/>
          <w:b/>
          <w:bCs/>
          <w:sz w:val="22"/>
          <w:szCs w:val="22"/>
        </w:rPr>
        <w:t>Howard C. Becker</w:t>
      </w:r>
      <w:r w:rsidRPr="00035A55">
        <w:rPr>
          <w:rFonts w:ascii="Arial" w:hAnsi="Arial" w:cs="Arial"/>
          <w:b/>
          <w:bCs/>
          <w:sz w:val="22"/>
          <w:szCs w:val="22"/>
          <w:vertAlign w:val="superscript"/>
        </w:rPr>
        <w:t>1,2,</w:t>
      </w:r>
      <w:proofErr w:type="gramStart"/>
      <w:r w:rsidRPr="00035A55">
        <w:rPr>
          <w:rFonts w:ascii="Arial" w:hAnsi="Arial" w:cs="Arial"/>
          <w:b/>
          <w:bCs/>
          <w:sz w:val="22"/>
          <w:szCs w:val="22"/>
          <w:vertAlign w:val="superscript"/>
        </w:rPr>
        <w:t>3,*</w:t>
      </w:r>
      <w:proofErr w:type="gramEnd"/>
      <w:r w:rsidRPr="00035A55">
        <w:rPr>
          <w:rFonts w:ascii="Arial" w:hAnsi="Arial" w:cs="Arial"/>
          <w:b/>
          <w:bCs/>
          <w:sz w:val="22"/>
          <w:szCs w:val="22"/>
        </w:rPr>
        <w:t>, Matthew G. Solomon</w:t>
      </w:r>
      <w:r w:rsidRPr="00035A55">
        <w:rPr>
          <w:rFonts w:ascii="Arial" w:hAnsi="Arial" w:cs="Arial"/>
          <w:b/>
          <w:bCs/>
          <w:sz w:val="22"/>
          <w:szCs w:val="22"/>
          <w:vertAlign w:val="superscript"/>
        </w:rPr>
        <w:t>1,2</w:t>
      </w:r>
      <w:r w:rsidRPr="00035A55">
        <w:rPr>
          <w:rFonts w:ascii="Arial" w:hAnsi="Arial" w:cs="Arial"/>
          <w:b/>
          <w:bCs/>
          <w:sz w:val="22"/>
          <w:szCs w:val="22"/>
        </w:rPr>
        <w:t>, Anny Gano</w:t>
      </w:r>
      <w:r w:rsidRPr="00035A55">
        <w:rPr>
          <w:rFonts w:ascii="Arial" w:hAnsi="Arial" w:cs="Arial"/>
          <w:b/>
          <w:bCs/>
          <w:sz w:val="22"/>
          <w:szCs w:val="22"/>
          <w:vertAlign w:val="superscript"/>
        </w:rPr>
        <w:t>1,2</w:t>
      </w:r>
      <w:r w:rsidRPr="00035A55">
        <w:rPr>
          <w:rFonts w:ascii="Arial" w:hAnsi="Arial" w:cs="Arial"/>
          <w:b/>
          <w:bCs/>
          <w:sz w:val="22"/>
          <w:szCs w:val="22"/>
        </w:rPr>
        <w:t>, Marcelo F. Lopez</w:t>
      </w:r>
      <w:r w:rsidRPr="00035A55">
        <w:rPr>
          <w:rFonts w:ascii="Arial" w:hAnsi="Arial" w:cs="Arial"/>
          <w:b/>
          <w:bCs/>
          <w:sz w:val="22"/>
          <w:szCs w:val="22"/>
          <w:vertAlign w:val="superscript"/>
        </w:rPr>
        <w:t>1,2</w:t>
      </w:r>
    </w:p>
    <w:p w14:paraId="7CB7FF45" w14:textId="77777777" w:rsidR="00D67A19" w:rsidRPr="00035A55" w:rsidRDefault="00D67A19" w:rsidP="00D67A1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9C8F7F2" w14:textId="77777777" w:rsidR="00D67A19" w:rsidRPr="00035A55" w:rsidRDefault="00D67A19" w:rsidP="00D67A1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DCDEBF" w14:textId="77777777" w:rsidR="00D67A19" w:rsidRPr="00035A55" w:rsidRDefault="00D67A19" w:rsidP="00D67A19">
      <w:pPr>
        <w:spacing w:after="0" w:line="240" w:lineRule="auto"/>
        <w:ind w:left="180" w:hanging="180"/>
        <w:rPr>
          <w:rFonts w:ascii="Arial" w:hAnsi="Arial" w:cs="Arial"/>
          <w:sz w:val="22"/>
          <w:szCs w:val="22"/>
        </w:rPr>
      </w:pPr>
      <w:r w:rsidRPr="00035A55">
        <w:rPr>
          <w:rFonts w:ascii="Arial" w:hAnsi="Arial" w:cs="Arial"/>
          <w:sz w:val="22"/>
          <w:szCs w:val="22"/>
          <w:vertAlign w:val="superscript"/>
        </w:rPr>
        <w:t>1</w:t>
      </w:r>
      <w:r w:rsidRPr="00035A55">
        <w:rPr>
          <w:rFonts w:ascii="Arial" w:hAnsi="Arial" w:cs="Arial"/>
          <w:sz w:val="22"/>
          <w:szCs w:val="22"/>
          <w:vertAlign w:val="superscript"/>
        </w:rPr>
        <w:tab/>
      </w:r>
      <w:r w:rsidRPr="00035A55">
        <w:rPr>
          <w:rFonts w:ascii="Arial" w:hAnsi="Arial" w:cs="Arial"/>
          <w:sz w:val="22"/>
          <w:szCs w:val="22"/>
        </w:rPr>
        <w:t>Charleston Alcohol Research Center, Medical University of South Carolina, Charleston, South Carolina 29425 USA</w:t>
      </w:r>
    </w:p>
    <w:p w14:paraId="4D5A2B70" w14:textId="77777777" w:rsidR="00D67A19" w:rsidRPr="00035A55" w:rsidRDefault="00D67A19" w:rsidP="00D67A1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74150AA" w14:textId="77777777" w:rsidR="00D67A19" w:rsidRPr="00035A55" w:rsidRDefault="00D67A19" w:rsidP="00D67A19">
      <w:pPr>
        <w:spacing w:after="0" w:line="240" w:lineRule="auto"/>
        <w:ind w:left="180" w:hanging="180"/>
        <w:rPr>
          <w:rFonts w:ascii="Arial" w:hAnsi="Arial" w:cs="Arial"/>
          <w:sz w:val="22"/>
          <w:szCs w:val="22"/>
        </w:rPr>
      </w:pPr>
      <w:r w:rsidRPr="00035A55">
        <w:rPr>
          <w:rFonts w:ascii="Arial" w:hAnsi="Arial" w:cs="Arial"/>
          <w:sz w:val="22"/>
          <w:szCs w:val="22"/>
          <w:vertAlign w:val="superscript"/>
        </w:rPr>
        <w:t>2</w:t>
      </w:r>
      <w:r w:rsidRPr="00035A55">
        <w:rPr>
          <w:rFonts w:ascii="Arial" w:hAnsi="Arial" w:cs="Arial"/>
          <w:sz w:val="22"/>
          <w:szCs w:val="22"/>
          <w:vertAlign w:val="superscript"/>
        </w:rPr>
        <w:tab/>
      </w:r>
      <w:r w:rsidRPr="00035A55">
        <w:rPr>
          <w:rFonts w:ascii="Arial" w:hAnsi="Arial" w:cs="Arial"/>
          <w:sz w:val="22"/>
          <w:szCs w:val="22"/>
        </w:rPr>
        <w:t>Departments of Neuroscience and Psychiatry, Medical University of South Carolina, Charleston, South Carolina 29425 USA</w:t>
      </w:r>
    </w:p>
    <w:p w14:paraId="3FC04F97" w14:textId="77777777" w:rsidR="00D67A19" w:rsidRPr="00035A55" w:rsidRDefault="00D67A19" w:rsidP="00D67A19">
      <w:pPr>
        <w:spacing w:after="0" w:line="240" w:lineRule="auto"/>
        <w:ind w:left="180" w:hanging="180"/>
        <w:rPr>
          <w:rFonts w:ascii="Arial" w:hAnsi="Arial" w:cs="Arial"/>
          <w:sz w:val="22"/>
          <w:szCs w:val="22"/>
        </w:rPr>
      </w:pPr>
    </w:p>
    <w:p w14:paraId="4FBA38C9" w14:textId="77777777" w:rsidR="00D67A19" w:rsidRPr="00035A55" w:rsidRDefault="00D67A19" w:rsidP="00D67A19">
      <w:pPr>
        <w:spacing w:after="0" w:line="240" w:lineRule="auto"/>
        <w:ind w:left="180" w:hanging="180"/>
        <w:rPr>
          <w:rFonts w:ascii="Arial" w:hAnsi="Arial" w:cs="Arial"/>
          <w:sz w:val="22"/>
          <w:szCs w:val="22"/>
        </w:rPr>
      </w:pPr>
      <w:r w:rsidRPr="00035A55">
        <w:rPr>
          <w:rFonts w:ascii="Arial" w:hAnsi="Arial" w:cs="Arial"/>
          <w:sz w:val="22"/>
          <w:szCs w:val="22"/>
          <w:vertAlign w:val="superscript"/>
        </w:rPr>
        <w:t>3</w:t>
      </w:r>
      <w:r w:rsidRPr="00035A55">
        <w:rPr>
          <w:rFonts w:ascii="Arial" w:hAnsi="Arial" w:cs="Arial"/>
          <w:sz w:val="22"/>
          <w:szCs w:val="22"/>
          <w:vertAlign w:val="superscript"/>
        </w:rPr>
        <w:tab/>
      </w:r>
      <w:r w:rsidRPr="00035A55">
        <w:rPr>
          <w:rFonts w:ascii="Arial" w:hAnsi="Arial" w:cs="Arial"/>
          <w:sz w:val="22"/>
          <w:szCs w:val="22"/>
        </w:rPr>
        <w:t>Ralph H. Johnson Department of Veterans Affairs Health Care System, Charleston, South Carolina 29401 USA</w:t>
      </w:r>
    </w:p>
    <w:p w14:paraId="36214432" w14:textId="77777777" w:rsidR="00D67A19" w:rsidRPr="00035A55" w:rsidRDefault="00D67A19" w:rsidP="00D67A1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420F73" w14:textId="77777777" w:rsidR="00D67A19" w:rsidRPr="00035A55" w:rsidRDefault="00D67A19" w:rsidP="00D67A19">
      <w:pPr>
        <w:spacing w:after="0" w:line="240" w:lineRule="auto"/>
        <w:ind w:left="180" w:hanging="180"/>
        <w:rPr>
          <w:rFonts w:ascii="Arial" w:hAnsi="Arial" w:cs="Arial"/>
          <w:sz w:val="22"/>
          <w:szCs w:val="22"/>
        </w:rPr>
      </w:pPr>
      <w:r w:rsidRPr="00035A55">
        <w:rPr>
          <w:rFonts w:ascii="Arial" w:hAnsi="Arial" w:cs="Arial"/>
          <w:sz w:val="22"/>
          <w:szCs w:val="22"/>
        </w:rPr>
        <w:t xml:space="preserve">* </w:t>
      </w:r>
      <w:r w:rsidRPr="00035A55">
        <w:rPr>
          <w:rFonts w:ascii="Arial" w:hAnsi="Arial" w:cs="Arial"/>
          <w:sz w:val="22"/>
          <w:szCs w:val="22"/>
        </w:rPr>
        <w:tab/>
        <w:t>Author to whom correspondence should be addressed</w:t>
      </w:r>
    </w:p>
    <w:p w14:paraId="1A1DB8A4" w14:textId="77777777" w:rsidR="00D67A19" w:rsidRPr="00035A55" w:rsidRDefault="00D67A19">
      <w:pPr>
        <w:rPr>
          <w:rFonts w:ascii="Arial" w:hAnsi="Arial" w:cs="Arial"/>
          <w:b/>
          <w:bCs/>
          <w:sz w:val="22"/>
          <w:szCs w:val="22"/>
        </w:rPr>
      </w:pPr>
    </w:p>
    <w:p w14:paraId="3A990A86" w14:textId="77777777" w:rsidR="00D67A19" w:rsidRPr="00035A55" w:rsidRDefault="00D67A19">
      <w:pPr>
        <w:rPr>
          <w:rFonts w:ascii="Arial" w:hAnsi="Arial" w:cs="Arial"/>
          <w:b/>
          <w:bCs/>
          <w:sz w:val="22"/>
          <w:szCs w:val="22"/>
        </w:rPr>
      </w:pPr>
    </w:p>
    <w:p w14:paraId="34097800" w14:textId="1BD9BA6C" w:rsidR="00616D01" w:rsidRDefault="00D67A19" w:rsidP="00D67A1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5A55"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="00A459CC">
        <w:rPr>
          <w:rFonts w:ascii="Arial" w:hAnsi="Arial" w:cs="Arial"/>
          <w:b/>
          <w:bCs/>
          <w:sz w:val="22"/>
          <w:szCs w:val="22"/>
        </w:rPr>
        <w:t xml:space="preserve">METHODS and </w:t>
      </w:r>
      <w:r w:rsidRPr="00035A55">
        <w:rPr>
          <w:rFonts w:ascii="Arial" w:hAnsi="Arial" w:cs="Arial"/>
          <w:b/>
          <w:bCs/>
          <w:sz w:val="22"/>
          <w:szCs w:val="22"/>
        </w:rPr>
        <w:t>MATERIALS</w:t>
      </w:r>
    </w:p>
    <w:p w14:paraId="551C37E4" w14:textId="77777777" w:rsidR="00616D01" w:rsidRDefault="00616D01" w:rsidP="00D67A1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9913D3" w14:textId="77777777" w:rsidR="00616D01" w:rsidRPr="00C20728" w:rsidRDefault="00616D01" w:rsidP="00012096">
      <w:pPr>
        <w:pStyle w:val="Heading4"/>
        <w:spacing w:before="0" w:after="0" w:line="480" w:lineRule="auto"/>
        <w:ind w:left="540" w:hanging="540"/>
        <w:jc w:val="both"/>
        <w:rPr>
          <w:rFonts w:ascii="Arial" w:eastAsia="Times New Roman" w:hAnsi="Arial" w:cs="Arial"/>
          <w:i w:val="0"/>
          <w:color w:val="000000" w:themeColor="text1"/>
          <w:spacing w:val="2"/>
          <w:sz w:val="22"/>
          <w:szCs w:val="22"/>
          <w:shd w:val="clear" w:color="auto" w:fill="FCFCFC"/>
        </w:rPr>
      </w:pPr>
      <w:r w:rsidRPr="00C20728">
        <w:rPr>
          <w:rFonts w:ascii="Arial" w:eastAsia="Times New Roman" w:hAnsi="Arial" w:cs="Arial"/>
          <w:b/>
          <w:i w:val="0"/>
          <w:color w:val="000000" w:themeColor="text1"/>
          <w:sz w:val="22"/>
          <w:szCs w:val="22"/>
        </w:rPr>
        <w:t>Brain Tissue Collec</w:t>
      </w:r>
      <w:r>
        <w:rPr>
          <w:rFonts w:ascii="Arial" w:eastAsia="Times New Roman" w:hAnsi="Arial" w:cs="Arial"/>
          <w:b/>
          <w:i w:val="0"/>
          <w:color w:val="000000" w:themeColor="text1"/>
          <w:sz w:val="22"/>
          <w:szCs w:val="22"/>
        </w:rPr>
        <w:t>tion</w:t>
      </w:r>
    </w:p>
    <w:p w14:paraId="299A5202" w14:textId="77777777" w:rsidR="00616D01" w:rsidRPr="00D20651" w:rsidRDefault="00616D01" w:rsidP="00012096">
      <w:pPr>
        <w:pStyle w:val="NormalWeb"/>
        <w:spacing w:before="0" w:beforeAutospacing="0" w:after="0" w:afterAutospacing="0" w:line="480" w:lineRule="auto"/>
        <w:ind w:firstLine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0651">
        <w:rPr>
          <w:rFonts w:ascii="Arial" w:hAnsi="Arial" w:cs="Arial"/>
          <w:color w:val="000000" w:themeColor="text1"/>
          <w:sz w:val="22"/>
          <w:szCs w:val="22"/>
        </w:rPr>
        <w:t>Mice were sacrificed by decapitation and brains rapidly removed. The medial prefrontal cortex (</w:t>
      </w:r>
      <w:proofErr w:type="spellStart"/>
      <w:r w:rsidRPr="00D20651">
        <w:rPr>
          <w:rFonts w:ascii="Arial" w:hAnsi="Arial" w:cs="Arial"/>
          <w:color w:val="000000" w:themeColor="text1"/>
          <w:sz w:val="22"/>
          <w:szCs w:val="22"/>
        </w:rPr>
        <w:t>mPFC</w:t>
      </w:r>
      <w:proofErr w:type="spellEnd"/>
      <w:r w:rsidRPr="00D20651">
        <w:rPr>
          <w:rFonts w:ascii="Arial" w:hAnsi="Arial" w:cs="Arial"/>
          <w:color w:val="000000" w:themeColor="text1"/>
          <w:sz w:val="22"/>
          <w:szCs w:val="22"/>
        </w:rPr>
        <w:t xml:space="preserve">) and dentate gyrus region of the hippocampus (HPC) </w:t>
      </w:r>
      <w:r w:rsidRPr="00B814EA">
        <w:rPr>
          <w:rFonts w:ascii="Arial" w:hAnsi="Arial" w:cs="Arial"/>
          <w:color w:val="000000" w:themeColor="text1"/>
          <w:sz w:val="22"/>
          <w:szCs w:val="22"/>
        </w:rPr>
        <w:t>were sectioned (2-mm)</w:t>
      </w:r>
      <w:r w:rsidRPr="00D20651">
        <w:rPr>
          <w:rFonts w:ascii="Arial" w:hAnsi="Arial" w:cs="Arial"/>
          <w:color w:val="000000" w:themeColor="text1"/>
          <w:sz w:val="22"/>
          <w:szCs w:val="22"/>
        </w:rPr>
        <w:t xml:space="preserve"> and dissected on ice using 1-mm microdissection punches, with the mouse brain atlas serving as a guide (</w:t>
      </w:r>
      <w:proofErr w:type="spellStart"/>
      <w:r w:rsidRPr="00012096">
        <w:rPr>
          <w:rFonts w:ascii="Arial" w:hAnsi="Arial" w:cs="Arial"/>
          <w:color w:val="000000"/>
          <w:sz w:val="22"/>
          <w:szCs w:val="22"/>
        </w:rPr>
        <w:t>mPFC</w:t>
      </w:r>
      <w:proofErr w:type="spellEnd"/>
      <w:r w:rsidRPr="00012096">
        <w:rPr>
          <w:rFonts w:ascii="Arial" w:hAnsi="Arial" w:cs="Arial"/>
          <w:color w:val="000000"/>
          <w:sz w:val="22"/>
          <w:szCs w:val="22"/>
        </w:rPr>
        <w:t>:  AP= 1.78 - 0.26, ML= 0.5, DV= 2.0; DG: AP= -1.94 to -3.40, ML= 0.5, DL= 1.5)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fldChar w:fldCharType="begin"/>
      </w:r>
      <w:r>
        <w:rPr>
          <w:rFonts w:ascii="Arial" w:hAnsi="Arial" w:cs="Arial"/>
          <w:noProof/>
          <w:color w:val="000000" w:themeColor="text1"/>
          <w:sz w:val="22"/>
          <w:szCs w:val="22"/>
        </w:rPr>
        <w:instrText xml:space="preserve"> ADDIN EN.CITE &lt;EndNote&gt;&lt;Cite&gt;&lt;Author&gt;Franklin&lt;/Author&gt;&lt;Year&gt;2008&lt;/Year&gt;&lt;RecNum&gt;53&lt;/RecNum&gt;&lt;DisplayText&gt;[57]&lt;/DisplayText&gt;&lt;record&gt;&lt;rec-number&gt;53&lt;/rec-number&gt;&lt;foreign-keys&gt;&lt;key app="EN" db-id="05vw259pzewvw9ezre55wz2uae59v2fdfff0" timestamp="1756405530"&gt;53&lt;/key&gt;&lt;/foreign-keys&gt;&lt;ref-type name="Book"&gt;6&lt;/ref-type&gt;&lt;contributors&gt;&lt;authors&gt;&lt;author&gt;Franklin, K.B.J.&lt;/author&gt;&lt;author&gt;Paxinos, G.&lt;/author&gt;&lt;/authors&gt;&lt;/contributors&gt;&lt;titles&gt;&lt;title&gt;The Mouse Brain in Stereotaxic Coordinates, Third Edition&lt;/title&gt;&lt;/titles&gt;&lt;edition&gt;3rd&lt;/edition&gt;&lt;dates&gt;&lt;year&gt;2008&lt;/year&gt;&lt;/dates&gt;&lt;pub-location&gt;San Diego&lt;/pub-location&gt;&lt;publisher&gt;Academic Press&lt;/publisher&gt;&lt;urls&gt;&lt;/urls&gt;&lt;/record&gt;&lt;/Cite&gt;&lt;/EndNote&gt;</w:instrText>
      </w:r>
      <w:r>
        <w:rPr>
          <w:rFonts w:ascii="Arial" w:hAnsi="Arial" w:cs="Arial"/>
          <w:noProof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[57]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fldChar w:fldCharType="end"/>
      </w:r>
      <w:r w:rsidRPr="00D2065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814EA">
        <w:rPr>
          <w:rFonts w:ascii="Arial" w:hAnsi="Arial" w:cs="Arial"/>
          <w:color w:val="000000" w:themeColor="text1"/>
          <w:sz w:val="22"/>
          <w:szCs w:val="22"/>
        </w:rPr>
        <w:t xml:space="preserve">Samples </w:t>
      </w:r>
      <w:r w:rsidRPr="00B814EA">
        <w:rPr>
          <w:rFonts w:ascii="Arial" w:hAnsi="Arial" w:cs="Arial"/>
          <w:color w:val="000000"/>
          <w:sz w:val="22"/>
          <w:szCs w:val="22"/>
        </w:rPr>
        <w:t>from each hemisphere were combined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B814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20651">
        <w:rPr>
          <w:rFonts w:ascii="Arial" w:hAnsi="Arial" w:cs="Arial"/>
          <w:color w:val="000000" w:themeColor="text1"/>
          <w:sz w:val="22"/>
          <w:szCs w:val="22"/>
        </w:rPr>
        <w:t>placed into RNA Later (</w:t>
      </w:r>
      <w:proofErr w:type="spellStart"/>
      <w:r w:rsidRPr="00D20651">
        <w:rPr>
          <w:rFonts w:ascii="Arial" w:hAnsi="Arial" w:cs="Arial"/>
          <w:color w:val="000000" w:themeColor="text1"/>
          <w:sz w:val="22"/>
          <w:szCs w:val="22"/>
        </w:rPr>
        <w:t>Thermo</w:t>
      </w:r>
      <w:proofErr w:type="spellEnd"/>
      <w:r w:rsidRPr="00D20651">
        <w:rPr>
          <w:rFonts w:ascii="Arial" w:hAnsi="Arial" w:cs="Arial"/>
          <w:color w:val="000000" w:themeColor="text1"/>
          <w:sz w:val="22"/>
          <w:szCs w:val="22"/>
        </w:rPr>
        <w:t xml:space="preserve"> Fisher; cat no. AM7021)</w:t>
      </w:r>
      <w:r>
        <w:rPr>
          <w:rFonts w:ascii="Arial" w:hAnsi="Arial" w:cs="Arial"/>
          <w:color w:val="000000" w:themeColor="text1"/>
          <w:sz w:val="22"/>
          <w:szCs w:val="22"/>
        </w:rPr>
        <w:t>, and t</w:t>
      </w:r>
      <w:r w:rsidRPr="00D20651">
        <w:rPr>
          <w:rFonts w:ascii="Arial" w:hAnsi="Arial" w:cs="Arial"/>
          <w:color w:val="000000" w:themeColor="text1"/>
          <w:sz w:val="22"/>
          <w:szCs w:val="22"/>
        </w:rPr>
        <w:t xml:space="preserve">otal RNA was extracted using </w:t>
      </w:r>
      <w:proofErr w:type="spellStart"/>
      <w:r w:rsidRPr="00D20651">
        <w:rPr>
          <w:rFonts w:ascii="Arial" w:hAnsi="Arial" w:cs="Arial"/>
          <w:color w:val="000000" w:themeColor="text1"/>
          <w:sz w:val="22"/>
          <w:szCs w:val="22"/>
        </w:rPr>
        <w:t>ReliaPrep</w:t>
      </w:r>
      <w:proofErr w:type="spellEnd"/>
      <w:r w:rsidRPr="00D20651">
        <w:rPr>
          <w:rFonts w:ascii="Arial" w:hAnsi="Arial" w:cs="Arial"/>
          <w:color w:val="000000" w:themeColor="text1"/>
          <w:sz w:val="22"/>
          <w:szCs w:val="22"/>
        </w:rPr>
        <w:t xml:space="preserve"> RNA extraction kit (Promega; cat no. Z6012) according to the manufacturer’s instructions. Total RNA was quantified on a </w:t>
      </w:r>
      <w:proofErr w:type="spellStart"/>
      <w:r w:rsidRPr="00D20651">
        <w:rPr>
          <w:rFonts w:ascii="Arial" w:hAnsi="Arial" w:cs="Arial"/>
          <w:color w:val="000000" w:themeColor="text1"/>
          <w:sz w:val="22"/>
          <w:szCs w:val="22"/>
        </w:rPr>
        <w:t>Denovix</w:t>
      </w:r>
      <w:proofErr w:type="spellEnd"/>
      <w:r w:rsidRPr="00D20651">
        <w:rPr>
          <w:rFonts w:ascii="Arial" w:hAnsi="Arial" w:cs="Arial"/>
          <w:color w:val="000000" w:themeColor="text1"/>
          <w:sz w:val="22"/>
          <w:szCs w:val="22"/>
        </w:rPr>
        <w:t xml:space="preserve"> DS-11FX spectrophotometer. </w:t>
      </w:r>
    </w:p>
    <w:p w14:paraId="2048CDBA" w14:textId="77777777" w:rsidR="00616D01" w:rsidRPr="00C20728" w:rsidRDefault="00616D01" w:rsidP="00012096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2409187C" w14:textId="77777777" w:rsidR="00616D01" w:rsidRPr="00C20728" w:rsidRDefault="00616D01" w:rsidP="00012096">
      <w:pPr>
        <w:pStyle w:val="Heading4"/>
        <w:spacing w:before="0" w:after="0" w:line="480" w:lineRule="auto"/>
        <w:ind w:left="630" w:hanging="630"/>
        <w:jc w:val="both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bookmarkStart w:id="0" w:name="_Toc17194376"/>
      <w:proofErr w:type="spellStart"/>
      <w:r w:rsidRPr="00C20728">
        <w:rPr>
          <w:rFonts w:ascii="Arial" w:hAnsi="Arial" w:cs="Arial"/>
          <w:b/>
          <w:i w:val="0"/>
          <w:color w:val="000000" w:themeColor="text1"/>
          <w:sz w:val="22"/>
          <w:szCs w:val="22"/>
        </w:rPr>
        <w:t>qRT</w:t>
      </w:r>
      <w:proofErr w:type="spellEnd"/>
      <w:r w:rsidRPr="00C20728">
        <w:rPr>
          <w:rFonts w:ascii="Arial" w:hAnsi="Arial" w:cs="Arial"/>
          <w:b/>
          <w:i w:val="0"/>
          <w:color w:val="000000" w:themeColor="text1"/>
          <w:sz w:val="22"/>
          <w:szCs w:val="22"/>
        </w:rPr>
        <w:t>-PCR</w:t>
      </w:r>
      <w:bookmarkEnd w:id="0"/>
      <w:r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Assay</w:t>
      </w:r>
    </w:p>
    <w:p w14:paraId="0BFD2491" w14:textId="77777777" w:rsidR="00616D01" w:rsidRDefault="00616D01" w:rsidP="00012096">
      <w:pPr>
        <w:spacing w:after="0" w:line="480" w:lineRule="auto"/>
        <w:ind w:firstLine="450"/>
        <w:rPr>
          <w:rFonts w:ascii="Arial" w:hAnsi="Arial" w:cs="Arial"/>
          <w:color w:val="000000" w:themeColor="text1"/>
          <w:sz w:val="22"/>
          <w:szCs w:val="22"/>
        </w:rPr>
      </w:pPr>
      <w:r w:rsidRPr="00C20728">
        <w:rPr>
          <w:rFonts w:ascii="Arial" w:hAnsi="Arial" w:cs="Arial"/>
          <w:color w:val="000000" w:themeColor="text1"/>
          <w:sz w:val="22"/>
          <w:szCs w:val="22"/>
        </w:rPr>
        <w:t>Quantitative real</w:t>
      </w: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>time polymerase chain reaction (</w:t>
      </w:r>
      <w:proofErr w:type="spellStart"/>
      <w:r w:rsidRPr="00C20728">
        <w:rPr>
          <w:rFonts w:ascii="Arial" w:hAnsi="Arial" w:cs="Arial"/>
          <w:color w:val="000000" w:themeColor="text1"/>
          <w:sz w:val="22"/>
          <w:szCs w:val="22"/>
        </w:rPr>
        <w:t>qRT</w:t>
      </w:r>
      <w:proofErr w:type="spellEnd"/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-PCR) assays were performed using similar procedures to those previously published by our group 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PEVuZE5vdGU+PENpdGU+PEF1dGhvcj5NZWxlbmRlejwvQXV0aG9yPjxZZWFyPjIwMTI8L1llYXI+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</w:fldData>
        </w:fldChar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ADDIN EN.CITE </w:instrText>
      </w:r>
      <w:r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PEVuZE5vdGU+PENpdGU+PEF1dGhvcj5NZWxlbmRlejwvQXV0aG9yPjxZZWFyPjIwMTI8L1llYXI+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</w:fldData>
        </w:fldChar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ADDIN EN.CITE.DATA </w:instrTex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[9]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C2072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For </w:t>
      </w:r>
      <w:proofErr w:type="spellStart"/>
      <w:r w:rsidRPr="00C20728">
        <w:rPr>
          <w:rFonts w:ascii="Arial" w:hAnsi="Arial" w:cs="Arial"/>
          <w:i/>
          <w:color w:val="000000" w:themeColor="text1"/>
          <w:sz w:val="22"/>
          <w:szCs w:val="22"/>
        </w:rPr>
        <w:t>Bdnf</w:t>
      </w:r>
      <w:proofErr w:type="spellEnd"/>
      <w:r w:rsidRPr="00C20728" w:rsidDel="00E219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2072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exon I, IV, and IX </w:t>
      </w:r>
      <w:r w:rsidRPr="00C20728"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 xml:space="preserve">mRNA measurements, cDNA was created using </w:t>
      </w:r>
      <w:proofErr w:type="spellStart"/>
      <w:r w:rsidRPr="00C20728">
        <w:rPr>
          <w:rFonts w:ascii="Arial" w:eastAsia="Times New Roman" w:hAnsi="Arial" w:cs="Arial"/>
          <w:color w:val="000000" w:themeColor="text1"/>
          <w:sz w:val="22"/>
          <w:szCs w:val="22"/>
        </w:rPr>
        <w:t>QuantiTect</w:t>
      </w:r>
      <w:proofErr w:type="spellEnd"/>
      <w:r w:rsidRPr="00C2072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Reverse Transcription Kit (Qiagen; cat no 205314) according to manufacturer’s instructions. Custom designed 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TaqMan </w:t>
      </w:r>
      <w:proofErr w:type="spellStart"/>
      <w:r w:rsidRPr="00C20728">
        <w:rPr>
          <w:rFonts w:ascii="Arial" w:hAnsi="Arial" w:cs="Arial"/>
          <w:color w:val="000000" w:themeColor="text1"/>
          <w:sz w:val="22"/>
          <w:szCs w:val="22"/>
        </w:rPr>
        <w:t>qRT</w:t>
      </w:r>
      <w:proofErr w:type="spellEnd"/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-PCR primers were used to specifically target and amplify </w:t>
      </w:r>
      <w:proofErr w:type="spellStart"/>
      <w:r w:rsidRPr="00C20728">
        <w:rPr>
          <w:rFonts w:ascii="Arial" w:hAnsi="Arial" w:cs="Arial"/>
          <w:i/>
          <w:color w:val="000000" w:themeColor="text1"/>
          <w:sz w:val="22"/>
          <w:szCs w:val="22"/>
        </w:rPr>
        <w:t>Bdnf</w:t>
      </w:r>
      <w:proofErr w:type="spellEnd"/>
      <w:r w:rsidRPr="00C20728" w:rsidDel="00E219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20728">
        <w:rPr>
          <w:rFonts w:ascii="Arial" w:hAnsi="Arial" w:cs="Arial"/>
          <w:iCs/>
          <w:color w:val="000000" w:themeColor="text1"/>
          <w:sz w:val="22"/>
          <w:szCs w:val="22"/>
        </w:rPr>
        <w:t xml:space="preserve">exon (I, IV, IX) 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mRNA, using Integrated DNA Technologies (IDT) primer designer online software and manufactured by Life Technologies (BDNF I, Forward: GATGCCAGTTGCTTTGTCTTC; Reverse: CCACCACTTGGTGTGACTTAT; Probe: TCGCCAAGGTGGATGAGAGTTGAA; BDNF IV, Forward: </w:t>
      </w:r>
      <w:r w:rsidRPr="00C20728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GCCTAGATCAAATGGAGCTTCT;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 Reverse: </w:t>
      </w:r>
      <w:r w:rsidRPr="00C20728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GCCGATATGTACTCCTGTTCTG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; Probe: </w:t>
      </w:r>
      <w:r w:rsidRPr="00C20728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ACCTCCGCCATGCAATTTCCACTA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; BDNF IX, Forward: </w:t>
      </w:r>
      <w:r w:rsidRPr="00C20728">
        <w:rPr>
          <w:rFonts w:ascii="Arial" w:hAnsi="Arial" w:cs="Arial"/>
          <w:bCs/>
          <w:color w:val="000000" w:themeColor="text1"/>
          <w:sz w:val="22"/>
          <w:szCs w:val="22"/>
        </w:rPr>
        <w:t>GTGACAGTATTAGCGAGTGGG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; Reverse: </w:t>
      </w:r>
      <w:r w:rsidRPr="00C20728">
        <w:rPr>
          <w:rFonts w:ascii="Arial" w:hAnsi="Arial" w:cs="Arial"/>
          <w:bCs/>
          <w:color w:val="000000" w:themeColor="text1"/>
          <w:sz w:val="22"/>
          <w:szCs w:val="22"/>
        </w:rPr>
        <w:t>GGGATTACACTTGGTCTCGTAG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; Probe: </w:t>
      </w:r>
      <w:r w:rsidRPr="00C20728">
        <w:rPr>
          <w:rFonts w:ascii="Arial" w:hAnsi="Arial" w:cs="Arial"/>
          <w:bCs/>
          <w:color w:val="000000" w:themeColor="text1"/>
          <w:sz w:val="22"/>
          <w:szCs w:val="22"/>
        </w:rPr>
        <w:t>CAGTTGGCCTTTGGATACCGGGA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>). Cyclophilin (</w:t>
      </w:r>
      <w:proofErr w:type="spellStart"/>
      <w:r w:rsidRPr="00C20728">
        <w:rPr>
          <w:rFonts w:ascii="Arial" w:hAnsi="Arial" w:cs="Arial"/>
          <w:color w:val="000000" w:themeColor="text1"/>
          <w:sz w:val="22"/>
          <w:szCs w:val="22"/>
        </w:rPr>
        <w:t>Ppia</w:t>
      </w:r>
      <w:proofErr w:type="spellEnd"/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) (Life Technologies) was used as the reference gene, for data normalization. For the reactions, 10 µl of sample cDNA and TaqMan Universal Master Mix II with UNG (Applied Biosystems; cat no 4440042) were loaded in triplicate into a 384-well optical PCR plate and analyzed on a </w:t>
      </w:r>
      <w:proofErr w:type="spellStart"/>
      <w:r w:rsidRPr="00C20728">
        <w:rPr>
          <w:rFonts w:ascii="Arial" w:hAnsi="Arial" w:cs="Arial"/>
          <w:color w:val="000000" w:themeColor="text1"/>
          <w:sz w:val="22"/>
          <w:szCs w:val="22"/>
        </w:rPr>
        <w:t>BioRad</w:t>
      </w:r>
      <w:proofErr w:type="spellEnd"/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 CFX384 Real Time PCR system. Cycling parameters: 50° C for 2-min, 95° C for 10-min, followed by 40 amplification cycles with melting at 95° C for 15-sec, and annealing/extending at 60° C for 60 sec.  Fluorescence readings are obtained after each cycle. The 2^-DDCT method 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>
        <w:rPr>
          <w:rFonts w:ascii="Arial" w:hAnsi="Arial" w:cs="Arial"/>
          <w:color w:val="000000" w:themeColor="text1"/>
          <w:sz w:val="22"/>
          <w:szCs w:val="22"/>
        </w:rPr>
        <w:instrText xml:space="preserve"> ADDIN EN.CITE &lt;EndNote&gt;&lt;Cite&gt;&lt;Author&gt;Livak&lt;/Author&gt;&lt;Year&gt;2001&lt;/Year&gt;&lt;RecNum&gt;69&lt;/RecNum&gt;&lt;DisplayText&gt;[58]&lt;/DisplayText&gt;&lt;record&gt;&lt;rec-number&gt;69&lt;/rec-number&gt;&lt;foreign-keys&gt;&lt;key app="EN" db-id="05vw259pzewvw9ezre55wz2uae59v2fdfff0" timestamp="1758748097"&gt;69&lt;/key&gt;&lt;/foreign-keys&gt;&lt;ref-type name="Journal Article"&gt;17&lt;/ref-type&gt;&lt;contributors&gt;&lt;authors&gt;&lt;author&gt;Livak, K. J.&lt;/author&gt;&lt;author&gt;Schmittgen, T. D.&lt;/author&gt;&lt;/authors&gt;&lt;/contributors&gt;&lt;auth-address&gt;Applied Biosystems, Foster City, California 94404, USA.&lt;/auth-address&gt;&lt;titles&gt;&lt;title&gt;Analysis of relative gene expression data using real-time quantitative PCR and the 2(-Delta Delta C(T)) Method&lt;/title&gt;&lt;secondary-title&gt;Methods&lt;/secondary-title&gt;&lt;/titles&gt;&lt;periodical&gt;&lt;full-title&gt;Methods&lt;/full-title&gt;&lt;/periodical&gt;&lt;pages&gt;402-8&lt;/pages&gt;&lt;volume&gt;25&lt;/volume&gt;&lt;number&gt;4&lt;/number&gt;&lt;keywords&gt;&lt;keyword&gt;Algorithms&lt;/keyword&gt;&lt;keyword&gt;Brain/metabolism&lt;/keyword&gt;&lt;keyword&gt;Cell Line&lt;/keyword&gt;&lt;keyword&gt;DNA, Complementary/metabolism&lt;/keyword&gt;&lt;keyword&gt;Humans&lt;/keyword&gt;&lt;keyword&gt;Polymerase Chain Reaction/*methods&lt;/keyword&gt;&lt;keyword&gt;*Reverse Transcriptase Polymerase Chain Reaction&lt;/keyword&gt;&lt;keyword&gt;Time Factors&lt;/keyword&gt;&lt;/keywords&gt;&lt;dates&gt;&lt;year&gt;2001&lt;/year&gt;&lt;pub-dates&gt;&lt;date&gt;Dec&lt;/date&gt;&lt;/pub-dates&gt;&lt;/dates&gt;&lt;isbn&gt;1046-2023 (Print)&amp;#xD;1046-2023 (Linking)&lt;/isbn&gt;&lt;accession-num&gt;11846609&lt;/accession-num&gt;&lt;urls&gt;&lt;related-urls&gt;&lt;url&gt;https://www.ncbi.nlm.nih.gov/pubmed/11846609&lt;/url&gt;&lt;/related-urls&gt;&lt;/urls&gt;&lt;electronic-resource-num&gt;10.1006/meth.2001.1262&lt;/electronic-resource-num&gt;&lt;remote-database-name&gt;Medline&lt;/remote-database-name&gt;&lt;remote-database-provider&gt;NLM&lt;/remote-database-provider&gt;&lt;/record&gt;&lt;/Cite&gt;&lt;/EndNote&gt;</w:instrText>
      </w:r>
      <w:r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 w:themeColor="text1"/>
          <w:sz w:val="22"/>
          <w:szCs w:val="22"/>
        </w:rPr>
        <w:t>[58]</w:t>
      </w:r>
      <w:r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 was used to calculated fold change in expression of the target gene relative to the reference gene (</w:t>
      </w:r>
      <w:proofErr w:type="spellStart"/>
      <w:r w:rsidRPr="00C20728">
        <w:rPr>
          <w:rFonts w:ascii="Arial" w:hAnsi="Arial" w:cs="Arial"/>
          <w:color w:val="000000" w:themeColor="text1"/>
          <w:sz w:val="22"/>
          <w:szCs w:val="22"/>
        </w:rPr>
        <w:t>Ppia</w:t>
      </w:r>
      <w:proofErr w:type="spellEnd"/>
      <w:r w:rsidRPr="00C20728">
        <w:rPr>
          <w:rFonts w:ascii="Arial" w:hAnsi="Arial" w:cs="Arial"/>
          <w:color w:val="000000" w:themeColor="text1"/>
          <w:sz w:val="22"/>
          <w:szCs w:val="22"/>
        </w:rPr>
        <w:t>) using the CTL group as the reference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20728">
        <w:rPr>
          <w:rFonts w:ascii="Arial" w:hAnsi="Arial" w:cs="Arial"/>
          <w:color w:val="000000" w:themeColor="text1"/>
          <w:sz w:val="22"/>
          <w:szCs w:val="22"/>
        </w:rPr>
        <w:t xml:space="preserve">condition. </w:t>
      </w:r>
    </w:p>
    <w:p w14:paraId="09708826" w14:textId="77777777" w:rsidR="00616D01" w:rsidRDefault="00616D01" w:rsidP="00012096">
      <w:pPr>
        <w:spacing w:after="0"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D23D97F" w14:textId="77777777" w:rsidR="00616D01" w:rsidRDefault="00616D01" w:rsidP="00012096">
      <w:pPr>
        <w:spacing w:after="0" w:line="480" w:lineRule="auto"/>
        <w:ind w:left="450" w:hanging="45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B0F7C">
        <w:rPr>
          <w:rFonts w:ascii="Arial" w:hAnsi="Arial" w:cs="Arial"/>
          <w:b/>
          <w:bCs/>
          <w:color w:val="000000" w:themeColor="text1"/>
          <w:sz w:val="22"/>
          <w:szCs w:val="22"/>
        </w:rPr>
        <w:t>ELISA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1B0F7C">
        <w:rPr>
          <w:rFonts w:ascii="Arial" w:hAnsi="Arial" w:cs="Arial"/>
          <w:b/>
          <w:bCs/>
          <w:color w:val="000000" w:themeColor="text1"/>
          <w:sz w:val="22"/>
          <w:szCs w:val="22"/>
        </w:rPr>
        <w:t>Assay</w:t>
      </w:r>
    </w:p>
    <w:p w14:paraId="262F8BAE" w14:textId="235B9FC0" w:rsidR="00AD5487" w:rsidRPr="00035A55" w:rsidRDefault="00616D01" w:rsidP="00012096">
      <w:pPr>
        <w:spacing w:after="0" w:line="480" w:lineRule="auto"/>
        <w:ind w:firstLine="450"/>
        <w:rPr>
          <w:b/>
          <w:bCs/>
        </w:rPr>
      </w:pPr>
      <w:r w:rsidRPr="001B0F7C">
        <w:rPr>
          <w:rFonts w:ascii="Arial" w:eastAsia="Times New Roman" w:hAnsi="Arial" w:cs="Arial"/>
          <w:color w:val="000000"/>
          <w:kern w:val="0"/>
          <w14:ligatures w14:val="none"/>
        </w:rPr>
        <w:t xml:space="preserve">Brain-derived neurotrophic factor (BDNF)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protein </w:t>
      </w:r>
      <w:r w:rsidRPr="001B0F7C">
        <w:rPr>
          <w:rFonts w:ascii="Arial" w:eastAsia="Times New Roman" w:hAnsi="Arial" w:cs="Arial"/>
          <w:color w:val="000000"/>
          <w:kern w:val="0"/>
          <w14:ligatures w14:val="none"/>
        </w:rPr>
        <w:t xml:space="preserve">was assayed using BDNF Duo ELISA (R &amp; D Systems) as per manufacturer’s instructions. Briefly, brain tissue was lysed in 1% BSA in PBS pH 7.4 via sonication. Standards (0-1500 </w:t>
      </w:r>
      <w:proofErr w:type="spellStart"/>
      <w:r w:rsidRPr="001B0F7C">
        <w:rPr>
          <w:rFonts w:ascii="Arial" w:eastAsia="Times New Roman" w:hAnsi="Arial" w:cs="Arial"/>
          <w:color w:val="000000"/>
          <w:kern w:val="0"/>
          <w14:ligatures w14:val="none"/>
        </w:rPr>
        <w:t>pg</w:t>
      </w:r>
      <w:proofErr w:type="spellEnd"/>
      <w:r w:rsidRPr="001B0F7C">
        <w:rPr>
          <w:rFonts w:ascii="Arial" w:eastAsia="Times New Roman" w:hAnsi="Arial" w:cs="Arial"/>
          <w:color w:val="000000"/>
          <w:kern w:val="0"/>
          <w14:ligatures w14:val="none"/>
        </w:rPr>
        <w:t xml:space="preserve">/mL) and samples were added in duplicate to a 96-well plate, coated with BDNF-capture antibody, and blocked with 1% bovine serum albumin (BSA). Plates were incubated at room temperature for 2-hr and washed with Wash buffer (0.1% Tween in PBS). Detection </w:t>
      </w:r>
      <w:r w:rsidRPr="001B0F7C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antibody was added to a 96-well microplate and incubated at room temperature for 2-hr and then washed with Wash buffer. Streptavidin-HRP was added to each well and incubated for 20 minutes. 50-µL Stop solution (</w:t>
      </w:r>
      <w:proofErr w:type="spellStart"/>
      <w:r w:rsidRPr="001B0F7C">
        <w:rPr>
          <w:rFonts w:ascii="Arial" w:eastAsia="Times New Roman" w:hAnsi="Arial" w:cs="Arial"/>
          <w:color w:val="000000"/>
          <w:kern w:val="0"/>
          <w14:ligatures w14:val="none"/>
        </w:rPr>
        <w:t>Thermo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Fisher</w:t>
      </w:r>
      <w:proofErr w:type="spellEnd"/>
      <w:r w:rsidRPr="001B0F7C">
        <w:rPr>
          <w:rFonts w:ascii="Arial" w:eastAsia="Times New Roman" w:hAnsi="Arial" w:cs="Arial"/>
          <w:color w:val="000000"/>
          <w:kern w:val="0"/>
          <w14:ligatures w14:val="none"/>
        </w:rPr>
        <w:t>) was added to the well, and the plate was washed with Wash buffer.</w:t>
      </w:r>
      <w:r w:rsidR="00AD5487" w:rsidRPr="00035A55">
        <w:rPr>
          <w:b/>
          <w:bCs/>
        </w:rPr>
        <w:br w:type="page"/>
      </w:r>
    </w:p>
    <w:p w14:paraId="2AD806C7" w14:textId="600519FD" w:rsidR="00A459CC" w:rsidRPr="00FE4264" w:rsidRDefault="00A459CC" w:rsidP="00FE4264">
      <w:pPr>
        <w:spacing w:after="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4264">
        <w:rPr>
          <w:rFonts w:ascii="Arial" w:hAnsi="Arial" w:cs="Arial"/>
          <w:b/>
          <w:bCs/>
          <w:sz w:val="22"/>
          <w:szCs w:val="22"/>
        </w:rPr>
        <w:lastRenderedPageBreak/>
        <w:t>Supplemental Figure Legends</w:t>
      </w:r>
    </w:p>
    <w:p w14:paraId="79FCE8AF" w14:textId="77777777" w:rsidR="00FE4264" w:rsidRDefault="00FE4264" w:rsidP="00FE4264">
      <w:pPr>
        <w:spacing w:after="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A93D81" w14:textId="0FBDA8AF" w:rsidR="00421E88" w:rsidRPr="00FE4264" w:rsidRDefault="006B5957" w:rsidP="00FE4264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FE4264">
        <w:rPr>
          <w:rFonts w:ascii="Arial" w:hAnsi="Arial" w:cs="Arial"/>
          <w:b/>
          <w:bCs/>
          <w:sz w:val="22"/>
          <w:szCs w:val="22"/>
        </w:rPr>
        <w:t>Supplemental Figure 1</w:t>
      </w:r>
      <w:r w:rsidR="00FE4264" w:rsidRPr="00FE4264">
        <w:rPr>
          <w:rFonts w:ascii="Arial" w:hAnsi="Arial" w:cs="Arial"/>
          <w:b/>
          <w:bCs/>
          <w:sz w:val="22"/>
          <w:szCs w:val="22"/>
        </w:rPr>
        <w:t xml:space="preserve">: </w:t>
      </w:r>
      <w:r w:rsidR="00421E88" w:rsidRPr="00FE4264">
        <w:rPr>
          <w:rFonts w:ascii="Arial" w:hAnsi="Arial" w:cs="Arial"/>
          <w:b/>
          <w:bCs/>
          <w:sz w:val="22"/>
          <w:szCs w:val="22"/>
        </w:rPr>
        <w:t>Wheel-running is not altered by alcohol consumption (2-hr/day) in the home-cage.</w:t>
      </w:r>
      <w:r w:rsidR="00421E88" w:rsidRPr="00FE4264">
        <w:rPr>
          <w:rFonts w:ascii="Arial" w:hAnsi="Arial" w:cs="Arial"/>
          <w:sz w:val="22"/>
          <w:szCs w:val="22"/>
        </w:rPr>
        <w:t xml:space="preserve"> Values are mean ± </w:t>
      </w:r>
      <w:proofErr w:type="spellStart"/>
      <w:r w:rsidR="00421E88" w:rsidRPr="00FE4264">
        <w:rPr>
          <w:rFonts w:ascii="Arial" w:hAnsi="Arial" w:cs="Arial"/>
          <w:sz w:val="22"/>
          <w:szCs w:val="22"/>
        </w:rPr>
        <w:t>s.e.m.</w:t>
      </w:r>
      <w:proofErr w:type="spellEnd"/>
      <w:r w:rsidR="00421E88" w:rsidRPr="00FE4264">
        <w:rPr>
          <w:rFonts w:ascii="Arial" w:hAnsi="Arial" w:cs="Arial"/>
          <w:sz w:val="22"/>
          <w:szCs w:val="22"/>
        </w:rPr>
        <w:t xml:space="preserve"> (</w:t>
      </w:r>
      <w:r w:rsidR="0072634A" w:rsidRPr="00FE4264">
        <w:rPr>
          <w:rFonts w:ascii="Arial" w:hAnsi="Arial" w:cs="Arial"/>
          <w:sz w:val="22"/>
          <w:szCs w:val="22"/>
        </w:rPr>
        <w:t>N</w:t>
      </w:r>
      <w:r w:rsidR="00421E88" w:rsidRPr="00FE4264">
        <w:rPr>
          <w:rFonts w:ascii="Arial" w:hAnsi="Arial" w:cs="Arial"/>
          <w:sz w:val="22"/>
          <w:szCs w:val="22"/>
        </w:rPr>
        <w:t>=</w:t>
      </w:r>
      <w:r w:rsidR="0072634A" w:rsidRPr="00FE4264">
        <w:rPr>
          <w:rFonts w:ascii="Arial" w:hAnsi="Arial" w:cs="Arial"/>
          <w:sz w:val="22"/>
          <w:szCs w:val="22"/>
        </w:rPr>
        <w:t xml:space="preserve"> 9-</w:t>
      </w:r>
      <w:r w:rsidR="00421E88" w:rsidRPr="00FE4264">
        <w:rPr>
          <w:rFonts w:ascii="Arial" w:hAnsi="Arial" w:cs="Arial"/>
          <w:sz w:val="22"/>
          <w:szCs w:val="22"/>
        </w:rPr>
        <w:t>12</w:t>
      </w:r>
      <w:r w:rsidR="0072634A" w:rsidRPr="00FE4264">
        <w:rPr>
          <w:rFonts w:ascii="Arial" w:hAnsi="Arial" w:cs="Arial"/>
          <w:sz w:val="22"/>
          <w:szCs w:val="22"/>
        </w:rPr>
        <w:t>/group</w:t>
      </w:r>
      <w:r w:rsidR="00421E88" w:rsidRPr="00FE4264">
        <w:rPr>
          <w:rFonts w:ascii="Arial" w:hAnsi="Arial" w:cs="Arial"/>
          <w:sz w:val="22"/>
          <w:szCs w:val="22"/>
        </w:rPr>
        <w:t>).</w:t>
      </w:r>
    </w:p>
    <w:p w14:paraId="5DB9A9B2" w14:textId="77777777" w:rsidR="00FE4264" w:rsidRPr="00FE4264" w:rsidRDefault="00FE4264" w:rsidP="00FE4264">
      <w:pPr>
        <w:spacing w:after="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38D906" w14:textId="000B14FF" w:rsidR="00A70E1C" w:rsidRPr="00FE4264" w:rsidRDefault="00421E88" w:rsidP="00FE4264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 w:rsidRPr="00FE4264">
        <w:rPr>
          <w:rFonts w:ascii="Arial" w:hAnsi="Arial" w:cs="Arial"/>
          <w:b/>
          <w:bCs/>
          <w:sz w:val="22"/>
          <w:szCs w:val="22"/>
        </w:rPr>
        <w:t>Supplemental Figure 2</w:t>
      </w:r>
      <w:r w:rsidR="00FE4264" w:rsidRPr="00FE4264">
        <w:rPr>
          <w:rFonts w:ascii="Arial" w:hAnsi="Arial" w:cs="Arial"/>
          <w:b/>
          <w:bCs/>
          <w:sz w:val="22"/>
          <w:szCs w:val="22"/>
        </w:rPr>
        <w:t xml:space="preserve">: </w:t>
      </w:r>
      <w:r w:rsidR="002E2F92" w:rsidRPr="00FE4264">
        <w:rPr>
          <w:rFonts w:ascii="Arial" w:hAnsi="Arial" w:cs="Arial"/>
          <w:b/>
          <w:bCs/>
          <w:sz w:val="22"/>
          <w:szCs w:val="22"/>
        </w:rPr>
        <w:t>Access to wheel-running (2-hr/day) does not alter alcohol consumption (2-hr/day) in the home-cage.</w:t>
      </w:r>
      <w:r w:rsidR="002E2F92" w:rsidRPr="00FE4264">
        <w:rPr>
          <w:rFonts w:ascii="Arial" w:hAnsi="Arial" w:cs="Arial"/>
          <w:sz w:val="22"/>
          <w:szCs w:val="22"/>
        </w:rPr>
        <w:t xml:space="preserve"> Values are mean ± </w:t>
      </w:r>
      <w:proofErr w:type="spellStart"/>
      <w:r w:rsidR="002E2F92" w:rsidRPr="00FE4264">
        <w:rPr>
          <w:rFonts w:ascii="Arial" w:hAnsi="Arial" w:cs="Arial"/>
          <w:sz w:val="22"/>
          <w:szCs w:val="22"/>
        </w:rPr>
        <w:t>s.e.m.</w:t>
      </w:r>
      <w:proofErr w:type="spellEnd"/>
      <w:r w:rsidR="002E2F92" w:rsidRPr="00FE4264">
        <w:rPr>
          <w:rFonts w:ascii="Arial" w:hAnsi="Arial" w:cs="Arial"/>
          <w:sz w:val="22"/>
          <w:szCs w:val="22"/>
        </w:rPr>
        <w:t xml:space="preserve"> (n= 12/group).</w:t>
      </w:r>
    </w:p>
    <w:p w14:paraId="061DC279" w14:textId="68EFD4F6" w:rsidR="002E2F92" w:rsidRPr="00FE4264" w:rsidRDefault="002E2F92" w:rsidP="00FE4264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</w:p>
    <w:p w14:paraId="71F8FF5D" w14:textId="29EDE88B" w:rsidR="00945001" w:rsidRPr="00FE4264" w:rsidRDefault="00E3635E" w:rsidP="00FE4264">
      <w:pPr>
        <w:spacing w:after="0" w:line="480" w:lineRule="auto"/>
        <w:rPr>
          <w:rFonts w:ascii="Arial" w:hAnsi="Arial" w:cs="Arial"/>
          <w:b/>
          <w:bCs/>
          <w:sz w:val="22"/>
          <w:szCs w:val="22"/>
        </w:rPr>
      </w:pPr>
      <w:r w:rsidRPr="00FE4264">
        <w:rPr>
          <w:rFonts w:ascii="Arial" w:hAnsi="Arial" w:cs="Arial"/>
          <w:b/>
          <w:bCs/>
          <w:sz w:val="22"/>
          <w:szCs w:val="22"/>
        </w:rPr>
        <w:t xml:space="preserve">Supplemental Figure </w:t>
      </w:r>
      <w:r w:rsidR="002E2F92" w:rsidRPr="00FE4264">
        <w:rPr>
          <w:rFonts w:ascii="Arial" w:hAnsi="Arial" w:cs="Arial"/>
          <w:b/>
          <w:bCs/>
          <w:sz w:val="22"/>
          <w:szCs w:val="22"/>
        </w:rPr>
        <w:t>3</w:t>
      </w:r>
      <w:r w:rsidR="00FE4264" w:rsidRPr="00FE4264">
        <w:rPr>
          <w:rFonts w:ascii="Arial" w:hAnsi="Arial" w:cs="Arial"/>
          <w:b/>
          <w:bCs/>
          <w:sz w:val="22"/>
          <w:szCs w:val="22"/>
        </w:rPr>
        <w:t xml:space="preserve">: </w:t>
      </w:r>
      <w:r w:rsidR="001F5A08" w:rsidRPr="00FE4264">
        <w:rPr>
          <w:rFonts w:ascii="Arial" w:hAnsi="Arial" w:cs="Arial"/>
          <w:b/>
          <w:bCs/>
          <w:sz w:val="22"/>
          <w:szCs w:val="22"/>
        </w:rPr>
        <w:t>Weekly b</w:t>
      </w:r>
      <w:r w:rsidRPr="00FE4264">
        <w:rPr>
          <w:rFonts w:ascii="Arial" w:hAnsi="Arial" w:cs="Arial"/>
          <w:b/>
          <w:bCs/>
          <w:sz w:val="22"/>
          <w:szCs w:val="22"/>
        </w:rPr>
        <w:t xml:space="preserve">ody weight (g) </w:t>
      </w:r>
      <w:r w:rsidR="001F57BD" w:rsidRPr="00FE4264">
        <w:rPr>
          <w:rFonts w:ascii="Arial" w:hAnsi="Arial" w:cs="Arial"/>
          <w:b/>
          <w:bCs/>
          <w:sz w:val="22"/>
          <w:szCs w:val="22"/>
        </w:rPr>
        <w:t>in</w:t>
      </w:r>
      <w:r w:rsidR="00C13A42" w:rsidRPr="00FE4264">
        <w:rPr>
          <w:rFonts w:ascii="Arial" w:hAnsi="Arial" w:cs="Arial"/>
          <w:b/>
          <w:bCs/>
          <w:sz w:val="22"/>
          <w:szCs w:val="22"/>
        </w:rPr>
        <w:t xml:space="preserve">creased in all groups over the 6-week period of </w:t>
      </w:r>
      <w:r w:rsidR="00453021" w:rsidRPr="00FE4264">
        <w:rPr>
          <w:rFonts w:ascii="Arial" w:hAnsi="Arial" w:cs="Arial"/>
          <w:b/>
          <w:bCs/>
          <w:sz w:val="22"/>
          <w:szCs w:val="22"/>
        </w:rPr>
        <w:t>exercise/drinking</w:t>
      </w:r>
      <w:r w:rsidR="00453021" w:rsidRPr="00FE4264">
        <w:rPr>
          <w:rFonts w:ascii="Arial" w:hAnsi="Arial" w:cs="Arial"/>
          <w:sz w:val="22"/>
          <w:szCs w:val="22"/>
        </w:rPr>
        <w:t xml:space="preserve">. </w:t>
      </w:r>
      <w:r w:rsidR="00E509BA" w:rsidRPr="00FE4264">
        <w:rPr>
          <w:rFonts w:ascii="Arial" w:hAnsi="Arial" w:cs="Arial"/>
          <w:sz w:val="22"/>
          <w:szCs w:val="22"/>
        </w:rPr>
        <w:t xml:space="preserve">There were no significant differences between groups, although there was a trend for </w:t>
      </w:r>
      <w:r w:rsidR="001F5A08" w:rsidRPr="00FE4264">
        <w:rPr>
          <w:rFonts w:ascii="Arial" w:hAnsi="Arial" w:cs="Arial"/>
          <w:sz w:val="22"/>
          <w:szCs w:val="22"/>
        </w:rPr>
        <w:t xml:space="preserve">the </w:t>
      </w:r>
      <w:r w:rsidR="00E509BA" w:rsidRPr="00FE4264">
        <w:rPr>
          <w:rFonts w:ascii="Arial" w:hAnsi="Arial" w:cs="Arial"/>
          <w:sz w:val="22"/>
          <w:szCs w:val="22"/>
        </w:rPr>
        <w:t>WH-EtOH group t</w:t>
      </w:r>
      <w:r w:rsidR="001F5A08" w:rsidRPr="00FE4264">
        <w:rPr>
          <w:rFonts w:ascii="Arial" w:hAnsi="Arial" w:cs="Arial"/>
          <w:sz w:val="22"/>
          <w:szCs w:val="22"/>
        </w:rPr>
        <w:t>o register lower body weight at the end of the 6-weeks</w:t>
      </w:r>
      <w:r w:rsidRPr="00FE4264">
        <w:rPr>
          <w:rFonts w:ascii="Arial" w:hAnsi="Arial" w:cs="Arial"/>
          <w:sz w:val="22"/>
          <w:szCs w:val="22"/>
        </w:rPr>
        <w:t xml:space="preserve">. Values are mean ± </w:t>
      </w:r>
      <w:proofErr w:type="spellStart"/>
      <w:r w:rsidR="00453021" w:rsidRPr="00FE4264">
        <w:rPr>
          <w:rFonts w:ascii="Arial" w:hAnsi="Arial" w:cs="Arial"/>
          <w:sz w:val="22"/>
          <w:szCs w:val="22"/>
        </w:rPr>
        <w:t>s.e.m</w:t>
      </w:r>
      <w:r w:rsidRPr="00FE4264">
        <w:rPr>
          <w:rFonts w:ascii="Arial" w:hAnsi="Arial" w:cs="Arial"/>
          <w:sz w:val="22"/>
          <w:szCs w:val="22"/>
        </w:rPr>
        <w:t>.</w:t>
      </w:r>
      <w:proofErr w:type="spellEnd"/>
      <w:r w:rsidRPr="00FE4264">
        <w:rPr>
          <w:rFonts w:ascii="Arial" w:hAnsi="Arial" w:cs="Arial"/>
          <w:sz w:val="22"/>
          <w:szCs w:val="22"/>
        </w:rPr>
        <w:t xml:space="preserve"> </w:t>
      </w:r>
      <w:r w:rsidR="00AF6E2E" w:rsidRPr="00FE4264">
        <w:rPr>
          <w:rFonts w:ascii="Arial" w:hAnsi="Arial" w:cs="Arial"/>
          <w:sz w:val="22"/>
          <w:szCs w:val="22"/>
        </w:rPr>
        <w:t>(</w:t>
      </w:r>
      <w:r w:rsidR="00E82B9D" w:rsidRPr="00FE4264">
        <w:rPr>
          <w:rFonts w:ascii="Arial" w:hAnsi="Arial" w:cs="Arial"/>
          <w:sz w:val="22"/>
          <w:szCs w:val="22"/>
        </w:rPr>
        <w:t>N= 9-12/group)</w:t>
      </w:r>
      <w:r w:rsidR="00C756FC" w:rsidRPr="00FE4264">
        <w:rPr>
          <w:rFonts w:ascii="Arial" w:hAnsi="Arial" w:cs="Arial"/>
          <w:sz w:val="22"/>
          <w:szCs w:val="22"/>
        </w:rPr>
        <w:t>.</w:t>
      </w:r>
    </w:p>
    <w:p w14:paraId="1B0270E8" w14:textId="44182D4F" w:rsidR="00754D4B" w:rsidRPr="00035A55" w:rsidRDefault="00945001">
      <w:r>
        <w:br w:type="page"/>
      </w:r>
    </w:p>
    <w:p w14:paraId="7BBBD6EE" w14:textId="77777777" w:rsidR="004316BE" w:rsidRPr="004316BE" w:rsidRDefault="004A4DB9" w:rsidP="009B1313">
      <w:pPr>
        <w:spacing w:after="0" w:line="480" w:lineRule="auto"/>
        <w:rPr>
          <w:rFonts w:ascii="Arial" w:hAnsi="Arial" w:cs="Arial"/>
          <w:sz w:val="22"/>
          <w:szCs w:val="22"/>
        </w:rPr>
      </w:pPr>
      <w:r w:rsidRPr="004316BE">
        <w:rPr>
          <w:rFonts w:ascii="Arial" w:hAnsi="Arial" w:cs="Arial"/>
          <w:b/>
          <w:bCs/>
          <w:sz w:val="22"/>
          <w:szCs w:val="22"/>
        </w:rPr>
        <w:lastRenderedPageBreak/>
        <w:t>Supplemental Table 1</w:t>
      </w:r>
      <w:r w:rsidR="00FE4264" w:rsidRPr="004316BE">
        <w:rPr>
          <w:rFonts w:ascii="Arial" w:hAnsi="Arial" w:cs="Arial"/>
          <w:b/>
          <w:bCs/>
          <w:sz w:val="22"/>
          <w:szCs w:val="22"/>
        </w:rPr>
        <w:t>.</w:t>
      </w:r>
      <w:r w:rsidR="004316BE" w:rsidRPr="004316BE">
        <w:rPr>
          <w:rFonts w:ascii="Arial" w:hAnsi="Arial" w:cs="Arial"/>
          <w:b/>
          <w:bCs/>
          <w:sz w:val="22"/>
          <w:szCs w:val="22"/>
        </w:rPr>
        <w:t xml:space="preserve"> Blood alcohol concentration (mg/dl) registered during CIE cycles 1-4 for NWH-CIE and WH-CIE subjects.</w:t>
      </w:r>
      <w:r w:rsidR="004316BE" w:rsidRPr="004316BE">
        <w:rPr>
          <w:rFonts w:ascii="Arial" w:hAnsi="Arial" w:cs="Arial"/>
          <w:sz w:val="22"/>
          <w:szCs w:val="22"/>
        </w:rPr>
        <w:t xml:space="preserve">  Values are mean ± </w:t>
      </w:r>
      <w:proofErr w:type="spellStart"/>
      <w:r w:rsidR="004316BE" w:rsidRPr="004316BE">
        <w:rPr>
          <w:rFonts w:ascii="Arial" w:hAnsi="Arial" w:cs="Arial"/>
          <w:sz w:val="22"/>
          <w:szCs w:val="22"/>
        </w:rPr>
        <w:t>s.e.m.</w:t>
      </w:r>
      <w:proofErr w:type="spellEnd"/>
      <w:r w:rsidR="004316BE" w:rsidRPr="004316BE">
        <w:rPr>
          <w:rFonts w:ascii="Arial" w:hAnsi="Arial" w:cs="Arial"/>
          <w:sz w:val="22"/>
          <w:szCs w:val="22"/>
        </w:rPr>
        <w:t xml:space="preserve"> (N= 20/group).</w:t>
      </w:r>
    </w:p>
    <w:p w14:paraId="6C898FB5" w14:textId="77777777" w:rsidR="00525EF3" w:rsidRPr="00525EF3" w:rsidRDefault="00525EF3" w:rsidP="00525EF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5"/>
        <w:gridCol w:w="3456"/>
        <w:gridCol w:w="3456"/>
      </w:tblGrid>
      <w:tr w:rsidR="004A4DB9" w:rsidRPr="00525EF3" w14:paraId="7280A39F" w14:textId="77777777" w:rsidTr="003E47E4"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8E0893" w14:textId="77777777" w:rsidR="004A4DB9" w:rsidRPr="00525EF3" w:rsidRDefault="004A4DB9" w:rsidP="00BB40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EBDA53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EF3">
              <w:rPr>
                <w:rFonts w:ascii="Arial" w:hAnsi="Arial" w:cs="Arial"/>
                <w:b/>
                <w:bCs/>
                <w:sz w:val="22"/>
                <w:szCs w:val="22"/>
              </w:rPr>
              <w:t>NWH-CIE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2383B5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EF3">
              <w:rPr>
                <w:rFonts w:ascii="Arial" w:hAnsi="Arial" w:cs="Arial"/>
                <w:b/>
                <w:bCs/>
                <w:sz w:val="22"/>
                <w:szCs w:val="22"/>
              </w:rPr>
              <w:t>WH-CIE</w:t>
            </w:r>
          </w:p>
        </w:tc>
      </w:tr>
      <w:tr w:rsidR="004A4DB9" w:rsidRPr="00525EF3" w14:paraId="080D3285" w14:textId="77777777" w:rsidTr="003E47E4">
        <w:tc>
          <w:tcPr>
            <w:tcW w:w="1705" w:type="dxa"/>
            <w:tcBorders>
              <w:top w:val="single" w:sz="8" w:space="0" w:color="auto"/>
              <w:left w:val="nil"/>
              <w:right w:val="nil"/>
            </w:tcBorders>
          </w:tcPr>
          <w:p w14:paraId="4C12080B" w14:textId="77777777" w:rsidR="004A4DB9" w:rsidRPr="00525EF3" w:rsidRDefault="004A4DB9" w:rsidP="00BB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EF3">
              <w:rPr>
                <w:rFonts w:ascii="Arial" w:hAnsi="Arial" w:cs="Arial"/>
                <w:b/>
                <w:bCs/>
                <w:sz w:val="22"/>
                <w:szCs w:val="22"/>
              </w:rPr>
              <w:t>Cycle 1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6ACB5C72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222.95 ± 13.01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16A66213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223.44 ± 11.31</w:t>
            </w:r>
          </w:p>
        </w:tc>
      </w:tr>
      <w:tr w:rsidR="004A4DB9" w:rsidRPr="00525EF3" w14:paraId="43ECD48A" w14:textId="77777777" w:rsidTr="003E47E4">
        <w:tc>
          <w:tcPr>
            <w:tcW w:w="1705" w:type="dxa"/>
            <w:tcBorders>
              <w:left w:val="nil"/>
              <w:right w:val="nil"/>
            </w:tcBorders>
          </w:tcPr>
          <w:p w14:paraId="7D57D3F5" w14:textId="77777777" w:rsidR="004A4DB9" w:rsidRPr="00525EF3" w:rsidRDefault="004A4DB9" w:rsidP="00BB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EF3">
              <w:rPr>
                <w:rFonts w:ascii="Arial" w:hAnsi="Arial" w:cs="Arial"/>
                <w:b/>
                <w:bCs/>
                <w:sz w:val="22"/>
                <w:szCs w:val="22"/>
              </w:rPr>
              <w:t>Cycle 2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2D6B4E53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208.69 ±   8.38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08A8846C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215.87</w:t>
            </w:r>
            <w:r w:rsidRPr="00525EF3">
              <w:rPr>
                <w:rFonts w:ascii="Arial" w:hAnsi="Arial" w:cs="Arial"/>
                <w:sz w:val="22"/>
                <w:szCs w:val="22"/>
              </w:rPr>
              <w:tab/>
              <w:t xml:space="preserve"> ± 11.68</w:t>
            </w:r>
          </w:p>
        </w:tc>
      </w:tr>
      <w:tr w:rsidR="004A4DB9" w:rsidRPr="00525EF3" w14:paraId="609A6D95" w14:textId="77777777" w:rsidTr="003E47E4">
        <w:tc>
          <w:tcPr>
            <w:tcW w:w="1705" w:type="dxa"/>
            <w:tcBorders>
              <w:left w:val="nil"/>
              <w:right w:val="nil"/>
            </w:tcBorders>
          </w:tcPr>
          <w:p w14:paraId="6FA27989" w14:textId="77777777" w:rsidR="004A4DB9" w:rsidRPr="00525EF3" w:rsidRDefault="004A4DB9" w:rsidP="00BB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EF3">
              <w:rPr>
                <w:rFonts w:ascii="Arial" w:hAnsi="Arial" w:cs="Arial"/>
                <w:b/>
                <w:bCs/>
                <w:sz w:val="22"/>
                <w:szCs w:val="22"/>
              </w:rPr>
              <w:t>Cycle 3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471D80F1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216.92</w:t>
            </w:r>
            <w:r w:rsidRPr="00525EF3">
              <w:rPr>
                <w:rFonts w:ascii="Arial" w:hAnsi="Arial" w:cs="Arial"/>
                <w:sz w:val="22"/>
                <w:szCs w:val="22"/>
              </w:rPr>
              <w:tab/>
              <w:t xml:space="preserve"> ± 12.01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51E88746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222.12 ± 11.72</w:t>
            </w:r>
          </w:p>
        </w:tc>
      </w:tr>
      <w:tr w:rsidR="004A4DB9" w:rsidRPr="00525EF3" w14:paraId="67E754BF" w14:textId="77777777" w:rsidTr="003E47E4">
        <w:tc>
          <w:tcPr>
            <w:tcW w:w="1705" w:type="dxa"/>
            <w:tcBorders>
              <w:left w:val="nil"/>
              <w:right w:val="nil"/>
            </w:tcBorders>
          </w:tcPr>
          <w:p w14:paraId="1F6ACF36" w14:textId="77777777" w:rsidR="004A4DB9" w:rsidRPr="00525EF3" w:rsidRDefault="004A4DB9" w:rsidP="00BB40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EF3">
              <w:rPr>
                <w:rFonts w:ascii="Arial" w:hAnsi="Arial" w:cs="Arial"/>
                <w:b/>
                <w:bCs/>
                <w:sz w:val="22"/>
                <w:szCs w:val="22"/>
              </w:rPr>
              <w:t>Cycle 4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5F9C1B8A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209.56</w:t>
            </w:r>
            <w:r w:rsidRPr="00525EF3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proofErr w:type="gramStart"/>
            <w:r w:rsidRPr="00525EF3">
              <w:rPr>
                <w:rFonts w:ascii="Arial" w:hAnsi="Arial" w:cs="Arial"/>
                <w:sz w:val="22"/>
                <w:szCs w:val="22"/>
              </w:rPr>
              <w:t>±  9</w:t>
            </w:r>
            <w:proofErr w:type="gramEnd"/>
            <w:r w:rsidRPr="00525EF3">
              <w:rPr>
                <w:rFonts w:ascii="Arial" w:hAnsi="Arial" w:cs="Arial"/>
                <w:sz w:val="22"/>
                <w:szCs w:val="22"/>
              </w:rPr>
              <w:t>.28</w:t>
            </w:r>
          </w:p>
        </w:tc>
        <w:tc>
          <w:tcPr>
            <w:tcW w:w="3456" w:type="dxa"/>
            <w:tcBorders>
              <w:left w:val="nil"/>
              <w:right w:val="nil"/>
            </w:tcBorders>
          </w:tcPr>
          <w:p w14:paraId="02D95D92" w14:textId="77777777" w:rsidR="004A4DB9" w:rsidRPr="00525EF3" w:rsidRDefault="004A4DB9" w:rsidP="00BB40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EF3">
              <w:rPr>
                <w:rFonts w:ascii="Arial" w:hAnsi="Arial" w:cs="Arial"/>
                <w:sz w:val="22"/>
                <w:szCs w:val="22"/>
              </w:rPr>
              <w:t>221.52</w:t>
            </w:r>
            <w:r w:rsidRPr="00525EF3">
              <w:rPr>
                <w:rFonts w:ascii="Arial" w:hAnsi="Arial" w:cs="Arial"/>
                <w:sz w:val="22"/>
                <w:szCs w:val="22"/>
              </w:rPr>
              <w:tab/>
              <w:t xml:space="preserve"> ± 15.46</w:t>
            </w:r>
          </w:p>
        </w:tc>
      </w:tr>
    </w:tbl>
    <w:p w14:paraId="30AB11C2" w14:textId="77777777" w:rsidR="004A4DB9" w:rsidRPr="00035A55" w:rsidRDefault="004A4DB9" w:rsidP="004A4DB9"/>
    <w:p w14:paraId="7BD943DD" w14:textId="365334FB" w:rsidR="0021760E" w:rsidRDefault="0021760E">
      <w:r>
        <w:br w:type="page"/>
      </w:r>
    </w:p>
    <w:p w14:paraId="645EBEF0" w14:textId="77777777" w:rsidR="004316BE" w:rsidRPr="004316BE" w:rsidRDefault="0021760E" w:rsidP="00381979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4316BE">
        <w:rPr>
          <w:rFonts w:ascii="Arial" w:hAnsi="Arial" w:cs="Arial"/>
          <w:b/>
          <w:bCs/>
          <w:sz w:val="22"/>
          <w:szCs w:val="22"/>
        </w:rPr>
        <w:lastRenderedPageBreak/>
        <w:t>Supplemental Table 2</w:t>
      </w:r>
      <w:r w:rsidR="004316BE" w:rsidRPr="004316BE">
        <w:rPr>
          <w:rFonts w:ascii="Arial" w:hAnsi="Arial" w:cs="Arial"/>
          <w:b/>
          <w:bCs/>
          <w:sz w:val="22"/>
          <w:szCs w:val="22"/>
        </w:rPr>
        <w:t>: Weekly body weight (g) for each group (NWH-CTL, NWH-CIE, WH-CTL, WH-CIE) during the last baseline week and Test weeks 1-4.</w:t>
      </w:r>
      <w:r w:rsidR="004316BE" w:rsidRPr="004316BE">
        <w:rPr>
          <w:rFonts w:ascii="Arial" w:hAnsi="Arial" w:cs="Arial"/>
          <w:sz w:val="22"/>
          <w:szCs w:val="22"/>
        </w:rPr>
        <w:t xml:space="preserve"> Values are mean ± </w:t>
      </w:r>
      <w:proofErr w:type="spellStart"/>
      <w:r w:rsidR="004316BE" w:rsidRPr="004316BE">
        <w:rPr>
          <w:rFonts w:ascii="Arial" w:hAnsi="Arial" w:cs="Arial"/>
          <w:sz w:val="22"/>
          <w:szCs w:val="22"/>
        </w:rPr>
        <w:t>s.e.m.</w:t>
      </w:r>
      <w:proofErr w:type="spellEnd"/>
      <w:r w:rsidR="004316BE" w:rsidRPr="004316BE">
        <w:rPr>
          <w:rFonts w:ascii="Arial" w:hAnsi="Arial" w:cs="Arial"/>
          <w:sz w:val="22"/>
          <w:szCs w:val="22"/>
        </w:rPr>
        <w:t xml:space="preserve"> (N= 20/group) </w:t>
      </w:r>
      <w:r w:rsidR="004316BE" w:rsidRPr="004316BE">
        <w:rPr>
          <w:rFonts w:ascii="Arial" w:hAnsi="Arial" w:cs="Arial"/>
          <w:b/>
          <w:bCs/>
          <w:sz w:val="22"/>
          <w:szCs w:val="22"/>
        </w:rPr>
        <w:t>^</w:t>
      </w:r>
      <w:r w:rsidR="004316BE" w:rsidRPr="004316BE">
        <w:rPr>
          <w:rFonts w:ascii="Arial" w:hAnsi="Arial" w:cs="Arial"/>
          <w:sz w:val="22"/>
          <w:szCs w:val="22"/>
        </w:rPr>
        <w:t xml:space="preserve"> significantly differs from NWH-CTL group (p&lt; 0.05); </w:t>
      </w:r>
      <w:r w:rsidR="004316BE" w:rsidRPr="004316BE">
        <w:rPr>
          <w:rFonts w:ascii="Arial" w:hAnsi="Arial" w:cs="Arial"/>
          <w:b/>
          <w:bCs/>
          <w:sz w:val="22"/>
          <w:szCs w:val="22"/>
        </w:rPr>
        <w:t xml:space="preserve">* </w:t>
      </w:r>
      <w:r w:rsidR="004316BE" w:rsidRPr="004316BE">
        <w:rPr>
          <w:rFonts w:ascii="Arial" w:hAnsi="Arial" w:cs="Arial"/>
          <w:sz w:val="22"/>
          <w:szCs w:val="22"/>
        </w:rPr>
        <w:t>significantly differs from NWH-CTL group (</w:t>
      </w:r>
      <w:proofErr w:type="spellStart"/>
      <w:r w:rsidR="004316BE" w:rsidRPr="004316BE">
        <w:rPr>
          <w:rFonts w:ascii="Arial" w:hAnsi="Arial" w:cs="Arial"/>
          <w:sz w:val="22"/>
          <w:szCs w:val="22"/>
        </w:rPr>
        <w:t>ps</w:t>
      </w:r>
      <w:proofErr w:type="spellEnd"/>
      <w:r w:rsidR="004316BE" w:rsidRPr="004316BE">
        <w:rPr>
          <w:rFonts w:ascii="Arial" w:hAnsi="Arial" w:cs="Arial"/>
          <w:sz w:val="22"/>
          <w:szCs w:val="22"/>
        </w:rPr>
        <w:t>&lt; 0.05).</w:t>
      </w:r>
    </w:p>
    <w:p w14:paraId="29BA920D" w14:textId="77777777" w:rsidR="003E47E4" w:rsidRPr="003E47E4" w:rsidRDefault="003E47E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E2BD2" w14:paraId="5B6EA4AC" w14:textId="77777777" w:rsidTr="00782C18">
        <w:tc>
          <w:tcPr>
            <w:tcW w:w="1870" w:type="dxa"/>
            <w:tcBorders>
              <w:right w:val="nil"/>
            </w:tcBorders>
          </w:tcPr>
          <w:p w14:paraId="33CD1CDD" w14:textId="77777777" w:rsidR="00FE2BD2" w:rsidRDefault="00FE2BD2" w:rsidP="00FE2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bottom"/>
          </w:tcPr>
          <w:p w14:paraId="5ED92240" w14:textId="61186914" w:rsidR="00FE2BD2" w:rsidRPr="00FE2BD2" w:rsidRDefault="00FE2BD2" w:rsidP="00FE2B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NWH-CTL</w:t>
            </w:r>
          </w:p>
        </w:tc>
        <w:tc>
          <w:tcPr>
            <w:tcW w:w="1870" w:type="dxa"/>
            <w:tcBorders>
              <w:left w:val="nil"/>
              <w:right w:val="nil"/>
            </w:tcBorders>
            <w:vAlign w:val="bottom"/>
          </w:tcPr>
          <w:p w14:paraId="4B03D488" w14:textId="00841F14" w:rsidR="00FE2BD2" w:rsidRPr="00FE2BD2" w:rsidRDefault="00FE2BD2" w:rsidP="00FE2B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NWH-CIE</w:t>
            </w:r>
          </w:p>
        </w:tc>
        <w:tc>
          <w:tcPr>
            <w:tcW w:w="1870" w:type="dxa"/>
            <w:tcBorders>
              <w:top w:val="nil"/>
              <w:left w:val="nil"/>
              <w:right w:val="nil"/>
            </w:tcBorders>
            <w:vAlign w:val="bottom"/>
          </w:tcPr>
          <w:p w14:paraId="6CFD32BB" w14:textId="67A8EA93" w:rsidR="00FE2BD2" w:rsidRPr="00FE2BD2" w:rsidRDefault="00FE2BD2" w:rsidP="00FE2B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WH-CTL</w:t>
            </w:r>
          </w:p>
        </w:tc>
        <w:tc>
          <w:tcPr>
            <w:tcW w:w="1870" w:type="dxa"/>
            <w:tcBorders>
              <w:left w:val="nil"/>
            </w:tcBorders>
            <w:vAlign w:val="bottom"/>
          </w:tcPr>
          <w:p w14:paraId="48901B28" w14:textId="563BFEF7" w:rsidR="00FE2BD2" w:rsidRPr="00FE2BD2" w:rsidRDefault="00FE2BD2" w:rsidP="00FE2B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WH-CIE</w:t>
            </w:r>
          </w:p>
        </w:tc>
      </w:tr>
      <w:tr w:rsidR="00AD332C" w14:paraId="5B0EA1F7" w14:textId="77777777" w:rsidTr="00782C18">
        <w:tc>
          <w:tcPr>
            <w:tcW w:w="1870" w:type="dxa"/>
            <w:tcBorders>
              <w:right w:val="nil"/>
            </w:tcBorders>
            <w:vAlign w:val="bottom"/>
          </w:tcPr>
          <w:p w14:paraId="3EB03DD7" w14:textId="1C933F13" w:rsidR="00AD332C" w:rsidRPr="00FE2BD2" w:rsidRDefault="00AD332C" w:rsidP="00AD3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Baseline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A413567" w14:textId="590C1728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29.79</w:t>
            </w:r>
            <w:r w:rsidR="00A267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±</w:t>
            </w:r>
            <w:r w:rsidR="00A267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0.4</w:t>
            </w:r>
            <w:r w:rsidR="00320AC8"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  <w:tcBorders>
              <w:left w:val="nil"/>
              <w:right w:val="nil"/>
            </w:tcBorders>
            <w:vAlign w:val="bottom"/>
          </w:tcPr>
          <w:p w14:paraId="02AA7129" w14:textId="70A22EF1" w:rsidR="00AD332C" w:rsidRDefault="00ED415D" w:rsidP="00ED41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D332C">
              <w:rPr>
                <w:rFonts w:ascii="Arial" w:hAnsi="Arial" w:cs="Arial"/>
              </w:rPr>
              <w:t>29.8</w:t>
            </w:r>
            <w:r w:rsidR="004D1F6F">
              <w:rPr>
                <w:rFonts w:ascii="Arial" w:hAnsi="Arial" w:cs="Arial"/>
              </w:rPr>
              <w:t>1</w:t>
            </w:r>
            <w:r w:rsidR="00A26799">
              <w:rPr>
                <w:rFonts w:ascii="Arial" w:hAnsi="Arial" w:cs="Arial"/>
              </w:rPr>
              <w:t xml:space="preserve"> ± 0.4</w:t>
            </w:r>
            <w:r w:rsidR="004D1F6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C3E2F9" w14:textId="69821E31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27.</w:t>
            </w:r>
            <w:r w:rsidR="00F11DDF">
              <w:rPr>
                <w:rFonts w:ascii="Arial" w:hAnsi="Arial" w:cs="Arial"/>
              </w:rPr>
              <w:t>70</w:t>
            </w:r>
            <w:r w:rsidR="006A7D45">
              <w:rPr>
                <w:rFonts w:ascii="Arial" w:hAnsi="Arial" w:cs="Arial"/>
              </w:rPr>
              <w:t xml:space="preserve"> ± </w:t>
            </w:r>
            <w:r w:rsidR="00EE2D95">
              <w:rPr>
                <w:rFonts w:ascii="Arial" w:hAnsi="Arial" w:cs="Arial"/>
              </w:rPr>
              <w:t>0.</w:t>
            </w:r>
            <w:r w:rsidR="003B0956">
              <w:rPr>
                <w:rFonts w:ascii="Arial" w:hAnsi="Arial" w:cs="Arial"/>
              </w:rPr>
              <w:t>33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0" w:type="dxa"/>
            <w:tcBorders>
              <w:left w:val="nil"/>
            </w:tcBorders>
            <w:vAlign w:val="bottom"/>
          </w:tcPr>
          <w:p w14:paraId="78E74352" w14:textId="77A107D3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27.51</w:t>
            </w:r>
            <w:r w:rsidR="00987894">
              <w:rPr>
                <w:rFonts w:ascii="Arial" w:hAnsi="Arial" w:cs="Arial"/>
              </w:rPr>
              <w:t xml:space="preserve"> ± </w:t>
            </w:r>
            <w:r w:rsidR="00DF2580">
              <w:rPr>
                <w:rFonts w:ascii="Arial" w:hAnsi="Arial" w:cs="Arial"/>
              </w:rPr>
              <w:t>0.</w:t>
            </w:r>
            <w:r w:rsidR="00931CBF">
              <w:rPr>
                <w:rFonts w:ascii="Arial" w:hAnsi="Arial" w:cs="Arial"/>
              </w:rPr>
              <w:t>32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AD332C" w14:paraId="3F12E30F" w14:textId="77777777" w:rsidTr="00782C18">
        <w:tc>
          <w:tcPr>
            <w:tcW w:w="1870" w:type="dxa"/>
            <w:tcBorders>
              <w:right w:val="nil"/>
            </w:tcBorders>
            <w:vAlign w:val="bottom"/>
          </w:tcPr>
          <w:p w14:paraId="5B686043" w14:textId="676EB52B" w:rsidR="00AD332C" w:rsidRPr="00FE2BD2" w:rsidRDefault="00AD332C" w:rsidP="00AD3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Test 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E41DAE2" w14:textId="3D8254ED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29.6</w:t>
            </w:r>
            <w:r w:rsidR="00320AC8">
              <w:rPr>
                <w:rFonts w:ascii="Arial" w:hAnsi="Arial" w:cs="Arial"/>
              </w:rPr>
              <w:t>7</w:t>
            </w:r>
            <w:r w:rsidR="00A26799">
              <w:rPr>
                <w:rFonts w:ascii="Arial" w:hAnsi="Arial" w:cs="Arial"/>
              </w:rPr>
              <w:t xml:space="preserve"> </w:t>
            </w:r>
            <w:r w:rsidR="00820601">
              <w:rPr>
                <w:rFonts w:ascii="Arial" w:hAnsi="Arial" w:cs="Arial"/>
              </w:rPr>
              <w:t>±</w:t>
            </w:r>
            <w:r w:rsidR="00A26799">
              <w:rPr>
                <w:rFonts w:ascii="Arial" w:hAnsi="Arial" w:cs="Arial"/>
              </w:rPr>
              <w:t xml:space="preserve"> </w:t>
            </w:r>
            <w:r w:rsidR="00820601">
              <w:rPr>
                <w:rFonts w:ascii="Arial" w:hAnsi="Arial" w:cs="Arial"/>
              </w:rPr>
              <w:t>0.3</w:t>
            </w:r>
            <w:r w:rsidR="00320AC8">
              <w:rPr>
                <w:rFonts w:ascii="Arial" w:hAnsi="Arial" w:cs="Arial"/>
              </w:rPr>
              <w:t>2</w:t>
            </w:r>
          </w:p>
        </w:tc>
        <w:tc>
          <w:tcPr>
            <w:tcW w:w="1870" w:type="dxa"/>
            <w:tcBorders>
              <w:left w:val="nil"/>
              <w:right w:val="nil"/>
            </w:tcBorders>
            <w:vAlign w:val="bottom"/>
          </w:tcPr>
          <w:p w14:paraId="4F76E332" w14:textId="76C45457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28.07</w:t>
            </w:r>
            <w:r w:rsidR="00A26799">
              <w:rPr>
                <w:rFonts w:ascii="Arial" w:hAnsi="Arial" w:cs="Arial"/>
              </w:rPr>
              <w:t xml:space="preserve"> ± 0.</w:t>
            </w:r>
            <w:r w:rsidR="00C51629">
              <w:rPr>
                <w:rFonts w:ascii="Arial" w:hAnsi="Arial" w:cs="Arial"/>
              </w:rPr>
              <w:t>22</w:t>
            </w:r>
            <w:r w:rsidR="004E0E3F">
              <w:rPr>
                <w:rFonts w:ascii="Arial" w:hAnsi="Arial" w:cs="Arial"/>
              </w:rPr>
              <w:t xml:space="preserve"> </w:t>
            </w:r>
            <w:r w:rsidR="004E0E3F" w:rsidRPr="004E0E3F">
              <w:rPr>
                <w:rFonts w:ascii="Arial" w:hAnsi="Arial" w:cs="Arial"/>
                <w:b/>
                <w:bCs/>
              </w:rPr>
              <w:t>^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F6DFDD" w14:textId="71CBD817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F11DD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F11DDF">
              <w:rPr>
                <w:rFonts w:ascii="Arial" w:hAnsi="Arial" w:cs="Arial"/>
              </w:rPr>
              <w:t>00</w:t>
            </w:r>
            <w:r w:rsidR="006A7D45">
              <w:rPr>
                <w:rFonts w:ascii="Arial" w:hAnsi="Arial" w:cs="Arial"/>
              </w:rPr>
              <w:t xml:space="preserve"> </w:t>
            </w:r>
            <w:r w:rsidR="00EE2D95">
              <w:rPr>
                <w:rFonts w:ascii="Arial" w:hAnsi="Arial" w:cs="Arial"/>
              </w:rPr>
              <w:t>± 0.3</w:t>
            </w:r>
            <w:r w:rsidR="003B0956">
              <w:rPr>
                <w:rFonts w:ascii="Arial" w:hAnsi="Arial" w:cs="Arial"/>
              </w:rPr>
              <w:t>3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0" w:type="dxa"/>
            <w:tcBorders>
              <w:left w:val="nil"/>
            </w:tcBorders>
            <w:vAlign w:val="bottom"/>
          </w:tcPr>
          <w:p w14:paraId="7FF6EDEF" w14:textId="23CC5896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27.82</w:t>
            </w:r>
            <w:r w:rsidR="00DF2580">
              <w:rPr>
                <w:rFonts w:ascii="Arial" w:hAnsi="Arial" w:cs="Arial"/>
              </w:rPr>
              <w:t xml:space="preserve"> ± 0.</w:t>
            </w:r>
            <w:r w:rsidR="00931CBF">
              <w:rPr>
                <w:rFonts w:ascii="Arial" w:hAnsi="Arial" w:cs="Arial"/>
              </w:rPr>
              <w:t>32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AD332C" w14:paraId="27A290C8" w14:textId="77777777" w:rsidTr="00782C18">
        <w:tc>
          <w:tcPr>
            <w:tcW w:w="1870" w:type="dxa"/>
            <w:tcBorders>
              <w:right w:val="nil"/>
            </w:tcBorders>
            <w:vAlign w:val="bottom"/>
          </w:tcPr>
          <w:p w14:paraId="529D8C3E" w14:textId="7704C5A8" w:rsidR="00AD332C" w:rsidRPr="00FE2BD2" w:rsidRDefault="00AD332C" w:rsidP="00AD3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Test 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119FF8B" w14:textId="7CF0CDC3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29.82</w:t>
            </w:r>
            <w:r w:rsidR="00A26799">
              <w:rPr>
                <w:rFonts w:ascii="Arial" w:hAnsi="Arial" w:cs="Arial"/>
              </w:rPr>
              <w:t xml:space="preserve"> </w:t>
            </w:r>
            <w:r w:rsidR="00820601">
              <w:rPr>
                <w:rFonts w:ascii="Arial" w:hAnsi="Arial" w:cs="Arial"/>
              </w:rPr>
              <w:t>±</w:t>
            </w:r>
            <w:r w:rsidR="00A26799">
              <w:rPr>
                <w:rFonts w:ascii="Arial" w:hAnsi="Arial" w:cs="Arial"/>
              </w:rPr>
              <w:t xml:space="preserve"> </w:t>
            </w:r>
            <w:r w:rsidR="00820601">
              <w:rPr>
                <w:rFonts w:ascii="Arial" w:hAnsi="Arial" w:cs="Arial"/>
              </w:rPr>
              <w:t>0.3</w:t>
            </w:r>
            <w:r w:rsidR="00320AC8">
              <w:rPr>
                <w:rFonts w:ascii="Arial" w:hAnsi="Arial" w:cs="Arial"/>
              </w:rPr>
              <w:t>6</w:t>
            </w:r>
          </w:p>
        </w:tc>
        <w:tc>
          <w:tcPr>
            <w:tcW w:w="1870" w:type="dxa"/>
            <w:tcBorders>
              <w:left w:val="nil"/>
              <w:right w:val="nil"/>
            </w:tcBorders>
            <w:vAlign w:val="bottom"/>
          </w:tcPr>
          <w:p w14:paraId="5D6D22E1" w14:textId="033057BA" w:rsidR="00AD332C" w:rsidRDefault="00ED415D" w:rsidP="00ED41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D332C">
              <w:rPr>
                <w:rFonts w:ascii="Arial" w:hAnsi="Arial" w:cs="Arial"/>
              </w:rPr>
              <w:t>29.27</w:t>
            </w:r>
            <w:r w:rsidR="00A26799">
              <w:rPr>
                <w:rFonts w:ascii="Arial" w:hAnsi="Arial" w:cs="Arial"/>
              </w:rPr>
              <w:t xml:space="preserve"> ± </w:t>
            </w:r>
            <w:r w:rsidR="006A7D45">
              <w:rPr>
                <w:rFonts w:ascii="Arial" w:hAnsi="Arial" w:cs="Arial"/>
              </w:rPr>
              <w:t>0.3</w:t>
            </w:r>
            <w:r w:rsidR="00C51629">
              <w:rPr>
                <w:rFonts w:ascii="Arial" w:hAnsi="Arial" w:cs="Arial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EDFF219" w14:textId="60BD1F6C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28.0</w:t>
            </w:r>
            <w:r w:rsidR="00F11DDF">
              <w:rPr>
                <w:rFonts w:ascii="Arial" w:hAnsi="Arial" w:cs="Arial"/>
              </w:rPr>
              <w:t>9</w:t>
            </w:r>
            <w:r w:rsidR="006A7D45">
              <w:rPr>
                <w:rFonts w:ascii="Arial" w:hAnsi="Arial" w:cs="Arial"/>
              </w:rPr>
              <w:t xml:space="preserve"> </w:t>
            </w:r>
            <w:r w:rsidR="00EE2D95">
              <w:rPr>
                <w:rFonts w:ascii="Arial" w:hAnsi="Arial" w:cs="Arial"/>
              </w:rPr>
              <w:t>±</w:t>
            </w:r>
            <w:r w:rsidR="00987894">
              <w:rPr>
                <w:rFonts w:ascii="Arial" w:hAnsi="Arial" w:cs="Arial"/>
              </w:rPr>
              <w:t xml:space="preserve"> 0.3</w:t>
            </w:r>
            <w:r w:rsidR="003B0956">
              <w:rPr>
                <w:rFonts w:ascii="Arial" w:hAnsi="Arial" w:cs="Arial"/>
              </w:rPr>
              <w:t>3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0" w:type="dxa"/>
            <w:tcBorders>
              <w:left w:val="nil"/>
            </w:tcBorders>
            <w:vAlign w:val="bottom"/>
          </w:tcPr>
          <w:p w14:paraId="30577EA7" w14:textId="5004ED48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28.36</w:t>
            </w:r>
            <w:r w:rsidR="00DF2580">
              <w:rPr>
                <w:rFonts w:ascii="Arial" w:hAnsi="Arial" w:cs="Arial"/>
              </w:rPr>
              <w:t xml:space="preserve"> ± 0.3</w:t>
            </w:r>
            <w:r w:rsidR="00931CBF">
              <w:rPr>
                <w:rFonts w:ascii="Arial" w:hAnsi="Arial" w:cs="Arial"/>
              </w:rPr>
              <w:t>6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AD332C" w14:paraId="5E073E26" w14:textId="77777777" w:rsidTr="00782C18">
        <w:tc>
          <w:tcPr>
            <w:tcW w:w="1870" w:type="dxa"/>
            <w:tcBorders>
              <w:right w:val="nil"/>
            </w:tcBorders>
            <w:vAlign w:val="bottom"/>
          </w:tcPr>
          <w:p w14:paraId="22990068" w14:textId="08123A98" w:rsidR="00AD332C" w:rsidRPr="00FE2BD2" w:rsidRDefault="00AD332C" w:rsidP="00AD3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Test 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2B14EA6" w14:textId="12E30F1F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30.1</w:t>
            </w:r>
            <w:r w:rsidR="00320AC8">
              <w:rPr>
                <w:rFonts w:ascii="Arial" w:hAnsi="Arial" w:cs="Arial"/>
              </w:rPr>
              <w:t>6</w:t>
            </w:r>
            <w:r w:rsidR="00A26799">
              <w:rPr>
                <w:rFonts w:ascii="Arial" w:hAnsi="Arial" w:cs="Arial"/>
              </w:rPr>
              <w:t xml:space="preserve"> </w:t>
            </w:r>
            <w:r w:rsidR="00820601">
              <w:rPr>
                <w:rFonts w:ascii="Arial" w:hAnsi="Arial" w:cs="Arial"/>
              </w:rPr>
              <w:t>±</w:t>
            </w:r>
            <w:r w:rsidR="00A26799">
              <w:rPr>
                <w:rFonts w:ascii="Arial" w:hAnsi="Arial" w:cs="Arial"/>
              </w:rPr>
              <w:t xml:space="preserve"> </w:t>
            </w:r>
            <w:r w:rsidR="00820601">
              <w:rPr>
                <w:rFonts w:ascii="Arial" w:hAnsi="Arial" w:cs="Arial"/>
              </w:rPr>
              <w:t>0.4</w:t>
            </w:r>
            <w:r w:rsidR="00320AC8">
              <w:rPr>
                <w:rFonts w:ascii="Arial" w:hAnsi="Arial" w:cs="Arial"/>
              </w:rPr>
              <w:t>1</w:t>
            </w:r>
          </w:p>
        </w:tc>
        <w:tc>
          <w:tcPr>
            <w:tcW w:w="1870" w:type="dxa"/>
            <w:tcBorders>
              <w:left w:val="nil"/>
              <w:right w:val="nil"/>
            </w:tcBorders>
            <w:vAlign w:val="bottom"/>
          </w:tcPr>
          <w:p w14:paraId="47233156" w14:textId="2D3585FD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27.84</w:t>
            </w:r>
            <w:r w:rsidR="006A7D45">
              <w:rPr>
                <w:rFonts w:ascii="Arial" w:hAnsi="Arial" w:cs="Arial"/>
              </w:rPr>
              <w:t xml:space="preserve"> ± 0.</w:t>
            </w:r>
            <w:r w:rsidR="00C51629">
              <w:rPr>
                <w:rFonts w:ascii="Arial" w:hAnsi="Arial" w:cs="Arial"/>
              </w:rPr>
              <w:t>53</w:t>
            </w:r>
            <w:r w:rsidR="004E0E3F">
              <w:rPr>
                <w:rFonts w:ascii="Arial" w:hAnsi="Arial" w:cs="Arial"/>
              </w:rPr>
              <w:t xml:space="preserve"> </w:t>
            </w:r>
            <w:r w:rsidR="004E0E3F" w:rsidRPr="004E0E3F">
              <w:rPr>
                <w:rFonts w:ascii="Arial" w:hAnsi="Arial" w:cs="Arial"/>
                <w:b/>
                <w:bCs/>
              </w:rPr>
              <w:t>^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C2893D3" w14:textId="7A40DBD6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28.7</w:t>
            </w:r>
            <w:r w:rsidR="003B0956">
              <w:rPr>
                <w:rFonts w:ascii="Arial" w:hAnsi="Arial" w:cs="Arial"/>
              </w:rPr>
              <w:t>4</w:t>
            </w:r>
            <w:r w:rsidR="006A7D45">
              <w:rPr>
                <w:rFonts w:ascii="Arial" w:hAnsi="Arial" w:cs="Arial"/>
              </w:rPr>
              <w:t xml:space="preserve"> </w:t>
            </w:r>
            <w:r w:rsidR="00987894">
              <w:rPr>
                <w:rFonts w:ascii="Arial" w:hAnsi="Arial" w:cs="Arial"/>
              </w:rPr>
              <w:t>± 0.</w:t>
            </w:r>
            <w:r w:rsidR="003B0956">
              <w:rPr>
                <w:rFonts w:ascii="Arial" w:hAnsi="Arial" w:cs="Arial"/>
              </w:rPr>
              <w:t>36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0" w:type="dxa"/>
            <w:tcBorders>
              <w:left w:val="nil"/>
            </w:tcBorders>
            <w:vAlign w:val="bottom"/>
          </w:tcPr>
          <w:p w14:paraId="2BBBC87D" w14:textId="413978A2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28.05</w:t>
            </w:r>
            <w:r w:rsidR="00DF2580">
              <w:rPr>
                <w:rFonts w:ascii="Arial" w:hAnsi="Arial" w:cs="Arial"/>
              </w:rPr>
              <w:t xml:space="preserve"> ± 0.</w:t>
            </w:r>
            <w:r w:rsidR="00931CBF">
              <w:rPr>
                <w:rFonts w:ascii="Arial" w:hAnsi="Arial" w:cs="Arial"/>
              </w:rPr>
              <w:t>36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AD332C" w14:paraId="5387E538" w14:textId="77777777" w:rsidTr="00782C18">
        <w:tc>
          <w:tcPr>
            <w:tcW w:w="1870" w:type="dxa"/>
            <w:tcBorders>
              <w:right w:val="nil"/>
            </w:tcBorders>
            <w:vAlign w:val="bottom"/>
          </w:tcPr>
          <w:p w14:paraId="56E8105E" w14:textId="6D352ABE" w:rsidR="00AD332C" w:rsidRPr="00FE2BD2" w:rsidRDefault="00AD332C" w:rsidP="00AD3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2BD2">
              <w:rPr>
                <w:rFonts w:ascii="Arial" w:hAnsi="Arial" w:cs="Arial"/>
                <w:b/>
                <w:bCs/>
              </w:rPr>
              <w:t>Test 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FC8DAD0" w14:textId="2EE7D4E8" w:rsidR="00AD332C" w:rsidRDefault="00320AC8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30.00</w:t>
            </w:r>
            <w:r w:rsidR="00820601">
              <w:rPr>
                <w:rFonts w:ascii="Arial" w:hAnsi="Arial" w:cs="Arial"/>
              </w:rPr>
              <w:t xml:space="preserve"> ± 0.</w:t>
            </w:r>
            <w:r w:rsidR="00A2679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870" w:type="dxa"/>
            <w:tcBorders>
              <w:left w:val="nil"/>
              <w:right w:val="nil"/>
            </w:tcBorders>
            <w:vAlign w:val="bottom"/>
          </w:tcPr>
          <w:p w14:paraId="777F3048" w14:textId="3F1125F8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27.64</w:t>
            </w:r>
            <w:r w:rsidR="006A7D45">
              <w:rPr>
                <w:rFonts w:ascii="Arial" w:hAnsi="Arial" w:cs="Arial"/>
              </w:rPr>
              <w:t xml:space="preserve"> ± 0.3</w:t>
            </w:r>
            <w:r w:rsidR="00C51629">
              <w:rPr>
                <w:rFonts w:ascii="Arial" w:hAnsi="Arial" w:cs="Arial"/>
              </w:rPr>
              <w:t>2</w:t>
            </w:r>
            <w:r w:rsidR="004E0E3F">
              <w:rPr>
                <w:rFonts w:ascii="Arial" w:hAnsi="Arial" w:cs="Arial"/>
              </w:rPr>
              <w:t xml:space="preserve"> </w:t>
            </w:r>
            <w:r w:rsidR="004E0E3F" w:rsidRPr="004E0E3F">
              <w:rPr>
                <w:rFonts w:ascii="Arial" w:hAnsi="Arial" w:cs="Arial"/>
                <w:b/>
                <w:bCs/>
              </w:rPr>
              <w:t>^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6C2860" w14:textId="6F1B90CC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28.7</w:t>
            </w:r>
            <w:r w:rsidR="003B0956">
              <w:rPr>
                <w:rFonts w:ascii="Arial" w:hAnsi="Arial" w:cs="Arial"/>
              </w:rPr>
              <w:t>1</w:t>
            </w:r>
            <w:r w:rsidR="006A7D45">
              <w:rPr>
                <w:rFonts w:ascii="Arial" w:hAnsi="Arial" w:cs="Arial"/>
              </w:rPr>
              <w:t xml:space="preserve"> </w:t>
            </w:r>
            <w:r w:rsidR="00987894">
              <w:rPr>
                <w:rFonts w:ascii="Arial" w:hAnsi="Arial" w:cs="Arial"/>
              </w:rPr>
              <w:t>± 0.3</w:t>
            </w:r>
            <w:r w:rsidR="003B0956">
              <w:rPr>
                <w:rFonts w:ascii="Arial" w:hAnsi="Arial" w:cs="Arial"/>
              </w:rPr>
              <w:t>4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70" w:type="dxa"/>
            <w:tcBorders>
              <w:left w:val="nil"/>
            </w:tcBorders>
            <w:vAlign w:val="bottom"/>
          </w:tcPr>
          <w:p w14:paraId="0155CC36" w14:textId="261B2FF9" w:rsidR="00AD332C" w:rsidRDefault="00AD332C" w:rsidP="00C90C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27</w:t>
            </w:r>
            <w:r w:rsidR="006A7D45">
              <w:rPr>
                <w:rFonts w:ascii="Arial" w:hAnsi="Arial" w:cs="Arial"/>
              </w:rPr>
              <w:t>.00</w:t>
            </w:r>
            <w:r w:rsidR="00DF2580">
              <w:rPr>
                <w:rFonts w:ascii="Arial" w:hAnsi="Arial" w:cs="Arial"/>
              </w:rPr>
              <w:t xml:space="preserve"> ± 0.</w:t>
            </w:r>
            <w:r w:rsidR="00931CBF">
              <w:rPr>
                <w:rFonts w:ascii="Arial" w:hAnsi="Arial" w:cs="Arial"/>
              </w:rPr>
              <w:t>40</w:t>
            </w:r>
            <w:r w:rsidR="00AC192A">
              <w:rPr>
                <w:rFonts w:ascii="Arial" w:hAnsi="Arial" w:cs="Arial"/>
              </w:rPr>
              <w:t xml:space="preserve"> </w:t>
            </w:r>
            <w:r w:rsidR="00AC192A" w:rsidRPr="00AC192A">
              <w:rPr>
                <w:rFonts w:ascii="Arial" w:hAnsi="Arial" w:cs="Arial"/>
                <w:b/>
                <w:bCs/>
              </w:rPr>
              <w:t>*</w:t>
            </w:r>
          </w:p>
        </w:tc>
      </w:tr>
    </w:tbl>
    <w:p w14:paraId="235DC52B" w14:textId="77777777" w:rsidR="0021760E" w:rsidRPr="0021760E" w:rsidRDefault="0021760E">
      <w:pPr>
        <w:rPr>
          <w:rFonts w:ascii="Arial" w:hAnsi="Arial" w:cs="Arial"/>
          <w:b/>
          <w:bCs/>
          <w:sz w:val="22"/>
          <w:szCs w:val="22"/>
        </w:rPr>
      </w:pPr>
    </w:p>
    <w:sectPr w:rsidR="0021760E" w:rsidRPr="0021760E" w:rsidSect="003A77CA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4B"/>
    <w:rsid w:val="00001280"/>
    <w:rsid w:val="000102AB"/>
    <w:rsid w:val="000108B3"/>
    <w:rsid w:val="00012096"/>
    <w:rsid w:val="00016CE9"/>
    <w:rsid w:val="00016FAB"/>
    <w:rsid w:val="000209E4"/>
    <w:rsid w:val="00030FD4"/>
    <w:rsid w:val="00031112"/>
    <w:rsid w:val="000312A1"/>
    <w:rsid w:val="0003199D"/>
    <w:rsid w:val="00035A55"/>
    <w:rsid w:val="00037747"/>
    <w:rsid w:val="0004222A"/>
    <w:rsid w:val="00055171"/>
    <w:rsid w:val="00060B55"/>
    <w:rsid w:val="000663CA"/>
    <w:rsid w:val="00075351"/>
    <w:rsid w:val="00077F09"/>
    <w:rsid w:val="00084484"/>
    <w:rsid w:val="000848AA"/>
    <w:rsid w:val="00085FEE"/>
    <w:rsid w:val="00090FE9"/>
    <w:rsid w:val="00091F2D"/>
    <w:rsid w:val="00096309"/>
    <w:rsid w:val="000A42AD"/>
    <w:rsid w:val="000A62BD"/>
    <w:rsid w:val="000A6852"/>
    <w:rsid w:val="000A7CDB"/>
    <w:rsid w:val="000B444D"/>
    <w:rsid w:val="000B705C"/>
    <w:rsid w:val="000C5027"/>
    <w:rsid w:val="000D41E0"/>
    <w:rsid w:val="000E37C9"/>
    <w:rsid w:val="000F31E3"/>
    <w:rsid w:val="000F76F2"/>
    <w:rsid w:val="0010720D"/>
    <w:rsid w:val="00107D57"/>
    <w:rsid w:val="001135B2"/>
    <w:rsid w:val="00115687"/>
    <w:rsid w:val="001217C1"/>
    <w:rsid w:val="00121DEB"/>
    <w:rsid w:val="00124DE7"/>
    <w:rsid w:val="0012587C"/>
    <w:rsid w:val="001265D2"/>
    <w:rsid w:val="00131CCD"/>
    <w:rsid w:val="00132EAA"/>
    <w:rsid w:val="00146227"/>
    <w:rsid w:val="00150DB2"/>
    <w:rsid w:val="00152A32"/>
    <w:rsid w:val="00153D78"/>
    <w:rsid w:val="00153E7B"/>
    <w:rsid w:val="001544B8"/>
    <w:rsid w:val="00166639"/>
    <w:rsid w:val="001722D3"/>
    <w:rsid w:val="00176AA4"/>
    <w:rsid w:val="00181187"/>
    <w:rsid w:val="001825A7"/>
    <w:rsid w:val="00182697"/>
    <w:rsid w:val="001845A9"/>
    <w:rsid w:val="001907E5"/>
    <w:rsid w:val="001908DC"/>
    <w:rsid w:val="00194478"/>
    <w:rsid w:val="0019591B"/>
    <w:rsid w:val="001A67DF"/>
    <w:rsid w:val="001B4F52"/>
    <w:rsid w:val="001B64AD"/>
    <w:rsid w:val="001C6CF4"/>
    <w:rsid w:val="001F189E"/>
    <w:rsid w:val="001F3CD0"/>
    <w:rsid w:val="001F57BD"/>
    <w:rsid w:val="001F5A08"/>
    <w:rsid w:val="001F70F5"/>
    <w:rsid w:val="00203BEA"/>
    <w:rsid w:val="00205E9D"/>
    <w:rsid w:val="0021308F"/>
    <w:rsid w:val="0021318A"/>
    <w:rsid w:val="002135C8"/>
    <w:rsid w:val="002155BA"/>
    <w:rsid w:val="0021760E"/>
    <w:rsid w:val="00222E8C"/>
    <w:rsid w:val="00223C07"/>
    <w:rsid w:val="00226E7A"/>
    <w:rsid w:val="00253B52"/>
    <w:rsid w:val="0025644D"/>
    <w:rsid w:val="0026395E"/>
    <w:rsid w:val="00280C4C"/>
    <w:rsid w:val="00285104"/>
    <w:rsid w:val="00287567"/>
    <w:rsid w:val="00290BD2"/>
    <w:rsid w:val="0029378C"/>
    <w:rsid w:val="002A2056"/>
    <w:rsid w:val="002A2D52"/>
    <w:rsid w:val="002B176D"/>
    <w:rsid w:val="002B5A83"/>
    <w:rsid w:val="002C40A4"/>
    <w:rsid w:val="002C431F"/>
    <w:rsid w:val="002E2F92"/>
    <w:rsid w:val="00311774"/>
    <w:rsid w:val="003204D3"/>
    <w:rsid w:val="00320AC8"/>
    <w:rsid w:val="003306E0"/>
    <w:rsid w:val="003337B9"/>
    <w:rsid w:val="0034201D"/>
    <w:rsid w:val="003601F2"/>
    <w:rsid w:val="0036493C"/>
    <w:rsid w:val="003773D0"/>
    <w:rsid w:val="00380EAB"/>
    <w:rsid w:val="00381979"/>
    <w:rsid w:val="00383B8B"/>
    <w:rsid w:val="0038501D"/>
    <w:rsid w:val="003949F5"/>
    <w:rsid w:val="003A04C0"/>
    <w:rsid w:val="003A17C6"/>
    <w:rsid w:val="003A21DE"/>
    <w:rsid w:val="003A77CA"/>
    <w:rsid w:val="003B0956"/>
    <w:rsid w:val="003B2655"/>
    <w:rsid w:val="003B2666"/>
    <w:rsid w:val="003B5687"/>
    <w:rsid w:val="003C0A10"/>
    <w:rsid w:val="003C2AA5"/>
    <w:rsid w:val="003C4DB8"/>
    <w:rsid w:val="003C4E8C"/>
    <w:rsid w:val="003C6F88"/>
    <w:rsid w:val="003D07B0"/>
    <w:rsid w:val="003D0B09"/>
    <w:rsid w:val="003D0C29"/>
    <w:rsid w:val="003E47E4"/>
    <w:rsid w:val="003E5C31"/>
    <w:rsid w:val="003F71B3"/>
    <w:rsid w:val="00415136"/>
    <w:rsid w:val="00415CDB"/>
    <w:rsid w:val="00421E88"/>
    <w:rsid w:val="00424D63"/>
    <w:rsid w:val="004271BB"/>
    <w:rsid w:val="004316BE"/>
    <w:rsid w:val="00453021"/>
    <w:rsid w:val="00455800"/>
    <w:rsid w:val="00460F7D"/>
    <w:rsid w:val="004679F9"/>
    <w:rsid w:val="004715E6"/>
    <w:rsid w:val="004748A9"/>
    <w:rsid w:val="004771FB"/>
    <w:rsid w:val="00481115"/>
    <w:rsid w:val="00490743"/>
    <w:rsid w:val="004923BF"/>
    <w:rsid w:val="00492AF2"/>
    <w:rsid w:val="00493EF9"/>
    <w:rsid w:val="00496D0D"/>
    <w:rsid w:val="004A04FA"/>
    <w:rsid w:val="004A4DB9"/>
    <w:rsid w:val="004B4007"/>
    <w:rsid w:val="004D1F6F"/>
    <w:rsid w:val="004D636C"/>
    <w:rsid w:val="004D683F"/>
    <w:rsid w:val="004E0E3F"/>
    <w:rsid w:val="004F4474"/>
    <w:rsid w:val="00503F08"/>
    <w:rsid w:val="00507CE4"/>
    <w:rsid w:val="005217C3"/>
    <w:rsid w:val="0052442E"/>
    <w:rsid w:val="00525EF3"/>
    <w:rsid w:val="005266A2"/>
    <w:rsid w:val="005272AA"/>
    <w:rsid w:val="00531BF5"/>
    <w:rsid w:val="00531D21"/>
    <w:rsid w:val="0053324A"/>
    <w:rsid w:val="0053444C"/>
    <w:rsid w:val="00540D62"/>
    <w:rsid w:val="00544878"/>
    <w:rsid w:val="005460D8"/>
    <w:rsid w:val="005733FA"/>
    <w:rsid w:val="0058014F"/>
    <w:rsid w:val="00580D9F"/>
    <w:rsid w:val="00594AD2"/>
    <w:rsid w:val="00594B66"/>
    <w:rsid w:val="005A027F"/>
    <w:rsid w:val="005A0E28"/>
    <w:rsid w:val="005A3552"/>
    <w:rsid w:val="005C32AF"/>
    <w:rsid w:val="005D2837"/>
    <w:rsid w:val="005E6207"/>
    <w:rsid w:val="005F2D80"/>
    <w:rsid w:val="005F34EB"/>
    <w:rsid w:val="005F4234"/>
    <w:rsid w:val="00603121"/>
    <w:rsid w:val="0061128F"/>
    <w:rsid w:val="00614B05"/>
    <w:rsid w:val="00616D01"/>
    <w:rsid w:val="00626309"/>
    <w:rsid w:val="00657DCE"/>
    <w:rsid w:val="006733AA"/>
    <w:rsid w:val="006736E9"/>
    <w:rsid w:val="00680062"/>
    <w:rsid w:val="00680574"/>
    <w:rsid w:val="00681FE0"/>
    <w:rsid w:val="00686677"/>
    <w:rsid w:val="0069124A"/>
    <w:rsid w:val="00693220"/>
    <w:rsid w:val="00696FF7"/>
    <w:rsid w:val="006A7D45"/>
    <w:rsid w:val="006B1CB3"/>
    <w:rsid w:val="006B5957"/>
    <w:rsid w:val="006C632A"/>
    <w:rsid w:val="006D1C3C"/>
    <w:rsid w:val="006D7C9E"/>
    <w:rsid w:val="006E00F7"/>
    <w:rsid w:val="006E0BDC"/>
    <w:rsid w:val="006E4F9F"/>
    <w:rsid w:val="006F071D"/>
    <w:rsid w:val="006F357B"/>
    <w:rsid w:val="006F38BA"/>
    <w:rsid w:val="00704CE0"/>
    <w:rsid w:val="00713993"/>
    <w:rsid w:val="00720DC9"/>
    <w:rsid w:val="0072634A"/>
    <w:rsid w:val="007269B0"/>
    <w:rsid w:val="007278EF"/>
    <w:rsid w:val="00732520"/>
    <w:rsid w:val="00734193"/>
    <w:rsid w:val="00751350"/>
    <w:rsid w:val="00754D4B"/>
    <w:rsid w:val="00765C9F"/>
    <w:rsid w:val="007660F7"/>
    <w:rsid w:val="00766D46"/>
    <w:rsid w:val="00772BDA"/>
    <w:rsid w:val="00782103"/>
    <w:rsid w:val="00782C18"/>
    <w:rsid w:val="0078498B"/>
    <w:rsid w:val="0078797A"/>
    <w:rsid w:val="007964BF"/>
    <w:rsid w:val="007B7573"/>
    <w:rsid w:val="007C7FEF"/>
    <w:rsid w:val="007D01E7"/>
    <w:rsid w:val="007D43AD"/>
    <w:rsid w:val="007E0998"/>
    <w:rsid w:val="007F179F"/>
    <w:rsid w:val="007F39CD"/>
    <w:rsid w:val="007F74F2"/>
    <w:rsid w:val="00801C19"/>
    <w:rsid w:val="0080477B"/>
    <w:rsid w:val="0080555F"/>
    <w:rsid w:val="0081268C"/>
    <w:rsid w:val="0081754F"/>
    <w:rsid w:val="00817EF3"/>
    <w:rsid w:val="00820601"/>
    <w:rsid w:val="00830243"/>
    <w:rsid w:val="0083080C"/>
    <w:rsid w:val="00840543"/>
    <w:rsid w:val="00842DB9"/>
    <w:rsid w:val="0085201F"/>
    <w:rsid w:val="00852D07"/>
    <w:rsid w:val="0086185B"/>
    <w:rsid w:val="00863199"/>
    <w:rsid w:val="008723D1"/>
    <w:rsid w:val="008730D1"/>
    <w:rsid w:val="0088636F"/>
    <w:rsid w:val="00890EE0"/>
    <w:rsid w:val="00895F77"/>
    <w:rsid w:val="008A4B7D"/>
    <w:rsid w:val="008A4FB4"/>
    <w:rsid w:val="008A7326"/>
    <w:rsid w:val="008B2314"/>
    <w:rsid w:val="008B283F"/>
    <w:rsid w:val="008C6D0B"/>
    <w:rsid w:val="008D15DF"/>
    <w:rsid w:val="008E3D07"/>
    <w:rsid w:val="008F0E6A"/>
    <w:rsid w:val="008F47DA"/>
    <w:rsid w:val="00903433"/>
    <w:rsid w:val="00904F4C"/>
    <w:rsid w:val="00905967"/>
    <w:rsid w:val="00920630"/>
    <w:rsid w:val="00923CFF"/>
    <w:rsid w:val="009278E1"/>
    <w:rsid w:val="00931CBF"/>
    <w:rsid w:val="00932B3F"/>
    <w:rsid w:val="00933AB7"/>
    <w:rsid w:val="00942F28"/>
    <w:rsid w:val="009442D7"/>
    <w:rsid w:val="00945001"/>
    <w:rsid w:val="00946EF3"/>
    <w:rsid w:val="00950C7B"/>
    <w:rsid w:val="009540BC"/>
    <w:rsid w:val="0095493D"/>
    <w:rsid w:val="00957488"/>
    <w:rsid w:val="00962971"/>
    <w:rsid w:val="00971031"/>
    <w:rsid w:val="009715D3"/>
    <w:rsid w:val="009744C5"/>
    <w:rsid w:val="009774CB"/>
    <w:rsid w:val="0098281E"/>
    <w:rsid w:val="009841FD"/>
    <w:rsid w:val="009846AF"/>
    <w:rsid w:val="00987894"/>
    <w:rsid w:val="00994427"/>
    <w:rsid w:val="009B00E8"/>
    <w:rsid w:val="009B1313"/>
    <w:rsid w:val="009C07F2"/>
    <w:rsid w:val="009C34B6"/>
    <w:rsid w:val="009C7B48"/>
    <w:rsid w:val="009D02EA"/>
    <w:rsid w:val="009F0698"/>
    <w:rsid w:val="00A037AF"/>
    <w:rsid w:val="00A155DB"/>
    <w:rsid w:val="00A17432"/>
    <w:rsid w:val="00A26799"/>
    <w:rsid w:val="00A303B4"/>
    <w:rsid w:val="00A3604B"/>
    <w:rsid w:val="00A364E8"/>
    <w:rsid w:val="00A406A6"/>
    <w:rsid w:val="00A42BEC"/>
    <w:rsid w:val="00A459CC"/>
    <w:rsid w:val="00A460C7"/>
    <w:rsid w:val="00A6644F"/>
    <w:rsid w:val="00A70E1C"/>
    <w:rsid w:val="00A71509"/>
    <w:rsid w:val="00A81E53"/>
    <w:rsid w:val="00A83291"/>
    <w:rsid w:val="00A84A1D"/>
    <w:rsid w:val="00A969CC"/>
    <w:rsid w:val="00AA1709"/>
    <w:rsid w:val="00AA2280"/>
    <w:rsid w:val="00AA44D2"/>
    <w:rsid w:val="00AA5852"/>
    <w:rsid w:val="00AA75F8"/>
    <w:rsid w:val="00AB3AF0"/>
    <w:rsid w:val="00AB5C91"/>
    <w:rsid w:val="00AC192A"/>
    <w:rsid w:val="00AC5B7F"/>
    <w:rsid w:val="00AD051B"/>
    <w:rsid w:val="00AD332C"/>
    <w:rsid w:val="00AD4BCA"/>
    <w:rsid w:val="00AD5487"/>
    <w:rsid w:val="00AE0C93"/>
    <w:rsid w:val="00AE731C"/>
    <w:rsid w:val="00AF35BD"/>
    <w:rsid w:val="00AF6E2E"/>
    <w:rsid w:val="00B0167E"/>
    <w:rsid w:val="00B137A2"/>
    <w:rsid w:val="00B2012E"/>
    <w:rsid w:val="00B20F08"/>
    <w:rsid w:val="00B22399"/>
    <w:rsid w:val="00B23E99"/>
    <w:rsid w:val="00B25783"/>
    <w:rsid w:val="00B30246"/>
    <w:rsid w:val="00B30F75"/>
    <w:rsid w:val="00B329E0"/>
    <w:rsid w:val="00B50B39"/>
    <w:rsid w:val="00B526EB"/>
    <w:rsid w:val="00B53D48"/>
    <w:rsid w:val="00B60025"/>
    <w:rsid w:val="00B6125A"/>
    <w:rsid w:val="00B617E0"/>
    <w:rsid w:val="00B61FC9"/>
    <w:rsid w:val="00B62B46"/>
    <w:rsid w:val="00B71EA5"/>
    <w:rsid w:val="00B721DA"/>
    <w:rsid w:val="00B72AA6"/>
    <w:rsid w:val="00B733C9"/>
    <w:rsid w:val="00B7429A"/>
    <w:rsid w:val="00B7579F"/>
    <w:rsid w:val="00B75FA4"/>
    <w:rsid w:val="00B7763D"/>
    <w:rsid w:val="00B83274"/>
    <w:rsid w:val="00B90B91"/>
    <w:rsid w:val="00B95276"/>
    <w:rsid w:val="00BA1FF7"/>
    <w:rsid w:val="00BB699C"/>
    <w:rsid w:val="00BE01DB"/>
    <w:rsid w:val="00C00945"/>
    <w:rsid w:val="00C00A78"/>
    <w:rsid w:val="00C03FEF"/>
    <w:rsid w:val="00C0619F"/>
    <w:rsid w:val="00C07D90"/>
    <w:rsid w:val="00C13A42"/>
    <w:rsid w:val="00C23237"/>
    <w:rsid w:val="00C25484"/>
    <w:rsid w:val="00C25605"/>
    <w:rsid w:val="00C27BA3"/>
    <w:rsid w:val="00C322FF"/>
    <w:rsid w:val="00C3601C"/>
    <w:rsid w:val="00C51629"/>
    <w:rsid w:val="00C57E7A"/>
    <w:rsid w:val="00C65B5E"/>
    <w:rsid w:val="00C74EAA"/>
    <w:rsid w:val="00C756FC"/>
    <w:rsid w:val="00C81F80"/>
    <w:rsid w:val="00C82038"/>
    <w:rsid w:val="00C83004"/>
    <w:rsid w:val="00C830EF"/>
    <w:rsid w:val="00C86516"/>
    <w:rsid w:val="00C86845"/>
    <w:rsid w:val="00C90C0C"/>
    <w:rsid w:val="00C90EFE"/>
    <w:rsid w:val="00C93A26"/>
    <w:rsid w:val="00C9534A"/>
    <w:rsid w:val="00C95C92"/>
    <w:rsid w:val="00C966C5"/>
    <w:rsid w:val="00CA4A56"/>
    <w:rsid w:val="00CC353B"/>
    <w:rsid w:val="00CC3FD9"/>
    <w:rsid w:val="00CE43D8"/>
    <w:rsid w:val="00CE770D"/>
    <w:rsid w:val="00CF1BDC"/>
    <w:rsid w:val="00CF3962"/>
    <w:rsid w:val="00CF6E2F"/>
    <w:rsid w:val="00D00BA1"/>
    <w:rsid w:val="00D05AD8"/>
    <w:rsid w:val="00D156A1"/>
    <w:rsid w:val="00D16F7A"/>
    <w:rsid w:val="00D200A9"/>
    <w:rsid w:val="00D2287B"/>
    <w:rsid w:val="00D234B1"/>
    <w:rsid w:val="00D26E1D"/>
    <w:rsid w:val="00D31155"/>
    <w:rsid w:val="00D34C2E"/>
    <w:rsid w:val="00D40FC8"/>
    <w:rsid w:val="00D47CB5"/>
    <w:rsid w:val="00D5286E"/>
    <w:rsid w:val="00D61301"/>
    <w:rsid w:val="00D67A19"/>
    <w:rsid w:val="00D76AC6"/>
    <w:rsid w:val="00D86419"/>
    <w:rsid w:val="00D90A82"/>
    <w:rsid w:val="00DA1D35"/>
    <w:rsid w:val="00DA2611"/>
    <w:rsid w:val="00DA479B"/>
    <w:rsid w:val="00DA5E99"/>
    <w:rsid w:val="00DA65C5"/>
    <w:rsid w:val="00DB2F09"/>
    <w:rsid w:val="00DB7900"/>
    <w:rsid w:val="00DC35B6"/>
    <w:rsid w:val="00DC561E"/>
    <w:rsid w:val="00DC6D6C"/>
    <w:rsid w:val="00DC7820"/>
    <w:rsid w:val="00DD17C0"/>
    <w:rsid w:val="00DD6C7B"/>
    <w:rsid w:val="00DE02FF"/>
    <w:rsid w:val="00DE4645"/>
    <w:rsid w:val="00DE5D60"/>
    <w:rsid w:val="00DE755B"/>
    <w:rsid w:val="00DF0024"/>
    <w:rsid w:val="00DF1A7D"/>
    <w:rsid w:val="00DF2580"/>
    <w:rsid w:val="00E12BD6"/>
    <w:rsid w:val="00E13BB3"/>
    <w:rsid w:val="00E24391"/>
    <w:rsid w:val="00E251CA"/>
    <w:rsid w:val="00E35F7B"/>
    <w:rsid w:val="00E3635E"/>
    <w:rsid w:val="00E36B30"/>
    <w:rsid w:val="00E46860"/>
    <w:rsid w:val="00E509BA"/>
    <w:rsid w:val="00E554CB"/>
    <w:rsid w:val="00E64BDB"/>
    <w:rsid w:val="00E6644B"/>
    <w:rsid w:val="00E82565"/>
    <w:rsid w:val="00E82B9D"/>
    <w:rsid w:val="00E853DF"/>
    <w:rsid w:val="00E8758C"/>
    <w:rsid w:val="00EA09AE"/>
    <w:rsid w:val="00EA2CA1"/>
    <w:rsid w:val="00EA5FD9"/>
    <w:rsid w:val="00EB2BFC"/>
    <w:rsid w:val="00EC1C15"/>
    <w:rsid w:val="00ED1007"/>
    <w:rsid w:val="00ED3D75"/>
    <w:rsid w:val="00ED415D"/>
    <w:rsid w:val="00ED57D9"/>
    <w:rsid w:val="00EE2D95"/>
    <w:rsid w:val="00F00CE1"/>
    <w:rsid w:val="00F01872"/>
    <w:rsid w:val="00F0196C"/>
    <w:rsid w:val="00F11DDF"/>
    <w:rsid w:val="00F20872"/>
    <w:rsid w:val="00F420C9"/>
    <w:rsid w:val="00F46D5C"/>
    <w:rsid w:val="00F46FE4"/>
    <w:rsid w:val="00F62126"/>
    <w:rsid w:val="00F7471A"/>
    <w:rsid w:val="00F76AEF"/>
    <w:rsid w:val="00F96809"/>
    <w:rsid w:val="00FB0143"/>
    <w:rsid w:val="00FB4A0B"/>
    <w:rsid w:val="00FB702E"/>
    <w:rsid w:val="00FC16F8"/>
    <w:rsid w:val="00FD2978"/>
    <w:rsid w:val="00FD5DD7"/>
    <w:rsid w:val="00FE1AC0"/>
    <w:rsid w:val="00FE2BD2"/>
    <w:rsid w:val="00FE4264"/>
    <w:rsid w:val="00FF2D37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0739"/>
  <w15:chartTrackingRefBased/>
  <w15:docId w15:val="{9ACFD6DE-9F44-9249-B13D-9684AA6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4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54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D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A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1201</Words>
  <Characters>6546</Characters>
  <Application>Microsoft Office Word</Application>
  <DocSecurity>0</DocSecurity>
  <Lines>198</Lines>
  <Paragraphs>107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Marcelo F.</dc:creator>
  <cp:keywords/>
  <dc:description/>
  <cp:lastModifiedBy>Becker, Howard C</cp:lastModifiedBy>
  <cp:revision>11</cp:revision>
  <cp:lastPrinted>2025-11-07T20:02:00Z</cp:lastPrinted>
  <dcterms:created xsi:type="dcterms:W3CDTF">2026-01-28T16:42:00Z</dcterms:created>
  <dcterms:modified xsi:type="dcterms:W3CDTF">2026-01-30T15:29:00Z</dcterms:modified>
</cp:coreProperties>
</file>