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FFD10" w14:textId="77777777" w:rsidR="00021977" w:rsidRPr="00A563C7" w:rsidRDefault="00021977" w:rsidP="00021977">
      <w:pPr>
        <w:pStyle w:val="Heading2"/>
        <w:rPr>
          <w:rFonts w:ascii="Times New Roman" w:eastAsia="Times New Roman" w:hAnsi="Times New Roman" w:cs="Times New Roman"/>
          <w:sz w:val="28"/>
          <w:szCs w:val="22"/>
        </w:rPr>
      </w:pPr>
      <w:r w:rsidRPr="00A563C7">
        <w:rPr>
          <w:rFonts w:ascii="Times New Roman" w:eastAsia="Times New Roman" w:hAnsi="Times New Roman" w:cs="Times New Roman"/>
          <w:sz w:val="28"/>
          <w:szCs w:val="22"/>
        </w:rPr>
        <w:t>APPENDIX A. PUBLIC/OPEN PROXY BENCHMARK DATASET (N=31)</w:t>
      </w:r>
    </w:p>
    <w:p w14:paraId="3F2C3743" w14:textId="77777777" w:rsidR="00021977" w:rsidRPr="006E5DC2" w:rsidRDefault="00021977" w:rsidP="00021977">
      <w:pPr>
        <w:rPr>
          <w:rFonts w:cs="Times New Roman"/>
          <w:sz w:val="20"/>
          <w:szCs w:val="20"/>
        </w:rPr>
      </w:pPr>
      <w:r w:rsidRPr="34096275">
        <w:rPr>
          <w:rFonts w:cs="Times New Roman"/>
          <w:sz w:val="20"/>
          <w:szCs w:val="20"/>
        </w:rPr>
        <w:t xml:space="preserve">Appendix A lists the open proxy datapoints used for the </w:t>
      </w:r>
      <w:proofErr w:type="spellStart"/>
      <w:r w:rsidRPr="34096275">
        <w:rPr>
          <w:rFonts w:cs="Times New Roman"/>
          <w:sz w:val="20"/>
          <w:szCs w:val="20"/>
        </w:rPr>
        <w:t>benchmarkability</w:t>
      </w:r>
      <w:proofErr w:type="spellEnd"/>
      <w:r w:rsidRPr="34096275">
        <w:rPr>
          <w:rFonts w:cs="Times New Roman"/>
          <w:sz w:val="20"/>
          <w:szCs w:val="20"/>
        </w:rPr>
        <w:t xml:space="preserve"> analysis. Table A1 reports a compact proxy dataset containing the survey item identifier (Question ID), proxy value, unit, source organization, and source URL. Table A2 provides a qualitative proxy-fit classification (direct vs. approximate) with brief notes on conceptual distance and assumptions.</w:t>
      </w:r>
    </w:p>
    <w:p w14:paraId="1E50E720" w14:textId="77777777" w:rsidR="00021977" w:rsidRPr="006E5DC2" w:rsidRDefault="00021977" w:rsidP="00021977">
      <w:pPr>
        <w:jc w:val="center"/>
        <w:rPr>
          <w:rFonts w:cs="Times New Roman"/>
          <w:sz w:val="20"/>
          <w:szCs w:val="20"/>
        </w:rPr>
      </w:pPr>
      <w:r w:rsidRPr="34096275">
        <w:rPr>
          <w:rFonts w:cs="Times New Roman"/>
          <w:b/>
          <w:bCs/>
          <w:sz w:val="20"/>
          <w:szCs w:val="20"/>
        </w:rPr>
        <w:t>TABLE A1. Open Proxy Benchmark Dataset</w:t>
      </w:r>
    </w:p>
    <w:tbl>
      <w:tblPr>
        <w:tblStyle w:val="TableGrid"/>
        <w:tblW w:w="0" w:type="auto"/>
        <w:tblBorders>
          <w:top w:val="single" w:sz="8" w:space="0" w:color="6E2D9D"/>
          <w:left w:val="single" w:sz="8" w:space="0" w:color="6E2D9D"/>
          <w:bottom w:val="single" w:sz="8" w:space="0" w:color="6E2D9D"/>
          <w:right w:val="single" w:sz="8" w:space="0" w:color="6E2D9D"/>
          <w:insideH w:val="single" w:sz="8" w:space="0" w:color="6E2D9D"/>
          <w:insideV w:val="single" w:sz="8" w:space="0" w:color="6E2D9D"/>
        </w:tblBorders>
        <w:tblLook w:val="04A0" w:firstRow="1" w:lastRow="0" w:firstColumn="1" w:lastColumn="0" w:noHBand="0" w:noVBand="1"/>
      </w:tblPr>
      <w:tblGrid>
        <w:gridCol w:w="1161"/>
        <w:gridCol w:w="653"/>
        <w:gridCol w:w="1080"/>
        <w:gridCol w:w="1172"/>
        <w:gridCol w:w="4554"/>
      </w:tblGrid>
      <w:tr w:rsidR="00021977" w:rsidRPr="006E5DC2" w14:paraId="688BC41C" w14:textId="77777777" w:rsidTr="00756381">
        <w:trPr>
          <w:tblHeader/>
        </w:trPr>
        <w:tc>
          <w:tcPr>
            <w:tcW w:w="1043" w:type="dxa"/>
            <w:shd w:val="clear" w:color="auto" w:fill="4B0082"/>
          </w:tcPr>
          <w:p w14:paraId="20BF6BA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34096275">
              <w:rPr>
                <w:rFonts w:cs="Times New Roman"/>
                <w:sz w:val="20"/>
                <w:szCs w:val="20"/>
              </w:rPr>
              <w:t>Question_ID</w:t>
            </w:r>
            <w:proofErr w:type="spellEnd"/>
          </w:p>
        </w:tc>
        <w:tc>
          <w:tcPr>
            <w:tcW w:w="705" w:type="dxa"/>
            <w:shd w:val="clear" w:color="auto" w:fill="4B0082"/>
          </w:tcPr>
          <w:p w14:paraId="6A92966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Proxy Value</w:t>
            </w:r>
          </w:p>
        </w:tc>
        <w:tc>
          <w:tcPr>
            <w:tcW w:w="981" w:type="dxa"/>
            <w:shd w:val="clear" w:color="auto" w:fill="4B0082"/>
          </w:tcPr>
          <w:p w14:paraId="14A0BCFF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Unit</w:t>
            </w:r>
          </w:p>
        </w:tc>
        <w:tc>
          <w:tcPr>
            <w:tcW w:w="1377" w:type="dxa"/>
            <w:shd w:val="clear" w:color="auto" w:fill="4B0082"/>
          </w:tcPr>
          <w:p w14:paraId="757F325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Source Organization</w:t>
            </w:r>
          </w:p>
        </w:tc>
        <w:tc>
          <w:tcPr>
            <w:tcW w:w="4524" w:type="dxa"/>
            <w:shd w:val="clear" w:color="auto" w:fill="4B0082"/>
          </w:tcPr>
          <w:p w14:paraId="2BBC0EA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34096275">
              <w:rPr>
                <w:rFonts w:cs="Times New Roman"/>
                <w:sz w:val="20"/>
                <w:szCs w:val="20"/>
              </w:rPr>
              <w:t>Source_URL</w:t>
            </w:r>
            <w:proofErr w:type="spellEnd"/>
          </w:p>
        </w:tc>
      </w:tr>
      <w:tr w:rsidR="00021977" w:rsidRPr="006E5DC2" w14:paraId="39A462C6" w14:textId="77777777" w:rsidTr="00756381">
        <w:tc>
          <w:tcPr>
            <w:tcW w:w="1043" w:type="dxa"/>
          </w:tcPr>
          <w:p w14:paraId="54EF4807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Q10</w:t>
            </w:r>
          </w:p>
        </w:tc>
        <w:tc>
          <w:tcPr>
            <w:tcW w:w="705" w:type="dxa"/>
          </w:tcPr>
          <w:p w14:paraId="7AAB16E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71</w:t>
            </w:r>
          </w:p>
        </w:tc>
        <w:tc>
          <w:tcPr>
            <w:tcW w:w="981" w:type="dxa"/>
          </w:tcPr>
          <w:p w14:paraId="109B4889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303A595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 xml:space="preserve">Precisely (with Drexel University </w:t>
            </w:r>
            <w:proofErr w:type="spellStart"/>
            <w:r w:rsidRPr="34096275">
              <w:rPr>
                <w:rFonts w:cs="Times New Roman"/>
                <w:sz w:val="20"/>
                <w:szCs w:val="20"/>
              </w:rPr>
              <w:t>LeBow</w:t>
            </w:r>
            <w:proofErr w:type="spellEnd"/>
            <w:r w:rsidRPr="34096275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4524" w:type="dxa"/>
          </w:tcPr>
          <w:p w14:paraId="4982CAA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https://www.precisely.com/data-integrity/2025-planning-insights-data-governance-adoption-has-risen-dramatically/</w:t>
            </w:r>
          </w:p>
        </w:tc>
      </w:tr>
      <w:tr w:rsidR="00021977" w:rsidRPr="006E5DC2" w14:paraId="1F3F4642" w14:textId="77777777" w:rsidTr="00756381">
        <w:tc>
          <w:tcPr>
            <w:tcW w:w="1043" w:type="dxa"/>
            <w:shd w:val="clear" w:color="auto" w:fill="DADEF1"/>
          </w:tcPr>
          <w:p w14:paraId="726E0910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Q52</w:t>
            </w:r>
          </w:p>
        </w:tc>
        <w:tc>
          <w:tcPr>
            <w:tcW w:w="705" w:type="dxa"/>
            <w:shd w:val="clear" w:color="auto" w:fill="DADEF1"/>
          </w:tcPr>
          <w:p w14:paraId="025EA16E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54</w:t>
            </w:r>
          </w:p>
        </w:tc>
        <w:tc>
          <w:tcPr>
            <w:tcW w:w="981" w:type="dxa"/>
            <w:shd w:val="clear" w:color="auto" w:fill="DADEF1"/>
          </w:tcPr>
          <w:p w14:paraId="03639AC2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  <w:shd w:val="clear" w:color="auto" w:fill="DADEF1"/>
          </w:tcPr>
          <w:p w14:paraId="1F34B4E3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 xml:space="preserve">Precisely (with Drexel University </w:t>
            </w:r>
            <w:proofErr w:type="spellStart"/>
            <w:r w:rsidRPr="34096275">
              <w:rPr>
                <w:rFonts w:cs="Times New Roman"/>
                <w:sz w:val="20"/>
                <w:szCs w:val="20"/>
              </w:rPr>
              <w:t>LeBow</w:t>
            </w:r>
            <w:proofErr w:type="spellEnd"/>
            <w:r w:rsidRPr="34096275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4524" w:type="dxa"/>
            <w:shd w:val="clear" w:color="auto" w:fill="DADEF1"/>
          </w:tcPr>
          <w:p w14:paraId="440C199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https://www.precisely.com/data-integrity/2025-planning-insights-data-governance-adoption-has-risen-dramatically/</w:t>
            </w:r>
          </w:p>
        </w:tc>
      </w:tr>
      <w:tr w:rsidR="00021977" w:rsidRPr="006E5DC2" w14:paraId="57F56782" w14:textId="77777777" w:rsidTr="00756381">
        <w:tc>
          <w:tcPr>
            <w:tcW w:w="1043" w:type="dxa"/>
          </w:tcPr>
          <w:p w14:paraId="59772632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Q52</w:t>
            </w:r>
          </w:p>
        </w:tc>
        <w:tc>
          <w:tcPr>
            <w:tcW w:w="705" w:type="dxa"/>
          </w:tcPr>
          <w:p w14:paraId="4B012C4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62</w:t>
            </w:r>
          </w:p>
        </w:tc>
        <w:tc>
          <w:tcPr>
            <w:tcW w:w="981" w:type="dxa"/>
          </w:tcPr>
          <w:p w14:paraId="070D3B2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21A3DF7A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 xml:space="preserve">Precisely (with Drexel University </w:t>
            </w:r>
            <w:proofErr w:type="spellStart"/>
            <w:r w:rsidRPr="34096275">
              <w:rPr>
                <w:rFonts w:cs="Times New Roman"/>
                <w:sz w:val="20"/>
                <w:szCs w:val="20"/>
              </w:rPr>
              <w:t>LeBow</w:t>
            </w:r>
            <w:proofErr w:type="spellEnd"/>
            <w:r w:rsidRPr="34096275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4524" w:type="dxa"/>
          </w:tcPr>
          <w:p w14:paraId="26C112A7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https://www.precisely.com/data-integrity/2025-planning-insights-data-governance-adoption-has-risen-dramatically/</w:t>
            </w:r>
          </w:p>
        </w:tc>
      </w:tr>
      <w:tr w:rsidR="00021977" w:rsidRPr="006E5DC2" w14:paraId="5EEC58F7" w14:textId="77777777" w:rsidTr="00756381">
        <w:tc>
          <w:tcPr>
            <w:tcW w:w="1043" w:type="dxa"/>
            <w:shd w:val="clear" w:color="auto" w:fill="DADEF1"/>
          </w:tcPr>
          <w:p w14:paraId="7C90D41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Q10</w:t>
            </w:r>
          </w:p>
        </w:tc>
        <w:tc>
          <w:tcPr>
            <w:tcW w:w="705" w:type="dxa"/>
            <w:shd w:val="clear" w:color="auto" w:fill="DADEF1"/>
          </w:tcPr>
          <w:p w14:paraId="5B249B5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981" w:type="dxa"/>
            <w:shd w:val="clear" w:color="auto" w:fill="DADEF1"/>
          </w:tcPr>
          <w:p w14:paraId="2667581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  <w:shd w:val="clear" w:color="auto" w:fill="DADEF1"/>
          </w:tcPr>
          <w:p w14:paraId="65ABC9F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TDAN / Dresner Advisory Services (referenced)</w:t>
            </w:r>
          </w:p>
        </w:tc>
        <w:tc>
          <w:tcPr>
            <w:tcW w:w="4524" w:type="dxa"/>
            <w:shd w:val="clear" w:color="auto" w:fill="DADEF1"/>
          </w:tcPr>
          <w:p w14:paraId="0A6EFCFE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https://tdan.com/the-state-of-data-governance/32403</w:t>
            </w:r>
          </w:p>
        </w:tc>
      </w:tr>
      <w:tr w:rsidR="00021977" w:rsidRPr="006E5DC2" w14:paraId="036B24FF" w14:textId="77777777" w:rsidTr="00756381">
        <w:tc>
          <w:tcPr>
            <w:tcW w:w="1043" w:type="dxa"/>
          </w:tcPr>
          <w:p w14:paraId="2C1DDA84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Q10</w:t>
            </w:r>
          </w:p>
        </w:tc>
        <w:tc>
          <w:tcPr>
            <w:tcW w:w="705" w:type="dxa"/>
          </w:tcPr>
          <w:p w14:paraId="1054CB2E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981" w:type="dxa"/>
          </w:tcPr>
          <w:p w14:paraId="2003534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3A9F24D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TDAN</w:t>
            </w:r>
          </w:p>
        </w:tc>
        <w:tc>
          <w:tcPr>
            <w:tcW w:w="4524" w:type="dxa"/>
          </w:tcPr>
          <w:p w14:paraId="0654EF40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https://tdan.com/the-state-of-data-governance/32403</w:t>
            </w:r>
          </w:p>
        </w:tc>
      </w:tr>
      <w:tr w:rsidR="00021977" w:rsidRPr="006E5DC2" w14:paraId="55EEDE64" w14:textId="77777777" w:rsidTr="00756381">
        <w:tc>
          <w:tcPr>
            <w:tcW w:w="1043" w:type="dxa"/>
            <w:shd w:val="clear" w:color="auto" w:fill="DADEF1"/>
          </w:tcPr>
          <w:p w14:paraId="40770DB3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Q46</w:t>
            </w:r>
          </w:p>
        </w:tc>
        <w:tc>
          <w:tcPr>
            <w:tcW w:w="705" w:type="dxa"/>
            <w:shd w:val="clear" w:color="auto" w:fill="DADEF1"/>
          </w:tcPr>
          <w:p w14:paraId="3255554F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68</w:t>
            </w:r>
          </w:p>
        </w:tc>
        <w:tc>
          <w:tcPr>
            <w:tcW w:w="981" w:type="dxa"/>
            <w:shd w:val="clear" w:color="auto" w:fill="DADEF1"/>
          </w:tcPr>
          <w:p w14:paraId="0EB683E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  <w:shd w:val="clear" w:color="auto" w:fill="DADEF1"/>
          </w:tcPr>
          <w:p w14:paraId="0AEF045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TDAN</w:t>
            </w:r>
          </w:p>
        </w:tc>
        <w:tc>
          <w:tcPr>
            <w:tcW w:w="4524" w:type="dxa"/>
            <w:shd w:val="clear" w:color="auto" w:fill="DADEF1"/>
          </w:tcPr>
          <w:p w14:paraId="0E866C2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https://tdan.com/the-state-of-data-governance/32403</w:t>
            </w:r>
          </w:p>
        </w:tc>
      </w:tr>
      <w:tr w:rsidR="00021977" w:rsidRPr="006E5DC2" w14:paraId="67D7F688" w14:textId="77777777" w:rsidTr="00756381">
        <w:tc>
          <w:tcPr>
            <w:tcW w:w="1043" w:type="dxa"/>
          </w:tcPr>
          <w:p w14:paraId="47D68934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Q11</w:t>
            </w:r>
          </w:p>
        </w:tc>
        <w:tc>
          <w:tcPr>
            <w:tcW w:w="705" w:type="dxa"/>
          </w:tcPr>
          <w:p w14:paraId="0C5A78C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981" w:type="dxa"/>
          </w:tcPr>
          <w:p w14:paraId="05D8C29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67AEC3B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ISACA</w:t>
            </w:r>
          </w:p>
        </w:tc>
        <w:tc>
          <w:tcPr>
            <w:tcW w:w="4524" w:type="dxa"/>
          </w:tcPr>
          <w:p w14:paraId="36975D02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https://www.isaca.org/about-us/newsroom/press-releases/2025/ai-use-is-outpacing-policy-and-governance-isaca-finds</w:t>
            </w:r>
          </w:p>
        </w:tc>
      </w:tr>
      <w:tr w:rsidR="00021977" w:rsidRPr="006E5DC2" w14:paraId="69B475A9" w14:textId="77777777" w:rsidTr="00756381">
        <w:tc>
          <w:tcPr>
            <w:tcW w:w="1043" w:type="dxa"/>
          </w:tcPr>
          <w:p w14:paraId="6319B352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lastRenderedPageBreak/>
              <w:t>Q11</w:t>
            </w:r>
          </w:p>
        </w:tc>
        <w:tc>
          <w:tcPr>
            <w:tcW w:w="705" w:type="dxa"/>
          </w:tcPr>
          <w:p w14:paraId="6C012A8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981" w:type="dxa"/>
          </w:tcPr>
          <w:p w14:paraId="03CA544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04107879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ISACA</w:t>
            </w:r>
          </w:p>
        </w:tc>
        <w:tc>
          <w:tcPr>
            <w:tcW w:w="4524" w:type="dxa"/>
          </w:tcPr>
          <w:p w14:paraId="06EA686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https://www.isaca.org/resources/news-and-trends/newsletters/atisaca/2025/volume-13/isaca-research-ai-use-booms-while-training-lags</w:t>
            </w:r>
          </w:p>
        </w:tc>
      </w:tr>
      <w:tr w:rsidR="00021977" w:rsidRPr="006E5DC2" w14:paraId="1C5626AA" w14:textId="77777777" w:rsidTr="00756381">
        <w:tc>
          <w:tcPr>
            <w:tcW w:w="1043" w:type="dxa"/>
            <w:shd w:val="clear" w:color="auto" w:fill="DADEF1"/>
          </w:tcPr>
          <w:p w14:paraId="4B12B55A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Q19</w:t>
            </w:r>
          </w:p>
        </w:tc>
        <w:tc>
          <w:tcPr>
            <w:tcW w:w="705" w:type="dxa"/>
            <w:shd w:val="clear" w:color="auto" w:fill="DADEF1"/>
          </w:tcPr>
          <w:p w14:paraId="27C4192F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981" w:type="dxa"/>
            <w:shd w:val="clear" w:color="auto" w:fill="DADEF1"/>
          </w:tcPr>
          <w:p w14:paraId="2906F199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  <w:shd w:val="clear" w:color="auto" w:fill="DADEF1"/>
          </w:tcPr>
          <w:p w14:paraId="0A6F460A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ISACA</w:t>
            </w:r>
          </w:p>
        </w:tc>
        <w:tc>
          <w:tcPr>
            <w:tcW w:w="4524" w:type="dxa"/>
            <w:shd w:val="clear" w:color="auto" w:fill="DADEF1"/>
          </w:tcPr>
          <w:p w14:paraId="69DE9DB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https://www.isaca.org/resources/news-and-trends/newsletters/atisaca/2025/volume-13/isaca-research-ai-use-booms-while-training-lags</w:t>
            </w:r>
          </w:p>
        </w:tc>
      </w:tr>
      <w:tr w:rsidR="00021977" w:rsidRPr="006E5DC2" w14:paraId="1529A32A" w14:textId="77777777" w:rsidTr="00756381">
        <w:tc>
          <w:tcPr>
            <w:tcW w:w="1043" w:type="dxa"/>
          </w:tcPr>
          <w:p w14:paraId="30161AC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Q19</w:t>
            </w:r>
          </w:p>
        </w:tc>
        <w:tc>
          <w:tcPr>
            <w:tcW w:w="705" w:type="dxa"/>
          </w:tcPr>
          <w:p w14:paraId="5B0E2805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981" w:type="dxa"/>
          </w:tcPr>
          <w:p w14:paraId="49223EF4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41D5E923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ISACA</w:t>
            </w:r>
          </w:p>
        </w:tc>
        <w:tc>
          <w:tcPr>
            <w:tcW w:w="4524" w:type="dxa"/>
          </w:tcPr>
          <w:p w14:paraId="465DBD0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https://www.isaca.org/resources/news-and-trends/newsletters/atisaca/2025/volume-13/isaca-research-ai-use-booms-while-training-lags</w:t>
            </w:r>
          </w:p>
        </w:tc>
      </w:tr>
      <w:tr w:rsidR="00021977" w:rsidRPr="006E5DC2" w14:paraId="07FE21CD" w14:textId="77777777" w:rsidTr="00756381">
        <w:tc>
          <w:tcPr>
            <w:tcW w:w="1043" w:type="dxa"/>
            <w:shd w:val="clear" w:color="auto" w:fill="DADEF1"/>
          </w:tcPr>
          <w:p w14:paraId="7965522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Q19</w:t>
            </w:r>
          </w:p>
        </w:tc>
        <w:tc>
          <w:tcPr>
            <w:tcW w:w="705" w:type="dxa"/>
            <w:shd w:val="clear" w:color="auto" w:fill="DADEF1"/>
          </w:tcPr>
          <w:p w14:paraId="3F0CADF4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981" w:type="dxa"/>
            <w:shd w:val="clear" w:color="auto" w:fill="DADEF1"/>
          </w:tcPr>
          <w:p w14:paraId="647A4E1E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  <w:shd w:val="clear" w:color="auto" w:fill="DADEF1"/>
          </w:tcPr>
          <w:p w14:paraId="4313C4FE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ISACA</w:t>
            </w:r>
          </w:p>
        </w:tc>
        <w:tc>
          <w:tcPr>
            <w:tcW w:w="4524" w:type="dxa"/>
            <w:shd w:val="clear" w:color="auto" w:fill="DADEF1"/>
          </w:tcPr>
          <w:p w14:paraId="687913E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https://www.isaca.org/resources/news-and-trends/newsletters/atisaca/2025/volume-13/isaca-research-ai-use-booms-while-training-lags</w:t>
            </w:r>
          </w:p>
        </w:tc>
      </w:tr>
      <w:tr w:rsidR="00021977" w:rsidRPr="006E5DC2" w14:paraId="0D9D2523" w14:textId="77777777" w:rsidTr="00756381">
        <w:tc>
          <w:tcPr>
            <w:tcW w:w="1043" w:type="dxa"/>
          </w:tcPr>
          <w:p w14:paraId="3B635984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</w:t>
            </w:r>
          </w:p>
        </w:tc>
        <w:tc>
          <w:tcPr>
            <w:tcW w:w="705" w:type="dxa"/>
          </w:tcPr>
          <w:p w14:paraId="6D6DDE9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88</w:t>
            </w:r>
          </w:p>
        </w:tc>
        <w:tc>
          <w:tcPr>
            <w:tcW w:w="981" w:type="dxa"/>
          </w:tcPr>
          <w:p w14:paraId="2B01253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65FC96A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McKinsey</w:t>
            </w:r>
          </w:p>
        </w:tc>
        <w:tc>
          <w:tcPr>
            <w:tcW w:w="4524" w:type="dxa"/>
          </w:tcPr>
          <w:p w14:paraId="262C53F2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https://www.mckinsey.com/capabilities/quantumblack/our-insights/the-state-of-ai</w:t>
            </w:r>
          </w:p>
        </w:tc>
      </w:tr>
      <w:tr w:rsidR="00021977" w:rsidRPr="006E5DC2" w14:paraId="44A8A1B2" w14:textId="77777777" w:rsidTr="00756381">
        <w:tc>
          <w:tcPr>
            <w:tcW w:w="1043" w:type="dxa"/>
            <w:shd w:val="clear" w:color="auto" w:fill="DADEF1"/>
          </w:tcPr>
          <w:p w14:paraId="60A6685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</w:t>
            </w:r>
          </w:p>
        </w:tc>
        <w:tc>
          <w:tcPr>
            <w:tcW w:w="705" w:type="dxa"/>
            <w:shd w:val="clear" w:color="auto" w:fill="DADEF1"/>
          </w:tcPr>
          <w:p w14:paraId="6AFE778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33</w:t>
            </w:r>
          </w:p>
        </w:tc>
        <w:tc>
          <w:tcPr>
            <w:tcW w:w="981" w:type="dxa"/>
            <w:shd w:val="clear" w:color="auto" w:fill="DADEF1"/>
          </w:tcPr>
          <w:p w14:paraId="3F3D25C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 (approx.)</w:t>
            </w:r>
          </w:p>
        </w:tc>
        <w:tc>
          <w:tcPr>
            <w:tcW w:w="1377" w:type="dxa"/>
            <w:shd w:val="clear" w:color="auto" w:fill="DADEF1"/>
          </w:tcPr>
          <w:p w14:paraId="27E011B3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McKinsey</w:t>
            </w:r>
          </w:p>
        </w:tc>
        <w:tc>
          <w:tcPr>
            <w:tcW w:w="4524" w:type="dxa"/>
            <w:shd w:val="clear" w:color="auto" w:fill="DADEF1"/>
          </w:tcPr>
          <w:p w14:paraId="5A13CCE7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https://www.mckinsey.com/capabilities/quantumblack/our-insights/the-state-of-ai</w:t>
            </w:r>
          </w:p>
        </w:tc>
      </w:tr>
      <w:tr w:rsidR="00021977" w:rsidRPr="006E5DC2" w14:paraId="2134B2EC" w14:textId="77777777" w:rsidTr="00756381">
        <w:tc>
          <w:tcPr>
            <w:tcW w:w="1043" w:type="dxa"/>
          </w:tcPr>
          <w:p w14:paraId="144FF319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</w:t>
            </w:r>
          </w:p>
        </w:tc>
        <w:tc>
          <w:tcPr>
            <w:tcW w:w="705" w:type="dxa"/>
          </w:tcPr>
          <w:p w14:paraId="5A2DB9D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67</w:t>
            </w:r>
          </w:p>
        </w:tc>
        <w:tc>
          <w:tcPr>
            <w:tcW w:w="981" w:type="dxa"/>
          </w:tcPr>
          <w:p w14:paraId="273FF41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 (approx.)</w:t>
            </w:r>
          </w:p>
        </w:tc>
        <w:tc>
          <w:tcPr>
            <w:tcW w:w="1377" w:type="dxa"/>
          </w:tcPr>
          <w:p w14:paraId="5B8478B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McKinsey</w:t>
            </w:r>
          </w:p>
        </w:tc>
        <w:tc>
          <w:tcPr>
            <w:tcW w:w="4524" w:type="dxa"/>
          </w:tcPr>
          <w:p w14:paraId="0417D435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https://www.mckinsey.com/capabilities/quantumblack/our-insights/the-state-of-ai</w:t>
            </w:r>
          </w:p>
        </w:tc>
      </w:tr>
      <w:tr w:rsidR="00021977" w:rsidRPr="006E5DC2" w14:paraId="4688D7CB" w14:textId="77777777" w:rsidTr="00756381">
        <w:tc>
          <w:tcPr>
            <w:tcW w:w="1043" w:type="dxa"/>
            <w:shd w:val="clear" w:color="auto" w:fill="DADEF1"/>
          </w:tcPr>
          <w:p w14:paraId="7DC0CE03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Q11</w:t>
            </w:r>
          </w:p>
        </w:tc>
        <w:tc>
          <w:tcPr>
            <w:tcW w:w="705" w:type="dxa"/>
            <w:shd w:val="clear" w:color="auto" w:fill="DADEF1"/>
          </w:tcPr>
          <w:p w14:paraId="68AC57D3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981" w:type="dxa"/>
            <w:shd w:val="clear" w:color="auto" w:fill="DADEF1"/>
          </w:tcPr>
          <w:p w14:paraId="36B23AE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Score (0–4)</w:t>
            </w:r>
          </w:p>
        </w:tc>
        <w:tc>
          <w:tcPr>
            <w:tcW w:w="1377" w:type="dxa"/>
            <w:shd w:val="clear" w:color="auto" w:fill="DADEF1"/>
          </w:tcPr>
          <w:p w14:paraId="6E8A966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McKinsey</w:t>
            </w:r>
          </w:p>
        </w:tc>
        <w:tc>
          <w:tcPr>
            <w:tcW w:w="4524" w:type="dxa"/>
            <w:shd w:val="clear" w:color="auto" w:fill="DADEF1"/>
          </w:tcPr>
          <w:p w14:paraId="55B9734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https://www.mckinsey.com/capabilities/tech-and-ai/our-insights/tech-forward/insights-on-responsible-ai-from-the-global-ai-trust-maturity-survey</w:t>
            </w:r>
          </w:p>
        </w:tc>
      </w:tr>
      <w:tr w:rsidR="00021977" w:rsidRPr="006E5DC2" w14:paraId="4A418B92" w14:textId="77777777" w:rsidTr="00756381">
        <w:tc>
          <w:tcPr>
            <w:tcW w:w="1043" w:type="dxa"/>
          </w:tcPr>
          <w:p w14:paraId="0ACB4E8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Q52</w:t>
            </w:r>
          </w:p>
        </w:tc>
        <w:tc>
          <w:tcPr>
            <w:tcW w:w="705" w:type="dxa"/>
          </w:tcPr>
          <w:p w14:paraId="34906B55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51</w:t>
            </w:r>
          </w:p>
        </w:tc>
        <w:tc>
          <w:tcPr>
            <w:tcW w:w="981" w:type="dxa"/>
          </w:tcPr>
          <w:p w14:paraId="23727100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7865CDA9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McKinsey</w:t>
            </w:r>
          </w:p>
        </w:tc>
        <w:tc>
          <w:tcPr>
            <w:tcW w:w="4524" w:type="dxa"/>
          </w:tcPr>
          <w:p w14:paraId="748FC33A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https://www.mckinsey.com/capabilities/tech-and-ai/our-insights/tech-forward/insights-on-responsible-ai-from-the-global-ai-trust-maturity-survey</w:t>
            </w:r>
          </w:p>
        </w:tc>
      </w:tr>
      <w:tr w:rsidR="00021977" w:rsidRPr="006E5DC2" w14:paraId="32B9F915" w14:textId="77777777" w:rsidTr="00756381">
        <w:tc>
          <w:tcPr>
            <w:tcW w:w="1043" w:type="dxa"/>
            <w:shd w:val="clear" w:color="auto" w:fill="DADEF1"/>
          </w:tcPr>
          <w:p w14:paraId="4F94317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Q52</w:t>
            </w:r>
          </w:p>
        </w:tc>
        <w:tc>
          <w:tcPr>
            <w:tcW w:w="705" w:type="dxa"/>
            <w:shd w:val="clear" w:color="auto" w:fill="DADEF1"/>
          </w:tcPr>
          <w:p w14:paraId="033B4CE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981" w:type="dxa"/>
            <w:shd w:val="clear" w:color="auto" w:fill="DADEF1"/>
          </w:tcPr>
          <w:p w14:paraId="1501C7C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  <w:shd w:val="clear" w:color="auto" w:fill="DADEF1"/>
          </w:tcPr>
          <w:p w14:paraId="005A0E4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McKinsey</w:t>
            </w:r>
          </w:p>
        </w:tc>
        <w:tc>
          <w:tcPr>
            <w:tcW w:w="4524" w:type="dxa"/>
            <w:shd w:val="clear" w:color="auto" w:fill="DADEF1"/>
          </w:tcPr>
          <w:p w14:paraId="19E2F41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https://www.mckinsey.com/capabilities/tech-and-ai/our-insights/tech-forward/insights-on-responsible-ai-from-the-global-ai-trust-maturity-survey</w:t>
            </w:r>
          </w:p>
        </w:tc>
      </w:tr>
      <w:tr w:rsidR="00021977" w:rsidRPr="006E5DC2" w14:paraId="402472E2" w14:textId="77777777" w:rsidTr="00756381">
        <w:trPr>
          <w:trHeight w:val="420"/>
        </w:trPr>
        <w:tc>
          <w:tcPr>
            <w:tcW w:w="1043" w:type="dxa"/>
          </w:tcPr>
          <w:p w14:paraId="239578B9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Q16</w:t>
            </w:r>
          </w:p>
        </w:tc>
        <w:tc>
          <w:tcPr>
            <w:tcW w:w="705" w:type="dxa"/>
          </w:tcPr>
          <w:p w14:paraId="384511F2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9.5</w:t>
            </w:r>
          </w:p>
        </w:tc>
        <w:tc>
          <w:tcPr>
            <w:tcW w:w="981" w:type="dxa"/>
          </w:tcPr>
          <w:p w14:paraId="4CCE485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20BAA3E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</w:t>
            </w:r>
          </w:p>
        </w:tc>
        <w:tc>
          <w:tcPr>
            <w:tcW w:w="4524" w:type="dxa"/>
          </w:tcPr>
          <w:p w14:paraId="332F7EE9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6FCCDDB3" w14:textId="77777777" w:rsidTr="00756381">
        <w:tc>
          <w:tcPr>
            <w:tcW w:w="1043" w:type="dxa"/>
            <w:shd w:val="clear" w:color="auto" w:fill="DADEF1"/>
          </w:tcPr>
          <w:p w14:paraId="51581175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Q16</w:t>
            </w:r>
          </w:p>
        </w:tc>
        <w:tc>
          <w:tcPr>
            <w:tcW w:w="705" w:type="dxa"/>
            <w:shd w:val="clear" w:color="auto" w:fill="DADEF1"/>
          </w:tcPr>
          <w:p w14:paraId="3AA288A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11.0</w:t>
            </w:r>
          </w:p>
        </w:tc>
        <w:tc>
          <w:tcPr>
            <w:tcW w:w="981" w:type="dxa"/>
            <w:shd w:val="clear" w:color="auto" w:fill="DADEF1"/>
          </w:tcPr>
          <w:p w14:paraId="0862202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  <w:shd w:val="clear" w:color="auto" w:fill="DADEF1"/>
          </w:tcPr>
          <w:p w14:paraId="377840B3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</w:t>
            </w:r>
          </w:p>
        </w:tc>
        <w:tc>
          <w:tcPr>
            <w:tcW w:w="4524" w:type="dxa"/>
            <w:shd w:val="clear" w:color="auto" w:fill="DADEF1"/>
          </w:tcPr>
          <w:p w14:paraId="1B56E64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216A63B3" w14:textId="77777777" w:rsidTr="00756381">
        <w:tc>
          <w:tcPr>
            <w:tcW w:w="1043" w:type="dxa"/>
          </w:tcPr>
          <w:p w14:paraId="216206C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Q39</w:t>
            </w:r>
          </w:p>
        </w:tc>
        <w:tc>
          <w:tcPr>
            <w:tcW w:w="705" w:type="dxa"/>
          </w:tcPr>
          <w:p w14:paraId="48ABBA2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67</w:t>
            </w:r>
          </w:p>
        </w:tc>
        <w:tc>
          <w:tcPr>
            <w:tcW w:w="981" w:type="dxa"/>
          </w:tcPr>
          <w:p w14:paraId="7F11D95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 (approx.)</w:t>
            </w:r>
          </w:p>
        </w:tc>
        <w:tc>
          <w:tcPr>
            <w:tcW w:w="1377" w:type="dxa"/>
          </w:tcPr>
          <w:p w14:paraId="6ACBB0A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</w:t>
            </w:r>
          </w:p>
        </w:tc>
        <w:tc>
          <w:tcPr>
            <w:tcW w:w="4524" w:type="dxa"/>
          </w:tcPr>
          <w:p w14:paraId="2344CC9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49D30639" w14:textId="77777777" w:rsidTr="00756381">
        <w:tc>
          <w:tcPr>
            <w:tcW w:w="1043" w:type="dxa"/>
            <w:shd w:val="clear" w:color="auto" w:fill="DADEF1"/>
          </w:tcPr>
          <w:p w14:paraId="097F9A8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Q41</w:t>
            </w:r>
          </w:p>
        </w:tc>
        <w:tc>
          <w:tcPr>
            <w:tcW w:w="705" w:type="dxa"/>
            <w:shd w:val="clear" w:color="auto" w:fill="DADEF1"/>
          </w:tcPr>
          <w:p w14:paraId="7F56FD7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56</w:t>
            </w:r>
          </w:p>
        </w:tc>
        <w:tc>
          <w:tcPr>
            <w:tcW w:w="981" w:type="dxa"/>
            <w:shd w:val="clear" w:color="auto" w:fill="DADEF1"/>
          </w:tcPr>
          <w:p w14:paraId="474767D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 xml:space="preserve">Percent (overall, </w:t>
            </w:r>
            <w:r w:rsidRPr="34096275">
              <w:rPr>
                <w:rFonts w:cs="Times New Roman"/>
                <w:sz w:val="20"/>
                <w:szCs w:val="20"/>
              </w:rPr>
              <w:lastRenderedPageBreak/>
              <w:t>hybrid deployment share)</w:t>
            </w:r>
          </w:p>
        </w:tc>
        <w:tc>
          <w:tcPr>
            <w:tcW w:w="1377" w:type="dxa"/>
            <w:shd w:val="clear" w:color="auto" w:fill="DADEF1"/>
          </w:tcPr>
          <w:p w14:paraId="1967B59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lastRenderedPageBreak/>
              <w:t>Fastly</w:t>
            </w:r>
          </w:p>
        </w:tc>
        <w:tc>
          <w:tcPr>
            <w:tcW w:w="4524" w:type="dxa"/>
            <w:shd w:val="clear" w:color="auto" w:fill="DADEF1"/>
          </w:tcPr>
          <w:p w14:paraId="3AAE3FD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6A0527C7" w14:textId="77777777" w:rsidTr="00756381">
        <w:tc>
          <w:tcPr>
            <w:tcW w:w="1043" w:type="dxa"/>
          </w:tcPr>
          <w:p w14:paraId="3FA2959E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Q52</w:t>
            </w:r>
          </w:p>
        </w:tc>
        <w:tc>
          <w:tcPr>
            <w:tcW w:w="705" w:type="dxa"/>
          </w:tcPr>
          <w:p w14:paraId="5B52B13A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32.8</w:t>
            </w:r>
          </w:p>
        </w:tc>
        <w:tc>
          <w:tcPr>
            <w:tcW w:w="981" w:type="dxa"/>
          </w:tcPr>
          <w:p w14:paraId="0E65EE5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777450A5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</w:t>
            </w:r>
          </w:p>
        </w:tc>
        <w:tc>
          <w:tcPr>
            <w:tcW w:w="4524" w:type="dxa"/>
          </w:tcPr>
          <w:p w14:paraId="4446C520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2688CB77" w14:textId="77777777" w:rsidTr="00756381">
        <w:tc>
          <w:tcPr>
            <w:tcW w:w="1043" w:type="dxa"/>
            <w:shd w:val="clear" w:color="auto" w:fill="DADEF1"/>
          </w:tcPr>
          <w:p w14:paraId="62D3DE40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Q52</w:t>
            </w:r>
          </w:p>
        </w:tc>
        <w:tc>
          <w:tcPr>
            <w:tcW w:w="705" w:type="dxa"/>
            <w:shd w:val="clear" w:color="auto" w:fill="DADEF1"/>
          </w:tcPr>
          <w:p w14:paraId="750218B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33</w:t>
            </w:r>
          </w:p>
        </w:tc>
        <w:tc>
          <w:tcPr>
            <w:tcW w:w="981" w:type="dxa"/>
            <w:shd w:val="clear" w:color="auto" w:fill="DADEF1"/>
          </w:tcPr>
          <w:p w14:paraId="6C7BDC2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 (approx.)</w:t>
            </w:r>
          </w:p>
        </w:tc>
        <w:tc>
          <w:tcPr>
            <w:tcW w:w="1377" w:type="dxa"/>
            <w:shd w:val="clear" w:color="auto" w:fill="DADEF1"/>
          </w:tcPr>
          <w:p w14:paraId="66BAC28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</w:t>
            </w:r>
          </w:p>
        </w:tc>
        <w:tc>
          <w:tcPr>
            <w:tcW w:w="4524" w:type="dxa"/>
            <w:shd w:val="clear" w:color="auto" w:fill="DADEF1"/>
          </w:tcPr>
          <w:p w14:paraId="25C58B9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268AEB68" w14:textId="77777777" w:rsidTr="00756381">
        <w:tc>
          <w:tcPr>
            <w:tcW w:w="1043" w:type="dxa"/>
          </w:tcPr>
          <w:p w14:paraId="68F2632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Q48</w:t>
            </w:r>
          </w:p>
        </w:tc>
        <w:tc>
          <w:tcPr>
            <w:tcW w:w="705" w:type="dxa"/>
          </w:tcPr>
          <w:p w14:paraId="35D1CD1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981" w:type="dxa"/>
          </w:tcPr>
          <w:p w14:paraId="4CB5DEF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 (around)</w:t>
            </w:r>
          </w:p>
        </w:tc>
        <w:tc>
          <w:tcPr>
            <w:tcW w:w="1377" w:type="dxa"/>
          </w:tcPr>
          <w:p w14:paraId="7837B45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</w:t>
            </w:r>
          </w:p>
        </w:tc>
        <w:tc>
          <w:tcPr>
            <w:tcW w:w="4524" w:type="dxa"/>
          </w:tcPr>
          <w:p w14:paraId="0C0E958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3B0AD1C9" w14:textId="77777777" w:rsidTr="00756381">
        <w:tc>
          <w:tcPr>
            <w:tcW w:w="1043" w:type="dxa"/>
            <w:shd w:val="clear" w:color="auto" w:fill="DADEF1"/>
          </w:tcPr>
          <w:p w14:paraId="3A75B153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Q48</w:t>
            </w:r>
          </w:p>
        </w:tc>
        <w:tc>
          <w:tcPr>
            <w:tcW w:w="705" w:type="dxa"/>
            <w:shd w:val="clear" w:color="auto" w:fill="DADEF1"/>
          </w:tcPr>
          <w:p w14:paraId="50208E00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981" w:type="dxa"/>
            <w:shd w:val="clear" w:color="auto" w:fill="DADEF1"/>
          </w:tcPr>
          <w:p w14:paraId="0BF46F7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 (approx.)</w:t>
            </w:r>
          </w:p>
        </w:tc>
        <w:tc>
          <w:tcPr>
            <w:tcW w:w="1377" w:type="dxa"/>
            <w:shd w:val="clear" w:color="auto" w:fill="DADEF1"/>
          </w:tcPr>
          <w:p w14:paraId="3B64FD6D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</w:t>
            </w:r>
          </w:p>
        </w:tc>
        <w:tc>
          <w:tcPr>
            <w:tcW w:w="4524" w:type="dxa"/>
            <w:shd w:val="clear" w:color="auto" w:fill="DADEF1"/>
          </w:tcPr>
          <w:p w14:paraId="2C5B063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02157A27" w14:textId="77777777" w:rsidTr="00756381">
        <w:tc>
          <w:tcPr>
            <w:tcW w:w="1043" w:type="dxa"/>
          </w:tcPr>
          <w:p w14:paraId="291EE962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Q51</w:t>
            </w:r>
          </w:p>
        </w:tc>
        <w:tc>
          <w:tcPr>
            <w:tcW w:w="705" w:type="dxa"/>
          </w:tcPr>
          <w:p w14:paraId="21EC1484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45</w:t>
            </w:r>
          </w:p>
        </w:tc>
        <w:tc>
          <w:tcPr>
            <w:tcW w:w="981" w:type="dxa"/>
          </w:tcPr>
          <w:p w14:paraId="78DBE377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26B2526E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</w:t>
            </w:r>
          </w:p>
        </w:tc>
        <w:tc>
          <w:tcPr>
            <w:tcW w:w="4524" w:type="dxa"/>
          </w:tcPr>
          <w:p w14:paraId="221105BA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1B193780" w14:textId="77777777" w:rsidTr="00756381">
        <w:tc>
          <w:tcPr>
            <w:tcW w:w="1043" w:type="dxa"/>
            <w:shd w:val="clear" w:color="auto" w:fill="DADEF1"/>
          </w:tcPr>
          <w:p w14:paraId="0CFBEBE2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Q51</w:t>
            </w:r>
          </w:p>
        </w:tc>
        <w:tc>
          <w:tcPr>
            <w:tcW w:w="705" w:type="dxa"/>
            <w:shd w:val="clear" w:color="auto" w:fill="DADEF1"/>
          </w:tcPr>
          <w:p w14:paraId="3794FC0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981" w:type="dxa"/>
            <w:shd w:val="clear" w:color="auto" w:fill="DADEF1"/>
          </w:tcPr>
          <w:p w14:paraId="699612A4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  <w:shd w:val="clear" w:color="auto" w:fill="DADEF1"/>
          </w:tcPr>
          <w:p w14:paraId="3D561AA2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</w:t>
            </w:r>
          </w:p>
        </w:tc>
        <w:tc>
          <w:tcPr>
            <w:tcW w:w="4524" w:type="dxa"/>
            <w:shd w:val="clear" w:color="auto" w:fill="DADEF1"/>
          </w:tcPr>
          <w:p w14:paraId="2B4898C3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3D9E8BB2" w14:textId="77777777" w:rsidTr="00756381">
        <w:tc>
          <w:tcPr>
            <w:tcW w:w="1043" w:type="dxa"/>
          </w:tcPr>
          <w:p w14:paraId="3172E7FE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Q51</w:t>
            </w:r>
          </w:p>
        </w:tc>
        <w:tc>
          <w:tcPr>
            <w:tcW w:w="705" w:type="dxa"/>
          </w:tcPr>
          <w:p w14:paraId="203AC17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981" w:type="dxa"/>
          </w:tcPr>
          <w:p w14:paraId="091D6D18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48EEEA4A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</w:t>
            </w:r>
          </w:p>
        </w:tc>
        <w:tc>
          <w:tcPr>
            <w:tcW w:w="4524" w:type="dxa"/>
          </w:tcPr>
          <w:p w14:paraId="109EF80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https://www.fastly.com/blog/ai-energy-survey-report</w:t>
            </w:r>
          </w:p>
        </w:tc>
      </w:tr>
      <w:tr w:rsidR="00021977" w:rsidRPr="006E5DC2" w14:paraId="6F46F6E7" w14:textId="77777777" w:rsidTr="00756381">
        <w:tc>
          <w:tcPr>
            <w:tcW w:w="1043" w:type="dxa"/>
            <w:shd w:val="clear" w:color="auto" w:fill="DADEF1"/>
          </w:tcPr>
          <w:p w14:paraId="0662135E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Q13</w:t>
            </w:r>
          </w:p>
        </w:tc>
        <w:tc>
          <w:tcPr>
            <w:tcW w:w="705" w:type="dxa"/>
            <w:shd w:val="clear" w:color="auto" w:fill="DADEF1"/>
          </w:tcPr>
          <w:p w14:paraId="7B8DBF9B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981" w:type="dxa"/>
            <w:shd w:val="clear" w:color="auto" w:fill="DADEF1"/>
          </w:tcPr>
          <w:p w14:paraId="07FCA1EF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  <w:shd w:val="clear" w:color="auto" w:fill="DADEF1"/>
          </w:tcPr>
          <w:p w14:paraId="01DD14C9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EY</w:t>
            </w:r>
          </w:p>
        </w:tc>
        <w:tc>
          <w:tcPr>
            <w:tcW w:w="4524" w:type="dxa"/>
            <w:shd w:val="clear" w:color="auto" w:fill="DADEF1"/>
          </w:tcPr>
          <w:p w14:paraId="1973170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https://www.ey.com/en_gl/insights/ai/how-can-responsible-ai-bridge-the-gap-between-investment-and-impact</w:t>
            </w:r>
          </w:p>
        </w:tc>
      </w:tr>
      <w:tr w:rsidR="00021977" w:rsidRPr="006E5DC2" w14:paraId="718304EE" w14:textId="77777777" w:rsidTr="00756381">
        <w:tc>
          <w:tcPr>
            <w:tcW w:w="1043" w:type="dxa"/>
          </w:tcPr>
          <w:p w14:paraId="107AF5D4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Q13</w:t>
            </w:r>
          </w:p>
        </w:tc>
        <w:tc>
          <w:tcPr>
            <w:tcW w:w="705" w:type="dxa"/>
          </w:tcPr>
          <w:p w14:paraId="58358DDF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61</w:t>
            </w:r>
          </w:p>
        </w:tc>
        <w:tc>
          <w:tcPr>
            <w:tcW w:w="981" w:type="dxa"/>
          </w:tcPr>
          <w:p w14:paraId="19908545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</w:t>
            </w:r>
          </w:p>
        </w:tc>
        <w:tc>
          <w:tcPr>
            <w:tcW w:w="1377" w:type="dxa"/>
          </w:tcPr>
          <w:p w14:paraId="58557910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EY</w:t>
            </w:r>
          </w:p>
        </w:tc>
        <w:tc>
          <w:tcPr>
            <w:tcW w:w="4524" w:type="dxa"/>
          </w:tcPr>
          <w:p w14:paraId="62124236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https://www.ey.com/en_gl/insights/ai/how-can-responsible-ai-bridge-the-gap-between-investment-and-impact</w:t>
            </w:r>
          </w:p>
        </w:tc>
      </w:tr>
      <w:tr w:rsidR="00021977" w:rsidRPr="006E5DC2" w14:paraId="3584F9ED" w14:textId="77777777" w:rsidTr="00756381">
        <w:tc>
          <w:tcPr>
            <w:tcW w:w="1043" w:type="dxa"/>
            <w:shd w:val="clear" w:color="auto" w:fill="DADEF1"/>
          </w:tcPr>
          <w:p w14:paraId="4A610D34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Q25</w:t>
            </w:r>
          </w:p>
        </w:tc>
        <w:tc>
          <w:tcPr>
            <w:tcW w:w="705" w:type="dxa"/>
            <w:shd w:val="clear" w:color="auto" w:fill="DADEF1"/>
          </w:tcPr>
          <w:p w14:paraId="08446FB7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981" w:type="dxa"/>
            <w:shd w:val="clear" w:color="auto" w:fill="DADEF1"/>
          </w:tcPr>
          <w:p w14:paraId="447E8191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Count (out of 10)</w:t>
            </w:r>
          </w:p>
        </w:tc>
        <w:tc>
          <w:tcPr>
            <w:tcW w:w="1377" w:type="dxa"/>
            <w:shd w:val="clear" w:color="auto" w:fill="DADEF1"/>
          </w:tcPr>
          <w:p w14:paraId="443D7975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EY</w:t>
            </w:r>
          </w:p>
        </w:tc>
        <w:tc>
          <w:tcPr>
            <w:tcW w:w="4524" w:type="dxa"/>
            <w:shd w:val="clear" w:color="auto" w:fill="DADEF1"/>
          </w:tcPr>
          <w:p w14:paraId="056958EC" w14:textId="77777777" w:rsidR="00021977" w:rsidRPr="006E5DC2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https://www.ey.com/en_gl/insights/ai/how-can-responsible-ai-bridge-the-gap-between-investment-and-impact</w:t>
            </w:r>
          </w:p>
        </w:tc>
      </w:tr>
    </w:tbl>
    <w:p w14:paraId="4974C8AC" w14:textId="77777777" w:rsidR="00021977" w:rsidRDefault="00021977" w:rsidP="00021977">
      <w:pPr>
        <w:rPr>
          <w:rFonts w:cs="Times New Roman"/>
          <w:sz w:val="20"/>
          <w:szCs w:val="20"/>
        </w:rPr>
      </w:pPr>
      <w:r w:rsidRPr="34096275">
        <w:rPr>
          <w:rFonts w:cs="Times New Roman"/>
          <w:sz w:val="20"/>
          <w:szCs w:val="20"/>
        </w:rPr>
        <w:t xml:space="preserve"> </w:t>
      </w:r>
    </w:p>
    <w:p w14:paraId="20434494" w14:textId="77777777" w:rsidR="00021977" w:rsidRDefault="00021977" w:rsidP="00021977">
      <w:pPr>
        <w:rPr>
          <w:rFonts w:cs="Times New Roman"/>
          <w:sz w:val="20"/>
          <w:szCs w:val="20"/>
        </w:rPr>
      </w:pPr>
      <w:r w:rsidRPr="34096275">
        <w:rPr>
          <w:rFonts w:cs="Times New Roman"/>
          <w:sz w:val="20"/>
          <w:szCs w:val="20"/>
        </w:rPr>
        <w:t>TABLE A2. Proxy-Fit Classification for Benchmark Mapping</w:t>
      </w:r>
    </w:p>
    <w:tbl>
      <w:tblPr>
        <w:tblStyle w:val="TableGrid"/>
        <w:tblW w:w="8630" w:type="dxa"/>
        <w:tblBorders>
          <w:top w:val="single" w:sz="8" w:space="0" w:color="6E2D9D"/>
          <w:left w:val="single" w:sz="8" w:space="0" w:color="6E2D9D"/>
          <w:bottom w:val="single" w:sz="8" w:space="0" w:color="6E2D9D"/>
          <w:right w:val="single" w:sz="8" w:space="0" w:color="6E2D9D"/>
          <w:insideH w:val="single" w:sz="8" w:space="0" w:color="6E2D9D"/>
          <w:insideV w:val="single" w:sz="8" w:space="0" w:color="6E2D9D"/>
        </w:tblBorders>
        <w:tblLook w:val="04A0" w:firstRow="1" w:lastRow="0" w:firstColumn="1" w:lastColumn="0" w:noHBand="0" w:noVBand="1"/>
      </w:tblPr>
      <w:tblGrid>
        <w:gridCol w:w="1275"/>
        <w:gridCol w:w="1545"/>
        <w:gridCol w:w="5810"/>
      </w:tblGrid>
      <w:tr w:rsidR="00021977" w:rsidRPr="00326D9C" w14:paraId="39D1AF03" w14:textId="77777777" w:rsidTr="00756381">
        <w:trPr>
          <w:tblHeader/>
        </w:trPr>
        <w:tc>
          <w:tcPr>
            <w:tcW w:w="1275" w:type="dxa"/>
            <w:shd w:val="clear" w:color="auto" w:fill="4B0082"/>
          </w:tcPr>
          <w:p w14:paraId="4FAAB04A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Question ID</w:t>
            </w:r>
          </w:p>
        </w:tc>
        <w:tc>
          <w:tcPr>
            <w:tcW w:w="1545" w:type="dxa"/>
            <w:shd w:val="clear" w:color="auto" w:fill="4B0082"/>
          </w:tcPr>
          <w:p w14:paraId="6239EE82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Proxy fit</w:t>
            </w:r>
          </w:p>
        </w:tc>
        <w:tc>
          <w:tcPr>
            <w:tcW w:w="5810" w:type="dxa"/>
            <w:shd w:val="clear" w:color="auto" w:fill="4B0082"/>
          </w:tcPr>
          <w:p w14:paraId="637FD315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Notes (conceptual distance / assumptions)</w:t>
            </w:r>
          </w:p>
        </w:tc>
      </w:tr>
      <w:tr w:rsidR="00021977" w:rsidRPr="00326D9C" w14:paraId="6D1766BB" w14:textId="77777777" w:rsidTr="00756381">
        <w:tc>
          <w:tcPr>
            <w:tcW w:w="1275" w:type="dxa"/>
          </w:tcPr>
          <w:p w14:paraId="3C33CC86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</w:t>
            </w:r>
          </w:p>
        </w:tc>
        <w:tc>
          <w:tcPr>
            <w:tcW w:w="1545" w:type="dxa"/>
          </w:tcPr>
          <w:p w14:paraId="2A3A00A1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Approximate</w:t>
            </w:r>
          </w:p>
        </w:tc>
        <w:tc>
          <w:tcPr>
            <w:tcW w:w="5810" w:type="dxa"/>
          </w:tcPr>
          <w:p w14:paraId="0E36F310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Stage proxies derived from public adoption-stage reporting; not a one-to-one mapping to the survey scale.</w:t>
            </w:r>
          </w:p>
        </w:tc>
      </w:tr>
      <w:tr w:rsidR="00021977" w:rsidRPr="00326D9C" w14:paraId="70700AD8" w14:textId="77777777" w:rsidTr="00756381">
        <w:tc>
          <w:tcPr>
            <w:tcW w:w="1275" w:type="dxa"/>
            <w:shd w:val="clear" w:color="auto" w:fill="DADEF1"/>
          </w:tcPr>
          <w:p w14:paraId="35CCFD6F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Q10</w:t>
            </w:r>
          </w:p>
        </w:tc>
        <w:tc>
          <w:tcPr>
            <w:tcW w:w="1545" w:type="dxa"/>
            <w:shd w:val="clear" w:color="auto" w:fill="DADEF1"/>
          </w:tcPr>
          <w:p w14:paraId="14235B93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Direct</w:t>
            </w:r>
          </w:p>
        </w:tc>
        <w:tc>
          <w:tcPr>
            <w:tcW w:w="5810" w:type="dxa"/>
            <w:shd w:val="clear" w:color="auto" w:fill="DADEF1"/>
          </w:tcPr>
          <w:p w14:paraId="2B7CDE7C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Proxies measure existence/adoption of formal data governance programs (percent reporting a program or equivalent).</w:t>
            </w:r>
          </w:p>
        </w:tc>
      </w:tr>
      <w:tr w:rsidR="00021977" w:rsidRPr="00326D9C" w14:paraId="61EBF593" w14:textId="77777777" w:rsidTr="00756381">
        <w:tc>
          <w:tcPr>
            <w:tcW w:w="1275" w:type="dxa"/>
          </w:tcPr>
          <w:p w14:paraId="155CEB78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lastRenderedPageBreak/>
              <w:t>Q11</w:t>
            </w:r>
          </w:p>
        </w:tc>
        <w:tc>
          <w:tcPr>
            <w:tcW w:w="1545" w:type="dxa"/>
          </w:tcPr>
          <w:p w14:paraId="28C21CC2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Mixed</w:t>
            </w:r>
          </w:p>
        </w:tc>
        <w:tc>
          <w:tcPr>
            <w:tcW w:w="5810" w:type="dxa"/>
          </w:tcPr>
          <w:p w14:paraId="39D600DD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 proxies are direct; a maturity score proxy (0–4) is included as an approximate crosswalk to governance formality.</w:t>
            </w:r>
          </w:p>
        </w:tc>
      </w:tr>
      <w:tr w:rsidR="00021977" w:rsidRPr="00326D9C" w14:paraId="35722647" w14:textId="77777777" w:rsidTr="00756381">
        <w:tc>
          <w:tcPr>
            <w:tcW w:w="1275" w:type="dxa"/>
            <w:shd w:val="clear" w:color="auto" w:fill="DADEF1"/>
          </w:tcPr>
          <w:p w14:paraId="3438F9B2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Q13</w:t>
            </w:r>
          </w:p>
        </w:tc>
        <w:tc>
          <w:tcPr>
            <w:tcW w:w="1545" w:type="dxa"/>
            <w:shd w:val="clear" w:color="auto" w:fill="DADEF1"/>
          </w:tcPr>
          <w:p w14:paraId="08CFEDB8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Direct</w:t>
            </w:r>
          </w:p>
        </w:tc>
        <w:tc>
          <w:tcPr>
            <w:tcW w:w="5810" w:type="dxa"/>
            <w:shd w:val="clear" w:color="auto" w:fill="DADEF1"/>
          </w:tcPr>
          <w:p w14:paraId="2BDF6D55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Proxies measure presence of an AI ethics review board / model risk committee (percent).</w:t>
            </w:r>
          </w:p>
        </w:tc>
      </w:tr>
      <w:tr w:rsidR="00021977" w:rsidRPr="00326D9C" w14:paraId="03992B4C" w14:textId="77777777" w:rsidTr="00756381">
        <w:tc>
          <w:tcPr>
            <w:tcW w:w="1275" w:type="dxa"/>
          </w:tcPr>
          <w:p w14:paraId="773347CF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Q16</w:t>
            </w:r>
          </w:p>
        </w:tc>
        <w:tc>
          <w:tcPr>
            <w:tcW w:w="1545" w:type="dxa"/>
          </w:tcPr>
          <w:p w14:paraId="0556BE1F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Approximate</w:t>
            </w:r>
          </w:p>
        </w:tc>
        <w:tc>
          <w:tcPr>
            <w:tcW w:w="5810" w:type="dxa"/>
          </w:tcPr>
          <w:p w14:paraId="6BC870B8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Energy/telemetry coverage is used as a proxy for overall AI monitoring coverage; narrower construct than the survey item.</w:t>
            </w:r>
          </w:p>
        </w:tc>
      </w:tr>
      <w:tr w:rsidR="00021977" w:rsidRPr="00326D9C" w14:paraId="135BCFEF" w14:textId="77777777" w:rsidTr="00756381">
        <w:tc>
          <w:tcPr>
            <w:tcW w:w="1275" w:type="dxa"/>
            <w:shd w:val="clear" w:color="auto" w:fill="DADEF1"/>
          </w:tcPr>
          <w:p w14:paraId="261EBE2E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Q19</w:t>
            </w:r>
          </w:p>
        </w:tc>
        <w:tc>
          <w:tcPr>
            <w:tcW w:w="1545" w:type="dxa"/>
            <w:shd w:val="clear" w:color="auto" w:fill="DADEF1"/>
          </w:tcPr>
          <w:p w14:paraId="0472ADB3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Direct</w:t>
            </w:r>
          </w:p>
        </w:tc>
        <w:tc>
          <w:tcPr>
            <w:tcW w:w="5810" w:type="dxa"/>
            <w:shd w:val="clear" w:color="auto" w:fill="DADEF1"/>
          </w:tcPr>
          <w:p w14:paraId="3E7E6E57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Public distributions over training frequency categories are used as direct proxies for the survey’s categorical responses.</w:t>
            </w:r>
          </w:p>
        </w:tc>
      </w:tr>
      <w:tr w:rsidR="00021977" w:rsidRPr="00326D9C" w14:paraId="3042DAE8" w14:textId="77777777" w:rsidTr="00756381">
        <w:tc>
          <w:tcPr>
            <w:tcW w:w="1275" w:type="dxa"/>
          </w:tcPr>
          <w:p w14:paraId="4444AC83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Q25</w:t>
            </w:r>
          </w:p>
        </w:tc>
        <w:tc>
          <w:tcPr>
            <w:tcW w:w="1545" w:type="dxa"/>
          </w:tcPr>
          <w:p w14:paraId="199AE945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Approximate</w:t>
            </w:r>
          </w:p>
        </w:tc>
        <w:tc>
          <w:tcPr>
            <w:tcW w:w="5810" w:type="dxa"/>
          </w:tcPr>
          <w:p w14:paraId="66F3C113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Proxy uses a count of responsible-AI governance characteristics as an approximate indicator for a related maturity construct.</w:t>
            </w:r>
          </w:p>
        </w:tc>
      </w:tr>
      <w:tr w:rsidR="00021977" w:rsidRPr="00326D9C" w14:paraId="6AD2B4DE" w14:textId="77777777" w:rsidTr="00756381">
        <w:tc>
          <w:tcPr>
            <w:tcW w:w="1275" w:type="dxa"/>
            <w:shd w:val="clear" w:color="auto" w:fill="DADEF1"/>
          </w:tcPr>
          <w:p w14:paraId="0FD4CA6E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Q39</w:t>
            </w:r>
          </w:p>
        </w:tc>
        <w:tc>
          <w:tcPr>
            <w:tcW w:w="1545" w:type="dxa"/>
            <w:shd w:val="clear" w:color="auto" w:fill="DADEF1"/>
          </w:tcPr>
          <w:p w14:paraId="716690C2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Direct</w:t>
            </w:r>
          </w:p>
        </w:tc>
        <w:tc>
          <w:tcPr>
            <w:tcW w:w="5810" w:type="dxa"/>
            <w:shd w:val="clear" w:color="auto" w:fill="DADEF1"/>
          </w:tcPr>
          <w:p w14:paraId="06CC6887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Proxy measures whether organizations track training vs. inference energy separately (percent).</w:t>
            </w:r>
          </w:p>
        </w:tc>
      </w:tr>
      <w:tr w:rsidR="00021977" w:rsidRPr="00326D9C" w14:paraId="1718522A" w14:textId="77777777" w:rsidTr="00756381">
        <w:tc>
          <w:tcPr>
            <w:tcW w:w="1275" w:type="dxa"/>
          </w:tcPr>
          <w:p w14:paraId="3071A0D6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Q41</w:t>
            </w:r>
          </w:p>
        </w:tc>
        <w:tc>
          <w:tcPr>
            <w:tcW w:w="1545" w:type="dxa"/>
          </w:tcPr>
          <w:p w14:paraId="1233F2B5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Approximate</w:t>
            </w:r>
          </w:p>
        </w:tc>
        <w:tc>
          <w:tcPr>
            <w:tcW w:w="5810" w:type="dxa"/>
          </w:tcPr>
          <w:p w14:paraId="6DF2CFBC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Proxy relies on sustainability/efficiency practice adoption (e.g., hybrid/placement strategies) rather than training-only techniques.</w:t>
            </w:r>
          </w:p>
        </w:tc>
      </w:tr>
      <w:tr w:rsidR="00021977" w:rsidRPr="00326D9C" w14:paraId="611D56B8" w14:textId="77777777" w:rsidTr="00756381">
        <w:tc>
          <w:tcPr>
            <w:tcW w:w="1275" w:type="dxa"/>
            <w:shd w:val="clear" w:color="auto" w:fill="DADEF1"/>
          </w:tcPr>
          <w:p w14:paraId="1B14DA45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Q46</w:t>
            </w:r>
          </w:p>
        </w:tc>
        <w:tc>
          <w:tcPr>
            <w:tcW w:w="1545" w:type="dxa"/>
            <w:shd w:val="clear" w:color="auto" w:fill="DADEF1"/>
          </w:tcPr>
          <w:p w14:paraId="0A0647B6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Approximate</w:t>
            </w:r>
          </w:p>
        </w:tc>
        <w:tc>
          <w:tcPr>
            <w:tcW w:w="5810" w:type="dxa"/>
            <w:shd w:val="clear" w:color="auto" w:fill="DADEF1"/>
          </w:tcPr>
          <w:p w14:paraId="2DF9BEE6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Proxy reflects self-reported benefits/outcomes of data governance (reduction in data-quality issues), not a controlled estimate.</w:t>
            </w:r>
          </w:p>
        </w:tc>
      </w:tr>
      <w:tr w:rsidR="00021977" w:rsidRPr="00326D9C" w14:paraId="12EAB8D6" w14:textId="77777777" w:rsidTr="00756381">
        <w:tc>
          <w:tcPr>
            <w:tcW w:w="1275" w:type="dxa"/>
          </w:tcPr>
          <w:p w14:paraId="3D94B087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Q48</w:t>
            </w:r>
          </w:p>
        </w:tc>
        <w:tc>
          <w:tcPr>
            <w:tcW w:w="1545" w:type="dxa"/>
          </w:tcPr>
          <w:p w14:paraId="0C45032A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Approximate</w:t>
            </w:r>
          </w:p>
        </w:tc>
        <w:tc>
          <w:tcPr>
            <w:tcW w:w="5810" w:type="dxa"/>
          </w:tcPr>
          <w:p w14:paraId="4E9706BF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Proxy reports estimated energy reductions after optimization; context and baselines may differ across sources.</w:t>
            </w:r>
          </w:p>
        </w:tc>
      </w:tr>
      <w:tr w:rsidR="00021977" w:rsidRPr="00326D9C" w14:paraId="0514DEC4" w14:textId="77777777" w:rsidTr="00756381">
        <w:tc>
          <w:tcPr>
            <w:tcW w:w="1275" w:type="dxa"/>
            <w:shd w:val="clear" w:color="auto" w:fill="DADEF1"/>
          </w:tcPr>
          <w:p w14:paraId="51C1AF5A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Q51</w:t>
            </w:r>
          </w:p>
        </w:tc>
        <w:tc>
          <w:tcPr>
            <w:tcW w:w="1545" w:type="dxa"/>
            <w:shd w:val="clear" w:color="auto" w:fill="DADEF1"/>
          </w:tcPr>
          <w:p w14:paraId="0E70DFB9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Approximate</w:t>
            </w:r>
          </w:p>
        </w:tc>
        <w:tc>
          <w:tcPr>
            <w:tcW w:w="5810" w:type="dxa"/>
            <w:shd w:val="clear" w:color="auto" w:fill="DADEF1"/>
          </w:tcPr>
          <w:p w14:paraId="1B436F63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Percent proxies are used to approximate a Likert-style sustainability alignment item; scales are not identical.</w:t>
            </w:r>
          </w:p>
        </w:tc>
      </w:tr>
      <w:tr w:rsidR="00021977" w:rsidRPr="00326D9C" w14:paraId="5727D264" w14:textId="77777777" w:rsidTr="00756381">
        <w:tc>
          <w:tcPr>
            <w:tcW w:w="1275" w:type="dxa"/>
          </w:tcPr>
          <w:p w14:paraId="0CB2C8B8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Q52</w:t>
            </w:r>
          </w:p>
        </w:tc>
        <w:tc>
          <w:tcPr>
            <w:tcW w:w="1545" w:type="dxa"/>
          </w:tcPr>
          <w:p w14:paraId="41CAE135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Direct</w:t>
            </w:r>
          </w:p>
        </w:tc>
        <w:tc>
          <w:tcPr>
            <w:tcW w:w="5810" w:type="dxa"/>
          </w:tcPr>
          <w:p w14:paraId="1F2E8818" w14:textId="77777777" w:rsidR="00021977" w:rsidRPr="00326D9C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Proxies measure prevalence of stated governance challenges (percent selecting each challenge).</w:t>
            </w:r>
          </w:p>
        </w:tc>
      </w:tr>
    </w:tbl>
    <w:p w14:paraId="2DBF1FB8" w14:textId="77777777" w:rsidR="00021977" w:rsidRDefault="00021977" w:rsidP="00021977">
      <w:pPr>
        <w:rPr>
          <w:rFonts w:cs="Times New Roman"/>
          <w:b/>
          <w:bCs/>
          <w:sz w:val="20"/>
          <w:szCs w:val="20"/>
        </w:rPr>
      </w:pPr>
    </w:p>
    <w:p w14:paraId="1830A412" w14:textId="77777777" w:rsidR="00021977" w:rsidRPr="00DB44D8" w:rsidRDefault="00021977" w:rsidP="00021977">
      <w:pPr>
        <w:pStyle w:val="Heading2"/>
        <w:rPr>
          <w:rFonts w:ascii="Times New Roman" w:eastAsia="Times New Roman" w:hAnsi="Times New Roman" w:cs="Times New Roman"/>
          <w:sz w:val="20"/>
          <w:szCs w:val="20"/>
        </w:rPr>
      </w:pPr>
      <w:r w:rsidRPr="00A563C7">
        <w:rPr>
          <w:rFonts w:ascii="Times New Roman" w:eastAsia="Times New Roman" w:hAnsi="Times New Roman" w:cs="Times New Roman"/>
          <w:sz w:val="28"/>
          <w:szCs w:val="22"/>
        </w:rPr>
        <w:t>APPENDIX B. Governance Survey Items (Q1–Q54)</w:t>
      </w:r>
    </w:p>
    <w:p w14:paraId="1D13124B" w14:textId="77777777" w:rsidR="00021977" w:rsidRPr="00490D0D" w:rsidRDefault="00021977" w:rsidP="00021977">
      <w:pPr>
        <w:rPr>
          <w:rFonts w:cs="Times New Roman"/>
          <w:sz w:val="20"/>
          <w:szCs w:val="20"/>
        </w:rPr>
      </w:pPr>
      <w:r w:rsidRPr="34096275">
        <w:rPr>
          <w:rFonts w:cs="Times New Roman"/>
          <w:sz w:val="20"/>
          <w:szCs w:val="20"/>
        </w:rPr>
        <w:t>This table lists the 54 governance survey items used in the study instrument, provided for reference.</w:t>
      </w:r>
    </w:p>
    <w:tbl>
      <w:tblPr>
        <w:tblStyle w:val="TableGrid"/>
        <w:tblW w:w="0" w:type="auto"/>
        <w:jc w:val="center"/>
        <w:tblBorders>
          <w:top w:val="single" w:sz="8" w:space="0" w:color="6E2D9D"/>
          <w:left w:val="single" w:sz="8" w:space="0" w:color="6E2D9D"/>
          <w:bottom w:val="single" w:sz="8" w:space="0" w:color="6E2D9D"/>
          <w:right w:val="single" w:sz="8" w:space="0" w:color="6E2D9D"/>
          <w:insideH w:val="single" w:sz="8" w:space="0" w:color="6E2D9D"/>
          <w:insideV w:val="single" w:sz="8" w:space="0" w:color="6E2D9D"/>
        </w:tblBorders>
        <w:tblLook w:val="04A0" w:firstRow="1" w:lastRow="0" w:firstColumn="1" w:lastColumn="0" w:noHBand="0" w:noVBand="1"/>
      </w:tblPr>
      <w:tblGrid>
        <w:gridCol w:w="704"/>
        <w:gridCol w:w="7916"/>
      </w:tblGrid>
      <w:tr w:rsidR="00021977" w:rsidRPr="00490D0D" w14:paraId="28C0BF74" w14:textId="77777777" w:rsidTr="00756381">
        <w:trPr>
          <w:tblHeader/>
          <w:jc w:val="center"/>
        </w:trPr>
        <w:tc>
          <w:tcPr>
            <w:tcW w:w="704" w:type="dxa"/>
            <w:shd w:val="clear" w:color="auto" w:fill="4B0082"/>
          </w:tcPr>
          <w:p w14:paraId="7FB19338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7926" w:type="dxa"/>
            <w:shd w:val="clear" w:color="auto" w:fill="4B0082"/>
          </w:tcPr>
          <w:p w14:paraId="5A69D297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Survey item</w:t>
            </w:r>
          </w:p>
        </w:tc>
      </w:tr>
      <w:tr w:rsidR="00021977" w:rsidRPr="00490D0D" w14:paraId="4B7434E2" w14:textId="77777777" w:rsidTr="00756381">
        <w:trPr>
          <w:jc w:val="center"/>
        </w:trPr>
        <w:tc>
          <w:tcPr>
            <w:tcW w:w="704" w:type="dxa"/>
          </w:tcPr>
          <w:p w14:paraId="057D7B65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</w:t>
            </w:r>
          </w:p>
        </w:tc>
        <w:tc>
          <w:tcPr>
            <w:tcW w:w="7926" w:type="dxa"/>
          </w:tcPr>
          <w:p w14:paraId="39F3724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Sector (single select): Financial services; Healthcare; Retail; Manufacturing; Technology/IT services; Public sector; Other.</w:t>
            </w:r>
          </w:p>
        </w:tc>
      </w:tr>
      <w:tr w:rsidR="00021977" w:rsidRPr="00490D0D" w14:paraId="274452D1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441D9E30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</w:t>
            </w:r>
          </w:p>
        </w:tc>
        <w:tc>
          <w:tcPr>
            <w:tcW w:w="7926" w:type="dxa"/>
            <w:shd w:val="clear" w:color="auto" w:fill="DADEF1"/>
          </w:tcPr>
          <w:p w14:paraId="3F4A7A58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Region (single select): North America; Europe; APAC; Middle East &amp; Africa; Latin America.</w:t>
            </w:r>
          </w:p>
        </w:tc>
      </w:tr>
      <w:tr w:rsidR="00021977" w:rsidRPr="00490D0D" w14:paraId="56142650" w14:textId="77777777" w:rsidTr="00756381">
        <w:trPr>
          <w:jc w:val="center"/>
        </w:trPr>
        <w:tc>
          <w:tcPr>
            <w:tcW w:w="704" w:type="dxa"/>
          </w:tcPr>
          <w:p w14:paraId="0329F565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</w:t>
            </w:r>
          </w:p>
        </w:tc>
        <w:tc>
          <w:tcPr>
            <w:tcW w:w="7926" w:type="dxa"/>
          </w:tcPr>
          <w:p w14:paraId="7BB7D285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Organization size (single select): 1-49; 50-249; 250-999; 1,000-4,999; 5,000+ employees.</w:t>
            </w:r>
          </w:p>
        </w:tc>
      </w:tr>
      <w:tr w:rsidR="00021977" w:rsidRPr="00490D0D" w14:paraId="2DA08340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5E0EAE7E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</w:t>
            </w:r>
          </w:p>
        </w:tc>
        <w:tc>
          <w:tcPr>
            <w:tcW w:w="7926" w:type="dxa"/>
            <w:shd w:val="clear" w:color="auto" w:fill="DADEF1"/>
          </w:tcPr>
          <w:p w14:paraId="7448F30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AI adoption stage (single select): Exploring; Pilot; Production; Scaling.</w:t>
            </w:r>
          </w:p>
        </w:tc>
      </w:tr>
      <w:tr w:rsidR="00021977" w:rsidRPr="00490D0D" w14:paraId="0F6E20C8" w14:textId="77777777" w:rsidTr="00756381">
        <w:trPr>
          <w:jc w:val="center"/>
        </w:trPr>
        <w:tc>
          <w:tcPr>
            <w:tcW w:w="704" w:type="dxa"/>
          </w:tcPr>
          <w:p w14:paraId="01D80625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lastRenderedPageBreak/>
              <w:t>Q5</w:t>
            </w:r>
          </w:p>
        </w:tc>
        <w:tc>
          <w:tcPr>
            <w:tcW w:w="7926" w:type="dxa"/>
          </w:tcPr>
          <w:p w14:paraId="57706F64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Role (single select): Data Scientist/ML Engineer; Data Engineer; Governance/Risk/Compliance; Security/Privacy; Sustainability/ESG; Product/Business Owner; Executive.</w:t>
            </w:r>
          </w:p>
        </w:tc>
      </w:tr>
      <w:tr w:rsidR="00021977" w:rsidRPr="00490D0D" w14:paraId="72FC8729" w14:textId="77777777" w:rsidTr="00756381">
        <w:trPr>
          <w:jc w:val="center"/>
        </w:trPr>
        <w:tc>
          <w:tcPr>
            <w:tcW w:w="704" w:type="dxa"/>
          </w:tcPr>
          <w:p w14:paraId="0EEC4DC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Q6</w:t>
            </w:r>
          </w:p>
        </w:tc>
        <w:tc>
          <w:tcPr>
            <w:tcW w:w="7926" w:type="dxa"/>
          </w:tcPr>
          <w:p w14:paraId="1A70C32E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Seniority (single select): Individual Contributor; Manager; Director/Head; Executive.</w:t>
            </w:r>
          </w:p>
        </w:tc>
      </w:tr>
      <w:tr w:rsidR="00021977" w:rsidRPr="00490D0D" w14:paraId="4FF2E82A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5CDA2CB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Q7</w:t>
            </w:r>
          </w:p>
        </w:tc>
        <w:tc>
          <w:tcPr>
            <w:tcW w:w="7926" w:type="dxa"/>
            <w:shd w:val="clear" w:color="auto" w:fill="DADEF1"/>
          </w:tcPr>
          <w:p w14:paraId="38F2A6B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Years of AI-related experience (single select): 0-2; 3-5; 6-10; 11-15; 16+.</w:t>
            </w:r>
          </w:p>
        </w:tc>
      </w:tr>
      <w:tr w:rsidR="00021977" w:rsidRPr="00490D0D" w14:paraId="6BF2C418" w14:textId="77777777" w:rsidTr="00756381">
        <w:trPr>
          <w:jc w:val="center"/>
        </w:trPr>
        <w:tc>
          <w:tcPr>
            <w:tcW w:w="704" w:type="dxa"/>
          </w:tcPr>
          <w:p w14:paraId="34C16EBF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Q8</w:t>
            </w:r>
          </w:p>
        </w:tc>
        <w:tc>
          <w:tcPr>
            <w:tcW w:w="7926" w:type="dxa"/>
          </w:tcPr>
          <w:p w14:paraId="7BC266E8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Primary AI domain (single select): Predictive analytics; Decision automation; GenAI/NLP; Computer vision; Recommenders; Optimization.</w:t>
            </w:r>
          </w:p>
        </w:tc>
      </w:tr>
      <w:tr w:rsidR="00021977" w:rsidRPr="00490D0D" w14:paraId="679D5ADA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5B59C99F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Q9</w:t>
            </w:r>
          </w:p>
        </w:tc>
        <w:tc>
          <w:tcPr>
            <w:tcW w:w="7926" w:type="dxa"/>
            <w:shd w:val="clear" w:color="auto" w:fill="DADEF1"/>
          </w:tcPr>
          <w:p w14:paraId="1E98D12D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Do you work on high-impact or regulated AI use cases (e.g., lending, healthcare, hiring)? (Yes/No)</w:t>
            </w:r>
          </w:p>
        </w:tc>
      </w:tr>
      <w:tr w:rsidR="00021977" w:rsidRPr="00490D0D" w14:paraId="2B7152FA" w14:textId="77777777" w:rsidTr="00756381">
        <w:trPr>
          <w:jc w:val="center"/>
        </w:trPr>
        <w:tc>
          <w:tcPr>
            <w:tcW w:w="704" w:type="dxa"/>
          </w:tcPr>
          <w:p w14:paraId="1AB33D2E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Q10</w:t>
            </w:r>
          </w:p>
        </w:tc>
        <w:tc>
          <w:tcPr>
            <w:tcW w:w="7926" w:type="dxa"/>
          </w:tcPr>
          <w:p w14:paraId="693EDB56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Formal data governance exists in my organization (single select): Yes; In progress; No.</w:t>
            </w:r>
          </w:p>
        </w:tc>
      </w:tr>
      <w:tr w:rsidR="00021977" w:rsidRPr="00490D0D" w14:paraId="138FF2AB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35890767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Q11</w:t>
            </w:r>
          </w:p>
        </w:tc>
        <w:tc>
          <w:tcPr>
            <w:tcW w:w="7926" w:type="dxa"/>
            <w:shd w:val="clear" w:color="auto" w:fill="DADEF1"/>
          </w:tcPr>
          <w:p w14:paraId="64EDD84D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Formal AI governance exists in my organization (single select): Yes; In progress; No.</w:t>
            </w:r>
          </w:p>
        </w:tc>
      </w:tr>
      <w:tr w:rsidR="00021977" w:rsidRPr="00490D0D" w14:paraId="76129481" w14:textId="77777777" w:rsidTr="00756381">
        <w:trPr>
          <w:jc w:val="center"/>
        </w:trPr>
        <w:tc>
          <w:tcPr>
            <w:tcW w:w="704" w:type="dxa"/>
          </w:tcPr>
          <w:p w14:paraId="145D44CB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Q12</w:t>
            </w:r>
          </w:p>
        </w:tc>
        <w:tc>
          <w:tcPr>
            <w:tcW w:w="7926" w:type="dxa"/>
          </w:tcPr>
          <w:p w14:paraId="5924DBD6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Data governance and AI governance are integrated into a single lifecycle process (Yes/No).</w:t>
            </w:r>
          </w:p>
        </w:tc>
      </w:tr>
      <w:tr w:rsidR="00021977" w:rsidRPr="00490D0D" w14:paraId="0E416EAC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41D80B0E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Q13</w:t>
            </w:r>
          </w:p>
        </w:tc>
        <w:tc>
          <w:tcPr>
            <w:tcW w:w="7926" w:type="dxa"/>
            <w:shd w:val="clear" w:color="auto" w:fill="DADEF1"/>
          </w:tcPr>
          <w:p w14:paraId="182CEB0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We have an ethics review board / model risk committee that reviews AI use cases (Yes/No).</w:t>
            </w:r>
          </w:p>
        </w:tc>
      </w:tr>
      <w:tr w:rsidR="00021977" w:rsidRPr="00490D0D" w14:paraId="7CAEC63C" w14:textId="77777777" w:rsidTr="00756381">
        <w:trPr>
          <w:jc w:val="center"/>
        </w:trPr>
        <w:tc>
          <w:tcPr>
            <w:tcW w:w="704" w:type="dxa"/>
          </w:tcPr>
          <w:p w14:paraId="7F3F6B03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Q14</w:t>
            </w:r>
          </w:p>
        </w:tc>
        <w:tc>
          <w:tcPr>
            <w:tcW w:w="7926" w:type="dxa"/>
          </w:tcPr>
          <w:p w14:paraId="3EF94A93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We use data lineage tools to track datasets end-to-end (Yes/No).</w:t>
            </w:r>
          </w:p>
        </w:tc>
      </w:tr>
      <w:tr w:rsidR="00021977" w:rsidRPr="00490D0D" w14:paraId="262BC3AA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57F7EE05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Q15</w:t>
            </w:r>
          </w:p>
        </w:tc>
        <w:tc>
          <w:tcPr>
            <w:tcW w:w="7926" w:type="dxa"/>
            <w:shd w:val="clear" w:color="auto" w:fill="DADEF1"/>
          </w:tcPr>
          <w:p w14:paraId="5D732A54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We use model cards (or equivalent standardized model documentation) (Yes/No).</w:t>
            </w:r>
          </w:p>
        </w:tc>
      </w:tr>
      <w:tr w:rsidR="00021977" w:rsidRPr="00490D0D" w14:paraId="773C2E37" w14:textId="77777777" w:rsidTr="00756381">
        <w:trPr>
          <w:jc w:val="center"/>
        </w:trPr>
        <w:tc>
          <w:tcPr>
            <w:tcW w:w="704" w:type="dxa"/>
          </w:tcPr>
          <w:p w14:paraId="77FE20DA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Q16</w:t>
            </w:r>
          </w:p>
        </w:tc>
        <w:tc>
          <w:tcPr>
            <w:tcW w:w="7926" w:type="dxa"/>
          </w:tcPr>
          <w:p w14:paraId="6B3F5210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Estimated monitoring coverage across deployed AI systems (0-100%).</w:t>
            </w:r>
          </w:p>
        </w:tc>
      </w:tr>
      <w:tr w:rsidR="00021977" w:rsidRPr="00490D0D" w14:paraId="124B1094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5AC5DE4D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Q17</w:t>
            </w:r>
          </w:p>
        </w:tc>
        <w:tc>
          <w:tcPr>
            <w:tcW w:w="7926" w:type="dxa"/>
            <w:shd w:val="clear" w:color="auto" w:fill="DADEF1"/>
          </w:tcPr>
          <w:p w14:paraId="73EE2695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Fairness testing frequency (single select): Every release; Quarterly; Annually; Rarely.</w:t>
            </w:r>
          </w:p>
        </w:tc>
      </w:tr>
      <w:tr w:rsidR="00021977" w:rsidRPr="00490D0D" w14:paraId="7B6CE2FC" w14:textId="77777777" w:rsidTr="00756381">
        <w:trPr>
          <w:jc w:val="center"/>
        </w:trPr>
        <w:tc>
          <w:tcPr>
            <w:tcW w:w="704" w:type="dxa"/>
          </w:tcPr>
          <w:p w14:paraId="64C7A75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Q18</w:t>
            </w:r>
          </w:p>
        </w:tc>
        <w:tc>
          <w:tcPr>
            <w:tcW w:w="7926" w:type="dxa"/>
          </w:tcPr>
          <w:p w14:paraId="5A6BFA44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Policy-as-code coverage (single select): None; Partial; Extensive.</w:t>
            </w:r>
          </w:p>
        </w:tc>
      </w:tr>
      <w:tr w:rsidR="00021977" w:rsidRPr="00490D0D" w14:paraId="31CE13C1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1B4CC70C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Q19</w:t>
            </w:r>
          </w:p>
        </w:tc>
        <w:tc>
          <w:tcPr>
            <w:tcW w:w="7926" w:type="dxa"/>
            <w:shd w:val="clear" w:color="auto" w:fill="DADEF1"/>
          </w:tcPr>
          <w:p w14:paraId="6B7CE79B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Cross-functional training frequency for governance/responsible AI topics (single select): None; Annual; Quarterly; Monthly.</w:t>
            </w:r>
          </w:p>
        </w:tc>
      </w:tr>
      <w:tr w:rsidR="00021977" w:rsidRPr="00490D0D" w14:paraId="3A61E2E3" w14:textId="77777777" w:rsidTr="00756381">
        <w:trPr>
          <w:jc w:val="center"/>
        </w:trPr>
        <w:tc>
          <w:tcPr>
            <w:tcW w:w="704" w:type="dxa"/>
          </w:tcPr>
          <w:p w14:paraId="49D8A310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Q20</w:t>
            </w:r>
          </w:p>
        </w:tc>
        <w:tc>
          <w:tcPr>
            <w:tcW w:w="7926" w:type="dxa"/>
          </w:tcPr>
          <w:p w14:paraId="16F46F63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Energy tracking in AI operations (Yes/No).</w:t>
            </w:r>
          </w:p>
        </w:tc>
      </w:tr>
      <w:tr w:rsidR="00021977" w:rsidRPr="00490D0D" w14:paraId="0714C340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5849E19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Q21</w:t>
            </w:r>
          </w:p>
        </w:tc>
        <w:tc>
          <w:tcPr>
            <w:tcW w:w="7926" w:type="dxa"/>
            <w:shd w:val="clear" w:color="auto" w:fill="DADEF1"/>
          </w:tcPr>
          <w:p w14:paraId="2560A132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Carbon intensity per workload tracked (Yes/No).</w:t>
            </w:r>
          </w:p>
        </w:tc>
      </w:tr>
      <w:tr w:rsidR="00021977" w:rsidRPr="00490D0D" w14:paraId="4E2AEC90" w14:textId="77777777" w:rsidTr="00756381">
        <w:trPr>
          <w:jc w:val="center"/>
        </w:trPr>
        <w:tc>
          <w:tcPr>
            <w:tcW w:w="704" w:type="dxa"/>
          </w:tcPr>
          <w:p w14:paraId="429317AF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Q22</w:t>
            </w:r>
          </w:p>
        </w:tc>
        <w:tc>
          <w:tcPr>
            <w:tcW w:w="7926" w:type="dxa"/>
          </w:tcPr>
          <w:p w14:paraId="20007F93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Carbon budgets exist for AI workloads (Yes/No).</w:t>
            </w:r>
          </w:p>
        </w:tc>
      </w:tr>
      <w:tr w:rsidR="00021977" w:rsidRPr="00490D0D" w14:paraId="4D3BC0BD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5FC23910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Q23</w:t>
            </w:r>
          </w:p>
        </w:tc>
        <w:tc>
          <w:tcPr>
            <w:tcW w:w="7926" w:type="dxa"/>
            <w:shd w:val="clear" w:color="auto" w:fill="DADEF1"/>
          </w:tcPr>
          <w:p w14:paraId="3913F21B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Privacy-enhancing technologies in use (multi-select): Federated learning; Differential privacy; Trusted enclaves; SMPC/Homomorphic encryption; None.</w:t>
            </w:r>
          </w:p>
        </w:tc>
      </w:tr>
      <w:tr w:rsidR="00021977" w:rsidRPr="00490D0D" w14:paraId="7011A17D" w14:textId="77777777" w:rsidTr="00756381">
        <w:trPr>
          <w:jc w:val="center"/>
        </w:trPr>
        <w:tc>
          <w:tcPr>
            <w:tcW w:w="704" w:type="dxa"/>
          </w:tcPr>
          <w:p w14:paraId="085DDEB7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Q24</w:t>
            </w:r>
          </w:p>
        </w:tc>
        <w:tc>
          <w:tcPr>
            <w:tcW w:w="7926" w:type="dxa"/>
          </w:tcPr>
          <w:p w14:paraId="1435D3F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Regulatory pressure affecting AI governance (Likert 1-5).</w:t>
            </w:r>
          </w:p>
        </w:tc>
      </w:tr>
      <w:tr w:rsidR="00021977" w:rsidRPr="00490D0D" w14:paraId="4B7DD0CB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6F6D34CA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Q25</w:t>
            </w:r>
          </w:p>
        </w:tc>
        <w:tc>
          <w:tcPr>
            <w:tcW w:w="7926" w:type="dxa"/>
            <w:shd w:val="clear" w:color="auto" w:fill="DADEF1"/>
          </w:tcPr>
          <w:p w14:paraId="4B8F174D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Our organization has a defined ethical AI framework that is used in delivery. (Likert 1-5)</w:t>
            </w:r>
          </w:p>
        </w:tc>
      </w:tr>
      <w:tr w:rsidR="00021977" w:rsidRPr="00490D0D" w14:paraId="29AFA654" w14:textId="77777777" w:rsidTr="00756381">
        <w:trPr>
          <w:jc w:val="center"/>
        </w:trPr>
        <w:tc>
          <w:tcPr>
            <w:tcW w:w="704" w:type="dxa"/>
          </w:tcPr>
          <w:p w14:paraId="34BFE432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Q26</w:t>
            </w:r>
          </w:p>
        </w:tc>
        <w:tc>
          <w:tcPr>
            <w:tcW w:w="7926" w:type="dxa"/>
          </w:tcPr>
          <w:p w14:paraId="40A233F2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Fairness guidance is clear enough for teams to implement consistently. (Likert 1-5)</w:t>
            </w:r>
          </w:p>
        </w:tc>
      </w:tr>
      <w:tr w:rsidR="00021977" w:rsidRPr="00490D0D" w14:paraId="7BA7CFA0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528CAF12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lastRenderedPageBreak/>
              <w:t>Q27</w:t>
            </w:r>
          </w:p>
        </w:tc>
        <w:tc>
          <w:tcPr>
            <w:tcW w:w="7926" w:type="dxa"/>
            <w:shd w:val="clear" w:color="auto" w:fill="DADEF1"/>
          </w:tcPr>
          <w:p w14:paraId="7A25151C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Accountability roles (e.g., owners, approvers) are clearly defined across the AI lifecycle. (Likert 1-5)</w:t>
            </w:r>
          </w:p>
        </w:tc>
      </w:tr>
      <w:tr w:rsidR="00021977" w:rsidRPr="00490D0D" w14:paraId="5F18FC2C" w14:textId="77777777" w:rsidTr="00756381">
        <w:trPr>
          <w:jc w:val="center"/>
        </w:trPr>
        <w:tc>
          <w:tcPr>
            <w:tcW w:w="704" w:type="dxa"/>
          </w:tcPr>
          <w:p w14:paraId="6FD52216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Q28</w:t>
            </w:r>
          </w:p>
        </w:tc>
        <w:tc>
          <w:tcPr>
            <w:tcW w:w="7926" w:type="dxa"/>
          </w:tcPr>
          <w:p w14:paraId="5E8994A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Potential harmful or sensitive uses are assessed before release. (Likert 1-5)</w:t>
            </w:r>
          </w:p>
        </w:tc>
      </w:tr>
      <w:tr w:rsidR="00021977" w:rsidRPr="00490D0D" w14:paraId="341A8F61" w14:textId="77777777" w:rsidTr="00756381">
        <w:trPr>
          <w:jc w:val="center"/>
        </w:trPr>
        <w:tc>
          <w:tcPr>
            <w:tcW w:w="704" w:type="dxa"/>
          </w:tcPr>
          <w:p w14:paraId="5C8F0996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Q29</w:t>
            </w:r>
          </w:p>
        </w:tc>
        <w:tc>
          <w:tcPr>
            <w:tcW w:w="7926" w:type="dxa"/>
          </w:tcPr>
          <w:p w14:paraId="766FA504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We can trace model outputs back to data sources and key processing steps (end-to-end). (Likert 1-5)</w:t>
            </w:r>
          </w:p>
        </w:tc>
      </w:tr>
      <w:tr w:rsidR="00021977" w:rsidRPr="00490D0D" w14:paraId="6BD1C196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79FB38B4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Q30</w:t>
            </w:r>
          </w:p>
        </w:tc>
        <w:tc>
          <w:tcPr>
            <w:tcW w:w="7926" w:type="dxa"/>
            <w:shd w:val="clear" w:color="auto" w:fill="DADEF1"/>
          </w:tcPr>
          <w:p w14:paraId="35BB41A2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Explanations are provided to relevant stakeholders for high-impact decisions. (Likert 1-5)</w:t>
            </w:r>
          </w:p>
        </w:tc>
      </w:tr>
      <w:tr w:rsidR="00021977" w:rsidRPr="00490D0D" w14:paraId="1DE14258" w14:textId="77777777" w:rsidTr="00756381">
        <w:trPr>
          <w:jc w:val="center"/>
        </w:trPr>
        <w:tc>
          <w:tcPr>
            <w:tcW w:w="704" w:type="dxa"/>
          </w:tcPr>
          <w:p w14:paraId="68FC7A3F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Q31</w:t>
            </w:r>
          </w:p>
        </w:tc>
        <w:tc>
          <w:tcPr>
            <w:tcW w:w="7926" w:type="dxa"/>
          </w:tcPr>
          <w:p w14:paraId="38EAAC50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Decision logs are maintained for approvals, changes, and exceptions. (Likert 1-5)</w:t>
            </w:r>
          </w:p>
        </w:tc>
      </w:tr>
      <w:tr w:rsidR="00021977" w:rsidRPr="00490D0D" w14:paraId="43DC154D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65BAF62B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Q32</w:t>
            </w:r>
          </w:p>
        </w:tc>
        <w:tc>
          <w:tcPr>
            <w:tcW w:w="7926" w:type="dxa"/>
            <w:shd w:val="clear" w:color="auto" w:fill="DADEF1"/>
          </w:tcPr>
          <w:p w14:paraId="5082C568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 contestability process exists for affected users/stakeholders (review/appeal). (Likert 1-5)</w:t>
            </w:r>
          </w:p>
        </w:tc>
      </w:tr>
      <w:tr w:rsidR="00021977" w:rsidRPr="00490D0D" w14:paraId="0F48EEBF" w14:textId="77777777" w:rsidTr="00756381">
        <w:trPr>
          <w:jc w:val="center"/>
        </w:trPr>
        <w:tc>
          <w:tcPr>
            <w:tcW w:w="704" w:type="dxa"/>
          </w:tcPr>
          <w:p w14:paraId="6D2A01BD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Q33</w:t>
            </w:r>
          </w:p>
        </w:tc>
        <w:tc>
          <w:tcPr>
            <w:tcW w:w="7926" w:type="dxa"/>
          </w:tcPr>
          <w:p w14:paraId="7F919688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We have tools/processes for bias detection and monitoring. (Likert 1-5)</w:t>
            </w:r>
          </w:p>
        </w:tc>
      </w:tr>
      <w:tr w:rsidR="00021977" w:rsidRPr="00490D0D" w14:paraId="375D2C7F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7BFBDB4B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Q34</w:t>
            </w:r>
          </w:p>
        </w:tc>
        <w:tc>
          <w:tcPr>
            <w:tcW w:w="7926" w:type="dxa"/>
            <w:shd w:val="clear" w:color="auto" w:fill="DADEF1"/>
          </w:tcPr>
          <w:p w14:paraId="0818B826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Bias audits are performed on a regular cadence. (Likert 1-5)</w:t>
            </w:r>
          </w:p>
        </w:tc>
      </w:tr>
      <w:tr w:rsidR="00021977" w:rsidRPr="00490D0D" w14:paraId="42718096" w14:textId="77777777" w:rsidTr="00756381">
        <w:trPr>
          <w:jc w:val="center"/>
        </w:trPr>
        <w:tc>
          <w:tcPr>
            <w:tcW w:w="704" w:type="dxa"/>
          </w:tcPr>
          <w:p w14:paraId="0C80E1CD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Q35</w:t>
            </w:r>
          </w:p>
        </w:tc>
        <w:tc>
          <w:tcPr>
            <w:tcW w:w="7926" w:type="dxa"/>
          </w:tcPr>
          <w:p w14:paraId="47632AE5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Dataset documentation is complete and reliable (sources, labels, limitations). (Likert 1-5)</w:t>
            </w:r>
          </w:p>
        </w:tc>
      </w:tr>
      <w:tr w:rsidR="00021977" w:rsidRPr="00490D0D" w14:paraId="59F861AD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175EDBD4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Q36</w:t>
            </w:r>
          </w:p>
        </w:tc>
        <w:tc>
          <w:tcPr>
            <w:tcW w:w="7926" w:type="dxa"/>
            <w:shd w:val="clear" w:color="auto" w:fill="DADEF1"/>
          </w:tcPr>
          <w:p w14:paraId="2D24059F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Data quality gates exist in pipelines before model training/inference. (Likert 1-5)</w:t>
            </w:r>
          </w:p>
        </w:tc>
      </w:tr>
      <w:tr w:rsidR="00021977" w:rsidRPr="00490D0D" w14:paraId="52CD1657" w14:textId="77777777" w:rsidTr="00756381">
        <w:trPr>
          <w:jc w:val="center"/>
        </w:trPr>
        <w:tc>
          <w:tcPr>
            <w:tcW w:w="704" w:type="dxa"/>
          </w:tcPr>
          <w:p w14:paraId="28C81D8A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Q37</w:t>
            </w:r>
          </w:p>
        </w:tc>
        <w:tc>
          <w:tcPr>
            <w:tcW w:w="7926" w:type="dxa"/>
          </w:tcPr>
          <w:p w14:paraId="2021FBFF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Automated validation checks run in pipelines (schema, drift, outliers). (Likert 1-5)</w:t>
            </w:r>
          </w:p>
        </w:tc>
      </w:tr>
      <w:tr w:rsidR="00021977" w:rsidRPr="00490D0D" w14:paraId="44ACC9AA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20DEE3FF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Q38</w:t>
            </w:r>
          </w:p>
        </w:tc>
        <w:tc>
          <w:tcPr>
            <w:tcW w:w="7926" w:type="dxa"/>
            <w:shd w:val="clear" w:color="auto" w:fill="DADEF1"/>
          </w:tcPr>
          <w:p w14:paraId="21DD5FB1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Metadata standards are consistent across domains and teams. (Likert 1-5)</w:t>
            </w:r>
          </w:p>
        </w:tc>
      </w:tr>
      <w:tr w:rsidR="00021977" w:rsidRPr="00490D0D" w14:paraId="4453465D" w14:textId="77777777" w:rsidTr="00756381">
        <w:trPr>
          <w:jc w:val="center"/>
        </w:trPr>
        <w:tc>
          <w:tcPr>
            <w:tcW w:w="704" w:type="dxa"/>
          </w:tcPr>
          <w:p w14:paraId="33C159B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Q39</w:t>
            </w:r>
          </w:p>
        </w:tc>
        <w:tc>
          <w:tcPr>
            <w:tcW w:w="7926" w:type="dxa"/>
          </w:tcPr>
          <w:p w14:paraId="1B9BD551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Energy use is measured per training/inference job. (Likert 1-5)</w:t>
            </w:r>
          </w:p>
        </w:tc>
      </w:tr>
      <w:tr w:rsidR="00021977" w:rsidRPr="00490D0D" w14:paraId="13674240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49BF31A1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Q40</w:t>
            </w:r>
          </w:p>
        </w:tc>
        <w:tc>
          <w:tcPr>
            <w:tcW w:w="7926" w:type="dxa"/>
            <w:shd w:val="clear" w:color="auto" w:fill="DADEF1"/>
          </w:tcPr>
          <w:p w14:paraId="46DFD125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Carbon impact is reported per workload or product. (Likert 1-5)</w:t>
            </w:r>
          </w:p>
        </w:tc>
      </w:tr>
      <w:tr w:rsidR="00021977" w:rsidRPr="00490D0D" w14:paraId="5F070BB0" w14:textId="77777777" w:rsidTr="00756381">
        <w:trPr>
          <w:jc w:val="center"/>
        </w:trPr>
        <w:tc>
          <w:tcPr>
            <w:tcW w:w="704" w:type="dxa"/>
          </w:tcPr>
          <w:p w14:paraId="7B654180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Q41</w:t>
            </w:r>
          </w:p>
        </w:tc>
        <w:tc>
          <w:tcPr>
            <w:tcW w:w="7926" w:type="dxa"/>
          </w:tcPr>
          <w:p w14:paraId="768ECACD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Green training practices are used (e.g., efficient architectures, scheduling, hardware choices). (Likert 1-5)</w:t>
            </w:r>
          </w:p>
        </w:tc>
      </w:tr>
      <w:tr w:rsidR="00021977" w:rsidRPr="00490D0D" w14:paraId="3166AA51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2C584A76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Q42</w:t>
            </w:r>
          </w:p>
        </w:tc>
        <w:tc>
          <w:tcPr>
            <w:tcW w:w="7926" w:type="dxa"/>
            <w:shd w:val="clear" w:color="auto" w:fill="DADEF1"/>
          </w:tcPr>
          <w:p w14:paraId="522D5D71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Executive sponsorship is strong and visible for governance. (Likert 1-5)</w:t>
            </w:r>
          </w:p>
        </w:tc>
      </w:tr>
      <w:tr w:rsidR="00021977" w:rsidRPr="00490D0D" w14:paraId="11425729" w14:textId="77777777" w:rsidTr="00756381">
        <w:trPr>
          <w:jc w:val="center"/>
        </w:trPr>
        <w:tc>
          <w:tcPr>
            <w:tcW w:w="704" w:type="dxa"/>
          </w:tcPr>
          <w:p w14:paraId="4AA0BF57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Q43</w:t>
            </w:r>
          </w:p>
        </w:tc>
        <w:tc>
          <w:tcPr>
            <w:tcW w:w="7926" w:type="dxa"/>
          </w:tcPr>
          <w:p w14:paraId="13D94540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Cross-functional collaboration works effectively (product, legal, risk, engineering). (Likert 1-5)</w:t>
            </w:r>
          </w:p>
        </w:tc>
      </w:tr>
      <w:tr w:rsidR="00021977" w:rsidRPr="00490D0D" w14:paraId="0D4139DE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39166822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Q44</w:t>
            </w:r>
          </w:p>
        </w:tc>
        <w:tc>
          <w:tcPr>
            <w:tcW w:w="7926" w:type="dxa"/>
            <w:shd w:val="clear" w:color="auto" w:fill="DADEF1"/>
          </w:tcPr>
          <w:p w14:paraId="2BA5A896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Resources (budget, tools, people) for governance are adequate. (Likert 1-5)</w:t>
            </w:r>
          </w:p>
        </w:tc>
      </w:tr>
      <w:tr w:rsidR="00021977" w:rsidRPr="00490D0D" w14:paraId="518553FD" w14:textId="77777777" w:rsidTr="00756381">
        <w:trPr>
          <w:jc w:val="center"/>
        </w:trPr>
        <w:tc>
          <w:tcPr>
            <w:tcW w:w="704" w:type="dxa"/>
          </w:tcPr>
          <w:p w14:paraId="1A55B60B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Q45</w:t>
            </w:r>
          </w:p>
        </w:tc>
        <w:tc>
          <w:tcPr>
            <w:tcW w:w="7926" w:type="dxa"/>
          </w:tcPr>
          <w:p w14:paraId="653586E8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Our fairness/accountability reviews improved after governance controls were introduced (Yes/No).</w:t>
            </w:r>
          </w:p>
        </w:tc>
      </w:tr>
      <w:tr w:rsidR="00021977" w:rsidRPr="00490D0D" w14:paraId="1D19D580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02F3E55C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Q46</w:t>
            </w:r>
          </w:p>
        </w:tc>
        <w:tc>
          <w:tcPr>
            <w:tcW w:w="7926" w:type="dxa"/>
            <w:shd w:val="clear" w:color="auto" w:fill="DADEF1"/>
          </w:tcPr>
          <w:p w14:paraId="61B2A2BB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Estimated reduction in data quality issues after governance (%).</w:t>
            </w:r>
          </w:p>
        </w:tc>
      </w:tr>
      <w:tr w:rsidR="00021977" w:rsidRPr="00490D0D" w14:paraId="69BF73ED" w14:textId="77777777" w:rsidTr="00756381">
        <w:trPr>
          <w:jc w:val="center"/>
        </w:trPr>
        <w:tc>
          <w:tcPr>
            <w:tcW w:w="704" w:type="dxa"/>
          </w:tcPr>
          <w:p w14:paraId="032059C2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Q47</w:t>
            </w:r>
          </w:p>
        </w:tc>
        <w:tc>
          <w:tcPr>
            <w:tcW w:w="7926" w:type="dxa"/>
          </w:tcPr>
          <w:p w14:paraId="0B201B2E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Estimated reduction in model incidents (e.g., policy violations, drift-related failures) after governance (%).</w:t>
            </w:r>
          </w:p>
        </w:tc>
      </w:tr>
      <w:tr w:rsidR="00021977" w:rsidRPr="00490D0D" w14:paraId="1D6C1D68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70CF2F1D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Q48</w:t>
            </w:r>
          </w:p>
        </w:tc>
        <w:tc>
          <w:tcPr>
            <w:tcW w:w="7926" w:type="dxa"/>
            <w:shd w:val="clear" w:color="auto" w:fill="DADEF1"/>
          </w:tcPr>
          <w:p w14:paraId="574F6F42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Estimated reduction in training energy after efficiency/governance interventions (%).</w:t>
            </w:r>
          </w:p>
        </w:tc>
      </w:tr>
      <w:tr w:rsidR="00021977" w:rsidRPr="00490D0D" w14:paraId="28C479C0" w14:textId="77777777" w:rsidTr="00756381">
        <w:trPr>
          <w:jc w:val="center"/>
        </w:trPr>
        <w:tc>
          <w:tcPr>
            <w:tcW w:w="704" w:type="dxa"/>
          </w:tcPr>
          <w:p w14:paraId="57B0DDDF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lastRenderedPageBreak/>
              <w:t>Q49</w:t>
            </w:r>
          </w:p>
        </w:tc>
        <w:tc>
          <w:tcPr>
            <w:tcW w:w="7926" w:type="dxa"/>
          </w:tcPr>
          <w:p w14:paraId="373C8B9B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Compliance reporting cycle time (days): baseline before controls; current after controls.</w:t>
            </w:r>
          </w:p>
        </w:tc>
      </w:tr>
      <w:tr w:rsidR="00021977" w:rsidRPr="00490D0D" w14:paraId="673D969A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147F7652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Q50</w:t>
            </w:r>
          </w:p>
        </w:tc>
        <w:tc>
          <w:tcPr>
            <w:tcW w:w="7926" w:type="dxa"/>
            <w:shd w:val="clear" w:color="auto" w:fill="DADEF1"/>
          </w:tcPr>
          <w:p w14:paraId="78EAEAC6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Overall trust in AI within the organization (Likert 1-5).</w:t>
            </w:r>
          </w:p>
        </w:tc>
      </w:tr>
      <w:tr w:rsidR="00021977" w:rsidRPr="00490D0D" w14:paraId="0B1E3C7D" w14:textId="77777777" w:rsidTr="00756381">
        <w:trPr>
          <w:jc w:val="center"/>
        </w:trPr>
        <w:tc>
          <w:tcPr>
            <w:tcW w:w="704" w:type="dxa"/>
          </w:tcPr>
          <w:p w14:paraId="40C788B5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Q51</w:t>
            </w:r>
          </w:p>
        </w:tc>
        <w:tc>
          <w:tcPr>
            <w:tcW w:w="7926" w:type="dxa"/>
          </w:tcPr>
          <w:p w14:paraId="41D45DC6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Alignment of AI work with sustainability targets (Likert 1-5).</w:t>
            </w:r>
          </w:p>
        </w:tc>
      </w:tr>
      <w:tr w:rsidR="00021977" w:rsidRPr="00490D0D" w14:paraId="3EF13BF9" w14:textId="77777777" w:rsidTr="00756381">
        <w:trPr>
          <w:jc w:val="center"/>
        </w:trPr>
        <w:tc>
          <w:tcPr>
            <w:tcW w:w="704" w:type="dxa"/>
          </w:tcPr>
          <w:p w14:paraId="22034CCC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Q52</w:t>
            </w:r>
          </w:p>
        </w:tc>
        <w:tc>
          <w:tcPr>
            <w:tcW w:w="7926" w:type="dxa"/>
          </w:tcPr>
          <w:p w14:paraId="73A5E93A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Top challenge (single select): Fragmented standards; Skill gaps; Tooling gaps; Data quality/lineage; Organizational resistance; Measuring environmental impact; Balancing innovation speed with oversight.</w:t>
            </w:r>
          </w:p>
        </w:tc>
      </w:tr>
      <w:tr w:rsidR="00021977" w:rsidRPr="00490D0D" w14:paraId="7A5AA3CB" w14:textId="77777777" w:rsidTr="00756381">
        <w:trPr>
          <w:jc w:val="center"/>
        </w:trPr>
        <w:tc>
          <w:tcPr>
            <w:tcW w:w="704" w:type="dxa"/>
            <w:shd w:val="clear" w:color="auto" w:fill="DADEF1"/>
          </w:tcPr>
          <w:p w14:paraId="47969A7F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Q53</w:t>
            </w:r>
          </w:p>
        </w:tc>
        <w:tc>
          <w:tcPr>
            <w:tcW w:w="7926" w:type="dxa"/>
            <w:shd w:val="clear" w:color="auto" w:fill="DADEF1"/>
          </w:tcPr>
          <w:p w14:paraId="77B1C835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Optional open text: What worked best?</w:t>
            </w:r>
          </w:p>
        </w:tc>
      </w:tr>
      <w:tr w:rsidR="00021977" w:rsidRPr="00490D0D" w14:paraId="2EB128A2" w14:textId="77777777" w:rsidTr="00756381">
        <w:trPr>
          <w:jc w:val="center"/>
        </w:trPr>
        <w:tc>
          <w:tcPr>
            <w:tcW w:w="704" w:type="dxa"/>
          </w:tcPr>
          <w:p w14:paraId="024A9D68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Q54</w:t>
            </w:r>
          </w:p>
        </w:tc>
        <w:tc>
          <w:tcPr>
            <w:tcW w:w="7926" w:type="dxa"/>
          </w:tcPr>
          <w:p w14:paraId="03855F99" w14:textId="77777777" w:rsidR="00021977" w:rsidRPr="00490D0D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Optional open text: What should be improved next?</w:t>
            </w:r>
          </w:p>
        </w:tc>
      </w:tr>
    </w:tbl>
    <w:p w14:paraId="5D709439" w14:textId="77777777" w:rsidR="00021977" w:rsidRPr="006E5DC2" w:rsidRDefault="00021977" w:rsidP="00021977">
      <w:pPr>
        <w:rPr>
          <w:rFonts w:cs="Times New Roman"/>
          <w:sz w:val="20"/>
          <w:szCs w:val="20"/>
        </w:rPr>
      </w:pPr>
    </w:p>
    <w:p w14:paraId="42F3474E" w14:textId="77777777" w:rsidR="00021977" w:rsidRPr="00A563C7" w:rsidRDefault="00021977" w:rsidP="00021977">
      <w:pPr>
        <w:pStyle w:val="Heading2"/>
        <w:rPr>
          <w:rFonts w:ascii="Times New Roman" w:eastAsia="Times New Roman" w:hAnsi="Times New Roman" w:cs="Times New Roman"/>
          <w:sz w:val="28"/>
          <w:szCs w:val="22"/>
        </w:rPr>
      </w:pPr>
      <w:r w:rsidRPr="00A563C7">
        <w:rPr>
          <w:rFonts w:ascii="Times New Roman" w:eastAsia="Times New Roman" w:hAnsi="Times New Roman" w:cs="Times New Roman"/>
          <w:sz w:val="28"/>
          <w:szCs w:val="22"/>
        </w:rPr>
        <w:t>APPENDIX C. PRIMARY DATA VIA CLOUD DATA EXCHANGES AND SURVEY AUTHENTICATION</w:t>
      </w:r>
    </w:p>
    <w:p w14:paraId="0A034F69" w14:textId="77777777" w:rsidR="00021977" w:rsidRDefault="00021977" w:rsidP="00021977">
      <w:pPr>
        <w:rPr>
          <w:rFonts w:cs="Times New Roman"/>
          <w:sz w:val="20"/>
          <w:szCs w:val="20"/>
        </w:rPr>
      </w:pPr>
      <w:r w:rsidRPr="34096275">
        <w:rPr>
          <w:rFonts w:cs="Times New Roman"/>
          <w:sz w:val="20"/>
          <w:szCs w:val="20"/>
        </w:rPr>
        <w:t>This appendix provides (</w:t>
      </w:r>
      <w:proofErr w:type="spellStart"/>
      <w:r w:rsidRPr="34096275">
        <w:rPr>
          <w:rFonts w:cs="Times New Roman"/>
          <w:sz w:val="20"/>
          <w:szCs w:val="20"/>
        </w:rPr>
        <w:t>i</w:t>
      </w:r>
      <w:proofErr w:type="spellEnd"/>
      <w:r w:rsidRPr="34096275">
        <w:rPr>
          <w:rFonts w:cs="Times New Roman"/>
          <w:sz w:val="20"/>
          <w:szCs w:val="20"/>
        </w:rPr>
        <w:t>) a non-exhaustive catalog of primary-data categories that can be sourced through cloud data exchanges/marketplaces to operationalize DG-SA indicators, and (ii) a provenance/authentication summary for the public survey sources used to construct benchmarkable proxies.</w:t>
      </w:r>
    </w:p>
    <w:tbl>
      <w:tblPr>
        <w:tblStyle w:val="TableGrid"/>
        <w:tblW w:w="0" w:type="auto"/>
        <w:tblBorders>
          <w:top w:val="single" w:sz="8" w:space="0" w:color="6E2D9D"/>
          <w:left w:val="single" w:sz="8" w:space="0" w:color="6E2D9D"/>
          <w:bottom w:val="single" w:sz="8" w:space="0" w:color="6E2D9D"/>
          <w:right w:val="single" w:sz="8" w:space="0" w:color="6E2D9D"/>
          <w:insideH w:val="single" w:sz="8" w:space="0" w:color="6E2D9D"/>
          <w:insideV w:val="single" w:sz="8" w:space="0" w:color="6E2D9D"/>
        </w:tblBorders>
        <w:tblLook w:val="04A0" w:firstRow="1" w:lastRow="0" w:firstColumn="1" w:lastColumn="0" w:noHBand="0" w:noVBand="1"/>
      </w:tblPr>
      <w:tblGrid>
        <w:gridCol w:w="1162"/>
        <w:gridCol w:w="2128"/>
        <w:gridCol w:w="1754"/>
        <w:gridCol w:w="1714"/>
        <w:gridCol w:w="1862"/>
      </w:tblGrid>
      <w:tr w:rsidR="00021977" w:rsidRPr="004F0ECA" w14:paraId="7283DD7C" w14:textId="77777777" w:rsidTr="00756381">
        <w:tc>
          <w:tcPr>
            <w:tcW w:w="1728" w:type="dxa"/>
            <w:shd w:val="clear" w:color="auto" w:fill="4B0082"/>
          </w:tcPr>
          <w:p w14:paraId="3C0A1AFA" w14:textId="77777777" w:rsidR="00021977" w:rsidRPr="004F0ECA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Data exchange / marketplace</w:t>
            </w:r>
          </w:p>
        </w:tc>
        <w:tc>
          <w:tcPr>
            <w:tcW w:w="1728" w:type="dxa"/>
            <w:shd w:val="clear" w:color="auto" w:fill="4B0082"/>
          </w:tcPr>
          <w:p w14:paraId="6AB9CC9F" w14:textId="77777777" w:rsidR="00021977" w:rsidRPr="004F0ECA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Primary datasets (typical categories)</w:t>
            </w:r>
          </w:p>
        </w:tc>
        <w:tc>
          <w:tcPr>
            <w:tcW w:w="1728" w:type="dxa"/>
            <w:shd w:val="clear" w:color="auto" w:fill="4B0082"/>
          </w:tcPr>
          <w:p w14:paraId="74EBEDDD" w14:textId="77777777" w:rsidR="00021977" w:rsidRPr="004F0ECA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DG-SA capabilities strengthened</w:t>
            </w:r>
          </w:p>
        </w:tc>
        <w:tc>
          <w:tcPr>
            <w:tcW w:w="1728" w:type="dxa"/>
            <w:shd w:val="clear" w:color="auto" w:fill="4B0082"/>
          </w:tcPr>
          <w:p w14:paraId="1A112C07" w14:textId="77777777" w:rsidR="00021977" w:rsidRPr="004F0ECA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Example benchmark indicator</w:t>
            </w:r>
          </w:p>
        </w:tc>
        <w:tc>
          <w:tcPr>
            <w:tcW w:w="1728" w:type="dxa"/>
            <w:shd w:val="clear" w:color="auto" w:fill="4B0082"/>
          </w:tcPr>
          <w:p w14:paraId="1FD2BC05" w14:textId="77777777" w:rsidR="00021977" w:rsidRPr="004F0ECA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Validation / licensing notes</w:t>
            </w:r>
          </w:p>
        </w:tc>
      </w:tr>
      <w:tr w:rsidR="00021977" w:rsidRPr="004F0ECA" w14:paraId="545FFC2F" w14:textId="77777777" w:rsidTr="00756381">
        <w:tc>
          <w:tcPr>
            <w:tcW w:w="1728" w:type="dxa"/>
          </w:tcPr>
          <w:p w14:paraId="47D4DDCD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AWS Data Exchange [34]</w:t>
            </w:r>
          </w:p>
        </w:tc>
        <w:tc>
          <w:tcPr>
            <w:tcW w:w="1728" w:type="dxa"/>
          </w:tcPr>
          <w:p w14:paraId="4C4DCFC6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Licensed or free third‑party datasets (e.g., corporate filings/ESG; cybersecurity/vulnerability feeds; job postings; energy/carbon intensity reference data; supply-chain risk). Example: SEC EDGAR 10‑K/10‑Q filings datasets available via AWS Marketplace/Data Exchange. [41]</w:t>
            </w:r>
          </w:p>
        </w:tc>
        <w:tc>
          <w:tcPr>
            <w:tcW w:w="1728" w:type="dxa"/>
          </w:tcPr>
          <w:p w14:paraId="6028B1A6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Auditability; Risk Assessment; Incident Response; Sustainability/Energy (when carbon intensity data is available).</w:t>
            </w:r>
          </w:p>
        </w:tc>
        <w:tc>
          <w:tcPr>
            <w:tcW w:w="1728" w:type="dxa"/>
          </w:tcPr>
          <w:p w14:paraId="14341B87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 xml:space="preserve">AI governance job‑posting share; AI incident rate by sector; carbon intensity index used for training/inference </w:t>
            </w:r>
            <w:proofErr w:type="spellStart"/>
            <w:r w:rsidRPr="34096275">
              <w:rPr>
                <w:rFonts w:cs="Times New Roman"/>
                <w:sz w:val="20"/>
                <w:szCs w:val="20"/>
              </w:rPr>
              <w:t>footprinting</w:t>
            </w:r>
            <w:proofErr w:type="spellEnd"/>
            <w:r w:rsidRPr="3409627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728" w:type="dxa"/>
          </w:tcPr>
          <w:p w14:paraId="2E10C4F0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Prefer datasets with clear provenance, refresh cadence, and data dictionaries; record subscription terms and reuse constraints.</w:t>
            </w:r>
          </w:p>
        </w:tc>
      </w:tr>
      <w:tr w:rsidR="00021977" w:rsidRPr="004F0ECA" w14:paraId="019871BB" w14:textId="77777777" w:rsidTr="00756381">
        <w:tc>
          <w:tcPr>
            <w:tcW w:w="1728" w:type="dxa"/>
            <w:shd w:val="clear" w:color="auto" w:fill="DADEF1"/>
          </w:tcPr>
          <w:p w14:paraId="015A7E7B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Snowflake Marketplace [35]</w:t>
            </w:r>
          </w:p>
        </w:tc>
        <w:tc>
          <w:tcPr>
            <w:tcW w:w="1728" w:type="dxa"/>
            <w:shd w:val="clear" w:color="auto" w:fill="DADEF1"/>
          </w:tcPr>
          <w:p w14:paraId="07B2DB47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 xml:space="preserve">Shared data products and native apps via secure data sharing (provider listings) and </w:t>
            </w:r>
            <w:r w:rsidRPr="34096275">
              <w:rPr>
                <w:rFonts w:cs="Times New Roman"/>
                <w:sz w:val="20"/>
                <w:szCs w:val="20"/>
              </w:rPr>
              <w:lastRenderedPageBreak/>
              <w:t>Snowflake Data Foundations (public data). Examples: Our World in Data (OWID) energy and emissions datasets; curated climate/energy reference data. [40] Also includes enterprise-relevant compliance datasets such as SEC filings via marketplace listings. [42]</w:t>
            </w:r>
          </w:p>
        </w:tc>
        <w:tc>
          <w:tcPr>
            <w:tcW w:w="1728" w:type="dxa"/>
            <w:shd w:val="clear" w:color="auto" w:fill="DADEF1"/>
          </w:tcPr>
          <w:p w14:paraId="7392D4CF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lastRenderedPageBreak/>
              <w:t xml:space="preserve">Access Control; Privacy; Auditability; Data Quality (when </w:t>
            </w:r>
            <w:r w:rsidRPr="34096275">
              <w:rPr>
                <w:rFonts w:cs="Times New Roman"/>
                <w:sz w:val="20"/>
                <w:szCs w:val="20"/>
              </w:rPr>
              <w:lastRenderedPageBreak/>
              <w:t>providers supply quality metadata).</w:t>
            </w:r>
          </w:p>
        </w:tc>
        <w:tc>
          <w:tcPr>
            <w:tcW w:w="1728" w:type="dxa"/>
            <w:shd w:val="clear" w:color="auto" w:fill="DADEF1"/>
          </w:tcPr>
          <w:p w14:paraId="62FB005F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lastRenderedPageBreak/>
              <w:t xml:space="preserve">Share of externally sourced datasets with declared quality </w:t>
            </w:r>
            <w:r w:rsidRPr="34096275">
              <w:rPr>
                <w:rFonts w:cs="Times New Roman"/>
                <w:sz w:val="20"/>
                <w:szCs w:val="20"/>
              </w:rPr>
              <w:lastRenderedPageBreak/>
              <w:t>SLAs; share of shared datasets with row/column policies enabled.</w:t>
            </w:r>
          </w:p>
        </w:tc>
        <w:tc>
          <w:tcPr>
            <w:tcW w:w="1728" w:type="dxa"/>
            <w:shd w:val="clear" w:color="auto" w:fill="DADEF1"/>
          </w:tcPr>
          <w:p w14:paraId="524A25C9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lastRenderedPageBreak/>
              <w:t xml:space="preserve">Capture listing metadata, provider attestations, and access controls; </w:t>
            </w:r>
            <w:r w:rsidRPr="34096275">
              <w:rPr>
                <w:rFonts w:cs="Times New Roman"/>
                <w:sz w:val="20"/>
                <w:szCs w:val="20"/>
              </w:rPr>
              <w:lastRenderedPageBreak/>
              <w:t>verify whether metrics come from provider metadata vs independent checks.</w:t>
            </w:r>
          </w:p>
        </w:tc>
      </w:tr>
      <w:tr w:rsidR="00021977" w:rsidRPr="004F0ECA" w14:paraId="6D22DDF8" w14:textId="77777777" w:rsidTr="00756381">
        <w:tc>
          <w:tcPr>
            <w:tcW w:w="1728" w:type="dxa"/>
          </w:tcPr>
          <w:p w14:paraId="504FC104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34096275">
              <w:rPr>
                <w:rFonts w:cs="Times New Roman"/>
                <w:sz w:val="20"/>
                <w:szCs w:val="20"/>
              </w:rPr>
              <w:lastRenderedPageBreak/>
              <w:t>BigQuery</w:t>
            </w:r>
            <w:proofErr w:type="spellEnd"/>
            <w:r w:rsidRPr="34096275">
              <w:rPr>
                <w:rFonts w:cs="Times New Roman"/>
                <w:sz w:val="20"/>
                <w:szCs w:val="20"/>
              </w:rPr>
              <w:t xml:space="preserve"> sharing / Analytics Hub [36]</w:t>
            </w:r>
          </w:p>
        </w:tc>
        <w:tc>
          <w:tcPr>
            <w:tcW w:w="1728" w:type="dxa"/>
          </w:tcPr>
          <w:p w14:paraId="1EAC8522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 xml:space="preserve">Dataset sharing within and across organizations; integration with </w:t>
            </w:r>
            <w:proofErr w:type="spellStart"/>
            <w:r w:rsidRPr="34096275">
              <w:rPr>
                <w:rFonts w:cs="Times New Roman"/>
                <w:sz w:val="20"/>
                <w:szCs w:val="20"/>
              </w:rPr>
              <w:t>BigQuery</w:t>
            </w:r>
            <w:proofErr w:type="spellEnd"/>
            <w:r w:rsidRPr="34096275">
              <w:rPr>
                <w:rFonts w:cs="Times New Roman"/>
                <w:sz w:val="20"/>
                <w:szCs w:val="20"/>
              </w:rPr>
              <w:t xml:space="preserve"> public datasets and Analytics Hub. Example: SEC Filings dataset in </w:t>
            </w:r>
            <w:proofErr w:type="spellStart"/>
            <w:r w:rsidRPr="34096275">
              <w:rPr>
                <w:rFonts w:cs="Times New Roman"/>
                <w:sz w:val="20"/>
                <w:szCs w:val="20"/>
              </w:rPr>
              <w:t>BigQuery</w:t>
            </w:r>
            <w:proofErr w:type="spellEnd"/>
            <w:r w:rsidRPr="34096275">
              <w:rPr>
                <w:rFonts w:cs="Times New Roman"/>
                <w:sz w:val="20"/>
                <w:szCs w:val="20"/>
              </w:rPr>
              <w:t xml:space="preserve"> public datasets, enabling SQL-based benchmarking of disclosure signals. [43]</w:t>
            </w:r>
          </w:p>
        </w:tc>
        <w:tc>
          <w:tcPr>
            <w:tcW w:w="1728" w:type="dxa"/>
          </w:tcPr>
          <w:p w14:paraId="5B7C1DA6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Access Control; Privacy; Auditability; Lineage (when combined with catalog/metadata tooling).</w:t>
            </w:r>
          </w:p>
        </w:tc>
        <w:tc>
          <w:tcPr>
            <w:tcW w:w="1728" w:type="dxa"/>
          </w:tcPr>
          <w:p w14:paraId="438A6144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External reference rate: proportion of governance indicators computed from traceable datasets with documented schemas and update logs.</w:t>
            </w:r>
          </w:p>
        </w:tc>
        <w:tc>
          <w:tcPr>
            <w:tcW w:w="1728" w:type="dxa"/>
          </w:tcPr>
          <w:p w14:paraId="2EC24020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Use IAM/logging to preserve audit trails; document regional/organizational scope and access boundaries.</w:t>
            </w:r>
          </w:p>
        </w:tc>
      </w:tr>
      <w:tr w:rsidR="00021977" w:rsidRPr="004F0ECA" w14:paraId="35F2105D" w14:textId="77777777" w:rsidTr="00756381">
        <w:tc>
          <w:tcPr>
            <w:tcW w:w="1728" w:type="dxa"/>
            <w:shd w:val="clear" w:color="auto" w:fill="DADEF1"/>
          </w:tcPr>
          <w:p w14:paraId="6DAA64D5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Databricks Marketplace [37]</w:t>
            </w:r>
          </w:p>
        </w:tc>
        <w:tc>
          <w:tcPr>
            <w:tcW w:w="1728" w:type="dxa"/>
            <w:shd w:val="clear" w:color="auto" w:fill="DADEF1"/>
          </w:tcPr>
          <w:p w14:paraId="3CEB3564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Data products shared via Delta Sharing (public/free/commercial) and partner integrations.</w:t>
            </w:r>
          </w:p>
        </w:tc>
        <w:tc>
          <w:tcPr>
            <w:tcW w:w="1728" w:type="dxa"/>
            <w:shd w:val="clear" w:color="auto" w:fill="DADEF1"/>
          </w:tcPr>
          <w:p w14:paraId="266C1A77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Access Control; Auditability; Lineage (via Unity Catalog/Delta Sharing metadata); Data Quality (provider metadata).</w:t>
            </w:r>
          </w:p>
        </w:tc>
        <w:tc>
          <w:tcPr>
            <w:tcW w:w="1728" w:type="dxa"/>
            <w:shd w:val="clear" w:color="auto" w:fill="DADEF1"/>
          </w:tcPr>
          <w:p w14:paraId="1C40189B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Marketplace‑sourced lineage coverage: fraction of externally sourced data products with versioned updates and schema evolution logs.</w:t>
            </w:r>
          </w:p>
        </w:tc>
        <w:tc>
          <w:tcPr>
            <w:tcW w:w="1728" w:type="dxa"/>
            <w:shd w:val="clear" w:color="auto" w:fill="DADEF1"/>
          </w:tcPr>
          <w:p w14:paraId="61FCAFD3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Prefer providers that expose schema evolution/versioning and quality checks; document whether lineage is end‑to‑end or partial.</w:t>
            </w:r>
          </w:p>
        </w:tc>
      </w:tr>
      <w:tr w:rsidR="00021977" w:rsidRPr="004F0ECA" w14:paraId="28CDBB7B" w14:textId="77777777" w:rsidTr="00756381">
        <w:tc>
          <w:tcPr>
            <w:tcW w:w="1728" w:type="dxa"/>
          </w:tcPr>
          <w:p w14:paraId="226A8A0B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Azure Data Share [38] / other exchanges</w:t>
            </w:r>
          </w:p>
        </w:tc>
        <w:tc>
          <w:tcPr>
            <w:tcW w:w="1728" w:type="dxa"/>
          </w:tcPr>
          <w:p w14:paraId="6C3E7BB2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Cross‑tenant dataset sharing governed by subscription and policy controls.</w:t>
            </w:r>
          </w:p>
        </w:tc>
        <w:tc>
          <w:tcPr>
            <w:tcW w:w="1728" w:type="dxa"/>
          </w:tcPr>
          <w:p w14:paraId="341C423E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Access Control; Auditability; Privacy.</w:t>
            </w:r>
          </w:p>
        </w:tc>
        <w:tc>
          <w:tcPr>
            <w:tcW w:w="1728" w:type="dxa"/>
          </w:tcPr>
          <w:p w14:paraId="3B2611A0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Coverage of externally shared datasets subject to documented approvals, access reviews, and logging.</w:t>
            </w:r>
          </w:p>
        </w:tc>
        <w:tc>
          <w:tcPr>
            <w:tcW w:w="1728" w:type="dxa"/>
          </w:tcPr>
          <w:p w14:paraId="3E7EFD71" w14:textId="77777777" w:rsidR="00021977" w:rsidRPr="004F0ECA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Treat exchange metadata as evidence; when feasible, triangulate with independent sources to reduce provider-reporting bias.</w:t>
            </w:r>
          </w:p>
        </w:tc>
      </w:tr>
    </w:tbl>
    <w:p w14:paraId="779E38F1" w14:textId="77777777" w:rsidR="00021977" w:rsidRDefault="00021977" w:rsidP="00021977">
      <w:pPr>
        <w:rPr>
          <w:rFonts w:cs="Times New Roman"/>
          <w:sz w:val="20"/>
          <w:szCs w:val="20"/>
        </w:rPr>
      </w:pPr>
    </w:p>
    <w:p w14:paraId="0BFB7EE6" w14:textId="77777777" w:rsidR="00021977" w:rsidRDefault="00021977" w:rsidP="00021977">
      <w:pPr>
        <w:jc w:val="center"/>
        <w:rPr>
          <w:rFonts w:cs="Times New Roman"/>
          <w:sz w:val="20"/>
          <w:szCs w:val="20"/>
        </w:rPr>
      </w:pPr>
      <w:r w:rsidRPr="34096275">
        <w:rPr>
          <w:rFonts w:cs="Times New Roman"/>
          <w:sz w:val="20"/>
          <w:szCs w:val="20"/>
        </w:rPr>
        <w:lastRenderedPageBreak/>
        <w:t>TABLE C2. AUTHENTICATION SUMMARY FOR PUBLIC SURVEY-BASED PROXIES</w:t>
      </w:r>
    </w:p>
    <w:tbl>
      <w:tblPr>
        <w:tblStyle w:val="TableGrid"/>
        <w:tblW w:w="0" w:type="auto"/>
        <w:tblBorders>
          <w:top w:val="single" w:sz="8" w:space="0" w:color="6E2D9D"/>
          <w:left w:val="single" w:sz="8" w:space="0" w:color="6E2D9D"/>
          <w:bottom w:val="single" w:sz="8" w:space="0" w:color="6E2D9D"/>
          <w:right w:val="single" w:sz="8" w:space="0" w:color="6E2D9D"/>
          <w:insideH w:val="single" w:sz="8" w:space="0" w:color="6E2D9D"/>
          <w:insideV w:val="single" w:sz="8" w:space="0" w:color="6E2D9D"/>
        </w:tblBorders>
        <w:tblLook w:val="04A0" w:firstRow="1" w:lastRow="0" w:firstColumn="1" w:lastColumn="0" w:noHBand="0" w:noVBand="1"/>
      </w:tblPr>
      <w:tblGrid>
        <w:gridCol w:w="1438"/>
        <w:gridCol w:w="1426"/>
        <w:gridCol w:w="1435"/>
        <w:gridCol w:w="1461"/>
        <w:gridCol w:w="1434"/>
        <w:gridCol w:w="1426"/>
      </w:tblGrid>
      <w:tr w:rsidR="00021977" w14:paraId="78F76DE1" w14:textId="77777777" w:rsidTr="00756381">
        <w:tc>
          <w:tcPr>
            <w:tcW w:w="1440" w:type="dxa"/>
            <w:shd w:val="clear" w:color="auto" w:fill="4B0082"/>
          </w:tcPr>
          <w:p w14:paraId="4A3FEF15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Proxy source (primary publication)</w:t>
            </w:r>
          </w:p>
        </w:tc>
        <w:tc>
          <w:tcPr>
            <w:tcW w:w="1440" w:type="dxa"/>
            <w:shd w:val="clear" w:color="auto" w:fill="4B0082"/>
          </w:tcPr>
          <w:p w14:paraId="11C3D4F2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440" w:type="dxa"/>
            <w:shd w:val="clear" w:color="auto" w:fill="4B0082"/>
          </w:tcPr>
          <w:p w14:paraId="20CCF300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Sample size (if disclosed)</w:t>
            </w:r>
          </w:p>
        </w:tc>
        <w:tc>
          <w:tcPr>
            <w:tcW w:w="1440" w:type="dxa"/>
            <w:shd w:val="clear" w:color="auto" w:fill="4B0082"/>
          </w:tcPr>
          <w:p w14:paraId="71930B7B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Methodology disclosure</w:t>
            </w:r>
          </w:p>
        </w:tc>
        <w:tc>
          <w:tcPr>
            <w:tcW w:w="1440" w:type="dxa"/>
            <w:shd w:val="clear" w:color="auto" w:fill="4B0082"/>
          </w:tcPr>
          <w:p w14:paraId="312C6EA3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Public microdata</w:t>
            </w:r>
          </w:p>
        </w:tc>
        <w:tc>
          <w:tcPr>
            <w:tcW w:w="1440" w:type="dxa"/>
            <w:shd w:val="clear" w:color="auto" w:fill="4B0082"/>
          </w:tcPr>
          <w:p w14:paraId="109D2DEC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Auth tier</w:t>
            </w:r>
          </w:p>
        </w:tc>
      </w:tr>
      <w:tr w:rsidR="00021977" w14:paraId="0768E9FA" w14:textId="77777777" w:rsidTr="00756381">
        <w:tc>
          <w:tcPr>
            <w:tcW w:w="1440" w:type="dxa"/>
          </w:tcPr>
          <w:p w14:paraId="473F44F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McKinsey Global Survey: State of AI [31]</w:t>
            </w:r>
          </w:p>
        </w:tc>
        <w:tc>
          <w:tcPr>
            <w:tcW w:w="1440" w:type="dxa"/>
          </w:tcPr>
          <w:p w14:paraId="614513F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2024</w:t>
            </w:r>
          </w:p>
        </w:tc>
        <w:tc>
          <w:tcPr>
            <w:tcW w:w="1440" w:type="dxa"/>
          </w:tcPr>
          <w:p w14:paraId="321CB87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1,993 participants</w:t>
            </w:r>
          </w:p>
        </w:tc>
        <w:tc>
          <w:tcPr>
            <w:tcW w:w="1440" w:type="dxa"/>
          </w:tcPr>
          <w:p w14:paraId="12DD61C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High (describes fielding and respondent profile)</w:t>
            </w:r>
          </w:p>
        </w:tc>
        <w:tc>
          <w:tcPr>
            <w:tcW w:w="1440" w:type="dxa"/>
          </w:tcPr>
          <w:p w14:paraId="51FC0F9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 (summary statistics)</w:t>
            </w:r>
          </w:p>
        </w:tc>
        <w:tc>
          <w:tcPr>
            <w:tcW w:w="1440" w:type="dxa"/>
          </w:tcPr>
          <w:p w14:paraId="4DEFE67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</w:t>
            </w:r>
          </w:p>
        </w:tc>
      </w:tr>
      <w:tr w:rsidR="00021977" w14:paraId="2F82A22A" w14:textId="77777777" w:rsidTr="00756381">
        <w:tc>
          <w:tcPr>
            <w:tcW w:w="1440" w:type="dxa"/>
            <w:shd w:val="clear" w:color="auto" w:fill="DADEF1"/>
          </w:tcPr>
          <w:p w14:paraId="5EE4DCA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ISACA AI Pulse Poll (Europe / global) [23]</w:t>
            </w:r>
          </w:p>
        </w:tc>
        <w:tc>
          <w:tcPr>
            <w:tcW w:w="1440" w:type="dxa"/>
            <w:shd w:val="clear" w:color="auto" w:fill="DADEF1"/>
          </w:tcPr>
          <w:p w14:paraId="0CF1114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2025</w:t>
            </w:r>
          </w:p>
        </w:tc>
        <w:tc>
          <w:tcPr>
            <w:tcW w:w="1440" w:type="dxa"/>
            <w:shd w:val="clear" w:color="auto" w:fill="DADEF1"/>
          </w:tcPr>
          <w:p w14:paraId="17300C1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&gt;3,000 (reported as “more than 3,000”)</w:t>
            </w:r>
          </w:p>
        </w:tc>
        <w:tc>
          <w:tcPr>
            <w:tcW w:w="1440" w:type="dxa"/>
            <w:shd w:val="clear" w:color="auto" w:fill="DADEF1"/>
          </w:tcPr>
          <w:p w14:paraId="294C6C2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Medium (high-level methodology; limited instrument detail)</w:t>
            </w:r>
          </w:p>
        </w:tc>
        <w:tc>
          <w:tcPr>
            <w:tcW w:w="1440" w:type="dxa"/>
            <w:shd w:val="clear" w:color="auto" w:fill="DADEF1"/>
          </w:tcPr>
          <w:p w14:paraId="73DEDF6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 (summary statistics)</w:t>
            </w:r>
          </w:p>
        </w:tc>
        <w:tc>
          <w:tcPr>
            <w:tcW w:w="1440" w:type="dxa"/>
            <w:shd w:val="clear" w:color="auto" w:fill="DADEF1"/>
          </w:tcPr>
          <w:p w14:paraId="482E33B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B</w:t>
            </w:r>
          </w:p>
        </w:tc>
      </w:tr>
      <w:tr w:rsidR="00021977" w14:paraId="04C23F6E" w14:textId="77777777" w:rsidTr="00756381">
        <w:tc>
          <w:tcPr>
            <w:tcW w:w="1440" w:type="dxa"/>
          </w:tcPr>
          <w:p w14:paraId="4193DEF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Fastly AI energy survey / report [28]</w:t>
            </w:r>
          </w:p>
        </w:tc>
        <w:tc>
          <w:tcPr>
            <w:tcW w:w="1440" w:type="dxa"/>
          </w:tcPr>
          <w:p w14:paraId="60DD0B3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2025</w:t>
            </w:r>
          </w:p>
        </w:tc>
        <w:tc>
          <w:tcPr>
            <w:tcW w:w="1440" w:type="dxa"/>
          </w:tcPr>
          <w:p w14:paraId="1B04D96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497 respondents</w:t>
            </w:r>
          </w:p>
        </w:tc>
        <w:tc>
          <w:tcPr>
            <w:tcW w:w="1440" w:type="dxa"/>
          </w:tcPr>
          <w:p w14:paraId="2415581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High (methods + respondent mix disclosed)</w:t>
            </w:r>
          </w:p>
        </w:tc>
        <w:tc>
          <w:tcPr>
            <w:tcW w:w="1440" w:type="dxa"/>
          </w:tcPr>
          <w:p w14:paraId="61E1B7C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 (summary statistics)</w:t>
            </w:r>
          </w:p>
        </w:tc>
        <w:tc>
          <w:tcPr>
            <w:tcW w:w="1440" w:type="dxa"/>
          </w:tcPr>
          <w:p w14:paraId="2B555C4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</w:t>
            </w:r>
          </w:p>
        </w:tc>
      </w:tr>
      <w:tr w:rsidR="00021977" w14:paraId="145A12EE" w14:textId="77777777" w:rsidTr="00756381">
        <w:tc>
          <w:tcPr>
            <w:tcW w:w="1440" w:type="dxa"/>
            <w:shd w:val="clear" w:color="auto" w:fill="DADEF1"/>
          </w:tcPr>
          <w:p w14:paraId="2B08097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EY Responsible AI Pulse Survey / report [25]</w:t>
            </w:r>
          </w:p>
        </w:tc>
        <w:tc>
          <w:tcPr>
            <w:tcW w:w="1440" w:type="dxa"/>
            <w:shd w:val="clear" w:color="auto" w:fill="DADEF1"/>
          </w:tcPr>
          <w:p w14:paraId="6E5F33E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2025</w:t>
            </w:r>
          </w:p>
        </w:tc>
        <w:tc>
          <w:tcPr>
            <w:tcW w:w="1440" w:type="dxa"/>
            <w:shd w:val="clear" w:color="auto" w:fill="DADEF1"/>
          </w:tcPr>
          <w:p w14:paraId="555613E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975 respondents</w:t>
            </w:r>
          </w:p>
        </w:tc>
        <w:tc>
          <w:tcPr>
            <w:tcW w:w="1440" w:type="dxa"/>
            <w:shd w:val="clear" w:color="auto" w:fill="DADEF1"/>
          </w:tcPr>
          <w:p w14:paraId="62477F8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High (methodology described)</w:t>
            </w:r>
          </w:p>
        </w:tc>
        <w:tc>
          <w:tcPr>
            <w:tcW w:w="1440" w:type="dxa"/>
            <w:shd w:val="clear" w:color="auto" w:fill="DADEF1"/>
          </w:tcPr>
          <w:p w14:paraId="6BF457B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 (summary statistics)</w:t>
            </w:r>
          </w:p>
        </w:tc>
        <w:tc>
          <w:tcPr>
            <w:tcW w:w="1440" w:type="dxa"/>
            <w:shd w:val="clear" w:color="auto" w:fill="DADEF1"/>
          </w:tcPr>
          <w:p w14:paraId="17D653D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</w:t>
            </w:r>
          </w:p>
        </w:tc>
      </w:tr>
      <w:tr w:rsidR="00021977" w14:paraId="5AB7F100" w14:textId="77777777" w:rsidTr="00756381">
        <w:tc>
          <w:tcPr>
            <w:tcW w:w="1440" w:type="dxa"/>
          </w:tcPr>
          <w:p w14:paraId="5E94E90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Precisely Planning Insights (data governance adoption) [24]</w:t>
            </w:r>
          </w:p>
        </w:tc>
        <w:tc>
          <w:tcPr>
            <w:tcW w:w="1440" w:type="dxa"/>
          </w:tcPr>
          <w:p w14:paraId="11BDD1E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2025</w:t>
            </w:r>
          </w:p>
        </w:tc>
        <w:tc>
          <w:tcPr>
            <w:tcW w:w="1440" w:type="dxa"/>
          </w:tcPr>
          <w:p w14:paraId="3A2B0CA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Not consistently disclosed on all pages</w:t>
            </w:r>
          </w:p>
        </w:tc>
        <w:tc>
          <w:tcPr>
            <w:tcW w:w="1440" w:type="dxa"/>
          </w:tcPr>
          <w:p w14:paraId="2091F65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Medium (depends on report version/landing page)</w:t>
            </w:r>
          </w:p>
        </w:tc>
        <w:tc>
          <w:tcPr>
            <w:tcW w:w="1440" w:type="dxa"/>
          </w:tcPr>
          <w:p w14:paraId="1AA3D82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 (summary statistics)</w:t>
            </w:r>
          </w:p>
        </w:tc>
        <w:tc>
          <w:tcPr>
            <w:tcW w:w="1440" w:type="dxa"/>
          </w:tcPr>
          <w:p w14:paraId="1AA8D9C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B/C</w:t>
            </w:r>
          </w:p>
        </w:tc>
      </w:tr>
      <w:tr w:rsidR="00021977" w14:paraId="3142C164" w14:textId="77777777" w:rsidTr="00756381">
        <w:tc>
          <w:tcPr>
            <w:tcW w:w="1440" w:type="dxa"/>
            <w:shd w:val="clear" w:color="auto" w:fill="DADEF1"/>
          </w:tcPr>
          <w:p w14:paraId="5DA565F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Dresner Advisory Services governance market study [26]</w:t>
            </w:r>
          </w:p>
        </w:tc>
        <w:tc>
          <w:tcPr>
            <w:tcW w:w="1440" w:type="dxa"/>
            <w:shd w:val="clear" w:color="auto" w:fill="DADEF1"/>
          </w:tcPr>
          <w:p w14:paraId="2D44995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2024</w:t>
            </w:r>
          </w:p>
        </w:tc>
        <w:tc>
          <w:tcPr>
            <w:tcW w:w="1440" w:type="dxa"/>
            <w:shd w:val="clear" w:color="auto" w:fill="DADEF1"/>
          </w:tcPr>
          <w:p w14:paraId="3BBB0FF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Not disclosed</w:t>
            </w:r>
          </w:p>
        </w:tc>
        <w:tc>
          <w:tcPr>
            <w:tcW w:w="1440" w:type="dxa"/>
            <w:shd w:val="clear" w:color="auto" w:fill="DADEF1"/>
          </w:tcPr>
          <w:p w14:paraId="1261735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Low–Medium (varies by report edition)</w:t>
            </w:r>
          </w:p>
        </w:tc>
        <w:tc>
          <w:tcPr>
            <w:tcW w:w="1440" w:type="dxa"/>
            <w:shd w:val="clear" w:color="auto" w:fill="DADEF1"/>
          </w:tcPr>
          <w:p w14:paraId="3F93ACC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1440" w:type="dxa"/>
            <w:shd w:val="clear" w:color="auto" w:fill="DADEF1"/>
          </w:tcPr>
          <w:p w14:paraId="1F58EB2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</w:t>
            </w:r>
          </w:p>
        </w:tc>
      </w:tr>
      <w:tr w:rsidR="00021977" w14:paraId="50BF458E" w14:textId="77777777" w:rsidTr="00756381">
        <w:tc>
          <w:tcPr>
            <w:tcW w:w="1440" w:type="dxa"/>
          </w:tcPr>
          <w:p w14:paraId="6901DAF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TDAN ‘State of Data Governance’ (secondary aggregation) [27]</w:t>
            </w:r>
          </w:p>
        </w:tc>
        <w:tc>
          <w:tcPr>
            <w:tcW w:w="1440" w:type="dxa"/>
          </w:tcPr>
          <w:p w14:paraId="073A141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2024</w:t>
            </w:r>
          </w:p>
        </w:tc>
        <w:tc>
          <w:tcPr>
            <w:tcW w:w="1440" w:type="dxa"/>
          </w:tcPr>
          <w:p w14:paraId="5A209DF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Not disclosed</w:t>
            </w:r>
          </w:p>
        </w:tc>
        <w:tc>
          <w:tcPr>
            <w:tcW w:w="1440" w:type="dxa"/>
          </w:tcPr>
          <w:p w14:paraId="305861F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Low (secondary compilation)</w:t>
            </w:r>
          </w:p>
        </w:tc>
        <w:tc>
          <w:tcPr>
            <w:tcW w:w="1440" w:type="dxa"/>
          </w:tcPr>
          <w:p w14:paraId="49B2659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1440" w:type="dxa"/>
          </w:tcPr>
          <w:p w14:paraId="5BF13D0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</w:t>
            </w:r>
          </w:p>
        </w:tc>
      </w:tr>
    </w:tbl>
    <w:p w14:paraId="54DC36C5" w14:textId="77777777" w:rsidR="00021977" w:rsidRDefault="00021977" w:rsidP="00021977">
      <w:pPr>
        <w:rPr>
          <w:rFonts w:cs="Times New Roman"/>
          <w:sz w:val="20"/>
          <w:szCs w:val="20"/>
        </w:rPr>
      </w:pPr>
    </w:p>
    <w:p w14:paraId="1F2E09C5" w14:textId="77777777" w:rsidR="00021977" w:rsidRPr="00A563C7" w:rsidRDefault="00021977" w:rsidP="00021977">
      <w:pPr>
        <w:pStyle w:val="Heading2"/>
        <w:rPr>
          <w:rFonts w:ascii="Times New Roman" w:eastAsia="Times New Roman" w:hAnsi="Times New Roman" w:cs="Times New Roman"/>
          <w:sz w:val="28"/>
          <w:szCs w:val="22"/>
        </w:rPr>
      </w:pPr>
      <w:r w:rsidRPr="00A563C7">
        <w:rPr>
          <w:rFonts w:ascii="Times New Roman" w:eastAsia="Times New Roman" w:hAnsi="Times New Roman" w:cs="Times New Roman"/>
          <w:sz w:val="28"/>
          <w:szCs w:val="22"/>
        </w:rPr>
        <w:lastRenderedPageBreak/>
        <w:t>APPENDIX D. DG-SA CODING MATRIX (18×12) AND ABBREVIATIONS</w:t>
      </w:r>
    </w:p>
    <w:p w14:paraId="44399B1D" w14:textId="77777777" w:rsidR="00021977" w:rsidRDefault="00021977" w:rsidP="00021977">
      <w:pPr>
        <w:rPr>
          <w:rFonts w:cs="Times New Roman"/>
          <w:sz w:val="20"/>
          <w:szCs w:val="20"/>
        </w:rPr>
      </w:pPr>
      <w:r w:rsidRPr="34096275">
        <w:rPr>
          <w:rFonts w:cs="Times New Roman"/>
          <w:sz w:val="20"/>
          <w:szCs w:val="20"/>
        </w:rPr>
        <w:t>Table D1 provides abbreviations for the 12 DG-SA capabilities used in the binary evidence map. Table D2 reports the complete binary coding matrix (1=capability operationalized with implementable evidence; 0=not operationalized).</w:t>
      </w:r>
    </w:p>
    <w:tbl>
      <w:tblPr>
        <w:tblStyle w:val="TableGrid"/>
        <w:tblW w:w="0" w:type="auto"/>
        <w:tblBorders>
          <w:top w:val="single" w:sz="8" w:space="0" w:color="6E2D9D"/>
          <w:left w:val="single" w:sz="8" w:space="0" w:color="6E2D9D"/>
          <w:bottom w:val="single" w:sz="8" w:space="0" w:color="6E2D9D"/>
          <w:right w:val="single" w:sz="8" w:space="0" w:color="6E2D9D"/>
          <w:insideH w:val="single" w:sz="8" w:space="0" w:color="6E2D9D"/>
          <w:insideV w:val="single" w:sz="8" w:space="0" w:color="6E2D9D"/>
        </w:tblBorders>
        <w:tblLook w:val="04A0" w:firstRow="1" w:lastRow="0" w:firstColumn="1" w:lastColumn="0" w:noHBand="0" w:noVBand="1"/>
      </w:tblPr>
      <w:tblGrid>
        <w:gridCol w:w="4307"/>
        <w:gridCol w:w="4313"/>
      </w:tblGrid>
      <w:tr w:rsidR="00021977" w14:paraId="7C7FD88F" w14:textId="77777777" w:rsidTr="00756381">
        <w:tc>
          <w:tcPr>
            <w:tcW w:w="4320" w:type="dxa"/>
            <w:shd w:val="clear" w:color="auto" w:fill="4B0082"/>
          </w:tcPr>
          <w:p w14:paraId="71008B7D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Abbrev.</w:t>
            </w:r>
          </w:p>
        </w:tc>
        <w:tc>
          <w:tcPr>
            <w:tcW w:w="4320" w:type="dxa"/>
            <w:shd w:val="clear" w:color="auto" w:fill="4B0082"/>
          </w:tcPr>
          <w:p w14:paraId="3CF42017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DG-SA capability</w:t>
            </w:r>
          </w:p>
        </w:tc>
      </w:tr>
      <w:tr w:rsidR="00021977" w14:paraId="5A4FD373" w14:textId="77777777" w:rsidTr="00756381">
        <w:tc>
          <w:tcPr>
            <w:tcW w:w="4320" w:type="dxa"/>
          </w:tcPr>
          <w:p w14:paraId="4FA3EDB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DQ</w:t>
            </w:r>
          </w:p>
        </w:tc>
        <w:tc>
          <w:tcPr>
            <w:tcW w:w="4320" w:type="dxa"/>
          </w:tcPr>
          <w:p w14:paraId="5EE38AC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Data Quality</w:t>
            </w:r>
          </w:p>
        </w:tc>
      </w:tr>
      <w:tr w:rsidR="00021977" w14:paraId="5AF710A9" w14:textId="77777777" w:rsidTr="00756381">
        <w:tc>
          <w:tcPr>
            <w:tcW w:w="4320" w:type="dxa"/>
            <w:shd w:val="clear" w:color="auto" w:fill="DADEF1"/>
          </w:tcPr>
          <w:p w14:paraId="436FD6D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LIN</w:t>
            </w:r>
          </w:p>
        </w:tc>
        <w:tc>
          <w:tcPr>
            <w:tcW w:w="4320" w:type="dxa"/>
            <w:shd w:val="clear" w:color="auto" w:fill="DADEF1"/>
          </w:tcPr>
          <w:p w14:paraId="3491DDC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Lineage</w:t>
            </w:r>
          </w:p>
        </w:tc>
      </w:tr>
      <w:tr w:rsidR="00021977" w14:paraId="27851489" w14:textId="77777777" w:rsidTr="00756381">
        <w:tc>
          <w:tcPr>
            <w:tcW w:w="4320" w:type="dxa"/>
          </w:tcPr>
          <w:p w14:paraId="534701A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</w:t>
            </w:r>
          </w:p>
        </w:tc>
        <w:tc>
          <w:tcPr>
            <w:tcW w:w="4320" w:type="dxa"/>
          </w:tcPr>
          <w:p w14:paraId="661750D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Access Control</w:t>
            </w:r>
          </w:p>
        </w:tc>
      </w:tr>
      <w:tr w:rsidR="00021977" w14:paraId="2265E109" w14:textId="77777777" w:rsidTr="00756381">
        <w:tc>
          <w:tcPr>
            <w:tcW w:w="4320" w:type="dxa"/>
            <w:shd w:val="clear" w:color="auto" w:fill="DADEF1"/>
          </w:tcPr>
          <w:p w14:paraId="377189B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</w:t>
            </w:r>
          </w:p>
        </w:tc>
        <w:tc>
          <w:tcPr>
            <w:tcW w:w="4320" w:type="dxa"/>
            <w:shd w:val="clear" w:color="auto" w:fill="DADEF1"/>
          </w:tcPr>
          <w:p w14:paraId="19BDD37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Privacy</w:t>
            </w:r>
          </w:p>
        </w:tc>
      </w:tr>
      <w:tr w:rsidR="00021977" w14:paraId="1E9F9D3C" w14:textId="77777777" w:rsidTr="00756381">
        <w:tc>
          <w:tcPr>
            <w:tcW w:w="4320" w:type="dxa"/>
          </w:tcPr>
          <w:p w14:paraId="3976CC3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MD</w:t>
            </w:r>
          </w:p>
        </w:tc>
        <w:tc>
          <w:tcPr>
            <w:tcW w:w="4320" w:type="dxa"/>
          </w:tcPr>
          <w:p w14:paraId="1D8551C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Model Documentation</w:t>
            </w:r>
          </w:p>
        </w:tc>
      </w:tr>
      <w:tr w:rsidR="00021977" w14:paraId="407D9EBE" w14:textId="77777777" w:rsidTr="00756381">
        <w:tc>
          <w:tcPr>
            <w:tcW w:w="4320" w:type="dxa"/>
            <w:shd w:val="clear" w:color="auto" w:fill="DADEF1"/>
          </w:tcPr>
          <w:p w14:paraId="6C5FBB0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EV</w:t>
            </w:r>
          </w:p>
        </w:tc>
        <w:tc>
          <w:tcPr>
            <w:tcW w:w="4320" w:type="dxa"/>
            <w:shd w:val="clear" w:color="auto" w:fill="DADEF1"/>
          </w:tcPr>
          <w:p w14:paraId="2F969FC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Evaluation/Benchmarking</w:t>
            </w:r>
          </w:p>
        </w:tc>
      </w:tr>
      <w:tr w:rsidR="00021977" w14:paraId="34596CE0" w14:textId="77777777" w:rsidTr="00756381">
        <w:tc>
          <w:tcPr>
            <w:tcW w:w="4320" w:type="dxa"/>
          </w:tcPr>
          <w:p w14:paraId="2E3FB0F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MON</w:t>
            </w:r>
          </w:p>
        </w:tc>
        <w:tc>
          <w:tcPr>
            <w:tcW w:w="4320" w:type="dxa"/>
          </w:tcPr>
          <w:p w14:paraId="5C75F58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Monitoring/Drift</w:t>
            </w:r>
          </w:p>
        </w:tc>
      </w:tr>
      <w:tr w:rsidR="00021977" w14:paraId="0B60F46E" w14:textId="77777777" w:rsidTr="00756381">
        <w:tc>
          <w:tcPr>
            <w:tcW w:w="4320" w:type="dxa"/>
            <w:shd w:val="clear" w:color="auto" w:fill="DADEF1"/>
          </w:tcPr>
          <w:p w14:paraId="65B29AA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HO</w:t>
            </w:r>
          </w:p>
        </w:tc>
        <w:tc>
          <w:tcPr>
            <w:tcW w:w="4320" w:type="dxa"/>
            <w:shd w:val="clear" w:color="auto" w:fill="DADEF1"/>
          </w:tcPr>
          <w:p w14:paraId="0FE2D06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Human Oversight</w:t>
            </w:r>
          </w:p>
        </w:tc>
      </w:tr>
      <w:tr w:rsidR="00021977" w14:paraId="51D33EA4" w14:textId="77777777" w:rsidTr="00756381">
        <w:tc>
          <w:tcPr>
            <w:tcW w:w="4320" w:type="dxa"/>
          </w:tcPr>
          <w:p w14:paraId="218DD59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RA</w:t>
            </w:r>
          </w:p>
        </w:tc>
        <w:tc>
          <w:tcPr>
            <w:tcW w:w="4320" w:type="dxa"/>
          </w:tcPr>
          <w:p w14:paraId="59489D9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Risk Assessment</w:t>
            </w:r>
          </w:p>
        </w:tc>
      </w:tr>
      <w:tr w:rsidR="00021977" w14:paraId="6EA487FA" w14:textId="77777777" w:rsidTr="00756381">
        <w:tc>
          <w:tcPr>
            <w:tcW w:w="4320" w:type="dxa"/>
            <w:shd w:val="clear" w:color="auto" w:fill="DADEF1"/>
          </w:tcPr>
          <w:p w14:paraId="3016F2A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SE</w:t>
            </w:r>
          </w:p>
        </w:tc>
        <w:tc>
          <w:tcPr>
            <w:tcW w:w="4320" w:type="dxa"/>
            <w:shd w:val="clear" w:color="auto" w:fill="DADEF1"/>
          </w:tcPr>
          <w:p w14:paraId="7B6862D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Sustainability/Energy</w:t>
            </w:r>
          </w:p>
        </w:tc>
      </w:tr>
      <w:tr w:rsidR="00021977" w14:paraId="75628FC2" w14:textId="77777777" w:rsidTr="00756381">
        <w:tc>
          <w:tcPr>
            <w:tcW w:w="4320" w:type="dxa"/>
          </w:tcPr>
          <w:p w14:paraId="390172B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AU</w:t>
            </w:r>
          </w:p>
        </w:tc>
        <w:tc>
          <w:tcPr>
            <w:tcW w:w="4320" w:type="dxa"/>
          </w:tcPr>
          <w:p w14:paraId="079B8C5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Auditability</w:t>
            </w:r>
          </w:p>
        </w:tc>
      </w:tr>
      <w:tr w:rsidR="00021977" w14:paraId="7A7822E2" w14:textId="77777777" w:rsidTr="00756381">
        <w:tc>
          <w:tcPr>
            <w:tcW w:w="4320" w:type="dxa"/>
            <w:shd w:val="clear" w:color="auto" w:fill="DADEF1"/>
          </w:tcPr>
          <w:p w14:paraId="6131F63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IR</w:t>
            </w:r>
          </w:p>
        </w:tc>
        <w:tc>
          <w:tcPr>
            <w:tcW w:w="4320" w:type="dxa"/>
            <w:shd w:val="clear" w:color="auto" w:fill="DADEF1"/>
          </w:tcPr>
          <w:p w14:paraId="54C0909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Incident Response</w:t>
            </w:r>
          </w:p>
        </w:tc>
      </w:tr>
    </w:tbl>
    <w:p w14:paraId="6DDF281E" w14:textId="77777777" w:rsidR="00021977" w:rsidRDefault="00021977" w:rsidP="00021977">
      <w:pPr>
        <w:rPr>
          <w:rFonts w:cs="Times New Roman"/>
          <w:sz w:val="20"/>
          <w:szCs w:val="20"/>
        </w:rPr>
      </w:pPr>
    </w:p>
    <w:p w14:paraId="2512F605" w14:textId="77777777" w:rsidR="00021977" w:rsidRDefault="00021977" w:rsidP="00021977">
      <w:pPr>
        <w:jc w:val="center"/>
        <w:rPr>
          <w:rFonts w:cs="Times New Roman"/>
          <w:b/>
          <w:bCs/>
          <w:sz w:val="20"/>
          <w:szCs w:val="20"/>
        </w:rPr>
      </w:pPr>
      <w:r w:rsidRPr="34096275">
        <w:rPr>
          <w:rFonts w:cs="Times New Roman"/>
          <w:b/>
          <w:bCs/>
          <w:sz w:val="20"/>
          <w:szCs w:val="20"/>
        </w:rPr>
        <w:t>TABLE D2. BINARY CODING MATRIX FOR THE CODED EVIDENCE CORPUS</w:t>
      </w:r>
    </w:p>
    <w:tbl>
      <w:tblPr>
        <w:tblStyle w:val="TableGrid"/>
        <w:tblW w:w="8630" w:type="dxa"/>
        <w:tblBorders>
          <w:top w:val="single" w:sz="8" w:space="0" w:color="6E2D9D"/>
          <w:left w:val="single" w:sz="8" w:space="0" w:color="6E2D9D"/>
          <w:bottom w:val="single" w:sz="8" w:space="0" w:color="6E2D9D"/>
          <w:right w:val="single" w:sz="8" w:space="0" w:color="6E2D9D"/>
          <w:insideH w:val="single" w:sz="8" w:space="0" w:color="6E2D9D"/>
          <w:insideV w:val="single" w:sz="8" w:space="0" w:color="6E2D9D"/>
        </w:tblBorders>
        <w:tblLook w:val="04A0" w:firstRow="1" w:lastRow="0" w:firstColumn="1" w:lastColumn="0" w:noHBand="0" w:noVBand="1"/>
      </w:tblPr>
      <w:tblGrid>
        <w:gridCol w:w="490"/>
        <w:gridCol w:w="1027"/>
        <w:gridCol w:w="682"/>
        <w:gridCol w:w="516"/>
        <w:gridCol w:w="572"/>
        <w:gridCol w:w="521"/>
        <w:gridCol w:w="506"/>
        <w:gridCol w:w="553"/>
        <w:gridCol w:w="514"/>
        <w:gridCol w:w="705"/>
        <w:gridCol w:w="537"/>
        <w:gridCol w:w="521"/>
        <w:gridCol w:w="490"/>
        <w:gridCol w:w="521"/>
        <w:gridCol w:w="475"/>
      </w:tblGrid>
      <w:tr w:rsidR="00021977" w14:paraId="5AB3F840" w14:textId="77777777" w:rsidTr="00756381">
        <w:tc>
          <w:tcPr>
            <w:tcW w:w="543" w:type="dxa"/>
            <w:shd w:val="clear" w:color="auto" w:fill="4B0082"/>
          </w:tcPr>
          <w:p w14:paraId="6374DFAD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765" w:type="dxa"/>
            <w:shd w:val="clear" w:color="auto" w:fill="4B0082"/>
          </w:tcPr>
          <w:p w14:paraId="15B5E317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761" w:type="dxa"/>
            <w:shd w:val="clear" w:color="auto" w:fill="4B0082"/>
          </w:tcPr>
          <w:p w14:paraId="7DD5AAC4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462" w:type="dxa"/>
            <w:shd w:val="clear" w:color="auto" w:fill="4B0082"/>
          </w:tcPr>
          <w:p w14:paraId="09051100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DQ</w:t>
            </w:r>
          </w:p>
        </w:tc>
        <w:tc>
          <w:tcPr>
            <w:tcW w:w="560" w:type="dxa"/>
            <w:shd w:val="clear" w:color="auto" w:fill="4B0082"/>
          </w:tcPr>
          <w:p w14:paraId="2269E0C7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LIN</w:t>
            </w:r>
          </w:p>
        </w:tc>
        <w:tc>
          <w:tcPr>
            <w:tcW w:w="549" w:type="dxa"/>
            <w:shd w:val="clear" w:color="auto" w:fill="4B0082"/>
          </w:tcPr>
          <w:p w14:paraId="52E0F979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AC</w:t>
            </w:r>
          </w:p>
        </w:tc>
        <w:tc>
          <w:tcPr>
            <w:tcW w:w="546" w:type="dxa"/>
            <w:shd w:val="clear" w:color="auto" w:fill="4B0082"/>
          </w:tcPr>
          <w:p w14:paraId="1BCF863A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PR</w:t>
            </w:r>
          </w:p>
        </w:tc>
        <w:tc>
          <w:tcPr>
            <w:tcW w:w="557" w:type="dxa"/>
            <w:shd w:val="clear" w:color="auto" w:fill="4B0082"/>
          </w:tcPr>
          <w:p w14:paraId="035D2ECC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MD</w:t>
            </w:r>
          </w:p>
        </w:tc>
        <w:tc>
          <w:tcPr>
            <w:tcW w:w="548" w:type="dxa"/>
            <w:shd w:val="clear" w:color="auto" w:fill="4B0082"/>
          </w:tcPr>
          <w:p w14:paraId="28D905C7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EV</w:t>
            </w:r>
          </w:p>
        </w:tc>
        <w:tc>
          <w:tcPr>
            <w:tcW w:w="608" w:type="dxa"/>
            <w:shd w:val="clear" w:color="auto" w:fill="4B0082"/>
          </w:tcPr>
          <w:p w14:paraId="28BF6994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MON</w:t>
            </w:r>
          </w:p>
        </w:tc>
        <w:tc>
          <w:tcPr>
            <w:tcW w:w="553" w:type="dxa"/>
            <w:shd w:val="clear" w:color="auto" w:fill="4B0082"/>
          </w:tcPr>
          <w:p w14:paraId="524214C7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HO</w:t>
            </w:r>
          </w:p>
        </w:tc>
        <w:tc>
          <w:tcPr>
            <w:tcW w:w="549" w:type="dxa"/>
            <w:shd w:val="clear" w:color="auto" w:fill="4B0082"/>
          </w:tcPr>
          <w:p w14:paraId="4C23F11B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RA</w:t>
            </w:r>
          </w:p>
        </w:tc>
        <w:tc>
          <w:tcPr>
            <w:tcW w:w="542" w:type="dxa"/>
            <w:shd w:val="clear" w:color="auto" w:fill="4B0082"/>
          </w:tcPr>
          <w:p w14:paraId="19E57858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549" w:type="dxa"/>
            <w:shd w:val="clear" w:color="auto" w:fill="4B0082"/>
          </w:tcPr>
          <w:p w14:paraId="13469227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AU</w:t>
            </w:r>
          </w:p>
        </w:tc>
        <w:tc>
          <w:tcPr>
            <w:tcW w:w="538" w:type="dxa"/>
            <w:shd w:val="clear" w:color="auto" w:fill="4B0082"/>
          </w:tcPr>
          <w:p w14:paraId="15618EE7" w14:textId="77777777" w:rsidR="00021977" w:rsidRPr="00AD28AD" w:rsidRDefault="00021977" w:rsidP="0075638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34096275">
              <w:rPr>
                <w:rFonts w:cs="Times New Roman"/>
                <w:b/>
                <w:bCs/>
                <w:sz w:val="20"/>
                <w:szCs w:val="20"/>
              </w:rPr>
              <w:t>IR</w:t>
            </w:r>
          </w:p>
        </w:tc>
      </w:tr>
      <w:tr w:rsidR="00021977" w14:paraId="1FB1B3C6" w14:textId="77777777" w:rsidTr="00756381">
        <w:tc>
          <w:tcPr>
            <w:tcW w:w="543" w:type="dxa"/>
          </w:tcPr>
          <w:p w14:paraId="4547A24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A1</w:t>
            </w:r>
          </w:p>
        </w:tc>
        <w:tc>
          <w:tcPr>
            <w:tcW w:w="765" w:type="dxa"/>
          </w:tcPr>
          <w:p w14:paraId="6828DD9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Academic</w:t>
            </w:r>
          </w:p>
        </w:tc>
        <w:tc>
          <w:tcPr>
            <w:tcW w:w="761" w:type="dxa"/>
          </w:tcPr>
          <w:p w14:paraId="02C9263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2010</w:t>
            </w:r>
          </w:p>
        </w:tc>
        <w:tc>
          <w:tcPr>
            <w:tcW w:w="462" w:type="dxa"/>
          </w:tcPr>
          <w:p w14:paraId="79CB252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</w:tcPr>
          <w:p w14:paraId="015E277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141CAAD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6" w:type="dxa"/>
          </w:tcPr>
          <w:p w14:paraId="2AD3C7B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7" w:type="dxa"/>
          </w:tcPr>
          <w:p w14:paraId="19A0836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8" w:type="dxa"/>
          </w:tcPr>
          <w:p w14:paraId="3DDD6A5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14:paraId="7246112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</w:tcPr>
          <w:p w14:paraId="050C7FC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4B8EA5C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2" w:type="dxa"/>
          </w:tcPr>
          <w:p w14:paraId="3A7A646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046AF4E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38" w:type="dxa"/>
          </w:tcPr>
          <w:p w14:paraId="1642E75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</w:tr>
      <w:tr w:rsidR="00021977" w14:paraId="6FBAE911" w14:textId="77777777" w:rsidTr="00756381">
        <w:tc>
          <w:tcPr>
            <w:tcW w:w="543" w:type="dxa"/>
            <w:shd w:val="clear" w:color="auto" w:fill="DADEF1"/>
          </w:tcPr>
          <w:p w14:paraId="7F4A6B1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A2</w:t>
            </w:r>
          </w:p>
        </w:tc>
        <w:tc>
          <w:tcPr>
            <w:tcW w:w="765" w:type="dxa"/>
            <w:shd w:val="clear" w:color="auto" w:fill="DADEF1"/>
          </w:tcPr>
          <w:p w14:paraId="64FC8D4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Academic</w:t>
            </w:r>
          </w:p>
        </w:tc>
        <w:tc>
          <w:tcPr>
            <w:tcW w:w="761" w:type="dxa"/>
            <w:shd w:val="clear" w:color="auto" w:fill="DADEF1"/>
          </w:tcPr>
          <w:p w14:paraId="47C5CBB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2019</w:t>
            </w:r>
          </w:p>
        </w:tc>
        <w:tc>
          <w:tcPr>
            <w:tcW w:w="462" w:type="dxa"/>
            <w:shd w:val="clear" w:color="auto" w:fill="DADEF1"/>
          </w:tcPr>
          <w:p w14:paraId="0A25184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60" w:type="dxa"/>
            <w:shd w:val="clear" w:color="auto" w:fill="DADEF1"/>
          </w:tcPr>
          <w:p w14:paraId="4C212BB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2F97EA9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6" w:type="dxa"/>
            <w:shd w:val="clear" w:color="auto" w:fill="DADEF1"/>
          </w:tcPr>
          <w:p w14:paraId="720FA98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7" w:type="dxa"/>
            <w:shd w:val="clear" w:color="auto" w:fill="DADEF1"/>
          </w:tcPr>
          <w:p w14:paraId="5DE67CF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8" w:type="dxa"/>
            <w:shd w:val="clear" w:color="auto" w:fill="DADEF1"/>
          </w:tcPr>
          <w:p w14:paraId="6E56393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08" w:type="dxa"/>
            <w:shd w:val="clear" w:color="auto" w:fill="DADEF1"/>
          </w:tcPr>
          <w:p w14:paraId="7CDF145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  <w:shd w:val="clear" w:color="auto" w:fill="DADEF1"/>
          </w:tcPr>
          <w:p w14:paraId="151BD0D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672727A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2" w:type="dxa"/>
            <w:shd w:val="clear" w:color="auto" w:fill="DADEF1"/>
          </w:tcPr>
          <w:p w14:paraId="642965A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232D505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  <w:shd w:val="clear" w:color="auto" w:fill="DADEF1"/>
          </w:tcPr>
          <w:p w14:paraId="1C6F2A6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</w:tr>
      <w:tr w:rsidR="00021977" w14:paraId="1E0FF630" w14:textId="77777777" w:rsidTr="00756381">
        <w:tc>
          <w:tcPr>
            <w:tcW w:w="543" w:type="dxa"/>
          </w:tcPr>
          <w:p w14:paraId="708C12B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A3</w:t>
            </w:r>
          </w:p>
        </w:tc>
        <w:tc>
          <w:tcPr>
            <w:tcW w:w="765" w:type="dxa"/>
          </w:tcPr>
          <w:p w14:paraId="48B77CF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Academic</w:t>
            </w:r>
          </w:p>
        </w:tc>
        <w:tc>
          <w:tcPr>
            <w:tcW w:w="761" w:type="dxa"/>
          </w:tcPr>
          <w:p w14:paraId="4241819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2021</w:t>
            </w:r>
          </w:p>
        </w:tc>
        <w:tc>
          <w:tcPr>
            <w:tcW w:w="462" w:type="dxa"/>
          </w:tcPr>
          <w:p w14:paraId="66148B3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</w:tcPr>
          <w:p w14:paraId="3D2D9A4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1984020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6" w:type="dxa"/>
          </w:tcPr>
          <w:p w14:paraId="784E08B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14:paraId="64B1A70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8" w:type="dxa"/>
          </w:tcPr>
          <w:p w14:paraId="0E61A14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14:paraId="527492D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</w:tcPr>
          <w:p w14:paraId="5D32BDA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7EA20D7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2" w:type="dxa"/>
          </w:tcPr>
          <w:p w14:paraId="29ECC7E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7BBEECF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</w:tcPr>
          <w:p w14:paraId="6695DB6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</w:tr>
      <w:tr w:rsidR="00021977" w14:paraId="4F782896" w14:textId="77777777" w:rsidTr="00756381">
        <w:tc>
          <w:tcPr>
            <w:tcW w:w="543" w:type="dxa"/>
            <w:shd w:val="clear" w:color="auto" w:fill="DADEF1"/>
          </w:tcPr>
          <w:p w14:paraId="6564402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A4</w:t>
            </w:r>
          </w:p>
        </w:tc>
        <w:tc>
          <w:tcPr>
            <w:tcW w:w="765" w:type="dxa"/>
            <w:shd w:val="clear" w:color="auto" w:fill="DADEF1"/>
          </w:tcPr>
          <w:p w14:paraId="51FD817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Academic</w:t>
            </w:r>
          </w:p>
        </w:tc>
        <w:tc>
          <w:tcPr>
            <w:tcW w:w="761" w:type="dxa"/>
            <w:shd w:val="clear" w:color="auto" w:fill="DADEF1"/>
          </w:tcPr>
          <w:p w14:paraId="055C8AA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2020</w:t>
            </w:r>
          </w:p>
        </w:tc>
        <w:tc>
          <w:tcPr>
            <w:tcW w:w="462" w:type="dxa"/>
            <w:shd w:val="clear" w:color="auto" w:fill="DADEF1"/>
          </w:tcPr>
          <w:p w14:paraId="4A3FC2A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DADEF1"/>
          </w:tcPr>
          <w:p w14:paraId="0B1BF51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  <w:shd w:val="clear" w:color="auto" w:fill="DADEF1"/>
          </w:tcPr>
          <w:p w14:paraId="4A96141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6" w:type="dxa"/>
            <w:shd w:val="clear" w:color="auto" w:fill="DADEF1"/>
          </w:tcPr>
          <w:p w14:paraId="7A8DEB6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shd w:val="clear" w:color="auto" w:fill="DADEF1"/>
          </w:tcPr>
          <w:p w14:paraId="318BE27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8" w:type="dxa"/>
            <w:shd w:val="clear" w:color="auto" w:fill="DADEF1"/>
          </w:tcPr>
          <w:p w14:paraId="5E7B132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08" w:type="dxa"/>
            <w:shd w:val="clear" w:color="auto" w:fill="DADEF1"/>
          </w:tcPr>
          <w:p w14:paraId="329A433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3" w:type="dxa"/>
            <w:shd w:val="clear" w:color="auto" w:fill="DADEF1"/>
          </w:tcPr>
          <w:p w14:paraId="6311677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  <w:shd w:val="clear" w:color="auto" w:fill="DADEF1"/>
          </w:tcPr>
          <w:p w14:paraId="2DBB8CA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  <w:shd w:val="clear" w:color="auto" w:fill="DADEF1"/>
          </w:tcPr>
          <w:p w14:paraId="0F0F107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4FF7C1D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  <w:shd w:val="clear" w:color="auto" w:fill="DADEF1"/>
          </w:tcPr>
          <w:p w14:paraId="6ED3D3F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021977" w14:paraId="3AE6EEC6" w14:textId="77777777" w:rsidTr="00756381">
        <w:tc>
          <w:tcPr>
            <w:tcW w:w="543" w:type="dxa"/>
          </w:tcPr>
          <w:p w14:paraId="4FB9EB9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A5</w:t>
            </w:r>
          </w:p>
        </w:tc>
        <w:tc>
          <w:tcPr>
            <w:tcW w:w="765" w:type="dxa"/>
          </w:tcPr>
          <w:p w14:paraId="2A90E02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Academic</w:t>
            </w:r>
          </w:p>
        </w:tc>
        <w:tc>
          <w:tcPr>
            <w:tcW w:w="761" w:type="dxa"/>
          </w:tcPr>
          <w:p w14:paraId="12F4AE4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2020</w:t>
            </w:r>
          </w:p>
        </w:tc>
        <w:tc>
          <w:tcPr>
            <w:tcW w:w="462" w:type="dxa"/>
          </w:tcPr>
          <w:p w14:paraId="4FCFDAA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</w:tcPr>
          <w:p w14:paraId="7403025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327EAC9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6" w:type="dxa"/>
          </w:tcPr>
          <w:p w14:paraId="40B0BC3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14:paraId="5731076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8" w:type="dxa"/>
          </w:tcPr>
          <w:p w14:paraId="0EF7006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08" w:type="dxa"/>
          </w:tcPr>
          <w:p w14:paraId="34D7F39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3" w:type="dxa"/>
          </w:tcPr>
          <w:p w14:paraId="5BA7F4B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5562FD2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</w:tcPr>
          <w:p w14:paraId="519756C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35E8E94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</w:tcPr>
          <w:p w14:paraId="434B4D7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021977" w14:paraId="57179BA6" w14:textId="77777777" w:rsidTr="00756381">
        <w:tc>
          <w:tcPr>
            <w:tcW w:w="543" w:type="dxa"/>
            <w:shd w:val="clear" w:color="auto" w:fill="DADEF1"/>
          </w:tcPr>
          <w:p w14:paraId="4862EC0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A6</w:t>
            </w:r>
          </w:p>
        </w:tc>
        <w:tc>
          <w:tcPr>
            <w:tcW w:w="765" w:type="dxa"/>
            <w:shd w:val="clear" w:color="auto" w:fill="DADEF1"/>
          </w:tcPr>
          <w:p w14:paraId="1605E16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Academic</w:t>
            </w:r>
          </w:p>
        </w:tc>
        <w:tc>
          <w:tcPr>
            <w:tcW w:w="761" w:type="dxa"/>
            <w:shd w:val="clear" w:color="auto" w:fill="DADEF1"/>
          </w:tcPr>
          <w:p w14:paraId="7AA4CE8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2020</w:t>
            </w:r>
          </w:p>
        </w:tc>
        <w:tc>
          <w:tcPr>
            <w:tcW w:w="462" w:type="dxa"/>
            <w:shd w:val="clear" w:color="auto" w:fill="DADEF1"/>
          </w:tcPr>
          <w:p w14:paraId="1F9343D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60" w:type="dxa"/>
            <w:shd w:val="clear" w:color="auto" w:fill="DADEF1"/>
          </w:tcPr>
          <w:p w14:paraId="6F9F723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52EC93C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6" w:type="dxa"/>
            <w:shd w:val="clear" w:color="auto" w:fill="DADEF1"/>
          </w:tcPr>
          <w:p w14:paraId="58EDE1F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7" w:type="dxa"/>
            <w:shd w:val="clear" w:color="auto" w:fill="DADEF1"/>
          </w:tcPr>
          <w:p w14:paraId="390325D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8" w:type="dxa"/>
            <w:shd w:val="clear" w:color="auto" w:fill="DADEF1"/>
          </w:tcPr>
          <w:p w14:paraId="48D0544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08" w:type="dxa"/>
            <w:shd w:val="clear" w:color="auto" w:fill="DADEF1"/>
          </w:tcPr>
          <w:p w14:paraId="7B3EA63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  <w:shd w:val="clear" w:color="auto" w:fill="DADEF1"/>
          </w:tcPr>
          <w:p w14:paraId="2D7CB96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24E130E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2" w:type="dxa"/>
            <w:shd w:val="clear" w:color="auto" w:fill="DADEF1"/>
          </w:tcPr>
          <w:p w14:paraId="6E1F011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  <w:shd w:val="clear" w:color="auto" w:fill="DADEF1"/>
          </w:tcPr>
          <w:p w14:paraId="367A898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  <w:shd w:val="clear" w:color="auto" w:fill="DADEF1"/>
          </w:tcPr>
          <w:p w14:paraId="15FAF1B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</w:tr>
      <w:tr w:rsidR="00021977" w14:paraId="63871180" w14:textId="77777777" w:rsidTr="00756381">
        <w:tc>
          <w:tcPr>
            <w:tcW w:w="543" w:type="dxa"/>
          </w:tcPr>
          <w:p w14:paraId="3FBB028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C1</w:t>
            </w:r>
          </w:p>
        </w:tc>
        <w:tc>
          <w:tcPr>
            <w:tcW w:w="765" w:type="dxa"/>
          </w:tcPr>
          <w:p w14:paraId="045DAD7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Corporate</w:t>
            </w:r>
          </w:p>
        </w:tc>
        <w:tc>
          <w:tcPr>
            <w:tcW w:w="761" w:type="dxa"/>
          </w:tcPr>
          <w:p w14:paraId="18D5A58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2022</w:t>
            </w:r>
          </w:p>
        </w:tc>
        <w:tc>
          <w:tcPr>
            <w:tcW w:w="462" w:type="dxa"/>
          </w:tcPr>
          <w:p w14:paraId="573CBF7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</w:tcPr>
          <w:p w14:paraId="508AA06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7139987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6" w:type="dxa"/>
          </w:tcPr>
          <w:p w14:paraId="499BEF4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14:paraId="7E36E74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8" w:type="dxa"/>
          </w:tcPr>
          <w:p w14:paraId="1B539E5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08" w:type="dxa"/>
          </w:tcPr>
          <w:p w14:paraId="71EEE3C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3" w:type="dxa"/>
          </w:tcPr>
          <w:p w14:paraId="74A5E1A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1ACF784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</w:tcPr>
          <w:p w14:paraId="2446DC5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4D7FE28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</w:tcPr>
          <w:p w14:paraId="3E23191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021977" w14:paraId="54DAFDF3" w14:textId="77777777" w:rsidTr="00756381">
        <w:tc>
          <w:tcPr>
            <w:tcW w:w="543" w:type="dxa"/>
            <w:shd w:val="clear" w:color="auto" w:fill="DADEF1"/>
          </w:tcPr>
          <w:p w14:paraId="4FB73C8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lastRenderedPageBreak/>
              <w:t>C2</w:t>
            </w:r>
          </w:p>
        </w:tc>
        <w:tc>
          <w:tcPr>
            <w:tcW w:w="765" w:type="dxa"/>
            <w:shd w:val="clear" w:color="auto" w:fill="DADEF1"/>
          </w:tcPr>
          <w:p w14:paraId="439A0FD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Corporate</w:t>
            </w:r>
          </w:p>
        </w:tc>
        <w:tc>
          <w:tcPr>
            <w:tcW w:w="761" w:type="dxa"/>
            <w:shd w:val="clear" w:color="auto" w:fill="DADEF1"/>
          </w:tcPr>
          <w:p w14:paraId="085F5EB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2024</w:t>
            </w:r>
          </w:p>
        </w:tc>
        <w:tc>
          <w:tcPr>
            <w:tcW w:w="462" w:type="dxa"/>
            <w:shd w:val="clear" w:color="auto" w:fill="DADEF1"/>
          </w:tcPr>
          <w:p w14:paraId="4DC051C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60" w:type="dxa"/>
            <w:shd w:val="clear" w:color="auto" w:fill="DADEF1"/>
          </w:tcPr>
          <w:p w14:paraId="660D9F2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339F519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6" w:type="dxa"/>
            <w:shd w:val="clear" w:color="auto" w:fill="DADEF1"/>
          </w:tcPr>
          <w:p w14:paraId="0208FC9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shd w:val="clear" w:color="auto" w:fill="DADEF1"/>
          </w:tcPr>
          <w:p w14:paraId="2DCE3F2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8" w:type="dxa"/>
            <w:shd w:val="clear" w:color="auto" w:fill="DADEF1"/>
          </w:tcPr>
          <w:p w14:paraId="5C59E4B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08" w:type="dxa"/>
            <w:shd w:val="clear" w:color="auto" w:fill="DADEF1"/>
          </w:tcPr>
          <w:p w14:paraId="7FA8CCC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3" w:type="dxa"/>
            <w:shd w:val="clear" w:color="auto" w:fill="DADEF1"/>
          </w:tcPr>
          <w:p w14:paraId="09C5996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  <w:shd w:val="clear" w:color="auto" w:fill="DADEF1"/>
          </w:tcPr>
          <w:p w14:paraId="7C9B08D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  <w:shd w:val="clear" w:color="auto" w:fill="DADEF1"/>
          </w:tcPr>
          <w:p w14:paraId="62AE123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4AFCBAB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  <w:shd w:val="clear" w:color="auto" w:fill="DADEF1"/>
          </w:tcPr>
          <w:p w14:paraId="5C94D5C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021977" w14:paraId="21D35347" w14:textId="77777777" w:rsidTr="00756381">
        <w:tc>
          <w:tcPr>
            <w:tcW w:w="543" w:type="dxa"/>
          </w:tcPr>
          <w:p w14:paraId="704D435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C3</w:t>
            </w:r>
          </w:p>
        </w:tc>
        <w:tc>
          <w:tcPr>
            <w:tcW w:w="765" w:type="dxa"/>
          </w:tcPr>
          <w:p w14:paraId="5F1E632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Corporate</w:t>
            </w:r>
          </w:p>
        </w:tc>
        <w:tc>
          <w:tcPr>
            <w:tcW w:w="761" w:type="dxa"/>
          </w:tcPr>
          <w:p w14:paraId="2BCEF90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2024</w:t>
            </w:r>
          </w:p>
        </w:tc>
        <w:tc>
          <w:tcPr>
            <w:tcW w:w="462" w:type="dxa"/>
          </w:tcPr>
          <w:p w14:paraId="3E34794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</w:tcPr>
          <w:p w14:paraId="7E1D7CA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4C44B13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6" w:type="dxa"/>
          </w:tcPr>
          <w:p w14:paraId="024E956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14:paraId="1BC703F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8" w:type="dxa"/>
          </w:tcPr>
          <w:p w14:paraId="3CEECE6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08" w:type="dxa"/>
          </w:tcPr>
          <w:p w14:paraId="3071297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3" w:type="dxa"/>
          </w:tcPr>
          <w:p w14:paraId="004FE71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146012D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</w:tcPr>
          <w:p w14:paraId="44BF037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6EF4DA2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</w:tcPr>
          <w:p w14:paraId="4261179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021977" w14:paraId="2B963B00" w14:textId="77777777" w:rsidTr="00756381">
        <w:tc>
          <w:tcPr>
            <w:tcW w:w="543" w:type="dxa"/>
            <w:shd w:val="clear" w:color="auto" w:fill="DADEF1"/>
          </w:tcPr>
          <w:p w14:paraId="432E869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C4</w:t>
            </w:r>
          </w:p>
        </w:tc>
        <w:tc>
          <w:tcPr>
            <w:tcW w:w="765" w:type="dxa"/>
            <w:shd w:val="clear" w:color="auto" w:fill="DADEF1"/>
          </w:tcPr>
          <w:p w14:paraId="6AEE006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Corporate</w:t>
            </w:r>
          </w:p>
        </w:tc>
        <w:tc>
          <w:tcPr>
            <w:tcW w:w="761" w:type="dxa"/>
            <w:shd w:val="clear" w:color="auto" w:fill="DADEF1"/>
          </w:tcPr>
          <w:p w14:paraId="47918BE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2025</w:t>
            </w:r>
          </w:p>
        </w:tc>
        <w:tc>
          <w:tcPr>
            <w:tcW w:w="462" w:type="dxa"/>
            <w:shd w:val="clear" w:color="auto" w:fill="DADEF1"/>
          </w:tcPr>
          <w:p w14:paraId="35B1617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60" w:type="dxa"/>
            <w:shd w:val="clear" w:color="auto" w:fill="DADEF1"/>
          </w:tcPr>
          <w:p w14:paraId="70F489F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705E897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6" w:type="dxa"/>
            <w:shd w:val="clear" w:color="auto" w:fill="DADEF1"/>
          </w:tcPr>
          <w:p w14:paraId="75CDBE3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7" w:type="dxa"/>
            <w:shd w:val="clear" w:color="auto" w:fill="DADEF1"/>
          </w:tcPr>
          <w:p w14:paraId="7106AE7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8" w:type="dxa"/>
            <w:shd w:val="clear" w:color="auto" w:fill="DADEF1"/>
          </w:tcPr>
          <w:p w14:paraId="2860533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08" w:type="dxa"/>
            <w:shd w:val="clear" w:color="auto" w:fill="DADEF1"/>
          </w:tcPr>
          <w:p w14:paraId="1265372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  <w:shd w:val="clear" w:color="auto" w:fill="DADEF1"/>
          </w:tcPr>
          <w:p w14:paraId="50029D2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0F53B8E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2" w:type="dxa"/>
            <w:shd w:val="clear" w:color="auto" w:fill="DADEF1"/>
          </w:tcPr>
          <w:p w14:paraId="19E9910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306D468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  <w:shd w:val="clear" w:color="auto" w:fill="DADEF1"/>
          </w:tcPr>
          <w:p w14:paraId="6B36ACF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</w:tr>
      <w:tr w:rsidR="00021977" w14:paraId="213BC751" w14:textId="77777777" w:rsidTr="00756381">
        <w:tc>
          <w:tcPr>
            <w:tcW w:w="543" w:type="dxa"/>
          </w:tcPr>
          <w:p w14:paraId="3D623C8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C5</w:t>
            </w:r>
          </w:p>
        </w:tc>
        <w:tc>
          <w:tcPr>
            <w:tcW w:w="765" w:type="dxa"/>
          </w:tcPr>
          <w:p w14:paraId="7CB9C6F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Corporate</w:t>
            </w:r>
          </w:p>
        </w:tc>
        <w:tc>
          <w:tcPr>
            <w:tcW w:w="761" w:type="dxa"/>
          </w:tcPr>
          <w:p w14:paraId="7E13A29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2026</w:t>
            </w:r>
          </w:p>
        </w:tc>
        <w:tc>
          <w:tcPr>
            <w:tcW w:w="462" w:type="dxa"/>
          </w:tcPr>
          <w:p w14:paraId="52523E9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60" w:type="dxa"/>
          </w:tcPr>
          <w:p w14:paraId="38392EA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04BFB52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6" w:type="dxa"/>
          </w:tcPr>
          <w:p w14:paraId="4995760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14:paraId="05DCE03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8" w:type="dxa"/>
          </w:tcPr>
          <w:p w14:paraId="0592DF1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14:paraId="6E8492B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</w:tcPr>
          <w:p w14:paraId="6EFEA81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3A835A3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2" w:type="dxa"/>
          </w:tcPr>
          <w:p w14:paraId="5C27C99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7D6C894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</w:tcPr>
          <w:p w14:paraId="47DA6AB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</w:tr>
      <w:tr w:rsidR="00021977" w14:paraId="2331F2A7" w14:textId="77777777" w:rsidTr="00756381">
        <w:tc>
          <w:tcPr>
            <w:tcW w:w="543" w:type="dxa"/>
            <w:shd w:val="clear" w:color="auto" w:fill="DADEF1"/>
          </w:tcPr>
          <w:p w14:paraId="0D5A3F0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C6</w:t>
            </w:r>
          </w:p>
        </w:tc>
        <w:tc>
          <w:tcPr>
            <w:tcW w:w="765" w:type="dxa"/>
            <w:shd w:val="clear" w:color="auto" w:fill="DADEF1"/>
          </w:tcPr>
          <w:p w14:paraId="5A319A4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Corporate</w:t>
            </w:r>
          </w:p>
        </w:tc>
        <w:tc>
          <w:tcPr>
            <w:tcW w:w="761" w:type="dxa"/>
            <w:shd w:val="clear" w:color="auto" w:fill="DADEF1"/>
          </w:tcPr>
          <w:p w14:paraId="3BF89DB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2026</w:t>
            </w:r>
          </w:p>
        </w:tc>
        <w:tc>
          <w:tcPr>
            <w:tcW w:w="462" w:type="dxa"/>
            <w:shd w:val="clear" w:color="auto" w:fill="DADEF1"/>
          </w:tcPr>
          <w:p w14:paraId="4BC73BF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60" w:type="dxa"/>
            <w:shd w:val="clear" w:color="auto" w:fill="DADEF1"/>
          </w:tcPr>
          <w:p w14:paraId="35552FD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2018A67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6" w:type="dxa"/>
            <w:shd w:val="clear" w:color="auto" w:fill="DADEF1"/>
          </w:tcPr>
          <w:p w14:paraId="6CB703E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shd w:val="clear" w:color="auto" w:fill="DADEF1"/>
          </w:tcPr>
          <w:p w14:paraId="441D017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8" w:type="dxa"/>
            <w:shd w:val="clear" w:color="auto" w:fill="DADEF1"/>
          </w:tcPr>
          <w:p w14:paraId="27CD2E2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08" w:type="dxa"/>
            <w:shd w:val="clear" w:color="auto" w:fill="DADEF1"/>
          </w:tcPr>
          <w:p w14:paraId="056F9F4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  <w:shd w:val="clear" w:color="auto" w:fill="DADEF1"/>
          </w:tcPr>
          <w:p w14:paraId="263E20D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387F8F5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2" w:type="dxa"/>
            <w:shd w:val="clear" w:color="auto" w:fill="DADEF1"/>
          </w:tcPr>
          <w:p w14:paraId="10AB846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1F0438C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  <w:shd w:val="clear" w:color="auto" w:fill="DADEF1"/>
          </w:tcPr>
          <w:p w14:paraId="00038C8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</w:tr>
      <w:tr w:rsidR="00021977" w14:paraId="43A59316" w14:textId="77777777" w:rsidTr="00756381">
        <w:tc>
          <w:tcPr>
            <w:tcW w:w="543" w:type="dxa"/>
          </w:tcPr>
          <w:p w14:paraId="4E36B69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S1</w:t>
            </w:r>
          </w:p>
        </w:tc>
        <w:tc>
          <w:tcPr>
            <w:tcW w:w="765" w:type="dxa"/>
          </w:tcPr>
          <w:p w14:paraId="24071F2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Standards</w:t>
            </w:r>
          </w:p>
        </w:tc>
        <w:tc>
          <w:tcPr>
            <w:tcW w:w="761" w:type="dxa"/>
          </w:tcPr>
          <w:p w14:paraId="4041D83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2023</w:t>
            </w:r>
          </w:p>
        </w:tc>
        <w:tc>
          <w:tcPr>
            <w:tcW w:w="462" w:type="dxa"/>
          </w:tcPr>
          <w:p w14:paraId="39102AF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</w:tcPr>
          <w:p w14:paraId="3C4D2B0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7778C1E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6" w:type="dxa"/>
          </w:tcPr>
          <w:p w14:paraId="6EB469C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14:paraId="1A4AD8A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8" w:type="dxa"/>
          </w:tcPr>
          <w:p w14:paraId="44654A2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08" w:type="dxa"/>
          </w:tcPr>
          <w:p w14:paraId="7CDB178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3" w:type="dxa"/>
          </w:tcPr>
          <w:p w14:paraId="7C219F6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30EE2AA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</w:tcPr>
          <w:p w14:paraId="3BE6637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1081B0A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</w:tcPr>
          <w:p w14:paraId="5A63D9C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021977" w14:paraId="05EBF796" w14:textId="77777777" w:rsidTr="00756381">
        <w:tc>
          <w:tcPr>
            <w:tcW w:w="543" w:type="dxa"/>
            <w:shd w:val="clear" w:color="auto" w:fill="DADEF1"/>
          </w:tcPr>
          <w:p w14:paraId="420881E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S2</w:t>
            </w:r>
          </w:p>
        </w:tc>
        <w:tc>
          <w:tcPr>
            <w:tcW w:w="765" w:type="dxa"/>
            <w:shd w:val="clear" w:color="auto" w:fill="DADEF1"/>
          </w:tcPr>
          <w:p w14:paraId="5B6BEBE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Standards</w:t>
            </w:r>
          </w:p>
        </w:tc>
        <w:tc>
          <w:tcPr>
            <w:tcW w:w="761" w:type="dxa"/>
            <w:shd w:val="clear" w:color="auto" w:fill="DADEF1"/>
          </w:tcPr>
          <w:p w14:paraId="5646FD1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2023</w:t>
            </w:r>
          </w:p>
        </w:tc>
        <w:tc>
          <w:tcPr>
            <w:tcW w:w="462" w:type="dxa"/>
            <w:shd w:val="clear" w:color="auto" w:fill="DADEF1"/>
          </w:tcPr>
          <w:p w14:paraId="7C67A62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DADEF1"/>
          </w:tcPr>
          <w:p w14:paraId="2F5E27B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4A2699E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6" w:type="dxa"/>
            <w:shd w:val="clear" w:color="auto" w:fill="DADEF1"/>
          </w:tcPr>
          <w:p w14:paraId="45EC225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shd w:val="clear" w:color="auto" w:fill="DADEF1"/>
          </w:tcPr>
          <w:p w14:paraId="0EEF410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8" w:type="dxa"/>
            <w:shd w:val="clear" w:color="auto" w:fill="DADEF1"/>
          </w:tcPr>
          <w:p w14:paraId="0B9D501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08" w:type="dxa"/>
            <w:shd w:val="clear" w:color="auto" w:fill="DADEF1"/>
          </w:tcPr>
          <w:p w14:paraId="2D16CAA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3" w:type="dxa"/>
            <w:shd w:val="clear" w:color="auto" w:fill="DADEF1"/>
          </w:tcPr>
          <w:p w14:paraId="5E68BD3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  <w:shd w:val="clear" w:color="auto" w:fill="DADEF1"/>
          </w:tcPr>
          <w:p w14:paraId="732F8CF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  <w:shd w:val="clear" w:color="auto" w:fill="DADEF1"/>
          </w:tcPr>
          <w:p w14:paraId="023FE37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6805BF9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  <w:shd w:val="clear" w:color="auto" w:fill="DADEF1"/>
          </w:tcPr>
          <w:p w14:paraId="3F93032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021977" w14:paraId="02CCB726" w14:textId="77777777" w:rsidTr="00756381">
        <w:tc>
          <w:tcPr>
            <w:tcW w:w="543" w:type="dxa"/>
          </w:tcPr>
          <w:p w14:paraId="4885ECD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S3</w:t>
            </w:r>
          </w:p>
        </w:tc>
        <w:tc>
          <w:tcPr>
            <w:tcW w:w="765" w:type="dxa"/>
          </w:tcPr>
          <w:p w14:paraId="54DCBD0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Standards</w:t>
            </w:r>
          </w:p>
        </w:tc>
        <w:tc>
          <w:tcPr>
            <w:tcW w:w="761" w:type="dxa"/>
          </w:tcPr>
          <w:p w14:paraId="334D11E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2023</w:t>
            </w:r>
          </w:p>
        </w:tc>
        <w:tc>
          <w:tcPr>
            <w:tcW w:w="462" w:type="dxa"/>
          </w:tcPr>
          <w:p w14:paraId="2EB4D2F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</w:tcPr>
          <w:p w14:paraId="6A0F085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5DC059BB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6" w:type="dxa"/>
          </w:tcPr>
          <w:p w14:paraId="373F507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14:paraId="12FFF1C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8" w:type="dxa"/>
          </w:tcPr>
          <w:p w14:paraId="7FEA35E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14:paraId="5721DE7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3" w:type="dxa"/>
          </w:tcPr>
          <w:p w14:paraId="4961550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3607AB6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</w:tcPr>
          <w:p w14:paraId="5F489C8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7FA92999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</w:tcPr>
          <w:p w14:paraId="17ADD4E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021977" w14:paraId="3BC9733E" w14:textId="77777777" w:rsidTr="00756381">
        <w:tc>
          <w:tcPr>
            <w:tcW w:w="543" w:type="dxa"/>
            <w:shd w:val="clear" w:color="auto" w:fill="DADEF1"/>
          </w:tcPr>
          <w:p w14:paraId="029AE68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S4</w:t>
            </w:r>
          </w:p>
        </w:tc>
        <w:tc>
          <w:tcPr>
            <w:tcW w:w="765" w:type="dxa"/>
            <w:shd w:val="clear" w:color="auto" w:fill="DADEF1"/>
          </w:tcPr>
          <w:p w14:paraId="0B89911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Standards</w:t>
            </w:r>
          </w:p>
        </w:tc>
        <w:tc>
          <w:tcPr>
            <w:tcW w:w="761" w:type="dxa"/>
            <w:shd w:val="clear" w:color="auto" w:fill="DADEF1"/>
          </w:tcPr>
          <w:p w14:paraId="37903954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2019</w:t>
            </w:r>
          </w:p>
        </w:tc>
        <w:tc>
          <w:tcPr>
            <w:tcW w:w="462" w:type="dxa"/>
            <w:shd w:val="clear" w:color="auto" w:fill="DADEF1"/>
          </w:tcPr>
          <w:p w14:paraId="32F4282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60" w:type="dxa"/>
            <w:shd w:val="clear" w:color="auto" w:fill="DADEF1"/>
          </w:tcPr>
          <w:p w14:paraId="5BB4F8E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48BD40C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6" w:type="dxa"/>
            <w:shd w:val="clear" w:color="auto" w:fill="DADEF1"/>
          </w:tcPr>
          <w:p w14:paraId="1F6B1F7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7" w:type="dxa"/>
            <w:shd w:val="clear" w:color="auto" w:fill="DADEF1"/>
          </w:tcPr>
          <w:p w14:paraId="6BA2AD6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8" w:type="dxa"/>
            <w:shd w:val="clear" w:color="auto" w:fill="DADEF1"/>
          </w:tcPr>
          <w:p w14:paraId="5AE464A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08" w:type="dxa"/>
            <w:shd w:val="clear" w:color="auto" w:fill="DADEF1"/>
          </w:tcPr>
          <w:p w14:paraId="06F7035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  <w:shd w:val="clear" w:color="auto" w:fill="DADEF1"/>
          </w:tcPr>
          <w:p w14:paraId="4D46CBF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  <w:shd w:val="clear" w:color="auto" w:fill="DADEF1"/>
          </w:tcPr>
          <w:p w14:paraId="300B632D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  <w:shd w:val="clear" w:color="auto" w:fill="DADEF1"/>
          </w:tcPr>
          <w:p w14:paraId="3FE881C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55C76D4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38" w:type="dxa"/>
            <w:shd w:val="clear" w:color="auto" w:fill="DADEF1"/>
          </w:tcPr>
          <w:p w14:paraId="5EB75F2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</w:tr>
      <w:tr w:rsidR="00021977" w14:paraId="386D7B96" w14:textId="77777777" w:rsidTr="00756381">
        <w:tc>
          <w:tcPr>
            <w:tcW w:w="543" w:type="dxa"/>
          </w:tcPr>
          <w:p w14:paraId="3A56EDD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S5</w:t>
            </w:r>
          </w:p>
        </w:tc>
        <w:tc>
          <w:tcPr>
            <w:tcW w:w="765" w:type="dxa"/>
          </w:tcPr>
          <w:p w14:paraId="33EEFC3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Standards</w:t>
            </w:r>
          </w:p>
        </w:tc>
        <w:tc>
          <w:tcPr>
            <w:tcW w:w="761" w:type="dxa"/>
          </w:tcPr>
          <w:p w14:paraId="724DA848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2021</w:t>
            </w:r>
          </w:p>
        </w:tc>
        <w:tc>
          <w:tcPr>
            <w:tcW w:w="462" w:type="dxa"/>
          </w:tcPr>
          <w:p w14:paraId="283DD31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</w:tcPr>
          <w:p w14:paraId="66D8A3E0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</w:tcPr>
          <w:p w14:paraId="2013A5E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6" w:type="dxa"/>
          </w:tcPr>
          <w:p w14:paraId="2CCFC351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14:paraId="3984C9B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8" w:type="dxa"/>
          </w:tcPr>
          <w:p w14:paraId="363AB89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14:paraId="05C917A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</w:tcPr>
          <w:p w14:paraId="0E9E545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6B16572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</w:tcPr>
          <w:p w14:paraId="531B8E2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</w:tcPr>
          <w:p w14:paraId="63292D2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38" w:type="dxa"/>
          </w:tcPr>
          <w:p w14:paraId="3DB734B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</w:tr>
      <w:tr w:rsidR="00021977" w14:paraId="5B2298E2" w14:textId="77777777" w:rsidTr="00756381">
        <w:tc>
          <w:tcPr>
            <w:tcW w:w="543" w:type="dxa"/>
            <w:shd w:val="clear" w:color="auto" w:fill="DADEF1"/>
          </w:tcPr>
          <w:p w14:paraId="5B2B0B0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S6</w:t>
            </w:r>
          </w:p>
        </w:tc>
        <w:tc>
          <w:tcPr>
            <w:tcW w:w="765" w:type="dxa"/>
            <w:shd w:val="clear" w:color="auto" w:fill="DADEF1"/>
          </w:tcPr>
          <w:p w14:paraId="1D53B83C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Standards</w:t>
            </w:r>
          </w:p>
        </w:tc>
        <w:tc>
          <w:tcPr>
            <w:tcW w:w="761" w:type="dxa"/>
            <w:shd w:val="clear" w:color="auto" w:fill="DADEF1"/>
          </w:tcPr>
          <w:p w14:paraId="2FCF865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2024</w:t>
            </w:r>
          </w:p>
        </w:tc>
        <w:tc>
          <w:tcPr>
            <w:tcW w:w="462" w:type="dxa"/>
            <w:shd w:val="clear" w:color="auto" w:fill="DADEF1"/>
          </w:tcPr>
          <w:p w14:paraId="4761F925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60" w:type="dxa"/>
            <w:shd w:val="clear" w:color="auto" w:fill="DADEF1"/>
          </w:tcPr>
          <w:p w14:paraId="149FE11A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  <w:shd w:val="clear" w:color="auto" w:fill="DADEF1"/>
          </w:tcPr>
          <w:p w14:paraId="548B620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6" w:type="dxa"/>
            <w:shd w:val="clear" w:color="auto" w:fill="DADEF1"/>
          </w:tcPr>
          <w:p w14:paraId="023DBB7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shd w:val="clear" w:color="auto" w:fill="DADEF1"/>
          </w:tcPr>
          <w:p w14:paraId="154D417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8" w:type="dxa"/>
            <w:shd w:val="clear" w:color="auto" w:fill="DADEF1"/>
          </w:tcPr>
          <w:p w14:paraId="4FD50A0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08" w:type="dxa"/>
            <w:shd w:val="clear" w:color="auto" w:fill="DADEF1"/>
          </w:tcPr>
          <w:p w14:paraId="3AEFC927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3" w:type="dxa"/>
            <w:shd w:val="clear" w:color="auto" w:fill="DADEF1"/>
          </w:tcPr>
          <w:p w14:paraId="1C049FA2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9" w:type="dxa"/>
            <w:shd w:val="clear" w:color="auto" w:fill="DADEF1"/>
          </w:tcPr>
          <w:p w14:paraId="786CC1BF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2" w:type="dxa"/>
            <w:shd w:val="clear" w:color="auto" w:fill="DADEF1"/>
          </w:tcPr>
          <w:p w14:paraId="7F51A98E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9" w:type="dxa"/>
            <w:shd w:val="clear" w:color="auto" w:fill="DADEF1"/>
          </w:tcPr>
          <w:p w14:paraId="7AE29F73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38" w:type="dxa"/>
            <w:shd w:val="clear" w:color="auto" w:fill="DADEF1"/>
          </w:tcPr>
          <w:p w14:paraId="630BEA26" w14:textId="77777777" w:rsidR="00021977" w:rsidRDefault="00021977" w:rsidP="00756381">
            <w:pPr>
              <w:rPr>
                <w:rFonts w:cs="Times New Roman"/>
                <w:sz w:val="20"/>
                <w:szCs w:val="20"/>
              </w:rPr>
            </w:pPr>
            <w:r w:rsidRPr="34096275">
              <w:rPr>
                <w:rFonts w:cs="Times New Roman"/>
                <w:sz w:val="20"/>
                <w:szCs w:val="20"/>
              </w:rPr>
              <w:t>1</w:t>
            </w:r>
          </w:p>
        </w:tc>
      </w:tr>
    </w:tbl>
    <w:p w14:paraId="594FF137" w14:textId="77777777" w:rsidR="00021977" w:rsidRDefault="00021977" w:rsidP="00021977">
      <w:pPr>
        <w:rPr>
          <w:rFonts w:cs="Times New Roman"/>
          <w:sz w:val="20"/>
          <w:szCs w:val="20"/>
        </w:rPr>
      </w:pPr>
    </w:p>
    <w:p w14:paraId="1C49A5B0" w14:textId="77777777" w:rsidR="008B07A6" w:rsidRDefault="008B07A6"/>
    <w:sectPr w:rsidR="008B07A6" w:rsidSect="0002197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AF26338"/>
    <w:multiLevelType w:val="hybridMultilevel"/>
    <w:tmpl w:val="AC62976A"/>
    <w:lvl w:ilvl="0" w:tplc="4FC0EDEE">
      <w:start w:val="1"/>
      <w:numFmt w:val="decimal"/>
      <w:lvlText w:val="%1."/>
      <w:lvlJc w:val="left"/>
      <w:pPr>
        <w:ind w:left="720" w:hanging="360"/>
      </w:pPr>
    </w:lvl>
    <w:lvl w:ilvl="1" w:tplc="40EAB2F4">
      <w:start w:val="1"/>
      <w:numFmt w:val="lowerLetter"/>
      <w:lvlText w:val="%2."/>
      <w:lvlJc w:val="left"/>
      <w:pPr>
        <w:ind w:left="1440" w:hanging="360"/>
      </w:pPr>
    </w:lvl>
    <w:lvl w:ilvl="2" w:tplc="BC6647D4">
      <w:start w:val="1"/>
      <w:numFmt w:val="lowerRoman"/>
      <w:lvlText w:val="%3."/>
      <w:lvlJc w:val="right"/>
      <w:pPr>
        <w:ind w:left="2160" w:hanging="180"/>
      </w:pPr>
    </w:lvl>
    <w:lvl w:ilvl="3" w:tplc="0AC0BB6E">
      <w:start w:val="1"/>
      <w:numFmt w:val="decimal"/>
      <w:lvlText w:val="%4."/>
      <w:lvlJc w:val="left"/>
      <w:pPr>
        <w:ind w:left="2880" w:hanging="360"/>
      </w:pPr>
    </w:lvl>
    <w:lvl w:ilvl="4" w:tplc="109232CA">
      <w:start w:val="1"/>
      <w:numFmt w:val="lowerLetter"/>
      <w:lvlText w:val="%5."/>
      <w:lvlJc w:val="left"/>
      <w:pPr>
        <w:ind w:left="3600" w:hanging="360"/>
      </w:pPr>
    </w:lvl>
    <w:lvl w:ilvl="5" w:tplc="EAE621DC">
      <w:start w:val="1"/>
      <w:numFmt w:val="lowerRoman"/>
      <w:lvlText w:val="%6."/>
      <w:lvlJc w:val="right"/>
      <w:pPr>
        <w:ind w:left="4320" w:hanging="180"/>
      </w:pPr>
    </w:lvl>
    <w:lvl w:ilvl="6" w:tplc="4D926EFE">
      <w:start w:val="1"/>
      <w:numFmt w:val="decimal"/>
      <w:lvlText w:val="%7."/>
      <w:lvlJc w:val="left"/>
      <w:pPr>
        <w:ind w:left="5040" w:hanging="360"/>
      </w:pPr>
    </w:lvl>
    <w:lvl w:ilvl="7" w:tplc="6C883AB8">
      <w:start w:val="1"/>
      <w:numFmt w:val="lowerLetter"/>
      <w:lvlText w:val="%8."/>
      <w:lvlJc w:val="left"/>
      <w:pPr>
        <w:ind w:left="5760" w:hanging="360"/>
      </w:pPr>
    </w:lvl>
    <w:lvl w:ilvl="8" w:tplc="01C2CB3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1BCBFF"/>
    <w:multiLevelType w:val="hybridMultilevel"/>
    <w:tmpl w:val="543C1926"/>
    <w:lvl w:ilvl="0" w:tplc="1132F1E2">
      <w:start w:val="1"/>
      <w:numFmt w:val="decimal"/>
      <w:lvlText w:val="%1."/>
      <w:lvlJc w:val="left"/>
      <w:pPr>
        <w:ind w:left="720" w:hanging="360"/>
      </w:pPr>
    </w:lvl>
    <w:lvl w:ilvl="1" w:tplc="23F0091A">
      <w:start w:val="1"/>
      <w:numFmt w:val="lowerLetter"/>
      <w:lvlText w:val="%2."/>
      <w:lvlJc w:val="left"/>
      <w:pPr>
        <w:ind w:left="1440" w:hanging="360"/>
      </w:pPr>
    </w:lvl>
    <w:lvl w:ilvl="2" w:tplc="8EEED10A">
      <w:start w:val="1"/>
      <w:numFmt w:val="lowerRoman"/>
      <w:lvlText w:val="%3."/>
      <w:lvlJc w:val="right"/>
      <w:pPr>
        <w:ind w:left="2160" w:hanging="180"/>
      </w:pPr>
    </w:lvl>
    <w:lvl w:ilvl="3" w:tplc="1360AC40">
      <w:start w:val="1"/>
      <w:numFmt w:val="decimal"/>
      <w:lvlText w:val="%4."/>
      <w:lvlJc w:val="left"/>
      <w:pPr>
        <w:ind w:left="2880" w:hanging="360"/>
      </w:pPr>
    </w:lvl>
    <w:lvl w:ilvl="4" w:tplc="9D1265CA">
      <w:start w:val="1"/>
      <w:numFmt w:val="lowerLetter"/>
      <w:lvlText w:val="%5."/>
      <w:lvlJc w:val="left"/>
      <w:pPr>
        <w:ind w:left="3600" w:hanging="360"/>
      </w:pPr>
    </w:lvl>
    <w:lvl w:ilvl="5" w:tplc="6E669C1A">
      <w:start w:val="1"/>
      <w:numFmt w:val="lowerRoman"/>
      <w:lvlText w:val="%6."/>
      <w:lvlJc w:val="right"/>
      <w:pPr>
        <w:ind w:left="4320" w:hanging="180"/>
      </w:pPr>
    </w:lvl>
    <w:lvl w:ilvl="6" w:tplc="0BC4BA02">
      <w:start w:val="1"/>
      <w:numFmt w:val="decimal"/>
      <w:lvlText w:val="%7."/>
      <w:lvlJc w:val="left"/>
      <w:pPr>
        <w:ind w:left="5040" w:hanging="360"/>
      </w:pPr>
    </w:lvl>
    <w:lvl w:ilvl="7" w:tplc="87CAB64C">
      <w:start w:val="1"/>
      <w:numFmt w:val="lowerLetter"/>
      <w:lvlText w:val="%8."/>
      <w:lvlJc w:val="left"/>
      <w:pPr>
        <w:ind w:left="5760" w:hanging="360"/>
      </w:pPr>
    </w:lvl>
    <w:lvl w:ilvl="8" w:tplc="226E620A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166712">
    <w:abstractNumId w:val="10"/>
  </w:num>
  <w:num w:numId="2" w16cid:durableId="788355840">
    <w:abstractNumId w:val="9"/>
  </w:num>
  <w:num w:numId="3" w16cid:durableId="1681199995">
    <w:abstractNumId w:val="8"/>
  </w:num>
  <w:num w:numId="4" w16cid:durableId="1902793057">
    <w:abstractNumId w:val="6"/>
  </w:num>
  <w:num w:numId="5" w16cid:durableId="1261450290">
    <w:abstractNumId w:val="5"/>
  </w:num>
  <w:num w:numId="6" w16cid:durableId="1986931491">
    <w:abstractNumId w:val="4"/>
  </w:num>
  <w:num w:numId="7" w16cid:durableId="75052994">
    <w:abstractNumId w:val="7"/>
  </w:num>
  <w:num w:numId="8" w16cid:durableId="1466849115">
    <w:abstractNumId w:val="3"/>
  </w:num>
  <w:num w:numId="9" w16cid:durableId="1472213009">
    <w:abstractNumId w:val="2"/>
  </w:num>
  <w:num w:numId="10" w16cid:durableId="1931966681">
    <w:abstractNumId w:val="1"/>
  </w:num>
  <w:num w:numId="11" w16cid:durableId="926496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977"/>
    <w:rsid w:val="00021977"/>
    <w:rsid w:val="00066677"/>
    <w:rsid w:val="003A4E89"/>
    <w:rsid w:val="00556784"/>
    <w:rsid w:val="008B07A6"/>
    <w:rsid w:val="00987B63"/>
    <w:rsid w:val="00BB494C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2D18B"/>
  <w15:chartTrackingRefBased/>
  <w15:docId w15:val="{8CEBEE3A-CFF3-4AFB-9DFC-DADCC9F00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977"/>
    <w:pPr>
      <w:spacing w:after="200" w:line="276" w:lineRule="auto"/>
    </w:pPr>
    <w:rPr>
      <w:rFonts w:ascii="Times New Roman" w:eastAsia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19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19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19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19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19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19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19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19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19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19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219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219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19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19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19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19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19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19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0219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0219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19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19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19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19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19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19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19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19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197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219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977"/>
    <w:rPr>
      <w:rFonts w:ascii="Times New Roman" w:eastAsia="Times New Roman" w:hAnsi="Times New Roman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219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1977"/>
    <w:rPr>
      <w:rFonts w:ascii="Times New Roman" w:eastAsia="Times New Roman" w:hAnsi="Times New Roman"/>
      <w:kern w:val="0"/>
      <w:szCs w:val="22"/>
      <w14:ligatures w14:val="none"/>
    </w:rPr>
  </w:style>
  <w:style w:type="paragraph" w:styleId="NoSpacing">
    <w:name w:val="No Spacing"/>
    <w:uiPriority w:val="1"/>
    <w:qFormat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02197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21977"/>
    <w:rPr>
      <w:rFonts w:ascii="Times New Roman" w:eastAsia="Times New Roman" w:hAnsi="Times New Roman"/>
      <w:kern w:val="0"/>
      <w:szCs w:val="22"/>
      <w14:ligatures w14:val="none"/>
    </w:rPr>
  </w:style>
  <w:style w:type="paragraph" w:styleId="BodyText2">
    <w:name w:val="Body Text 2"/>
    <w:basedOn w:val="Normal"/>
    <w:link w:val="BodyText2Char"/>
    <w:uiPriority w:val="99"/>
    <w:unhideWhenUsed/>
    <w:rsid w:val="0002197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021977"/>
    <w:rPr>
      <w:rFonts w:ascii="Times New Roman" w:eastAsia="Times New Roman" w:hAnsi="Times New Roman"/>
      <w:kern w:val="0"/>
      <w:szCs w:val="22"/>
      <w14:ligatures w14:val="none"/>
    </w:rPr>
  </w:style>
  <w:style w:type="paragraph" w:styleId="BodyText3">
    <w:name w:val="Body Text 3"/>
    <w:basedOn w:val="Normal"/>
    <w:link w:val="BodyText3Char"/>
    <w:uiPriority w:val="99"/>
    <w:unhideWhenUsed/>
    <w:rsid w:val="0002197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021977"/>
    <w:rPr>
      <w:rFonts w:ascii="Times New Roman" w:eastAsia="Times New Roman" w:hAnsi="Times New Roman"/>
      <w:kern w:val="0"/>
      <w:sz w:val="16"/>
      <w:szCs w:val="16"/>
      <w14:ligatures w14:val="none"/>
    </w:rPr>
  </w:style>
  <w:style w:type="paragraph" w:styleId="List">
    <w:name w:val="List"/>
    <w:basedOn w:val="Normal"/>
    <w:uiPriority w:val="99"/>
    <w:unhideWhenUsed/>
    <w:rsid w:val="00021977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021977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021977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021977"/>
    <w:pPr>
      <w:numPr>
        <w:numId w:val="3"/>
      </w:numPr>
      <w:tabs>
        <w:tab w:val="clear" w:pos="360"/>
      </w:tabs>
      <w:ind w:left="0" w:firstLine="0"/>
      <w:contextualSpacing/>
    </w:pPr>
  </w:style>
  <w:style w:type="paragraph" w:styleId="ListBullet2">
    <w:name w:val="List Bullet 2"/>
    <w:basedOn w:val="Normal"/>
    <w:uiPriority w:val="99"/>
    <w:unhideWhenUsed/>
    <w:rsid w:val="00021977"/>
    <w:pPr>
      <w:numPr>
        <w:numId w:val="4"/>
      </w:numPr>
      <w:tabs>
        <w:tab w:val="clear" w:pos="720"/>
      </w:tabs>
      <w:ind w:left="0" w:firstLine="0"/>
      <w:contextualSpacing/>
    </w:pPr>
  </w:style>
  <w:style w:type="paragraph" w:styleId="ListBullet3">
    <w:name w:val="List Bullet 3"/>
    <w:basedOn w:val="Normal"/>
    <w:uiPriority w:val="99"/>
    <w:unhideWhenUsed/>
    <w:rsid w:val="00021977"/>
    <w:pPr>
      <w:numPr>
        <w:numId w:val="5"/>
      </w:numPr>
      <w:tabs>
        <w:tab w:val="clear" w:pos="1080"/>
      </w:tabs>
      <w:ind w:left="0" w:firstLine="0"/>
      <w:contextualSpacing/>
    </w:pPr>
  </w:style>
  <w:style w:type="paragraph" w:styleId="ListNumber">
    <w:name w:val="List Number"/>
    <w:basedOn w:val="Normal"/>
    <w:uiPriority w:val="99"/>
    <w:unhideWhenUsed/>
    <w:rsid w:val="00021977"/>
    <w:pPr>
      <w:numPr>
        <w:numId w:val="7"/>
      </w:numPr>
      <w:tabs>
        <w:tab w:val="clear" w:pos="360"/>
      </w:tabs>
      <w:ind w:left="0" w:firstLine="0"/>
      <w:contextualSpacing/>
    </w:pPr>
  </w:style>
  <w:style w:type="paragraph" w:styleId="ListNumber2">
    <w:name w:val="List Number 2"/>
    <w:basedOn w:val="Normal"/>
    <w:uiPriority w:val="99"/>
    <w:unhideWhenUsed/>
    <w:rsid w:val="00021977"/>
    <w:pPr>
      <w:numPr>
        <w:numId w:val="8"/>
      </w:numPr>
      <w:tabs>
        <w:tab w:val="clear" w:pos="720"/>
      </w:tabs>
      <w:ind w:left="0" w:firstLine="0"/>
      <w:contextualSpacing/>
    </w:pPr>
  </w:style>
  <w:style w:type="paragraph" w:styleId="ListNumber3">
    <w:name w:val="List Number 3"/>
    <w:basedOn w:val="Normal"/>
    <w:uiPriority w:val="99"/>
    <w:unhideWhenUsed/>
    <w:rsid w:val="00021977"/>
    <w:pPr>
      <w:numPr>
        <w:numId w:val="9"/>
      </w:numPr>
      <w:tabs>
        <w:tab w:val="clear" w:pos="1080"/>
      </w:tabs>
      <w:ind w:left="0" w:firstLine="0"/>
      <w:contextualSpacing/>
    </w:pPr>
  </w:style>
  <w:style w:type="paragraph" w:styleId="ListContinue">
    <w:name w:val="List Continue"/>
    <w:basedOn w:val="Normal"/>
    <w:uiPriority w:val="99"/>
    <w:unhideWhenUsed/>
    <w:rsid w:val="0002197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02197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021977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021977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/>
      <w:kern w:val="0"/>
      <w:sz w:val="20"/>
      <w:szCs w:val="20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rsid w:val="00021977"/>
    <w:rPr>
      <w:rFonts w:ascii="Courier" w:eastAsiaTheme="minorEastAsia" w:hAnsi="Courier"/>
      <w:kern w:val="0"/>
      <w:sz w:val="20"/>
      <w:szCs w:val="20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21977"/>
    <w:pPr>
      <w:spacing w:line="240" w:lineRule="auto"/>
    </w:pPr>
    <w:rPr>
      <w:b/>
      <w:bCs/>
      <w:color w:val="156082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021977"/>
    <w:rPr>
      <w:b/>
      <w:bCs/>
    </w:rPr>
  </w:style>
  <w:style w:type="character" w:styleId="Emphasis">
    <w:name w:val="Emphasis"/>
    <w:basedOn w:val="DefaultParagraphFont"/>
    <w:uiPriority w:val="20"/>
    <w:qFormat/>
    <w:rsid w:val="00021977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021977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021977"/>
    <w:rPr>
      <w:smallCaps/>
      <w:color w:val="E97132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021977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21977"/>
    <w:pPr>
      <w:spacing w:before="480" w:after="0"/>
      <w:outlineLvl w:val="9"/>
    </w:pPr>
    <w:rPr>
      <w:b/>
      <w:bCs/>
      <w:sz w:val="28"/>
      <w:szCs w:val="28"/>
    </w:rPr>
  </w:style>
  <w:style w:type="table" w:styleId="TableGrid">
    <w:name w:val="Table Grid"/>
    <w:basedOn w:val="TableNormal"/>
    <w:uiPriority w:val="59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021977"/>
    <w:pPr>
      <w:spacing w:after="0" w:line="240" w:lineRule="auto"/>
    </w:pPr>
    <w:rPr>
      <w:rFonts w:eastAsiaTheme="minorEastAsia"/>
      <w:color w:val="000000" w:themeColor="tex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021977"/>
    <w:pPr>
      <w:spacing w:after="0" w:line="240" w:lineRule="auto"/>
    </w:pPr>
    <w:rPr>
      <w:rFonts w:eastAsiaTheme="minorEastAsia"/>
      <w:color w:val="0F4761" w:themeColor="accen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021977"/>
    <w:pPr>
      <w:spacing w:after="0" w:line="240" w:lineRule="auto"/>
    </w:pPr>
    <w:rPr>
      <w:rFonts w:eastAsiaTheme="minorEastAsia"/>
      <w:color w:val="BF4E14" w:themeColor="accent2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021977"/>
    <w:pPr>
      <w:spacing w:after="0" w:line="240" w:lineRule="auto"/>
    </w:pPr>
    <w:rPr>
      <w:rFonts w:eastAsiaTheme="minorEastAsia"/>
      <w:color w:val="124F1A" w:themeColor="accent3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021977"/>
    <w:pPr>
      <w:spacing w:after="0" w:line="240" w:lineRule="auto"/>
    </w:pPr>
    <w:rPr>
      <w:rFonts w:eastAsiaTheme="minorEastAsia"/>
      <w:color w:val="0B769F" w:themeColor="accent4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021977"/>
    <w:pPr>
      <w:spacing w:after="0" w:line="240" w:lineRule="auto"/>
    </w:pPr>
    <w:rPr>
      <w:rFonts w:eastAsiaTheme="minorEastAsia"/>
      <w:color w:val="77206D" w:themeColor="accent5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021977"/>
    <w:pPr>
      <w:spacing w:after="0" w:line="240" w:lineRule="auto"/>
    </w:pPr>
    <w:rPr>
      <w:rFonts w:eastAsiaTheme="minorEastAsia"/>
      <w:color w:val="3A7C22" w:themeColor="accent6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LightList">
    <w:name w:val="Light List"/>
    <w:basedOn w:val="TableNormal"/>
    <w:uiPriority w:val="61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LightGrid">
    <w:name w:val="Light Grid"/>
    <w:basedOn w:val="TableNormal"/>
    <w:uiPriority w:val="62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MediumList2">
    <w:name w:val="Medium List 2"/>
    <w:basedOn w:val="TableNormal"/>
    <w:uiPriority w:val="66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MediumGrid2">
    <w:name w:val="Medium Grid 2"/>
    <w:basedOn w:val="TableNormal"/>
    <w:uiPriority w:val="68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0219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0219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DarkList">
    <w:name w:val="Dark List"/>
    <w:basedOn w:val="TableNormal"/>
    <w:uiPriority w:val="70"/>
    <w:rsid w:val="00021977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021977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021977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021977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021977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021977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021977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Grid">
    <w:name w:val="Colorful Grid"/>
    <w:basedOn w:val="TableNormal"/>
    <w:uiPriority w:val="73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021977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02197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19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2140</Words>
  <Characters>14918</Characters>
  <Application>Microsoft Office Word</Application>
  <DocSecurity>0</DocSecurity>
  <Lines>532</Lines>
  <Paragraphs>362</Paragraphs>
  <ScaleCrop>false</ScaleCrop>
  <Company/>
  <LinksUpToDate>false</LinksUpToDate>
  <CharactersWithSpaces>16696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2026-01-30T07:23:00Z</dcterms:created>
  <dcterms:modified xsi:type="dcterms:W3CDTF">2026-01-30T07:23:00Z</dcterms:modified>
</cp:coreProperties>
</file>