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D1210" w14:textId="77777777" w:rsidR="00E84A76" w:rsidRPr="00593724" w:rsidRDefault="006A665C">
      <w:pPr>
        <w:jc w:val="center"/>
        <w:rPr>
          <w:rFonts w:ascii="Times New Roman" w:hAnsi="Times New Roman"/>
          <w:b/>
          <w:sz w:val="32"/>
          <w:szCs w:val="32"/>
        </w:rPr>
      </w:pPr>
      <w:r w:rsidRPr="00593724">
        <w:rPr>
          <w:rFonts w:ascii="Times New Roman" w:hAnsi="Times New Roman"/>
          <w:b/>
          <w:sz w:val="32"/>
          <w:szCs w:val="32"/>
        </w:rPr>
        <w:t>Integrating geodetic constraints from major faults and the subduction zone into probabilistic seismic hazard assessments (PSHA) for Guatemala</w:t>
      </w:r>
    </w:p>
    <w:p w14:paraId="7B0ACD2B" w14:textId="77777777" w:rsidR="00E84A76" w:rsidRPr="00593724" w:rsidRDefault="00E84A76">
      <w:pPr>
        <w:jc w:val="center"/>
        <w:rPr>
          <w:rFonts w:ascii="Times New Roman" w:hAnsi="Times New Roman"/>
          <w:b/>
          <w:i/>
          <w:lang w:val="en-GB"/>
        </w:rPr>
      </w:pPr>
    </w:p>
    <w:p w14:paraId="686DF742" w14:textId="77777777" w:rsidR="00E84A76" w:rsidRPr="00593724" w:rsidRDefault="006A665C">
      <w:pPr>
        <w:rPr>
          <w:rFonts w:ascii="Times New Roman" w:hAnsi="Times New Roman"/>
          <w:vertAlign w:val="superscript"/>
          <w:lang w:val="es-CR"/>
        </w:rPr>
      </w:pPr>
      <w:r w:rsidRPr="00593724">
        <w:rPr>
          <w:rFonts w:ascii="Times New Roman" w:hAnsi="Times New Roman"/>
          <w:lang w:val="es-CR"/>
        </w:rPr>
        <w:t>Mario Arroyo-Solórzano</w:t>
      </w:r>
      <w:r w:rsidRPr="00593724">
        <w:rPr>
          <w:rFonts w:ascii="Times New Roman" w:hAnsi="Times New Roman"/>
          <w:vertAlign w:val="superscript"/>
          <w:lang w:val="es-CR"/>
        </w:rPr>
        <w:t>1,2</w:t>
      </w:r>
      <w:r w:rsidRPr="00593724">
        <w:rPr>
          <w:rFonts w:ascii="Times New Roman" w:hAnsi="Times New Roman"/>
          <w:lang w:val="es-CR"/>
        </w:rPr>
        <w:t>, Carlos Gamboa-Canté</w:t>
      </w:r>
      <w:r w:rsidRPr="00593724">
        <w:rPr>
          <w:rFonts w:ascii="Times New Roman" w:hAnsi="Times New Roman"/>
          <w:vertAlign w:val="superscript"/>
          <w:lang w:val="es-CR"/>
        </w:rPr>
        <w:t>3,4</w:t>
      </w:r>
      <w:r w:rsidRPr="00593724">
        <w:rPr>
          <w:rFonts w:ascii="Times New Roman" w:hAnsi="Times New Roman"/>
          <w:lang w:val="es-CR"/>
        </w:rPr>
        <w:t>, Jeremy Maurer</w:t>
      </w:r>
      <w:r w:rsidRPr="00593724">
        <w:rPr>
          <w:rFonts w:ascii="Times New Roman" w:hAnsi="Times New Roman"/>
          <w:vertAlign w:val="superscript"/>
          <w:lang w:val="es-CR"/>
        </w:rPr>
        <w:t>5</w:t>
      </w:r>
      <w:r w:rsidRPr="00593724">
        <w:rPr>
          <w:rFonts w:ascii="Times New Roman" w:hAnsi="Times New Roman"/>
          <w:lang w:val="es-CR"/>
        </w:rPr>
        <w:t>, Omar Flores</w:t>
      </w:r>
      <w:r w:rsidRPr="00593724">
        <w:rPr>
          <w:rFonts w:ascii="Times New Roman" w:hAnsi="Times New Roman"/>
          <w:vertAlign w:val="superscript"/>
          <w:lang w:val="es-CR"/>
        </w:rPr>
        <w:t>4</w:t>
      </w:r>
      <w:r w:rsidRPr="00593724">
        <w:rPr>
          <w:rFonts w:ascii="Times New Roman" w:hAnsi="Times New Roman"/>
          <w:lang w:val="es-CR"/>
        </w:rPr>
        <w:t>, María Belén Benito</w:t>
      </w:r>
      <w:r w:rsidRPr="00593724">
        <w:rPr>
          <w:rFonts w:ascii="Times New Roman" w:hAnsi="Times New Roman"/>
          <w:vertAlign w:val="superscript"/>
          <w:lang w:val="es-CR"/>
        </w:rPr>
        <w:t>3</w:t>
      </w:r>
      <w:r w:rsidRPr="00593724">
        <w:rPr>
          <w:rFonts w:ascii="Times New Roman" w:hAnsi="Times New Roman"/>
          <w:lang w:val="es-CR"/>
        </w:rPr>
        <w:t xml:space="preserve"> and Fabrice Cotton</w:t>
      </w:r>
      <w:r w:rsidRPr="00593724">
        <w:rPr>
          <w:rFonts w:ascii="Times New Roman" w:hAnsi="Times New Roman"/>
          <w:vertAlign w:val="superscript"/>
          <w:lang w:val="es-CR"/>
        </w:rPr>
        <w:t xml:space="preserve">1,2 </w:t>
      </w:r>
    </w:p>
    <w:p w14:paraId="5DB39CEE" w14:textId="77777777" w:rsidR="00E84A76" w:rsidRPr="00593724" w:rsidRDefault="00E84A76">
      <w:pPr>
        <w:jc w:val="left"/>
        <w:rPr>
          <w:rFonts w:ascii="Times New Roman" w:hAnsi="Times New Roman"/>
          <w:lang w:val="es-CR"/>
        </w:rPr>
      </w:pPr>
    </w:p>
    <w:p w14:paraId="4E983D43" w14:textId="77777777" w:rsidR="00E84A76" w:rsidRPr="00593724" w:rsidRDefault="006A665C">
      <w:pPr>
        <w:rPr>
          <w:rFonts w:ascii="Times New Roman" w:hAnsi="Times New Roman"/>
        </w:rPr>
      </w:pPr>
      <w:r w:rsidRPr="00593724">
        <w:rPr>
          <w:rFonts w:ascii="Times New Roman" w:hAnsi="Times New Roman"/>
          <w:vertAlign w:val="superscript"/>
        </w:rPr>
        <w:t>1</w:t>
      </w:r>
      <w:r w:rsidRPr="00593724">
        <w:rPr>
          <w:rFonts w:ascii="Times New Roman" w:hAnsi="Times New Roman"/>
        </w:rPr>
        <w:t xml:space="preserve"> GFZ Helmholtz Centre for Geosciences, Telegrafenberg, 14473 Potsdam, Germany.</w:t>
      </w:r>
    </w:p>
    <w:p w14:paraId="41731545" w14:textId="77777777" w:rsidR="00E84A76" w:rsidRPr="00593724" w:rsidRDefault="006A665C">
      <w:pPr>
        <w:rPr>
          <w:rFonts w:ascii="Times New Roman" w:hAnsi="Times New Roman"/>
        </w:rPr>
      </w:pPr>
      <w:r w:rsidRPr="00593724">
        <w:rPr>
          <w:rFonts w:ascii="Times New Roman" w:hAnsi="Times New Roman"/>
          <w:vertAlign w:val="superscript"/>
        </w:rPr>
        <w:t>2</w:t>
      </w:r>
      <w:r w:rsidRPr="00593724">
        <w:rPr>
          <w:rFonts w:ascii="Times New Roman" w:hAnsi="Times New Roman"/>
        </w:rPr>
        <w:t xml:space="preserve"> Institute of Geosciences, University of Potsdam, 14476 Potsdam, Germany.</w:t>
      </w:r>
    </w:p>
    <w:p w14:paraId="7703E16A" w14:textId="77777777" w:rsidR="00E84A76" w:rsidRPr="00593724" w:rsidRDefault="006A665C">
      <w:pPr>
        <w:rPr>
          <w:rFonts w:ascii="Times New Roman" w:hAnsi="Times New Roman"/>
          <w:lang w:val="es-CR"/>
        </w:rPr>
      </w:pPr>
      <w:r w:rsidRPr="00593724">
        <w:rPr>
          <w:rFonts w:ascii="Times New Roman" w:hAnsi="Times New Roman"/>
          <w:vertAlign w:val="superscript"/>
          <w:lang w:val="es-CR"/>
        </w:rPr>
        <w:t>3</w:t>
      </w:r>
      <w:r w:rsidRPr="00593724">
        <w:rPr>
          <w:rFonts w:ascii="Times New Roman" w:hAnsi="Times New Roman"/>
          <w:lang w:val="es-CR"/>
        </w:rPr>
        <w:t xml:space="preserve"> Departamento de Ingeniería y Morfología del Terreno, Escuela Técnica Superior de Ingenieros de Caminos, Canales y Puertos, Universidad Politécnica de Madrid, 28040 Madrid, Spain.</w:t>
      </w:r>
    </w:p>
    <w:p w14:paraId="6AEB882E" w14:textId="77777777" w:rsidR="00E84A76" w:rsidRPr="00593724" w:rsidRDefault="006A665C">
      <w:pPr>
        <w:rPr>
          <w:rFonts w:ascii="Times New Roman" w:hAnsi="Times New Roman"/>
          <w:lang w:val="es-CR"/>
        </w:rPr>
      </w:pPr>
      <w:r w:rsidRPr="00593724">
        <w:rPr>
          <w:rFonts w:ascii="Times New Roman" w:hAnsi="Times New Roman"/>
          <w:vertAlign w:val="superscript"/>
          <w:lang w:val="es-CR"/>
        </w:rPr>
        <w:t>4</w:t>
      </w:r>
      <w:r w:rsidRPr="00593724">
        <w:rPr>
          <w:rFonts w:ascii="Times New Roman" w:hAnsi="Times New Roman"/>
          <w:lang w:val="es-CR"/>
        </w:rPr>
        <w:t xml:space="preserve"> Centro de Estudios Superiores de Energía y Minas, Facultad de Ingeniería, Universidad de San Carlos de Guatemala, Guatemala City 01012, Guatemala. </w:t>
      </w:r>
    </w:p>
    <w:p w14:paraId="68D44378" w14:textId="77777777" w:rsidR="00E84A76" w:rsidRPr="00593724" w:rsidRDefault="006A665C">
      <w:pPr>
        <w:rPr>
          <w:rFonts w:ascii="Times New Roman" w:hAnsi="Times New Roman"/>
          <w:lang w:val="en-GB"/>
        </w:rPr>
      </w:pPr>
      <w:r w:rsidRPr="00593724">
        <w:rPr>
          <w:rFonts w:ascii="Times New Roman" w:hAnsi="Times New Roman"/>
          <w:vertAlign w:val="superscript"/>
          <w:lang w:val="en-GB"/>
        </w:rPr>
        <w:t xml:space="preserve">5 </w:t>
      </w:r>
      <w:r w:rsidRPr="00593724">
        <w:rPr>
          <w:rFonts w:ascii="Times New Roman" w:hAnsi="Times New Roman"/>
          <w:lang w:val="en-GB"/>
        </w:rPr>
        <w:t>Missouri University of Science and Technology, Geological Sciences and Geological and Petroleum Engineering, 1400 N Bishop, Rolla, MO 65401, USA.</w:t>
      </w:r>
    </w:p>
    <w:p w14:paraId="322D4F0D" w14:textId="77777777" w:rsidR="00E84A76" w:rsidRPr="00593724" w:rsidRDefault="00E84A76">
      <w:pPr>
        <w:spacing w:line="480" w:lineRule="auto"/>
        <w:jc w:val="left"/>
        <w:rPr>
          <w:rFonts w:ascii="Times New Roman" w:hAnsi="Times New Roman"/>
          <w:lang w:val="en-GB"/>
        </w:rPr>
      </w:pPr>
    </w:p>
    <w:p w14:paraId="0F3E7440" w14:textId="77777777" w:rsidR="00E84A76" w:rsidRPr="00593724" w:rsidRDefault="006A665C">
      <w:pPr>
        <w:spacing w:line="360" w:lineRule="auto"/>
        <w:rPr>
          <w:rFonts w:ascii="Times New Roman" w:hAnsi="Times New Roman"/>
          <w:lang w:val="es-GT"/>
        </w:rPr>
      </w:pPr>
      <w:r w:rsidRPr="00593724">
        <w:rPr>
          <w:rFonts w:ascii="Times New Roman" w:hAnsi="Times New Roman"/>
          <w:lang w:val="es-CR"/>
        </w:rPr>
        <w:t xml:space="preserve">Mario Arroyo-Solórzano: marroyo@gfz.de, </w:t>
      </w:r>
      <w:r w:rsidRPr="00593724">
        <w:rPr>
          <w:rFonts w:ascii="Times New Roman" w:hAnsi="Times New Roman"/>
          <w:b/>
          <w:bCs/>
          <w:lang w:val="es-CR"/>
        </w:rPr>
        <w:t>corresponding author</w:t>
      </w:r>
      <w:r w:rsidRPr="00593724">
        <w:rPr>
          <w:rFonts w:ascii="Times New Roman" w:hAnsi="Times New Roman"/>
          <w:lang w:val="es-CR"/>
        </w:rPr>
        <w:t xml:space="preserve"> ORCID: 0000-0002-1653-2680</w:t>
      </w:r>
    </w:p>
    <w:p w14:paraId="69FE7C83" w14:textId="77777777" w:rsidR="00E84A76" w:rsidRPr="00593724" w:rsidRDefault="006A665C">
      <w:pPr>
        <w:spacing w:line="360" w:lineRule="auto"/>
        <w:rPr>
          <w:rFonts w:ascii="Times New Roman" w:hAnsi="Times New Roman"/>
          <w:lang w:val="es-CR"/>
        </w:rPr>
      </w:pPr>
      <w:r w:rsidRPr="00593724">
        <w:rPr>
          <w:rFonts w:ascii="Times New Roman" w:hAnsi="Times New Roman"/>
          <w:lang w:val="es-CR"/>
        </w:rPr>
        <w:t>Carlos Gamboa-Canté: carlosjose.gamboa@upm.es ORCID: 0000-0002-9921-5911</w:t>
      </w:r>
    </w:p>
    <w:p w14:paraId="62FB8F72" w14:textId="77777777" w:rsidR="00E84A76" w:rsidRPr="00593724" w:rsidRDefault="006A665C">
      <w:pPr>
        <w:spacing w:line="360" w:lineRule="auto"/>
        <w:rPr>
          <w:rFonts w:ascii="Times New Roman" w:hAnsi="Times New Roman"/>
        </w:rPr>
      </w:pPr>
      <w:r w:rsidRPr="00593724">
        <w:rPr>
          <w:rFonts w:ascii="Times New Roman" w:hAnsi="Times New Roman"/>
          <w:lang w:val="en-GB"/>
        </w:rPr>
        <w:t>Jeremy Maurer:</w:t>
      </w:r>
      <w:r w:rsidRPr="00593724">
        <w:rPr>
          <w:rFonts w:ascii="Times New Roman" w:hAnsi="Times New Roman"/>
        </w:rPr>
        <w:t xml:space="preserve"> jmaurer@mst.edu ORCID: 0000-0002-3624-5961</w:t>
      </w:r>
    </w:p>
    <w:p w14:paraId="67BAEACB" w14:textId="77777777" w:rsidR="00E84A76" w:rsidRPr="00593724" w:rsidRDefault="006A665C">
      <w:pPr>
        <w:spacing w:line="360" w:lineRule="auto"/>
        <w:rPr>
          <w:rFonts w:ascii="Times New Roman" w:hAnsi="Times New Roman"/>
          <w:lang w:val="es-GT"/>
        </w:rPr>
      </w:pPr>
      <w:r w:rsidRPr="00593724">
        <w:rPr>
          <w:rFonts w:ascii="Times New Roman" w:hAnsi="Times New Roman"/>
          <w:lang w:val="es-GT"/>
        </w:rPr>
        <w:t>Omar Flores: 1798801280101@ingenieria.usac.edu.gt ORCID: 0009-0009-2977-1638</w:t>
      </w:r>
    </w:p>
    <w:p w14:paraId="08CE5A8C" w14:textId="77777777" w:rsidR="00E84A76" w:rsidRPr="00593724" w:rsidRDefault="006A665C">
      <w:pPr>
        <w:spacing w:line="360" w:lineRule="auto"/>
        <w:rPr>
          <w:rFonts w:ascii="Times New Roman" w:hAnsi="Times New Roman"/>
          <w:lang w:val="es-CR"/>
        </w:rPr>
      </w:pPr>
      <w:r w:rsidRPr="00593724">
        <w:rPr>
          <w:rFonts w:ascii="Times New Roman" w:hAnsi="Times New Roman"/>
          <w:lang w:val="es-CR"/>
        </w:rPr>
        <w:t>María Belén Benito: mariabelen.benito@upm.es ORCID: 0000-0003-3582-6438</w:t>
      </w:r>
    </w:p>
    <w:p w14:paraId="6F745671" w14:textId="77777777" w:rsidR="00E84A76" w:rsidRPr="00593724" w:rsidRDefault="006A665C">
      <w:pPr>
        <w:spacing w:line="360" w:lineRule="auto"/>
        <w:rPr>
          <w:rFonts w:ascii="Times New Roman" w:hAnsi="Times New Roman"/>
          <w:lang w:val="en-GB"/>
        </w:rPr>
      </w:pPr>
      <w:r w:rsidRPr="00593724">
        <w:rPr>
          <w:rFonts w:ascii="Times New Roman" w:hAnsi="Times New Roman"/>
          <w:lang w:val="en-GB"/>
        </w:rPr>
        <w:t xml:space="preserve">Fabrice Cotton: fcotton@gfz.de ORCID: 0000-0002-9242-3996 </w:t>
      </w:r>
      <w:r w:rsidRPr="00593724">
        <w:br w:type="page"/>
      </w:r>
    </w:p>
    <w:p w14:paraId="251AAF49" w14:textId="5A09E581" w:rsidR="00C63FFA" w:rsidRPr="00691A37" w:rsidRDefault="00C63FFA">
      <w:pPr>
        <w:spacing w:line="360" w:lineRule="auto"/>
        <w:rPr>
          <w:rFonts w:ascii="Times New Roman" w:hAnsi="Times New Roman" w:cs="Times New Roman"/>
          <w:color w:val="000000"/>
          <w:kern w:val="0"/>
          <w:lang w:val="en-GB"/>
        </w:rPr>
        <w:sectPr w:rsidR="00C63FFA" w:rsidRPr="00691A37">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lnNumType w:countBy="1" w:distance="283" w:restart="continuous"/>
          <w:cols w:space="720"/>
          <w:formProt w:val="0"/>
          <w:docGrid w:type="lines" w:linePitch="400"/>
        </w:sectPr>
      </w:pPr>
    </w:p>
    <w:p w14:paraId="0BC346F5" w14:textId="2130E019" w:rsidR="00E84A76" w:rsidRPr="00593724" w:rsidRDefault="00691A37">
      <w:pPr>
        <w:pStyle w:val="Heading1"/>
        <w:rPr>
          <w:rFonts w:ascii="Times New Roman" w:hAnsi="Times New Roman" w:cs="Times New Roman"/>
          <w:b/>
          <w:bCs/>
          <w:color w:val="auto"/>
          <w:sz w:val="24"/>
          <w:szCs w:val="24"/>
        </w:rPr>
      </w:pPr>
      <w:r w:rsidRPr="00593724">
        <w:rPr>
          <w:rFonts w:ascii="Times New Roman" w:hAnsi="Times New Roman" w:cs="Times New Roman"/>
          <w:b/>
          <w:bCs/>
          <w:color w:val="auto"/>
          <w:sz w:val="24"/>
          <w:szCs w:val="24"/>
        </w:rPr>
        <w:lastRenderedPageBreak/>
        <w:t>APPENDICES</w:t>
      </w:r>
    </w:p>
    <w:p w14:paraId="5D85EAC3" w14:textId="77777777" w:rsidR="00E84A76" w:rsidRPr="00593724" w:rsidRDefault="00E84A76">
      <w:pPr>
        <w:spacing w:line="360" w:lineRule="auto"/>
        <w:rPr>
          <w:rFonts w:ascii="Times New Roman" w:hAnsi="Times New Roman" w:cs="Times New Roman"/>
          <w:b/>
          <w:bCs/>
          <w:lang w:val="en-GB"/>
        </w:rPr>
      </w:pPr>
    </w:p>
    <w:p w14:paraId="758C18CC" w14:textId="77777777" w:rsidR="00E84A76" w:rsidRPr="00593724" w:rsidRDefault="006A665C">
      <w:pPr>
        <w:spacing w:line="360" w:lineRule="auto"/>
        <w:rPr>
          <w:rFonts w:ascii="Times New Roman" w:hAnsi="Times New Roman" w:cs="Times New Roman"/>
          <w:b/>
          <w:bCs/>
          <w:lang w:val="en-GB"/>
        </w:rPr>
      </w:pPr>
      <w:r w:rsidRPr="00593724">
        <w:rPr>
          <w:rFonts w:ascii="Times New Roman" w:hAnsi="Times New Roman" w:cs="Times New Roman"/>
          <w:b/>
          <w:bCs/>
          <w:lang w:val="en-GB"/>
        </w:rPr>
        <w:t>TABLES</w:t>
      </w:r>
    </w:p>
    <w:p w14:paraId="1AA041C6" w14:textId="77777777" w:rsidR="00E84A76" w:rsidRPr="00593724" w:rsidRDefault="00E84A76">
      <w:pPr>
        <w:spacing w:line="360" w:lineRule="auto"/>
        <w:rPr>
          <w:rFonts w:ascii="Times New Roman" w:hAnsi="Times New Roman" w:cs="Times New Roman"/>
          <w:b/>
          <w:bCs/>
          <w:lang w:val="en-GB"/>
        </w:rPr>
      </w:pPr>
    </w:p>
    <w:p w14:paraId="1107FF8E" w14:textId="77777777" w:rsidR="00E84A76" w:rsidRPr="00593724" w:rsidRDefault="006A665C">
      <w:pPr>
        <w:spacing w:line="360" w:lineRule="auto"/>
        <w:rPr>
          <w:rFonts w:ascii="Times New Roman" w:hAnsi="Times New Roman" w:cs="Times New Roman"/>
          <w:bCs/>
          <w:sz w:val="22"/>
          <w:szCs w:val="22"/>
        </w:rPr>
      </w:pPr>
      <w:r w:rsidRPr="00593724">
        <w:rPr>
          <w:rFonts w:ascii="Times New Roman" w:hAnsi="Times New Roman" w:cs="Times New Roman"/>
          <w:b/>
          <w:sz w:val="22"/>
          <w:szCs w:val="22"/>
        </w:rPr>
        <w:t>Table A1</w:t>
      </w:r>
      <w:r w:rsidRPr="00593724">
        <w:rPr>
          <w:rFonts w:ascii="Times New Roman" w:hAnsi="Times New Roman" w:cs="Times New Roman"/>
          <w:bCs/>
          <w:sz w:val="22"/>
          <w:szCs w:val="22"/>
        </w:rPr>
        <w:t>. Models and their dependencies used for MFD characterization of the source from geodetic data.</w:t>
      </w:r>
    </w:p>
    <w:tbl>
      <w:tblPr>
        <w:tblStyle w:val="TableGrid"/>
        <w:tblW w:w="9713" w:type="dxa"/>
        <w:tblInd w:w="-5" w:type="dxa"/>
        <w:tblLayout w:type="fixed"/>
        <w:tblLook w:val="04A0" w:firstRow="1" w:lastRow="0" w:firstColumn="1" w:lastColumn="0" w:noHBand="0" w:noVBand="1"/>
      </w:tblPr>
      <w:tblGrid>
        <w:gridCol w:w="5859"/>
        <w:gridCol w:w="3854"/>
      </w:tblGrid>
      <w:tr w:rsidR="00E84A76" w:rsidRPr="00593724" w14:paraId="5CC39239" w14:textId="77777777">
        <w:trPr>
          <w:trHeight w:val="131"/>
        </w:trPr>
        <w:tc>
          <w:tcPr>
            <w:tcW w:w="5859" w:type="dxa"/>
            <w:tcBorders>
              <w:left w:val="nil"/>
              <w:right w:val="nil"/>
            </w:tcBorders>
          </w:tcPr>
          <w:p w14:paraId="7AE3AE05" w14:textId="77777777" w:rsidR="00E84A76" w:rsidRPr="00593724" w:rsidRDefault="006A665C">
            <w:pPr>
              <w:jc w:val="center"/>
              <w:rPr>
                <w:rFonts w:ascii="Times New Roman" w:hAnsi="Times New Roman" w:cs="Times New Roman"/>
                <w:b/>
                <w:i/>
                <w:iCs/>
                <w:color w:val="000000"/>
                <w:sz w:val="20"/>
                <w:szCs w:val="20"/>
              </w:rPr>
            </w:pPr>
            <w:r w:rsidRPr="00593724">
              <w:rPr>
                <w:rFonts w:ascii="Times New Roman" w:eastAsia="Calibri" w:hAnsi="Times New Roman" w:cs="Times New Roman"/>
                <w:b/>
                <w:i/>
                <w:iCs/>
                <w:sz w:val="20"/>
                <w:szCs w:val="20"/>
              </w:rPr>
              <w:t>Models</w:t>
            </w:r>
          </w:p>
        </w:tc>
        <w:tc>
          <w:tcPr>
            <w:tcW w:w="3854" w:type="dxa"/>
            <w:tcBorders>
              <w:left w:val="nil"/>
              <w:right w:val="nil"/>
            </w:tcBorders>
          </w:tcPr>
          <w:p w14:paraId="0B97E1F1" w14:textId="77777777" w:rsidR="00E84A76" w:rsidRPr="00593724" w:rsidRDefault="006A665C">
            <w:pPr>
              <w:jc w:val="center"/>
              <w:rPr>
                <w:rFonts w:ascii="Times New Roman" w:hAnsi="Times New Roman" w:cs="Times New Roman"/>
                <w:b/>
                <w:i/>
                <w:iCs/>
                <w:color w:val="000000"/>
                <w:sz w:val="20"/>
                <w:szCs w:val="20"/>
              </w:rPr>
            </w:pPr>
            <w:r w:rsidRPr="00593724">
              <w:rPr>
                <w:rFonts w:ascii="Times New Roman" w:eastAsia="Calibri" w:hAnsi="Times New Roman" w:cs="Times New Roman"/>
                <w:b/>
                <w:i/>
                <w:iCs/>
                <w:sz w:val="20"/>
                <w:szCs w:val="20"/>
              </w:rPr>
              <w:t>Variables and its dependencies</w:t>
            </w:r>
          </w:p>
        </w:tc>
      </w:tr>
      <w:tr w:rsidR="00E84A76" w:rsidRPr="00593724" w14:paraId="6F99DBB1" w14:textId="77777777">
        <w:trPr>
          <w:trHeight w:val="321"/>
        </w:trPr>
        <w:tc>
          <w:tcPr>
            <w:tcW w:w="5859" w:type="dxa"/>
            <w:tcBorders>
              <w:left w:val="nil"/>
              <w:bottom w:val="nil"/>
            </w:tcBorders>
          </w:tcPr>
          <w:p w14:paraId="55CD6CF9" w14:textId="77777777" w:rsidR="00E84A76" w:rsidRPr="00593724" w:rsidRDefault="006A665C">
            <w:pPr>
              <w:pStyle w:val="ListParagraph"/>
              <w:ind w:left="0"/>
              <w:rPr>
                <w:rFonts w:ascii="Times New Roman" w:eastAsia="Calibri" w:hAnsi="Times New Roman" w:cs="Times New Roman"/>
                <w:b/>
                <w:bCs/>
                <w:sz w:val="20"/>
                <w:szCs w:val="20"/>
                <w:u w:val="single"/>
              </w:rPr>
            </w:pPr>
            <w:r w:rsidRPr="00593724">
              <w:rPr>
                <w:rFonts w:ascii="Times New Roman" w:eastAsia="Calibri" w:hAnsi="Times New Roman" w:cs="Times New Roman"/>
                <w:b/>
                <w:bCs/>
                <w:sz w:val="20"/>
                <w:szCs w:val="20"/>
                <w:u w:val="single"/>
              </w:rPr>
              <w:t>Earthquake Rates (</w:t>
            </w:r>
            <w:r w:rsidRPr="00593724">
              <w:rPr>
                <w:rFonts w:ascii="Times New Roman" w:eastAsia="MS Mincho" w:hAnsi="Times New Roman" w:cs="Times New Roman"/>
                <w:b/>
                <w:bCs/>
                <w:i/>
                <w:iCs/>
                <w:color w:val="000000"/>
                <w:sz w:val="20"/>
                <w:szCs w:val="20"/>
              </w:rPr>
              <w:t>N</w:t>
            </w:r>
            <w:r w:rsidRPr="00593724">
              <w:rPr>
                <w:rFonts w:ascii="Times New Roman" w:eastAsia="MS Mincho" w:hAnsi="Times New Roman" w:cs="Times New Roman"/>
                <w:b/>
                <w:bCs/>
                <w:i/>
                <w:iCs/>
                <w:color w:val="000000"/>
                <w:sz w:val="20"/>
                <w:szCs w:val="20"/>
                <w:vertAlign w:val="subscript"/>
              </w:rPr>
              <w:t>min</w:t>
            </w:r>
            <w:r w:rsidRPr="00593724">
              <w:rPr>
                <w:rFonts w:ascii="Times New Roman" w:eastAsia="Calibri" w:hAnsi="Times New Roman" w:cs="Times New Roman"/>
                <w:b/>
                <w:bCs/>
                <w:sz w:val="20"/>
                <w:szCs w:val="20"/>
                <w:u w:val="single"/>
              </w:rPr>
              <w:t>) variation</w:t>
            </w:r>
          </w:p>
          <w:p w14:paraId="44DA653F" w14:textId="77777777" w:rsidR="00E84A76" w:rsidRPr="00593724" w:rsidRDefault="00E84A76">
            <w:pPr>
              <w:pStyle w:val="ListParagraph"/>
              <w:ind w:left="0"/>
              <w:rPr>
                <w:rFonts w:ascii="Times New Roman" w:hAnsi="Times New Roman" w:cs="Times New Roman"/>
                <w:sz w:val="20"/>
                <w:szCs w:val="20"/>
                <w:u w:val="single"/>
              </w:rPr>
            </w:pPr>
          </w:p>
          <w:p w14:paraId="096B0518" w14:textId="09024771" w:rsidR="00E84A76" w:rsidRPr="00593724" w:rsidRDefault="006A665C">
            <w:pPr>
              <w:pStyle w:val="ListParagraph"/>
              <w:ind w:left="0"/>
              <w:jc w:val="center"/>
              <w:rPr>
                <w:rFonts w:ascii="Times New Roman" w:hAnsi="Times New Roman" w:cs="Times New Roman"/>
                <w:bCs/>
                <w:sz w:val="20"/>
                <w:szCs w:val="20"/>
              </w:rPr>
            </w:pPr>
            <w:r w:rsidRPr="00593724">
              <w:rPr>
                <w:rFonts w:ascii="Times New Roman" w:eastAsia="Calibri" w:hAnsi="Times New Roman" w:cs="Times New Roman"/>
                <w:bCs/>
                <w:i/>
                <w:sz w:val="20"/>
                <w:szCs w:val="20"/>
                <w:u w:val="single"/>
              </w:rPr>
              <w:t>Model 1</w:t>
            </w:r>
            <w:r w:rsidRPr="00593724">
              <w:rPr>
                <w:rFonts w:ascii="Times New Roman" w:eastAsia="Calibri" w:hAnsi="Times New Roman" w:cs="Times New Roman"/>
                <w:bCs/>
                <w:i/>
                <w:sz w:val="20"/>
                <w:szCs w:val="20"/>
              </w:rPr>
              <w:t xml:space="preserve">: </w:t>
            </w:r>
            <w:r w:rsidRPr="00593724">
              <w:rPr>
                <w:rFonts w:ascii="Times New Roman" w:eastAsia="Calibri" w:hAnsi="Times New Roman" w:cs="Times New Roman"/>
                <w:bCs/>
                <w:sz w:val="20"/>
                <w:szCs w:val="20"/>
              </w:rPr>
              <w:t xml:space="preserve">Equation I.10 in </w:t>
            </w:r>
            <w:sdt>
              <w:sdtPr>
                <w:rPr>
                  <w:rFonts w:ascii="Century" w:hAnsi="Century"/>
                  <w:color w:val="000000"/>
                  <w:sz w:val="20"/>
                  <w:szCs w:val="20"/>
                </w:rPr>
                <w:tag w:val="MENDELEY_CITATION_v3_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"/>
                <w:id w:val="-359279547"/>
                <w:placeholder>
                  <w:docPart w:val="C2D7E3EF0FF84A948CF14E23ED4453C6"/>
                </w:placeholder>
              </w:sdtPr>
              <w:sdtContent>
                <w:r w:rsidR="00B344CE" w:rsidRPr="00593724">
                  <w:rPr>
                    <w:rFonts w:ascii="Century" w:eastAsia="Times New Roman" w:hAnsi="Century"/>
                    <w:color w:val="000000"/>
                    <w:sz w:val="20"/>
                  </w:rPr>
                  <w:t>Anderson &amp; Luco (1983)</w:t>
                </w:r>
              </w:sdtContent>
            </w:sdt>
          </w:p>
          <w:p w14:paraId="69AF3013" w14:textId="77777777" w:rsidR="00E84A76" w:rsidRPr="00593724" w:rsidRDefault="00E84A76">
            <w:pPr>
              <w:pStyle w:val="ListParagraph"/>
              <w:ind w:left="0"/>
              <w:jc w:val="center"/>
              <w:rPr>
                <w:rFonts w:ascii="Times New Roman" w:hAnsi="Times New Roman" w:cs="Times New Roman"/>
                <w:bCs/>
                <w:sz w:val="20"/>
                <w:szCs w:val="20"/>
              </w:rPr>
            </w:pPr>
          </w:p>
          <w:p w14:paraId="00D43840" w14:textId="77777777" w:rsidR="00E84A76" w:rsidRPr="00593724" w:rsidRDefault="00000000">
            <w:pPr>
              <w:pStyle w:val="ListParagraph"/>
              <w:ind w:left="0"/>
              <w:jc w:val="center"/>
              <w:rPr>
                <w:rFonts w:ascii="Times New Roman" w:hAnsi="Times New Roman" w:cs="Times New Roman"/>
                <w:bCs/>
                <w:sz w:val="20"/>
                <w:szCs w:val="20"/>
              </w:rPr>
            </w:pPr>
            <m:oMathPara>
              <m:oMathParaPr>
                <m:jc m:val="center"/>
              </m:oMathParaPr>
              <m:oMath>
                <m:sSub>
                  <m:sSubPr>
                    <m:ctrlPr>
                      <w:rPr>
                        <w:rFonts w:ascii="Cambria Math" w:hAnsi="Cambria Math"/>
                        <w:sz w:val="20"/>
                        <w:szCs w:val="20"/>
                      </w:rPr>
                    </m:ctrlPr>
                  </m:sSubPr>
                  <m:e>
                    <m:r>
                      <w:rPr>
                        <w:rFonts w:ascii="Cambria Math" w:hAnsi="Cambria Math"/>
                        <w:sz w:val="20"/>
                        <w:szCs w:val="20"/>
                      </w:rPr>
                      <m:t>N</m:t>
                    </m:r>
                  </m:e>
                  <m:sub>
                    <m:r>
                      <w:rPr>
                        <w:rFonts w:ascii="Cambria Math" w:hAnsi="Cambria Math"/>
                        <w:sz w:val="20"/>
                        <w:szCs w:val="20"/>
                      </w:rPr>
                      <m:t>min</m:t>
                    </m:r>
                  </m:sub>
                </m:sSub>
                <m:r>
                  <m:rPr>
                    <m:lit/>
                    <m:nor/>
                  </m:rPr>
                  <w:rPr>
                    <w:sz w:val="20"/>
                    <w:szCs w:val="20"/>
                  </w:rPr>
                  <m:t>=</m:t>
                </m:r>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d</m:t>
                        </m:r>
                        <m:r>
                          <m:rPr>
                            <m:lit/>
                            <m:nor/>
                          </m:rPr>
                          <w:rPr>
                            <w:sz w:val="20"/>
                            <w:szCs w:val="20"/>
                          </w:rPr>
                          <m:t>-</m:t>
                        </m:r>
                        <m:r>
                          <w:rPr>
                            <w:rFonts w:ascii="Cambria Math" w:hAnsi="Cambria Math"/>
                            <w:sz w:val="20"/>
                            <w:szCs w:val="20"/>
                          </w:rPr>
                          <m:t>β</m:t>
                        </m:r>
                      </m:num>
                      <m:den>
                        <m:r>
                          <w:rPr>
                            <w:rFonts w:ascii="Cambria Math" w:hAnsi="Cambria Math"/>
                            <w:sz w:val="20"/>
                            <w:szCs w:val="20"/>
                          </w:rPr>
                          <m:t>d</m:t>
                        </m:r>
                      </m:den>
                    </m:f>
                  </m:e>
                </m:d>
                <m:r>
                  <w:rPr>
                    <w:rFonts w:ascii="Cambria Math" w:hAnsi="Cambria Math"/>
                    <w:sz w:val="20"/>
                    <w:szCs w:val="20"/>
                  </w:rPr>
                  <m:t>∙</m:t>
                </m:r>
                <m:d>
                  <m:dPr>
                    <m:ctrlPr>
                      <w:rPr>
                        <w:rFonts w:ascii="Cambria Math" w:hAnsi="Cambria Math"/>
                        <w:sz w:val="20"/>
                        <w:szCs w:val="20"/>
                      </w:rPr>
                    </m:ctrlPr>
                  </m:dPr>
                  <m:e>
                    <m:f>
                      <m:fPr>
                        <m:ctrlPr>
                          <w:rPr>
                            <w:rFonts w:ascii="Cambria Math" w:hAnsi="Cambria Math"/>
                            <w:sz w:val="20"/>
                            <w:szCs w:val="20"/>
                          </w:rPr>
                        </m:ctrlPr>
                      </m:fPr>
                      <m:num>
                        <m:acc>
                          <m:accPr>
                            <m:chr m:val="˙"/>
                            <m:ctrlPr>
                              <w:rPr>
                                <w:rFonts w:ascii="Cambria Math" w:hAnsi="Cambria Math"/>
                                <w:sz w:val="20"/>
                                <w:szCs w:val="20"/>
                              </w:rPr>
                            </m:ctrlPr>
                          </m:accPr>
                          <m:e>
                            <m:r>
                              <w:rPr>
                                <w:rFonts w:ascii="Cambria Math" w:hAnsi="Cambria Math"/>
                                <w:sz w:val="20"/>
                                <w:szCs w:val="20"/>
                              </w:rPr>
                              <m:t>s</m:t>
                            </m:r>
                          </m:e>
                        </m:acc>
                      </m:num>
                      <m:den>
                        <m:r>
                          <w:rPr>
                            <w:rFonts w:ascii="Cambria Math" w:hAnsi="Cambria Math"/>
                            <w:sz w:val="20"/>
                            <w:szCs w:val="20"/>
                          </w:rPr>
                          <m:t>γ</m:t>
                        </m:r>
                      </m:den>
                    </m:f>
                  </m:e>
                </m:d>
                <m: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e</m:t>
                    </m:r>
                  </m:e>
                  <m:sup>
                    <m:r>
                      <w:rPr>
                        <w:rFonts w:ascii="Cambria Math" w:hAnsi="Cambria Math"/>
                        <w:sz w:val="20"/>
                        <w:szCs w:val="20"/>
                      </w:rPr>
                      <m:t>β(Mmax</m:t>
                    </m:r>
                    <m:r>
                      <m:rPr>
                        <m:lit/>
                        <m:nor/>
                      </m:rPr>
                      <w:rPr>
                        <w:sz w:val="20"/>
                        <w:szCs w:val="20"/>
                      </w:rPr>
                      <m:t>-</m:t>
                    </m:r>
                    <m:r>
                      <w:rPr>
                        <w:rFonts w:ascii="Cambria Math" w:hAnsi="Cambria Math"/>
                        <w:sz w:val="20"/>
                        <w:szCs w:val="20"/>
                      </w:rPr>
                      <m:t>Mmin)</m:t>
                    </m:r>
                  </m:sup>
                </m:sSup>
                <m: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e</m:t>
                    </m:r>
                  </m:e>
                  <m:sup>
                    <m:r>
                      <m:rPr>
                        <m:lit/>
                        <m:nor/>
                      </m:rPr>
                      <w:rPr>
                        <w:sz w:val="20"/>
                        <w:szCs w:val="20"/>
                      </w:rPr>
                      <m:t>-</m:t>
                    </m:r>
                    <m:r>
                      <w:rPr>
                        <w:rFonts w:ascii="Cambria Math" w:hAnsi="Cambria Math"/>
                        <w:sz w:val="20"/>
                        <w:szCs w:val="20"/>
                      </w:rPr>
                      <m:t>((</m:t>
                    </m:r>
                    <m:f>
                      <m:fPr>
                        <m:ctrlPr>
                          <w:rPr>
                            <w:rFonts w:ascii="Cambria Math" w:hAnsi="Cambria Math"/>
                            <w:sz w:val="20"/>
                            <w:szCs w:val="20"/>
                          </w:rPr>
                        </m:ctrlPr>
                      </m:fPr>
                      <m:num>
                        <m:r>
                          <w:rPr>
                            <w:rFonts w:ascii="Cambria Math" w:hAnsi="Cambria Math"/>
                            <w:sz w:val="20"/>
                            <w:szCs w:val="20"/>
                          </w:rPr>
                          <m:t>d</m:t>
                        </m:r>
                      </m:num>
                      <m:den>
                        <m:r>
                          <w:rPr>
                            <w:rFonts w:ascii="Cambria Math" w:hAnsi="Cambria Math"/>
                            <w:sz w:val="20"/>
                            <w:szCs w:val="20"/>
                          </w:rPr>
                          <m:t>2</m:t>
                        </m:r>
                      </m:den>
                    </m:f>
                    <m:r>
                      <w:rPr>
                        <w:rFonts w:ascii="Cambria Math" w:hAnsi="Cambria Math"/>
                        <w:sz w:val="20"/>
                        <w:szCs w:val="20"/>
                      </w:rPr>
                      <m:t>)∙Mmax)</m:t>
                    </m:r>
                  </m:sup>
                </m:sSup>
              </m:oMath>
            </m:oMathPara>
          </w:p>
          <w:p w14:paraId="590F3CA2" w14:textId="77777777" w:rsidR="00E84A76" w:rsidRPr="00593724" w:rsidRDefault="00E84A76">
            <w:pPr>
              <w:pStyle w:val="ListParagraph"/>
              <w:ind w:left="0"/>
              <w:rPr>
                <w:rFonts w:ascii="Times New Roman" w:hAnsi="Times New Roman" w:cs="Times New Roman"/>
                <w:bCs/>
                <w:sz w:val="20"/>
                <w:szCs w:val="20"/>
              </w:rPr>
            </w:pPr>
          </w:p>
        </w:tc>
        <w:tc>
          <w:tcPr>
            <w:tcW w:w="3854" w:type="dxa"/>
            <w:vMerge w:val="restart"/>
            <w:tcBorders>
              <w:right w:val="nil"/>
            </w:tcBorders>
          </w:tcPr>
          <w:p w14:paraId="3895E905" w14:textId="77777777" w:rsidR="00E84A76" w:rsidRPr="00593724" w:rsidRDefault="00E84A76">
            <w:pPr>
              <w:rPr>
                <w:rFonts w:ascii="Times New Roman" w:eastAsia="Calibri" w:hAnsi="Times New Roman" w:cs="Times New Roman"/>
                <w:b/>
                <w:i/>
                <w:iCs/>
                <w:sz w:val="20"/>
                <w:szCs w:val="20"/>
              </w:rPr>
            </w:pPr>
          </w:p>
          <w:p w14:paraId="6A193A4F" w14:textId="77777777" w:rsidR="00E84A76" w:rsidRPr="00593724" w:rsidRDefault="006A665C">
            <w:pPr>
              <w:rPr>
                <w:rFonts w:ascii="Times New Roman" w:hAnsi="Times New Roman" w:cs="Times New Roman"/>
                <w:bCs/>
                <w:sz w:val="20"/>
                <w:szCs w:val="20"/>
              </w:rPr>
            </w:pPr>
            <w:r w:rsidRPr="00593724">
              <w:rPr>
                <w:rFonts w:ascii="Times New Roman" w:eastAsia="Calibri" w:hAnsi="Times New Roman" w:cs="Times New Roman"/>
                <w:b/>
                <w:i/>
                <w:iCs/>
                <w:sz w:val="20"/>
                <w:szCs w:val="20"/>
              </w:rPr>
              <w:t>b =</w:t>
            </w:r>
            <w:r w:rsidRPr="00593724">
              <w:rPr>
                <w:rFonts w:ascii="Times New Roman" w:eastAsia="Calibri" w:hAnsi="Times New Roman" w:cs="Times New Roman"/>
                <w:bCs/>
                <w:sz w:val="20"/>
                <w:szCs w:val="20"/>
              </w:rPr>
              <w:t xml:space="preserve"> </w:t>
            </w:r>
            <w:r w:rsidRPr="00593724">
              <w:rPr>
                <w:rFonts w:ascii="Times New Roman" w:eastAsia="Calibri" w:hAnsi="Times New Roman" w:cs="Times New Roman"/>
                <w:bCs/>
                <w:i/>
                <w:iCs/>
                <w:sz w:val="20"/>
                <w:szCs w:val="20"/>
              </w:rPr>
              <w:t>b-</w:t>
            </w:r>
            <w:r w:rsidRPr="00593724">
              <w:rPr>
                <w:rFonts w:ascii="Times New Roman" w:eastAsia="Calibri" w:hAnsi="Times New Roman" w:cs="Times New Roman"/>
                <w:bCs/>
                <w:sz w:val="20"/>
                <w:szCs w:val="20"/>
              </w:rPr>
              <w:t>value, of the GR relationship (Gamboa-Canté et al.,2025).</w:t>
            </w:r>
          </w:p>
          <w:p w14:paraId="64DECC34" w14:textId="77777777" w:rsidR="00E84A76" w:rsidRPr="00593724" w:rsidRDefault="00E84A76">
            <w:pPr>
              <w:rPr>
                <w:rFonts w:ascii="Times New Roman" w:hAnsi="Times New Roman" w:cs="Times New Roman"/>
                <w:b/>
                <w:sz w:val="20"/>
                <w:szCs w:val="20"/>
              </w:rPr>
            </w:pPr>
          </w:p>
          <w:p w14:paraId="524CC91F" w14:textId="77777777" w:rsidR="00E84A76" w:rsidRPr="00593724" w:rsidRDefault="006A665C">
            <w:pPr>
              <w:jc w:val="left"/>
              <w:rPr>
                <w:rFonts w:ascii="Times New Roman" w:hAnsi="Times New Roman" w:cs="Times New Roman"/>
                <w:bCs/>
                <w:sz w:val="20"/>
                <w:szCs w:val="20"/>
              </w:rPr>
            </w:pPr>
            <m:oMathPara>
              <m:oMathParaPr>
                <m:jc m:val="left"/>
              </m:oMathParaPr>
              <m:oMath>
                <m:r>
                  <w:rPr>
                    <w:rFonts w:ascii="Cambria Math" w:hAnsi="Cambria Math"/>
                    <w:sz w:val="20"/>
                    <w:szCs w:val="20"/>
                  </w:rPr>
                  <m:t>d</m:t>
                </m:r>
                <m:r>
                  <m:rPr>
                    <m:lit/>
                    <m:nor/>
                  </m:rPr>
                  <w:rPr>
                    <w:sz w:val="20"/>
                    <w:szCs w:val="20"/>
                  </w:rPr>
                  <m:t>=</m:t>
                </m:r>
                <m:r>
                  <w:rPr>
                    <w:rFonts w:ascii="Cambria Math" w:hAnsi="Cambria Math"/>
                    <w:sz w:val="20"/>
                    <w:szCs w:val="20"/>
                  </w:rPr>
                  <m:t>1.5∙ln(10)</m:t>
                </m:r>
              </m:oMath>
            </m:oMathPara>
          </w:p>
          <w:p w14:paraId="66CC891E" w14:textId="77777777" w:rsidR="00E84A76" w:rsidRPr="00593724" w:rsidRDefault="00E84A76">
            <w:pPr>
              <w:rPr>
                <w:rFonts w:ascii="Times New Roman" w:hAnsi="Times New Roman" w:cs="Times New Roman"/>
                <w:bCs/>
                <w:sz w:val="20"/>
                <w:szCs w:val="20"/>
              </w:rPr>
            </w:pPr>
          </w:p>
          <w:p w14:paraId="4FB54274" w14:textId="77777777" w:rsidR="00E84A76" w:rsidRPr="00593724" w:rsidRDefault="006A665C">
            <w:pPr>
              <w:jc w:val="left"/>
              <w:rPr>
                <w:rFonts w:ascii="Times New Roman" w:hAnsi="Times New Roman" w:cs="Times New Roman"/>
                <w:bCs/>
                <w:sz w:val="20"/>
                <w:szCs w:val="20"/>
              </w:rPr>
            </w:pPr>
            <m:oMathPara>
              <m:oMathParaPr>
                <m:jc m:val="left"/>
              </m:oMathParaPr>
              <m:oMath>
                <m:r>
                  <w:rPr>
                    <w:rFonts w:ascii="Cambria Math" w:hAnsi="Cambria Math"/>
                    <w:sz w:val="20"/>
                    <w:szCs w:val="20"/>
                  </w:rPr>
                  <m:t>β</m:t>
                </m:r>
                <m:r>
                  <m:rPr>
                    <m:lit/>
                    <m:nor/>
                  </m:rPr>
                  <w:rPr>
                    <w:sz w:val="20"/>
                    <w:szCs w:val="20"/>
                  </w:rPr>
                  <m:t>=</m:t>
                </m:r>
                <m:r>
                  <w:rPr>
                    <w:rFonts w:ascii="Cambria Math" w:hAnsi="Cambria Math"/>
                    <w:sz w:val="20"/>
                    <w:szCs w:val="20"/>
                  </w:rPr>
                  <m:t>b∙ln(10)</m:t>
                </m:r>
              </m:oMath>
            </m:oMathPara>
          </w:p>
          <w:p w14:paraId="77C32DF6" w14:textId="77777777" w:rsidR="00E84A76" w:rsidRPr="00593724" w:rsidRDefault="00E84A76">
            <w:pPr>
              <w:rPr>
                <w:rFonts w:ascii="Times New Roman" w:hAnsi="Times New Roman" w:cs="Times New Roman"/>
                <w:bCs/>
                <w:sz w:val="20"/>
                <w:szCs w:val="20"/>
              </w:rPr>
            </w:pPr>
          </w:p>
          <w:p w14:paraId="15C71DB2" w14:textId="77777777" w:rsidR="00E84A76" w:rsidRPr="00593724" w:rsidRDefault="00000000">
            <w:pPr>
              <w:rPr>
                <w:rFonts w:ascii="Times New Roman" w:hAnsi="Times New Roman" w:cs="Times New Roman"/>
                <w:bCs/>
                <w:sz w:val="20"/>
                <w:szCs w:val="20"/>
              </w:rPr>
            </w:pPr>
            <m:oMath>
              <m:acc>
                <m:accPr>
                  <m:chr m:val="˙"/>
                  <m:ctrlPr>
                    <w:rPr>
                      <w:rFonts w:ascii="Cambria Math" w:hAnsi="Cambria Math"/>
                      <w:sz w:val="20"/>
                      <w:szCs w:val="20"/>
                    </w:rPr>
                  </m:ctrlPr>
                </m:accPr>
                <m:e>
                  <m:r>
                    <w:rPr>
                      <w:rFonts w:ascii="Cambria Math" w:hAnsi="Cambria Math"/>
                      <w:sz w:val="20"/>
                      <w:szCs w:val="20"/>
                    </w:rPr>
                    <m:t>s</m:t>
                  </m:r>
                </m:e>
              </m:acc>
            </m:oMath>
            <w:r w:rsidR="006A665C" w:rsidRPr="00593724">
              <w:rPr>
                <w:rFonts w:ascii="Times New Roman" w:eastAsia="Calibri" w:hAnsi="Times New Roman" w:cs="Times New Roman"/>
                <w:b/>
                <w:i/>
                <w:iCs/>
                <w:sz w:val="20"/>
                <w:szCs w:val="20"/>
              </w:rPr>
              <w:t xml:space="preserve"> =</w:t>
            </w:r>
            <w:r w:rsidR="006A665C" w:rsidRPr="00593724">
              <w:rPr>
                <w:rFonts w:ascii="Times New Roman" w:eastAsia="Calibri" w:hAnsi="Times New Roman" w:cs="Times New Roman"/>
                <w:bCs/>
                <w:sz w:val="20"/>
                <w:szCs w:val="20"/>
              </w:rPr>
              <w:t xml:space="preserve"> Slip rate, depending on considering or not SSEs (seismic slip rate).</w:t>
            </w:r>
          </w:p>
          <w:p w14:paraId="44E19B97" w14:textId="77777777" w:rsidR="00E84A76" w:rsidRPr="00593724" w:rsidRDefault="00E84A76">
            <w:pPr>
              <w:rPr>
                <w:rFonts w:ascii="Times New Roman" w:hAnsi="Times New Roman" w:cs="Times New Roman"/>
                <w:bCs/>
                <w:sz w:val="20"/>
                <w:szCs w:val="20"/>
              </w:rPr>
            </w:pPr>
          </w:p>
          <w:p w14:paraId="1E1AC49A" w14:textId="77777777" w:rsidR="00E84A76" w:rsidRPr="00593724" w:rsidRDefault="006A665C">
            <w:pPr>
              <w:rPr>
                <w:rFonts w:ascii="Times New Roman" w:hAnsi="Times New Roman" w:cs="Times New Roman"/>
                <w:bCs/>
                <w:sz w:val="20"/>
                <w:szCs w:val="20"/>
              </w:rPr>
            </w:pPr>
            <w:r w:rsidRPr="00593724">
              <w:rPr>
                <w:rFonts w:ascii="Times New Roman" w:eastAsia="Calibri" w:hAnsi="Times New Roman" w:cs="Times New Roman"/>
                <w:b/>
                <w:sz w:val="20"/>
                <w:szCs w:val="20"/>
              </w:rPr>
              <w:t xml:space="preserve"> </w:t>
            </w:r>
            <m:oMath>
              <m:r>
                <w:rPr>
                  <w:rFonts w:ascii="Cambria Math" w:hAnsi="Cambria Math"/>
                  <w:sz w:val="20"/>
                  <w:szCs w:val="20"/>
                </w:rPr>
                <m:t>γ</m:t>
              </m:r>
              <m:r>
                <m:rPr>
                  <m:lit/>
                  <m:nor/>
                </m:rPr>
                <w:rPr>
                  <w:sz w:val="20"/>
                  <w:szCs w:val="20"/>
                </w:rPr>
                <m:t>=</m:t>
              </m:r>
              <m:rad>
                <m:radPr>
                  <m:degHide m:val="1"/>
                  <m:ctrlPr>
                    <w:rPr>
                      <w:rFonts w:ascii="Cambria Math" w:hAnsi="Cambria Math"/>
                      <w:sz w:val="20"/>
                      <w:szCs w:val="20"/>
                    </w:rPr>
                  </m:ctrlPr>
                </m:radPr>
                <m:deg/>
                <m:e>
                  <m:f>
                    <m:fPr>
                      <m:type m:val="lin"/>
                      <m:ctrlPr>
                        <w:rPr>
                          <w:rFonts w:ascii="Cambria Math" w:hAnsi="Cambria Math"/>
                          <w:sz w:val="20"/>
                          <w:szCs w:val="20"/>
                        </w:rPr>
                      </m:ctrlPr>
                    </m:fPr>
                    <m:num>
                      <m:r>
                        <w:rPr>
                          <w:rFonts w:ascii="Cambria Math" w:hAnsi="Cambria Math"/>
                          <w:sz w:val="20"/>
                          <w:szCs w:val="20"/>
                        </w:rPr>
                        <m:t>(σ∙</m:t>
                      </m:r>
                      <m:sSub>
                        <m:sSubPr>
                          <m:ctrlPr>
                            <w:rPr>
                              <w:rFonts w:ascii="Cambria Math" w:hAnsi="Cambria Math"/>
                              <w:sz w:val="20"/>
                              <w:szCs w:val="20"/>
                            </w:rPr>
                          </m:ctrlPr>
                        </m:sSubPr>
                        <m:e>
                          <m:r>
                            <w:rPr>
                              <w:rFonts w:ascii="Cambria Math" w:hAnsi="Cambria Math"/>
                              <w:sz w:val="20"/>
                              <w:szCs w:val="20"/>
                            </w:rPr>
                            <m:t>Mo</m:t>
                          </m:r>
                        </m:e>
                        <m:sub>
                          <m:r>
                            <w:rPr>
                              <w:rFonts w:ascii="Cambria Math" w:hAnsi="Cambria Math"/>
                              <w:sz w:val="20"/>
                              <w:szCs w:val="20"/>
                            </w:rPr>
                            <m:t>M0</m:t>
                          </m:r>
                        </m:sub>
                      </m:sSub>
                      <m:r>
                        <w:rPr>
                          <w:rFonts w:ascii="Cambria Math" w:hAnsi="Cambria Math"/>
                          <w:sz w:val="20"/>
                          <w:szCs w:val="20"/>
                        </w:rPr>
                        <m:t>)</m:t>
                      </m:r>
                    </m:num>
                    <m:den>
                      <m:r>
                        <w:rPr>
                          <w:rFonts w:ascii="Cambria Math" w:hAnsi="Cambria Math"/>
                          <w:sz w:val="20"/>
                          <w:szCs w:val="20"/>
                        </w:rPr>
                        <m:t>(μ∙W)</m:t>
                      </m:r>
                    </m:den>
                  </m:f>
                </m:e>
              </m:rad>
            </m:oMath>
            <w:r w:rsidRPr="00593724">
              <w:rPr>
                <w:rFonts w:ascii="Times New Roman" w:eastAsia="MS Mincho" w:hAnsi="Times New Roman" w:cs="Times New Roman"/>
                <w:sz w:val="20"/>
                <w:szCs w:val="20"/>
              </w:rPr>
              <w:t xml:space="preserve"> , w</w:t>
            </w:r>
            <w:r w:rsidRPr="00593724">
              <w:rPr>
                <w:rFonts w:ascii="Times New Roman" w:eastAsia="Calibri" w:hAnsi="Times New Roman" w:cs="Times New Roman"/>
                <w:bCs/>
                <w:sz w:val="20"/>
                <w:szCs w:val="20"/>
              </w:rPr>
              <w:t xml:space="preserve">here </w:t>
            </w:r>
            <w:r w:rsidRPr="00593724">
              <w:rPr>
                <w:rFonts w:ascii="Cambria Math" w:eastAsia="Calibri" w:hAnsi="Cambria Math" w:cs="Cambria Math"/>
                <w:bCs/>
                <w:sz w:val="20"/>
                <w:szCs w:val="20"/>
              </w:rPr>
              <w:t>𝞂</w:t>
            </w:r>
            <w:r w:rsidRPr="00593724">
              <w:rPr>
                <w:rFonts w:ascii="Times New Roman" w:eastAsia="Calibri" w:hAnsi="Times New Roman" w:cs="Times New Roman"/>
                <w:bCs/>
                <w:sz w:val="20"/>
                <w:szCs w:val="20"/>
              </w:rPr>
              <w:t xml:space="preserve"> is the slip/length ratio; </w:t>
            </w:r>
            <w:r w:rsidRPr="00593724">
              <w:rPr>
                <w:rFonts w:ascii="Times New Roman" w:eastAsia="Calibri" w:hAnsi="Times New Roman" w:cs="Times New Roman"/>
                <w:b/>
                <w:i/>
                <w:iCs/>
                <w:sz w:val="20"/>
                <w:szCs w:val="20"/>
              </w:rPr>
              <w:t>Mo</w:t>
            </w:r>
            <w:r w:rsidRPr="00593724">
              <w:rPr>
                <w:rFonts w:ascii="Times New Roman" w:eastAsia="Calibri" w:hAnsi="Times New Roman" w:cs="Times New Roman"/>
                <w:b/>
                <w:i/>
                <w:iCs/>
                <w:sz w:val="20"/>
                <w:szCs w:val="20"/>
                <w:vertAlign w:val="subscript"/>
              </w:rPr>
              <w:t>M0</w:t>
            </w:r>
            <w:r w:rsidRPr="00593724">
              <w:rPr>
                <w:rFonts w:ascii="Times New Roman" w:eastAsia="Calibri" w:hAnsi="Times New Roman" w:cs="Times New Roman"/>
                <w:bCs/>
                <w:sz w:val="20"/>
                <w:szCs w:val="20"/>
              </w:rPr>
              <w:t xml:space="preserve"> is the seismic moment for M=0;</w:t>
            </w:r>
            <w:r w:rsidRPr="00593724">
              <w:rPr>
                <w:rFonts w:ascii="Times New Roman" w:eastAsia="Calibri" w:hAnsi="Times New Roman" w:cs="Times New Roman"/>
                <w:b/>
                <w:bCs/>
                <w:sz w:val="20"/>
                <w:szCs w:val="20"/>
              </w:rPr>
              <w:t xml:space="preserve"> </w:t>
            </w:r>
            <m:oMath>
              <m:r>
                <w:rPr>
                  <w:rFonts w:ascii="Cambria Math" w:hAnsi="Cambria Math"/>
                  <w:sz w:val="20"/>
                  <w:szCs w:val="20"/>
                </w:rPr>
                <m:t>μ</m:t>
              </m:r>
            </m:oMath>
            <w:r w:rsidRPr="00593724">
              <w:rPr>
                <w:rFonts w:ascii="Times New Roman" w:eastAsia="Calibri" w:hAnsi="Times New Roman" w:cs="Times New Roman"/>
                <w:bCs/>
                <w:sz w:val="20"/>
                <w:szCs w:val="20"/>
              </w:rPr>
              <w:t xml:space="preserve"> is the shear modulus and </w:t>
            </w:r>
            <w:r w:rsidRPr="00593724">
              <w:rPr>
                <w:rFonts w:ascii="Times New Roman" w:eastAsia="Calibri" w:hAnsi="Times New Roman" w:cs="Times New Roman"/>
                <w:b/>
                <w:sz w:val="20"/>
                <w:szCs w:val="20"/>
              </w:rPr>
              <w:t>W</w:t>
            </w:r>
            <w:r w:rsidRPr="00593724">
              <w:rPr>
                <w:rFonts w:ascii="Times New Roman" w:eastAsia="Calibri" w:hAnsi="Times New Roman" w:cs="Times New Roman"/>
                <w:bCs/>
                <w:sz w:val="20"/>
                <w:szCs w:val="20"/>
              </w:rPr>
              <w:t xml:space="preserve"> is the seismogenic width.</w:t>
            </w:r>
          </w:p>
          <w:p w14:paraId="36C132C3" w14:textId="77777777" w:rsidR="00E84A76" w:rsidRPr="00593724" w:rsidRDefault="00E84A76">
            <w:pPr>
              <w:rPr>
                <w:rFonts w:ascii="Times New Roman" w:hAnsi="Times New Roman" w:cs="Times New Roman"/>
                <w:bCs/>
                <w:sz w:val="20"/>
                <w:szCs w:val="20"/>
              </w:rPr>
            </w:pPr>
          </w:p>
          <w:p w14:paraId="2CC53AE2" w14:textId="77777777" w:rsidR="00E84A76" w:rsidRPr="00593724" w:rsidRDefault="006A665C">
            <w:pPr>
              <w:rPr>
                <w:rFonts w:ascii="Times New Roman" w:hAnsi="Times New Roman" w:cs="Times New Roman"/>
                <w:bCs/>
                <w:sz w:val="20"/>
                <w:szCs w:val="20"/>
              </w:rPr>
            </w:pPr>
            <w:r w:rsidRPr="00593724">
              <w:rPr>
                <w:rFonts w:ascii="Times New Roman" w:eastAsia="MS Mincho" w:hAnsi="Times New Roman" w:cs="Times New Roman"/>
                <w:b/>
                <w:bCs/>
                <w:i/>
                <w:iCs/>
                <w:color w:val="000000"/>
                <w:sz w:val="20"/>
                <w:szCs w:val="20"/>
              </w:rPr>
              <w:t>M</w:t>
            </w:r>
            <w:r w:rsidRPr="00593724">
              <w:rPr>
                <w:rFonts w:ascii="Times New Roman" w:eastAsia="MS Mincho" w:hAnsi="Times New Roman" w:cs="Times New Roman"/>
                <w:b/>
                <w:bCs/>
                <w:i/>
                <w:iCs/>
                <w:color w:val="000000"/>
                <w:sz w:val="20"/>
                <w:szCs w:val="20"/>
                <w:vertAlign w:val="subscript"/>
              </w:rPr>
              <w:t>max</w:t>
            </w:r>
            <w:r w:rsidRPr="00593724">
              <w:rPr>
                <w:rFonts w:ascii="Times New Roman" w:eastAsia="Calibri" w:hAnsi="Times New Roman" w:cs="Times New Roman"/>
                <w:b/>
                <w:bCs/>
                <w:sz w:val="20"/>
                <w:szCs w:val="20"/>
              </w:rPr>
              <w:t xml:space="preserve"> </w:t>
            </w:r>
            <w:r w:rsidRPr="00593724">
              <w:rPr>
                <w:rFonts w:ascii="Times New Roman" w:eastAsia="Calibri" w:hAnsi="Times New Roman" w:cs="Times New Roman"/>
                <w:bCs/>
                <w:sz w:val="20"/>
                <w:szCs w:val="20"/>
              </w:rPr>
              <w:t>is the maximum magnitude (from the CRSHM 2022).</w:t>
            </w:r>
          </w:p>
          <w:p w14:paraId="2570B3FD" w14:textId="77777777" w:rsidR="00E84A76" w:rsidRPr="00593724" w:rsidRDefault="006A665C">
            <w:pPr>
              <w:rPr>
                <w:rFonts w:ascii="Times New Roman" w:hAnsi="Times New Roman" w:cs="Times New Roman"/>
                <w:bCs/>
                <w:sz w:val="20"/>
                <w:szCs w:val="20"/>
              </w:rPr>
            </w:pPr>
            <w:r w:rsidRPr="00593724">
              <w:rPr>
                <w:rFonts w:ascii="Times New Roman" w:eastAsia="Calibri" w:hAnsi="Times New Roman" w:cs="Times New Roman"/>
                <w:b/>
                <w:i/>
                <w:iCs/>
                <w:sz w:val="20"/>
                <w:szCs w:val="20"/>
              </w:rPr>
              <w:t>M</w:t>
            </w:r>
            <w:r w:rsidRPr="00593724">
              <w:rPr>
                <w:rFonts w:ascii="Times New Roman" w:eastAsia="Calibri" w:hAnsi="Times New Roman" w:cs="Times New Roman"/>
                <w:b/>
                <w:i/>
                <w:iCs/>
                <w:sz w:val="20"/>
                <w:szCs w:val="20"/>
                <w:vertAlign w:val="subscript"/>
              </w:rPr>
              <w:t>min</w:t>
            </w:r>
            <w:r w:rsidRPr="00593724">
              <w:rPr>
                <w:rFonts w:ascii="Times New Roman" w:eastAsia="Calibri" w:hAnsi="Times New Roman" w:cs="Times New Roman"/>
                <w:bCs/>
                <w:sz w:val="20"/>
                <w:szCs w:val="20"/>
              </w:rPr>
              <w:t xml:space="preserve"> is the minimum magnitude threshold defined (</w:t>
            </w:r>
            <w:r w:rsidRPr="00593724">
              <w:rPr>
                <w:rFonts w:ascii="Times New Roman" w:eastAsia="Calibri" w:hAnsi="Times New Roman" w:cs="Times New Roman"/>
                <w:i/>
                <w:iCs/>
                <w:sz w:val="20"/>
                <w:szCs w:val="20"/>
              </w:rPr>
              <w:t>M</w:t>
            </w:r>
            <w:r w:rsidRPr="00593724">
              <w:rPr>
                <w:rFonts w:ascii="Times New Roman" w:eastAsia="Calibri" w:hAnsi="Times New Roman" w:cs="Times New Roman"/>
                <w:sz w:val="20"/>
                <w:szCs w:val="20"/>
                <w:vertAlign w:val="subscript"/>
              </w:rPr>
              <w:t>w</w:t>
            </w:r>
            <w:r w:rsidRPr="00593724">
              <w:rPr>
                <w:rFonts w:ascii="Times New Roman" w:eastAsia="Calibri" w:hAnsi="Times New Roman" w:cs="Times New Roman"/>
                <w:bCs/>
                <w:sz w:val="20"/>
                <w:szCs w:val="20"/>
              </w:rPr>
              <w:t xml:space="preserve"> 4.5).</w:t>
            </w:r>
          </w:p>
          <w:p w14:paraId="6FB5BA1D" w14:textId="77777777" w:rsidR="00E84A76" w:rsidRPr="00593724" w:rsidRDefault="00E84A76">
            <w:pPr>
              <w:rPr>
                <w:rFonts w:ascii="Times New Roman" w:hAnsi="Times New Roman" w:cs="Times New Roman"/>
                <w:bCs/>
                <w:sz w:val="20"/>
                <w:szCs w:val="20"/>
              </w:rPr>
            </w:pPr>
          </w:p>
          <w:p w14:paraId="29B1D622" w14:textId="77777777" w:rsidR="00E84A76" w:rsidRPr="00593724" w:rsidRDefault="00000000">
            <w:pPr>
              <w:rPr>
                <w:rFonts w:ascii="Times New Roman" w:hAnsi="Times New Roman" w:cs="Times New Roman"/>
                <w:bCs/>
                <w:sz w:val="20"/>
                <w:szCs w:val="20"/>
              </w:rPr>
            </w:pPr>
            <m:oMath>
              <m:acc>
                <m:accPr>
                  <m:chr m:val="˙"/>
                  <m:ctrlPr>
                    <w:rPr>
                      <w:rFonts w:ascii="Cambria Math" w:hAnsi="Cambria Math"/>
                      <w:sz w:val="20"/>
                      <w:szCs w:val="20"/>
                    </w:rPr>
                  </m:ctrlPr>
                </m:accPr>
                <m:e>
                  <m:sSub>
                    <m:sSubPr>
                      <m:ctrlPr>
                        <w:rPr>
                          <w:rFonts w:ascii="Cambria Math" w:hAnsi="Cambria Math"/>
                          <w:sz w:val="20"/>
                          <w:szCs w:val="20"/>
                        </w:rPr>
                      </m:ctrlPr>
                    </m:sSubPr>
                    <m:e>
                      <m:r>
                        <w:rPr>
                          <w:rFonts w:ascii="Cambria Math" w:hAnsi="Cambria Math"/>
                          <w:sz w:val="20"/>
                          <w:szCs w:val="20"/>
                        </w:rPr>
                        <m:t>M</m:t>
                      </m:r>
                    </m:e>
                    <m:sub>
                      <m:r>
                        <w:rPr>
                          <w:rFonts w:ascii="Cambria Math" w:hAnsi="Cambria Math"/>
                          <w:sz w:val="20"/>
                          <w:szCs w:val="20"/>
                        </w:rPr>
                        <m:t>0</m:t>
                      </m:r>
                    </m:sub>
                  </m:sSub>
                </m:e>
              </m:acc>
            </m:oMath>
            <w:r w:rsidR="006A665C" w:rsidRPr="00593724">
              <w:rPr>
                <w:rFonts w:ascii="Times New Roman" w:eastAsia="Calibri" w:hAnsi="Times New Roman" w:cs="Times New Roman"/>
                <w:bCs/>
                <w:sz w:val="20"/>
                <w:szCs w:val="20"/>
              </w:rPr>
              <w:t xml:space="preserve"> is the moment rate of the subduction segment, </w:t>
            </w:r>
            <w:r w:rsidR="006A665C" w:rsidRPr="00593724">
              <w:rPr>
                <w:rFonts w:ascii="Times New Roman" w:eastAsia="Calibri" w:hAnsi="Times New Roman" w:cs="Times New Roman"/>
                <w:color w:val="000000"/>
                <w:sz w:val="20"/>
                <w:szCs w:val="20"/>
              </w:rPr>
              <w:t xml:space="preserve">given as </w:t>
            </w:r>
            <m:oMath>
              <m:acc>
                <m:accPr>
                  <m:chr m:val="˙"/>
                  <m:ctrlPr>
                    <w:rPr>
                      <w:rFonts w:ascii="Cambria Math" w:hAnsi="Cambria Math"/>
                      <w:sz w:val="20"/>
                      <w:szCs w:val="20"/>
                    </w:rPr>
                  </m:ctrlPr>
                </m:accPr>
                <m:e>
                  <m:sSub>
                    <m:sSubPr>
                      <m:ctrlPr>
                        <w:rPr>
                          <w:rFonts w:ascii="Cambria Math" w:hAnsi="Cambria Math"/>
                          <w:sz w:val="20"/>
                          <w:szCs w:val="20"/>
                        </w:rPr>
                      </m:ctrlPr>
                    </m:sSubPr>
                    <m:e>
                      <m:r>
                        <w:rPr>
                          <w:rFonts w:ascii="Cambria Math" w:hAnsi="Cambria Math"/>
                          <w:sz w:val="20"/>
                          <w:szCs w:val="20"/>
                        </w:rPr>
                        <m:t>M</m:t>
                      </m:r>
                    </m:e>
                    <m:sub>
                      <m:r>
                        <w:rPr>
                          <w:rFonts w:ascii="Cambria Math" w:hAnsi="Cambria Math"/>
                          <w:sz w:val="20"/>
                          <w:szCs w:val="20"/>
                        </w:rPr>
                        <m:t>0</m:t>
                      </m:r>
                    </m:sub>
                  </m:sSub>
                </m:e>
              </m:acc>
              <m:r>
                <m:rPr>
                  <m:lit/>
                  <m:nor/>
                </m:rPr>
                <w:rPr>
                  <w:sz w:val="20"/>
                  <w:szCs w:val="20"/>
                </w:rPr>
                <m:t>=</m:t>
              </m:r>
              <m:acc>
                <m:accPr>
                  <m:chr m:val="˙"/>
                  <m:ctrlPr>
                    <w:rPr>
                      <w:rFonts w:ascii="Cambria Math" w:hAnsi="Cambria Math"/>
                      <w:sz w:val="20"/>
                      <w:szCs w:val="20"/>
                    </w:rPr>
                  </m:ctrlPr>
                </m:accPr>
                <m:e>
                  <m:r>
                    <w:rPr>
                      <w:rFonts w:ascii="Cambria Math" w:hAnsi="Cambria Math"/>
                      <w:sz w:val="20"/>
                      <w:szCs w:val="20"/>
                    </w:rPr>
                    <m:t>s</m:t>
                  </m:r>
                </m:e>
              </m:acc>
              <m:r>
                <w:rPr>
                  <w:rFonts w:ascii="Cambria Math" w:hAnsi="Cambria Math"/>
                  <w:sz w:val="20"/>
                  <w:szCs w:val="20"/>
                </w:rPr>
                <m:t>∙μ∙A</m:t>
              </m:r>
            </m:oMath>
            <w:r w:rsidR="006A665C" w:rsidRPr="00593724">
              <w:rPr>
                <w:rFonts w:ascii="Times New Roman" w:eastAsia="Calibri" w:hAnsi="Times New Roman" w:cs="Times New Roman"/>
                <w:bCs/>
                <w:sz w:val="20"/>
                <w:szCs w:val="20"/>
              </w:rPr>
              <w:t xml:space="preserve"> , where </w:t>
            </w:r>
            <m:oMath>
              <m:acc>
                <m:accPr>
                  <m:chr m:val="˙"/>
                  <m:ctrlPr>
                    <w:rPr>
                      <w:rFonts w:ascii="Cambria Math" w:hAnsi="Cambria Math"/>
                      <w:sz w:val="20"/>
                      <w:szCs w:val="20"/>
                    </w:rPr>
                  </m:ctrlPr>
                </m:accPr>
                <m:e>
                  <m:r>
                    <w:rPr>
                      <w:rFonts w:ascii="Cambria Math" w:hAnsi="Cambria Math"/>
                      <w:sz w:val="20"/>
                      <w:szCs w:val="20"/>
                    </w:rPr>
                    <m:t>s</m:t>
                  </m:r>
                </m:e>
              </m:acc>
            </m:oMath>
            <w:r w:rsidR="006A665C" w:rsidRPr="00593724">
              <w:rPr>
                <w:rFonts w:ascii="Times New Roman" w:eastAsia="Calibri" w:hAnsi="Times New Roman" w:cs="Times New Roman"/>
                <w:bCs/>
                <w:sz w:val="20"/>
                <w:szCs w:val="20"/>
              </w:rPr>
              <w:t xml:space="preserve"> is the slip rate, </w:t>
            </w:r>
            <m:oMath>
              <m:r>
                <w:rPr>
                  <w:rFonts w:ascii="Cambria Math" w:hAnsi="Cambria Math"/>
                  <w:sz w:val="20"/>
                  <w:szCs w:val="20"/>
                </w:rPr>
                <m:t>μ</m:t>
              </m:r>
            </m:oMath>
            <w:r w:rsidR="006A665C" w:rsidRPr="00593724">
              <w:rPr>
                <w:rFonts w:ascii="Times New Roman" w:eastAsia="Calibri" w:hAnsi="Times New Roman" w:cs="Times New Roman"/>
                <w:bCs/>
                <w:sz w:val="20"/>
                <w:szCs w:val="20"/>
              </w:rPr>
              <w:t xml:space="preserve"> the shear modulus, and </w:t>
            </w:r>
            <w:r w:rsidR="006A665C" w:rsidRPr="00593724">
              <w:rPr>
                <w:rFonts w:ascii="Times New Roman" w:eastAsia="Calibri" w:hAnsi="Times New Roman" w:cs="Times New Roman"/>
                <w:b/>
                <w:i/>
                <w:iCs/>
                <w:sz w:val="20"/>
                <w:szCs w:val="20"/>
              </w:rPr>
              <w:t>A</w:t>
            </w:r>
            <w:r w:rsidR="006A665C" w:rsidRPr="00593724">
              <w:rPr>
                <w:rFonts w:ascii="Times New Roman" w:eastAsia="Calibri" w:hAnsi="Times New Roman" w:cs="Times New Roman"/>
                <w:bCs/>
                <w:sz w:val="20"/>
                <w:szCs w:val="20"/>
              </w:rPr>
              <w:t xml:space="preserve"> is the seismogenic area.</w:t>
            </w:r>
          </w:p>
          <w:p w14:paraId="02EA92DA" w14:textId="77777777" w:rsidR="00E84A76" w:rsidRPr="00593724" w:rsidRDefault="00E84A76">
            <w:pPr>
              <w:rPr>
                <w:rFonts w:ascii="Times New Roman" w:hAnsi="Times New Roman" w:cs="Times New Roman"/>
                <w:bCs/>
                <w:sz w:val="20"/>
                <w:szCs w:val="20"/>
              </w:rPr>
            </w:pPr>
          </w:p>
          <w:p w14:paraId="7C1071BC" w14:textId="77777777" w:rsidR="00E84A76" w:rsidRPr="00593724" w:rsidRDefault="006A665C">
            <w:pPr>
              <w:rPr>
                <w:rFonts w:ascii="Times New Roman" w:hAnsi="Times New Roman" w:cs="Times New Roman"/>
                <w:bCs/>
                <w:sz w:val="20"/>
                <w:szCs w:val="20"/>
              </w:rPr>
            </w:pPr>
            <w:r w:rsidRPr="00593724">
              <w:rPr>
                <w:rFonts w:ascii="Times New Roman" w:eastAsia="Calibri" w:hAnsi="Times New Roman" w:cs="Times New Roman"/>
                <w:b/>
                <w:i/>
                <w:iCs/>
                <w:sz w:val="20"/>
                <w:szCs w:val="20"/>
              </w:rPr>
              <w:t>Mo</w:t>
            </w:r>
            <w:r w:rsidRPr="00593724">
              <w:rPr>
                <w:rFonts w:ascii="Times New Roman" w:eastAsia="MS Mincho" w:hAnsi="Times New Roman" w:cs="Times New Roman"/>
                <w:b/>
                <w:bCs/>
                <w:i/>
                <w:iCs/>
                <w:color w:val="000000"/>
                <w:sz w:val="20"/>
                <w:szCs w:val="20"/>
                <w:vertAlign w:val="subscript"/>
              </w:rPr>
              <w:t>Mmax</w:t>
            </w:r>
            <w:r w:rsidRPr="00593724">
              <w:rPr>
                <w:rFonts w:ascii="Times New Roman" w:eastAsia="Calibri" w:hAnsi="Times New Roman" w:cs="Times New Roman"/>
                <w:b/>
                <w:sz w:val="20"/>
                <w:szCs w:val="20"/>
              </w:rPr>
              <w:t xml:space="preserve"> </w:t>
            </w:r>
            <w:r w:rsidRPr="00593724">
              <w:rPr>
                <w:rFonts w:ascii="Times New Roman" w:eastAsia="Calibri" w:hAnsi="Times New Roman" w:cs="Times New Roman"/>
                <w:bCs/>
                <w:sz w:val="20"/>
                <w:szCs w:val="20"/>
              </w:rPr>
              <w:t xml:space="preserve">is the seismic moment of the </w:t>
            </w:r>
            <w:r w:rsidRPr="00593724">
              <w:rPr>
                <w:rFonts w:ascii="Times New Roman" w:eastAsia="MS Mincho" w:hAnsi="Times New Roman" w:cs="Times New Roman"/>
                <w:i/>
                <w:iCs/>
                <w:color w:val="000000"/>
                <w:sz w:val="20"/>
                <w:szCs w:val="20"/>
              </w:rPr>
              <w:t>M</w:t>
            </w:r>
            <w:r w:rsidRPr="00593724">
              <w:rPr>
                <w:rFonts w:ascii="Times New Roman" w:eastAsia="MS Mincho" w:hAnsi="Times New Roman" w:cs="Times New Roman"/>
                <w:i/>
                <w:iCs/>
                <w:color w:val="000000"/>
                <w:sz w:val="20"/>
                <w:szCs w:val="20"/>
                <w:vertAlign w:val="subscript"/>
              </w:rPr>
              <w:t>max</w:t>
            </w:r>
            <w:r w:rsidRPr="00593724">
              <w:rPr>
                <w:rFonts w:ascii="Times New Roman" w:eastAsia="Calibri" w:hAnsi="Times New Roman" w:cs="Times New Roman"/>
                <w:bCs/>
                <w:sz w:val="20"/>
                <w:szCs w:val="20"/>
              </w:rPr>
              <w:t xml:space="preserve"> associated.</w:t>
            </w:r>
          </w:p>
          <w:p w14:paraId="1DE83083" w14:textId="77777777" w:rsidR="00E84A76" w:rsidRPr="00593724" w:rsidRDefault="006A665C">
            <w:pPr>
              <w:rPr>
                <w:rFonts w:ascii="Times New Roman" w:eastAsia="Calibri" w:hAnsi="Times New Roman" w:cs="Times New Roman"/>
                <w:bCs/>
                <w:sz w:val="20"/>
                <w:szCs w:val="20"/>
              </w:rPr>
            </w:pPr>
            <w:r w:rsidRPr="00593724">
              <w:rPr>
                <w:rFonts w:ascii="Times New Roman" w:eastAsia="Calibri" w:hAnsi="Times New Roman" w:cs="Times New Roman"/>
                <w:b/>
                <w:i/>
                <w:iCs/>
                <w:sz w:val="20"/>
                <w:szCs w:val="20"/>
              </w:rPr>
              <w:t>Mo</w:t>
            </w:r>
            <w:r w:rsidRPr="00593724">
              <w:rPr>
                <w:rFonts w:ascii="Times New Roman" w:eastAsia="Calibri" w:hAnsi="Times New Roman" w:cs="Times New Roman"/>
                <w:b/>
                <w:i/>
                <w:iCs/>
                <w:sz w:val="20"/>
                <w:szCs w:val="20"/>
                <w:vertAlign w:val="subscript"/>
              </w:rPr>
              <w:t>Mmin</w:t>
            </w:r>
            <w:r w:rsidRPr="00593724">
              <w:rPr>
                <w:rFonts w:ascii="Times New Roman" w:eastAsia="Calibri" w:hAnsi="Times New Roman" w:cs="Times New Roman"/>
                <w:b/>
                <w:sz w:val="20"/>
                <w:szCs w:val="20"/>
              </w:rPr>
              <w:t xml:space="preserve"> </w:t>
            </w:r>
            <w:r w:rsidRPr="00593724">
              <w:rPr>
                <w:rFonts w:ascii="Times New Roman" w:eastAsia="Calibri" w:hAnsi="Times New Roman" w:cs="Times New Roman"/>
                <w:bCs/>
                <w:sz w:val="20"/>
                <w:szCs w:val="20"/>
              </w:rPr>
              <w:t xml:space="preserve">is the seismic moment of the </w:t>
            </w:r>
            <w:r w:rsidRPr="00593724">
              <w:rPr>
                <w:rFonts w:ascii="Times New Roman" w:eastAsia="Calibri" w:hAnsi="Times New Roman" w:cs="Times New Roman"/>
                <w:bCs/>
                <w:i/>
                <w:iCs/>
                <w:sz w:val="20"/>
                <w:szCs w:val="20"/>
              </w:rPr>
              <w:t>M</w:t>
            </w:r>
            <w:r w:rsidRPr="00593724">
              <w:rPr>
                <w:rFonts w:ascii="Times New Roman" w:eastAsia="Calibri" w:hAnsi="Times New Roman" w:cs="Times New Roman"/>
                <w:bCs/>
                <w:i/>
                <w:iCs/>
                <w:sz w:val="20"/>
                <w:szCs w:val="20"/>
                <w:vertAlign w:val="subscript"/>
              </w:rPr>
              <w:t>min</w:t>
            </w:r>
            <w:r w:rsidRPr="00593724">
              <w:rPr>
                <w:rFonts w:ascii="Times New Roman" w:eastAsia="Calibri" w:hAnsi="Times New Roman" w:cs="Times New Roman"/>
                <w:bCs/>
                <w:sz w:val="20"/>
                <w:szCs w:val="20"/>
              </w:rPr>
              <w:t xml:space="preserve"> defined.</w:t>
            </w:r>
          </w:p>
        </w:tc>
      </w:tr>
      <w:tr w:rsidR="00E84A76" w:rsidRPr="00593724" w14:paraId="0A41AC68" w14:textId="77777777">
        <w:trPr>
          <w:trHeight w:val="586"/>
        </w:trPr>
        <w:tc>
          <w:tcPr>
            <w:tcW w:w="5859" w:type="dxa"/>
            <w:tcBorders>
              <w:top w:val="nil"/>
              <w:left w:val="nil"/>
              <w:bottom w:val="nil"/>
            </w:tcBorders>
          </w:tcPr>
          <w:p w14:paraId="7C8E07CA" w14:textId="12A35B5A" w:rsidR="00E84A76" w:rsidRPr="00593724" w:rsidRDefault="006A665C">
            <w:pPr>
              <w:pStyle w:val="ListParagraph"/>
              <w:ind w:left="0"/>
              <w:jc w:val="center"/>
              <w:rPr>
                <w:rFonts w:ascii="Times New Roman" w:hAnsi="Times New Roman" w:cs="Times New Roman"/>
                <w:bCs/>
                <w:sz w:val="20"/>
                <w:szCs w:val="20"/>
              </w:rPr>
            </w:pPr>
            <w:r w:rsidRPr="00593724">
              <w:rPr>
                <w:rFonts w:ascii="Times New Roman" w:eastAsia="Calibri" w:hAnsi="Times New Roman" w:cs="Times New Roman"/>
                <w:bCs/>
                <w:i/>
                <w:sz w:val="20"/>
                <w:szCs w:val="20"/>
                <w:u w:val="single"/>
              </w:rPr>
              <w:t>Model 2*</w:t>
            </w:r>
            <w:r w:rsidRPr="00593724">
              <w:rPr>
                <w:rFonts w:ascii="Times New Roman" w:eastAsia="Calibri" w:hAnsi="Times New Roman" w:cs="Times New Roman"/>
                <w:bCs/>
                <w:i/>
                <w:sz w:val="20"/>
                <w:szCs w:val="20"/>
              </w:rPr>
              <w:t xml:space="preserve">: </w:t>
            </w:r>
            <w:r w:rsidRPr="00593724">
              <w:rPr>
                <w:rFonts w:ascii="Times New Roman" w:eastAsia="Calibri" w:hAnsi="Times New Roman" w:cs="Times New Roman"/>
                <w:bCs/>
                <w:sz w:val="20"/>
                <w:szCs w:val="20"/>
              </w:rPr>
              <w:t xml:space="preserve">Equation II.9 in </w:t>
            </w:r>
            <w:sdt>
              <w:sdtPr>
                <w:rPr>
                  <w:rFonts w:ascii="Century" w:hAnsi="Century"/>
                  <w:color w:val="000000"/>
                  <w:sz w:val="20"/>
                  <w:szCs w:val="20"/>
                </w:rPr>
                <w:tag w:val="MENDELEY_CITATION_v3_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"/>
                <w:id w:val="-921794016"/>
                <w:placeholder>
                  <w:docPart w:val="FBF8719A39174B0790287A5AB59EF9D3"/>
                </w:placeholder>
              </w:sdtPr>
              <w:sdtContent>
                <w:r w:rsidR="00B344CE" w:rsidRPr="00593724">
                  <w:rPr>
                    <w:rFonts w:ascii="Century" w:eastAsia="Times New Roman" w:hAnsi="Century"/>
                    <w:color w:val="000000"/>
                    <w:sz w:val="20"/>
                  </w:rPr>
                  <w:t>Anderson &amp; Luco (1983)</w:t>
                </w:r>
              </w:sdtContent>
            </w:sdt>
          </w:p>
          <w:p w14:paraId="6FCDBF33" w14:textId="77777777" w:rsidR="00E84A76" w:rsidRPr="00593724" w:rsidRDefault="00E84A76">
            <w:pPr>
              <w:pStyle w:val="ListParagraph"/>
              <w:ind w:left="0"/>
              <w:jc w:val="center"/>
              <w:rPr>
                <w:rFonts w:ascii="Times New Roman" w:hAnsi="Times New Roman" w:cs="Times New Roman"/>
                <w:bCs/>
                <w:sz w:val="20"/>
                <w:szCs w:val="20"/>
              </w:rPr>
            </w:pPr>
          </w:p>
          <w:p w14:paraId="432CFA3E" w14:textId="77777777" w:rsidR="00E84A76" w:rsidRPr="00593724" w:rsidRDefault="00000000">
            <w:pPr>
              <w:pStyle w:val="ListParagraph"/>
              <w:ind w:left="0"/>
              <w:jc w:val="center"/>
              <w:rPr>
                <w:rFonts w:ascii="Times New Roman" w:hAnsi="Times New Roman" w:cs="Times New Roman"/>
                <w:bCs/>
                <w:sz w:val="20"/>
                <w:szCs w:val="20"/>
              </w:rPr>
            </w:pPr>
            <m:oMathPara>
              <m:oMathParaPr>
                <m:jc m:val="center"/>
              </m:oMathParaPr>
              <m:oMath>
                <m:sSub>
                  <m:sSubPr>
                    <m:ctrlPr>
                      <w:rPr>
                        <w:rFonts w:ascii="Cambria Math" w:hAnsi="Cambria Math"/>
                        <w:sz w:val="20"/>
                        <w:szCs w:val="20"/>
                      </w:rPr>
                    </m:ctrlPr>
                  </m:sSubPr>
                  <m:e>
                    <m:r>
                      <w:rPr>
                        <w:rFonts w:ascii="Cambria Math" w:hAnsi="Cambria Math"/>
                        <w:sz w:val="20"/>
                        <w:szCs w:val="20"/>
                      </w:rPr>
                      <m:t>N</m:t>
                    </m:r>
                  </m:e>
                  <m:sub>
                    <m:r>
                      <w:rPr>
                        <w:rFonts w:ascii="Cambria Math" w:hAnsi="Cambria Math"/>
                        <w:sz w:val="20"/>
                        <w:szCs w:val="20"/>
                      </w:rPr>
                      <m:t>min</m:t>
                    </m:r>
                  </m:sub>
                </m:sSub>
                <m:r>
                  <m:rPr>
                    <m:lit/>
                    <m:nor/>
                  </m:rPr>
                  <w:rPr>
                    <w:sz w:val="20"/>
                    <w:szCs w:val="20"/>
                  </w:rPr>
                  <m:t>=</m:t>
                </m:r>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d</m:t>
                        </m:r>
                        <m:r>
                          <m:rPr>
                            <m:lit/>
                            <m:nor/>
                          </m:rPr>
                          <w:rPr>
                            <w:sz w:val="20"/>
                            <w:szCs w:val="20"/>
                          </w:rPr>
                          <m:t>-</m:t>
                        </m:r>
                        <m:r>
                          <w:rPr>
                            <w:rFonts w:ascii="Cambria Math" w:hAnsi="Cambria Math"/>
                            <w:sz w:val="20"/>
                            <w:szCs w:val="20"/>
                          </w:rPr>
                          <m:t>β</m:t>
                        </m:r>
                      </m:num>
                      <m:den>
                        <m:r>
                          <w:rPr>
                            <w:rFonts w:ascii="Cambria Math" w:hAnsi="Cambria Math"/>
                            <w:sz w:val="20"/>
                            <w:szCs w:val="20"/>
                          </w:rPr>
                          <m:t>β</m:t>
                        </m:r>
                      </m:den>
                    </m:f>
                  </m:e>
                </m:d>
                <m:r>
                  <w:rPr>
                    <w:rFonts w:ascii="Cambria Math" w:hAnsi="Cambria Math"/>
                    <w:sz w:val="20"/>
                    <w:szCs w:val="20"/>
                  </w:rPr>
                  <m:t>∙</m:t>
                </m:r>
                <m:d>
                  <m:dPr>
                    <m:ctrlPr>
                      <w:rPr>
                        <w:rFonts w:ascii="Cambria Math" w:hAnsi="Cambria Math"/>
                        <w:sz w:val="20"/>
                        <w:szCs w:val="20"/>
                      </w:rPr>
                    </m:ctrlPr>
                  </m:dPr>
                  <m:e>
                    <m:f>
                      <m:fPr>
                        <m:ctrlPr>
                          <w:rPr>
                            <w:rFonts w:ascii="Cambria Math" w:hAnsi="Cambria Math"/>
                            <w:sz w:val="20"/>
                            <w:szCs w:val="20"/>
                          </w:rPr>
                        </m:ctrlPr>
                      </m:fPr>
                      <m:num>
                        <m:acc>
                          <m:accPr>
                            <m:chr m:val="˙"/>
                            <m:ctrlPr>
                              <w:rPr>
                                <w:rFonts w:ascii="Cambria Math" w:hAnsi="Cambria Math"/>
                                <w:sz w:val="20"/>
                                <w:szCs w:val="20"/>
                              </w:rPr>
                            </m:ctrlPr>
                          </m:accPr>
                          <m:e>
                            <m:r>
                              <w:rPr>
                                <w:rFonts w:ascii="Cambria Math" w:hAnsi="Cambria Math"/>
                                <w:sz w:val="20"/>
                                <w:szCs w:val="20"/>
                              </w:rPr>
                              <m:t>s</m:t>
                            </m:r>
                          </m:e>
                        </m:acc>
                      </m:num>
                      <m:den>
                        <m:r>
                          <w:rPr>
                            <w:rFonts w:ascii="Cambria Math" w:hAnsi="Cambria Math"/>
                            <w:sz w:val="20"/>
                            <w:szCs w:val="20"/>
                          </w:rPr>
                          <m:t>γ</m:t>
                        </m:r>
                      </m:den>
                    </m:f>
                  </m:e>
                </m:d>
                <m:r>
                  <w:rPr>
                    <w:rFonts w:ascii="Cambria Math" w:hAnsi="Cambria Math"/>
                    <w:sz w:val="20"/>
                    <w:szCs w:val="20"/>
                  </w:rPr>
                  <m:t>∙</m:t>
                </m:r>
                <m:d>
                  <m:dPr>
                    <m:begChr m:val="["/>
                    <m:endChr m:val="]"/>
                    <m:ctrlPr>
                      <w:rPr>
                        <w:rFonts w:ascii="Cambria Math" w:hAnsi="Cambria Math"/>
                        <w:sz w:val="20"/>
                        <w:szCs w:val="20"/>
                      </w:rPr>
                    </m:ctrlPr>
                  </m:dPr>
                  <m:e>
                    <m:sSup>
                      <m:sSupPr>
                        <m:ctrlPr>
                          <w:rPr>
                            <w:rFonts w:ascii="Cambria Math" w:hAnsi="Cambria Math"/>
                            <w:sz w:val="20"/>
                            <w:szCs w:val="20"/>
                          </w:rPr>
                        </m:ctrlPr>
                      </m:sSupPr>
                      <m:e>
                        <m:r>
                          <w:rPr>
                            <w:rFonts w:ascii="Cambria Math" w:hAnsi="Cambria Math"/>
                            <w:sz w:val="20"/>
                            <w:szCs w:val="20"/>
                          </w:rPr>
                          <m:t>e</m:t>
                        </m:r>
                      </m:e>
                      <m:sup>
                        <m:r>
                          <w:rPr>
                            <w:rFonts w:ascii="Cambria Math" w:hAnsi="Cambria Math"/>
                            <w:sz w:val="20"/>
                            <w:szCs w:val="20"/>
                          </w:rPr>
                          <m:t>β</m:t>
                        </m:r>
                        <m:d>
                          <m:dPr>
                            <m:ctrlPr>
                              <w:rPr>
                                <w:rFonts w:ascii="Cambria Math" w:hAnsi="Cambria Math"/>
                                <w:sz w:val="20"/>
                                <w:szCs w:val="20"/>
                              </w:rPr>
                            </m:ctrlPr>
                          </m:dPr>
                          <m:e>
                            <m:r>
                              <w:rPr>
                                <w:rFonts w:ascii="Cambria Math" w:hAnsi="Cambria Math"/>
                                <w:sz w:val="20"/>
                                <w:szCs w:val="20"/>
                              </w:rPr>
                              <m:t>Mmax</m:t>
                            </m:r>
                            <m:r>
                              <m:rPr>
                                <m:lit/>
                                <m:nor/>
                              </m:rPr>
                              <w:rPr>
                                <w:sz w:val="20"/>
                                <w:szCs w:val="20"/>
                              </w:rPr>
                              <m:t>-</m:t>
                            </m:r>
                            <m:r>
                              <w:rPr>
                                <w:rFonts w:ascii="Cambria Math" w:hAnsi="Cambria Math"/>
                                <w:sz w:val="20"/>
                                <w:szCs w:val="20"/>
                              </w:rPr>
                              <m:t>Mmin</m:t>
                            </m:r>
                          </m:e>
                        </m:d>
                      </m:sup>
                    </m:sSup>
                    <m:r>
                      <m:rPr>
                        <m:lit/>
                        <m:nor/>
                      </m:rPr>
                      <w:rPr>
                        <w:sz w:val="20"/>
                        <w:szCs w:val="20"/>
                      </w:rPr>
                      <m:t>-</m:t>
                    </m:r>
                    <m:r>
                      <w:rPr>
                        <w:rFonts w:ascii="Cambria Math" w:hAnsi="Cambria Math"/>
                        <w:sz w:val="20"/>
                        <w:szCs w:val="20"/>
                      </w:rPr>
                      <m:t>1</m:t>
                    </m:r>
                  </m:e>
                </m:d>
                <m: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e</m:t>
                    </m:r>
                  </m:e>
                  <m:sup>
                    <m:r>
                      <m:rPr>
                        <m:lit/>
                        <m:nor/>
                      </m:rPr>
                      <w:rPr>
                        <w:sz w:val="20"/>
                        <w:szCs w:val="20"/>
                      </w:rPr>
                      <m:t>-</m:t>
                    </m:r>
                    <m:r>
                      <w:rPr>
                        <w:rFonts w:ascii="Cambria Math" w:hAnsi="Cambria Math"/>
                        <w:sz w:val="20"/>
                        <w:szCs w:val="20"/>
                      </w:rPr>
                      <m:t>((</m:t>
                    </m:r>
                    <m:f>
                      <m:fPr>
                        <m:ctrlPr>
                          <w:rPr>
                            <w:rFonts w:ascii="Cambria Math" w:hAnsi="Cambria Math"/>
                            <w:sz w:val="20"/>
                            <w:szCs w:val="20"/>
                          </w:rPr>
                        </m:ctrlPr>
                      </m:fPr>
                      <m:num>
                        <m:r>
                          <w:rPr>
                            <w:rFonts w:ascii="Cambria Math" w:hAnsi="Cambria Math"/>
                            <w:sz w:val="20"/>
                            <w:szCs w:val="20"/>
                          </w:rPr>
                          <m:t>d</m:t>
                        </m:r>
                      </m:num>
                      <m:den>
                        <m:r>
                          <w:rPr>
                            <w:rFonts w:ascii="Cambria Math" w:hAnsi="Cambria Math"/>
                            <w:sz w:val="20"/>
                            <w:szCs w:val="20"/>
                          </w:rPr>
                          <m:t>2</m:t>
                        </m:r>
                      </m:den>
                    </m:f>
                    <m:r>
                      <w:rPr>
                        <w:rFonts w:ascii="Cambria Math" w:hAnsi="Cambria Math"/>
                        <w:sz w:val="20"/>
                        <w:szCs w:val="20"/>
                      </w:rPr>
                      <m:t>)∙Mmax)</m:t>
                    </m:r>
                  </m:sup>
                </m:sSup>
              </m:oMath>
            </m:oMathPara>
          </w:p>
          <w:p w14:paraId="69A0103E" w14:textId="77777777" w:rsidR="00E84A76" w:rsidRPr="00593724" w:rsidRDefault="00E84A76">
            <w:pPr>
              <w:pStyle w:val="ListParagraph"/>
              <w:ind w:left="0"/>
              <w:jc w:val="center"/>
              <w:rPr>
                <w:rFonts w:ascii="Times New Roman" w:hAnsi="Times New Roman" w:cs="Times New Roman"/>
                <w:bCs/>
                <w:sz w:val="20"/>
                <w:szCs w:val="20"/>
              </w:rPr>
            </w:pPr>
          </w:p>
          <w:p w14:paraId="3C9C0B84" w14:textId="4F879D35" w:rsidR="00E84A76" w:rsidRPr="00593724" w:rsidRDefault="006A665C">
            <w:pPr>
              <w:pStyle w:val="ListParagraph"/>
              <w:ind w:left="0"/>
              <w:jc w:val="center"/>
              <w:rPr>
                <w:rFonts w:ascii="Times New Roman" w:hAnsi="Times New Roman" w:cs="Times New Roman"/>
                <w:bCs/>
                <w:sz w:val="20"/>
                <w:szCs w:val="20"/>
              </w:rPr>
            </w:pPr>
            <w:r w:rsidRPr="00593724">
              <w:rPr>
                <w:rFonts w:ascii="Times New Roman" w:eastAsia="Calibri" w:hAnsi="Times New Roman" w:cs="Times New Roman"/>
                <w:bCs/>
                <w:sz w:val="20"/>
                <w:szCs w:val="20"/>
              </w:rPr>
              <w:t xml:space="preserve">And equation III.9 in </w:t>
            </w:r>
            <w:sdt>
              <w:sdtPr>
                <w:rPr>
                  <w:rFonts w:ascii="Century" w:hAnsi="Century"/>
                  <w:color w:val="000000"/>
                  <w:sz w:val="20"/>
                  <w:szCs w:val="20"/>
                </w:rPr>
                <w:tag w:val="MENDELEY_CITATION_v3_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"/>
                <w:id w:val="1554424788"/>
                <w:placeholder>
                  <w:docPart w:val="0D17F5D830E54A9EAE684E245B05A6FE"/>
                </w:placeholder>
              </w:sdtPr>
              <w:sdtContent>
                <w:r w:rsidR="00B344CE" w:rsidRPr="00593724">
                  <w:rPr>
                    <w:rFonts w:ascii="Century" w:eastAsia="Times New Roman" w:hAnsi="Century"/>
                    <w:color w:val="000000"/>
                    <w:sz w:val="20"/>
                  </w:rPr>
                  <w:t>Anderson &amp; Luco (1983)</w:t>
                </w:r>
              </w:sdtContent>
            </w:sdt>
          </w:p>
          <w:p w14:paraId="49729D7F" w14:textId="77777777" w:rsidR="00E84A76" w:rsidRPr="00593724" w:rsidRDefault="00E84A76">
            <w:pPr>
              <w:pStyle w:val="ListParagraph"/>
              <w:ind w:left="0"/>
              <w:jc w:val="center"/>
              <w:rPr>
                <w:rFonts w:ascii="Times New Roman" w:hAnsi="Times New Roman" w:cs="Times New Roman"/>
                <w:bCs/>
                <w:sz w:val="20"/>
                <w:szCs w:val="20"/>
              </w:rPr>
            </w:pPr>
          </w:p>
          <w:p w14:paraId="4D10E31C" w14:textId="77777777" w:rsidR="00E84A76" w:rsidRPr="00593724" w:rsidRDefault="00000000">
            <w:pPr>
              <w:pStyle w:val="ListParagraph"/>
              <w:ind w:left="0"/>
              <w:jc w:val="center"/>
              <w:rPr>
                <w:rFonts w:ascii="Times New Roman" w:hAnsi="Times New Roman" w:cs="Times New Roman"/>
                <w:bCs/>
                <w:sz w:val="20"/>
                <w:szCs w:val="20"/>
              </w:rPr>
            </w:pPr>
            <m:oMathPara>
              <m:oMathParaPr>
                <m:jc m:val="center"/>
              </m:oMathParaPr>
              <m:oMath>
                <m:sSub>
                  <m:sSubPr>
                    <m:ctrlPr>
                      <w:rPr>
                        <w:rFonts w:ascii="Cambria Math" w:hAnsi="Cambria Math"/>
                        <w:sz w:val="20"/>
                        <w:szCs w:val="20"/>
                      </w:rPr>
                    </m:ctrlPr>
                  </m:sSubPr>
                  <m:e>
                    <m:r>
                      <w:rPr>
                        <w:rFonts w:ascii="Cambria Math" w:hAnsi="Cambria Math"/>
                        <w:sz w:val="20"/>
                        <w:szCs w:val="20"/>
                      </w:rPr>
                      <m:t>N</m:t>
                    </m:r>
                  </m:e>
                  <m:sub>
                    <m:r>
                      <w:rPr>
                        <w:rFonts w:ascii="Cambria Math" w:hAnsi="Cambria Math"/>
                        <w:sz w:val="20"/>
                        <w:szCs w:val="20"/>
                      </w:rPr>
                      <m:t>min</m:t>
                    </m:r>
                  </m:sub>
                </m:sSub>
                <m:r>
                  <m:rPr>
                    <m:lit/>
                    <m:nor/>
                  </m:rPr>
                  <w:rPr>
                    <w:sz w:val="20"/>
                    <w:szCs w:val="20"/>
                  </w:rPr>
                  <m:t>=</m:t>
                </m:r>
                <m:f>
                  <m:fPr>
                    <m:ctrlPr>
                      <w:rPr>
                        <w:rFonts w:ascii="Cambria Math" w:hAnsi="Cambria Math"/>
                        <w:sz w:val="20"/>
                        <w:szCs w:val="20"/>
                      </w:rPr>
                    </m:ctrlPr>
                  </m:fPr>
                  <m:num>
                    <m:r>
                      <w:rPr>
                        <w:rFonts w:ascii="Cambria Math" w:hAnsi="Cambria Math"/>
                        <w:sz w:val="20"/>
                        <w:szCs w:val="20"/>
                      </w:rPr>
                      <m:t>d∙(d</m:t>
                    </m:r>
                    <m:r>
                      <m:rPr>
                        <m:lit/>
                        <m:nor/>
                      </m:rPr>
                      <w:rPr>
                        <w:sz w:val="20"/>
                        <w:szCs w:val="20"/>
                      </w:rPr>
                      <m:t>-</m:t>
                    </m:r>
                    <m:r>
                      <w:rPr>
                        <w:rFonts w:ascii="Cambria Math" w:hAnsi="Cambria Math"/>
                        <w:sz w:val="20"/>
                        <w:szCs w:val="20"/>
                      </w:rPr>
                      <m:t>β)</m:t>
                    </m:r>
                  </m:num>
                  <m:den>
                    <m:r>
                      <w:rPr>
                        <w:rFonts w:ascii="Cambria Math" w:hAnsi="Cambria Math"/>
                        <w:sz w:val="20"/>
                        <w:szCs w:val="20"/>
                      </w:rPr>
                      <m:t>β</m:t>
                    </m:r>
                  </m:den>
                </m:f>
                <m:r>
                  <w:rPr>
                    <w:rFonts w:ascii="Cambria Math" w:hAnsi="Cambria Math"/>
                    <w:sz w:val="20"/>
                    <w:szCs w:val="20"/>
                  </w:rPr>
                  <m:t>∙</m:t>
                </m:r>
                <m:d>
                  <m:dPr>
                    <m:ctrlPr>
                      <w:rPr>
                        <w:rFonts w:ascii="Cambria Math" w:hAnsi="Cambria Math"/>
                        <w:sz w:val="20"/>
                        <w:szCs w:val="20"/>
                      </w:rPr>
                    </m:ctrlPr>
                  </m:dPr>
                  <m:e>
                    <m:f>
                      <m:fPr>
                        <m:ctrlPr>
                          <w:rPr>
                            <w:rFonts w:ascii="Cambria Math" w:hAnsi="Cambria Math"/>
                            <w:sz w:val="20"/>
                            <w:szCs w:val="20"/>
                          </w:rPr>
                        </m:ctrlPr>
                      </m:fPr>
                      <m:num>
                        <m:acc>
                          <m:accPr>
                            <m:chr m:val="˙"/>
                            <m:ctrlPr>
                              <w:rPr>
                                <w:rFonts w:ascii="Cambria Math" w:hAnsi="Cambria Math"/>
                                <w:sz w:val="20"/>
                                <w:szCs w:val="20"/>
                              </w:rPr>
                            </m:ctrlPr>
                          </m:accPr>
                          <m:e>
                            <m:r>
                              <w:rPr>
                                <w:rFonts w:ascii="Cambria Math" w:hAnsi="Cambria Math"/>
                                <w:sz w:val="20"/>
                                <w:szCs w:val="20"/>
                              </w:rPr>
                              <m:t>s</m:t>
                            </m:r>
                          </m:e>
                        </m:acc>
                      </m:num>
                      <m:den>
                        <m:r>
                          <w:rPr>
                            <w:rFonts w:ascii="Cambria Math" w:hAnsi="Cambria Math"/>
                            <w:sz w:val="20"/>
                            <w:szCs w:val="20"/>
                          </w:rPr>
                          <m:t>γ</m:t>
                        </m:r>
                      </m:den>
                    </m:f>
                  </m:e>
                </m:d>
                <m:r>
                  <w:rPr>
                    <w:rFonts w:ascii="Cambria Math" w:hAnsi="Cambria Math"/>
                    <w:sz w:val="20"/>
                    <w:szCs w:val="20"/>
                  </w:rPr>
                  <m:t>∙</m:t>
                </m:r>
                <m:d>
                  <m:dPr>
                    <m:begChr m:val="{"/>
                    <m:endChr m:val="}"/>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1</m:t>
                        </m:r>
                      </m:num>
                      <m:den>
                        <m:r>
                          <w:rPr>
                            <w:rFonts w:ascii="Cambria Math" w:hAnsi="Cambria Math"/>
                            <w:sz w:val="20"/>
                            <w:szCs w:val="20"/>
                          </w:rPr>
                          <m:t>β</m:t>
                        </m:r>
                      </m:den>
                    </m:f>
                    <m:d>
                      <m:dPr>
                        <m:begChr m:val="["/>
                        <m:endChr m:val="]"/>
                        <m:ctrlPr>
                          <w:rPr>
                            <w:rFonts w:ascii="Cambria Math" w:hAnsi="Cambria Math"/>
                            <w:sz w:val="20"/>
                            <w:szCs w:val="20"/>
                          </w:rPr>
                        </m:ctrlPr>
                      </m:dPr>
                      <m:e>
                        <m:sSup>
                          <m:sSupPr>
                            <m:ctrlPr>
                              <w:rPr>
                                <w:rFonts w:ascii="Cambria Math" w:hAnsi="Cambria Math"/>
                                <w:sz w:val="20"/>
                                <w:szCs w:val="20"/>
                              </w:rPr>
                            </m:ctrlPr>
                          </m:sSupPr>
                          <m:e>
                            <m:r>
                              <w:rPr>
                                <w:rFonts w:ascii="Cambria Math" w:hAnsi="Cambria Math"/>
                                <w:sz w:val="20"/>
                                <w:szCs w:val="20"/>
                              </w:rPr>
                              <m:t>e</m:t>
                            </m:r>
                          </m:e>
                          <m:sup>
                            <m:r>
                              <w:rPr>
                                <w:rFonts w:ascii="Cambria Math" w:hAnsi="Cambria Math"/>
                                <w:sz w:val="20"/>
                                <w:szCs w:val="20"/>
                              </w:rPr>
                              <m:t>β</m:t>
                            </m:r>
                            <m:d>
                              <m:dPr>
                                <m:ctrlPr>
                                  <w:rPr>
                                    <w:rFonts w:ascii="Cambria Math" w:hAnsi="Cambria Math"/>
                                    <w:sz w:val="20"/>
                                    <w:szCs w:val="20"/>
                                  </w:rPr>
                                </m:ctrlPr>
                              </m:dPr>
                              <m:e>
                                <m:r>
                                  <w:rPr>
                                    <w:rFonts w:ascii="Cambria Math" w:hAnsi="Cambria Math"/>
                                    <w:sz w:val="20"/>
                                    <w:szCs w:val="20"/>
                                  </w:rPr>
                                  <m:t>Mmax</m:t>
                                </m:r>
                                <m:r>
                                  <m:rPr>
                                    <m:lit/>
                                    <m:nor/>
                                  </m:rPr>
                                  <w:rPr>
                                    <w:sz w:val="20"/>
                                    <w:szCs w:val="20"/>
                                  </w:rPr>
                                  <m:t>-</m:t>
                                </m:r>
                                <m:r>
                                  <w:rPr>
                                    <w:rFonts w:ascii="Cambria Math" w:hAnsi="Cambria Math"/>
                                    <w:sz w:val="20"/>
                                    <w:szCs w:val="20"/>
                                  </w:rPr>
                                  <m:t>Mmin</m:t>
                                </m:r>
                              </m:e>
                            </m:d>
                          </m:sup>
                        </m:sSup>
                        <m:r>
                          <m:rPr>
                            <m:lit/>
                            <m:nor/>
                          </m:rPr>
                          <w:rPr>
                            <w:sz w:val="20"/>
                            <w:szCs w:val="20"/>
                          </w:rPr>
                          <m:t>-</m:t>
                        </m:r>
                        <m:r>
                          <w:rPr>
                            <w:rFonts w:ascii="Cambria Math" w:hAnsi="Cambria Math"/>
                            <w:sz w:val="20"/>
                            <w:szCs w:val="20"/>
                          </w:rPr>
                          <m:t>1</m:t>
                        </m:r>
                      </m:e>
                    </m:d>
                    <m:r>
                      <m:rPr>
                        <m:lit/>
                        <m:nor/>
                      </m:rPr>
                      <w:rPr>
                        <w:sz w:val="20"/>
                        <w:szCs w:val="20"/>
                      </w:rPr>
                      <m:t>-</m:t>
                    </m:r>
                    <m:d>
                      <m:dPr>
                        <m:ctrlPr>
                          <w:rPr>
                            <w:rFonts w:ascii="Cambria Math" w:hAnsi="Cambria Math"/>
                            <w:sz w:val="20"/>
                            <w:szCs w:val="20"/>
                          </w:rPr>
                        </m:ctrlPr>
                      </m:dPr>
                      <m:e>
                        <m:r>
                          <w:rPr>
                            <w:rFonts w:ascii="Cambria Math" w:hAnsi="Cambria Math"/>
                            <w:sz w:val="20"/>
                            <w:szCs w:val="20"/>
                          </w:rPr>
                          <m:t>Mmax</m:t>
                        </m:r>
                        <m:r>
                          <m:rPr>
                            <m:lit/>
                            <m:nor/>
                          </m:rPr>
                          <w:rPr>
                            <w:sz w:val="20"/>
                            <w:szCs w:val="20"/>
                          </w:rPr>
                          <m:t>-</m:t>
                        </m:r>
                        <m:r>
                          <w:rPr>
                            <w:rFonts w:ascii="Cambria Math" w:hAnsi="Cambria Math"/>
                            <w:sz w:val="20"/>
                            <w:szCs w:val="20"/>
                          </w:rPr>
                          <m:t>Mmin</m:t>
                        </m:r>
                      </m:e>
                    </m:d>
                  </m:e>
                </m:d>
                <m: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e</m:t>
                    </m:r>
                  </m:e>
                  <m:sup>
                    <m:r>
                      <m:rPr>
                        <m:lit/>
                        <m:nor/>
                      </m:rPr>
                      <w:rPr>
                        <w:sz w:val="20"/>
                        <w:szCs w:val="20"/>
                      </w:rPr>
                      <m:t>-</m:t>
                    </m:r>
                    <m:r>
                      <w:rPr>
                        <w:rFonts w:ascii="Cambria Math" w:hAnsi="Cambria Math"/>
                        <w:sz w:val="20"/>
                        <w:szCs w:val="20"/>
                      </w:rPr>
                      <m:t>((</m:t>
                    </m:r>
                    <m:f>
                      <m:fPr>
                        <m:ctrlPr>
                          <w:rPr>
                            <w:rFonts w:ascii="Cambria Math" w:hAnsi="Cambria Math"/>
                            <w:sz w:val="20"/>
                            <w:szCs w:val="20"/>
                          </w:rPr>
                        </m:ctrlPr>
                      </m:fPr>
                      <m:num>
                        <m:r>
                          <w:rPr>
                            <w:rFonts w:ascii="Cambria Math" w:hAnsi="Cambria Math"/>
                            <w:sz w:val="20"/>
                            <w:szCs w:val="20"/>
                          </w:rPr>
                          <m:t>d</m:t>
                        </m:r>
                      </m:num>
                      <m:den>
                        <m:r>
                          <w:rPr>
                            <w:rFonts w:ascii="Cambria Math" w:hAnsi="Cambria Math"/>
                            <w:sz w:val="20"/>
                            <w:szCs w:val="20"/>
                          </w:rPr>
                          <m:t>2</m:t>
                        </m:r>
                      </m:den>
                    </m:f>
                    <m:r>
                      <w:rPr>
                        <w:rFonts w:ascii="Cambria Math" w:hAnsi="Cambria Math"/>
                        <w:sz w:val="20"/>
                        <w:szCs w:val="20"/>
                      </w:rPr>
                      <m:t>)∙Mmax)</m:t>
                    </m:r>
                  </m:sup>
                </m:sSup>
              </m:oMath>
            </m:oMathPara>
          </w:p>
          <w:p w14:paraId="4B4B0C63" w14:textId="77777777" w:rsidR="00E84A76" w:rsidRPr="00593724" w:rsidRDefault="00E84A76">
            <w:pPr>
              <w:rPr>
                <w:rFonts w:ascii="Times New Roman" w:hAnsi="Times New Roman" w:cs="Times New Roman"/>
                <w:bCs/>
                <w:sz w:val="20"/>
                <w:szCs w:val="20"/>
              </w:rPr>
            </w:pPr>
          </w:p>
        </w:tc>
        <w:tc>
          <w:tcPr>
            <w:tcW w:w="3854" w:type="dxa"/>
            <w:vMerge/>
            <w:tcBorders>
              <w:right w:val="nil"/>
            </w:tcBorders>
            <w:vAlign w:val="center"/>
          </w:tcPr>
          <w:p w14:paraId="19270D9B" w14:textId="77777777" w:rsidR="00E84A76" w:rsidRPr="00593724" w:rsidRDefault="00E84A76">
            <w:pPr>
              <w:rPr>
                <w:rFonts w:ascii="Times New Roman" w:hAnsi="Times New Roman" w:cs="Times New Roman"/>
                <w:color w:val="000000"/>
                <w:sz w:val="20"/>
                <w:szCs w:val="20"/>
              </w:rPr>
            </w:pPr>
          </w:p>
        </w:tc>
      </w:tr>
      <w:tr w:rsidR="00E84A76" w:rsidRPr="00593724" w14:paraId="704C7759" w14:textId="77777777">
        <w:trPr>
          <w:trHeight w:val="411"/>
        </w:trPr>
        <w:tc>
          <w:tcPr>
            <w:tcW w:w="5859" w:type="dxa"/>
            <w:tcBorders>
              <w:top w:val="nil"/>
              <w:left w:val="nil"/>
              <w:bottom w:val="nil"/>
            </w:tcBorders>
          </w:tcPr>
          <w:p w14:paraId="147FD4FF" w14:textId="48AF49D4" w:rsidR="00E84A76" w:rsidRPr="00593724" w:rsidRDefault="006A665C">
            <w:pPr>
              <w:pStyle w:val="ListParagraph"/>
              <w:ind w:left="0"/>
              <w:jc w:val="center"/>
              <w:rPr>
                <w:rFonts w:ascii="Times New Roman" w:hAnsi="Times New Roman" w:cs="Times New Roman"/>
                <w:bCs/>
                <w:sz w:val="20"/>
                <w:szCs w:val="20"/>
              </w:rPr>
            </w:pPr>
            <w:r w:rsidRPr="00593724">
              <w:rPr>
                <w:rFonts w:ascii="Times New Roman" w:eastAsia="Calibri" w:hAnsi="Times New Roman" w:cs="Times New Roman"/>
                <w:bCs/>
                <w:i/>
                <w:sz w:val="20"/>
                <w:szCs w:val="20"/>
                <w:u w:val="single"/>
              </w:rPr>
              <w:t>Model 3</w:t>
            </w:r>
            <w:r w:rsidRPr="00593724">
              <w:rPr>
                <w:rFonts w:ascii="Times New Roman" w:eastAsia="Calibri" w:hAnsi="Times New Roman" w:cs="Times New Roman"/>
                <w:bCs/>
                <w:iCs/>
                <w:sz w:val="20"/>
                <w:szCs w:val="20"/>
              </w:rPr>
              <w:t xml:space="preserve">: </w:t>
            </w:r>
            <w:sdt>
              <w:sdtPr>
                <w:rPr>
                  <w:rFonts w:ascii="Century" w:hAnsi="Century"/>
                  <w:color w:val="000000"/>
                  <w:sz w:val="20"/>
                  <w:szCs w:val="20"/>
                </w:rPr>
                <w:tag w:val="MENDELEY_CITATION_v3_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"/>
                <w:id w:val="1817845338"/>
                <w:placeholder>
                  <w:docPart w:val="C2D7E3EF0FF84A948CF14E23ED4453C6"/>
                </w:placeholder>
              </w:sdtPr>
              <w:sdtContent>
                <w:r w:rsidR="00B344CE" w:rsidRPr="00593724">
                  <w:rPr>
                    <w:rFonts w:ascii="Century" w:eastAsia="Times New Roman" w:hAnsi="Century"/>
                    <w:color w:val="000000"/>
                    <w:sz w:val="20"/>
                  </w:rPr>
                  <w:t>Youngs &amp; Coppersmith (1985)</w:t>
                </w:r>
              </w:sdtContent>
            </w:sdt>
          </w:p>
          <w:p w14:paraId="071AEB7E" w14:textId="77777777" w:rsidR="00E84A76" w:rsidRPr="00593724" w:rsidRDefault="00E84A76">
            <w:pPr>
              <w:pStyle w:val="ListParagraph"/>
              <w:ind w:left="0"/>
              <w:jc w:val="center"/>
              <w:rPr>
                <w:rFonts w:ascii="Times New Roman" w:hAnsi="Times New Roman" w:cs="Times New Roman"/>
                <w:bCs/>
                <w:i/>
                <w:sz w:val="20"/>
                <w:szCs w:val="20"/>
                <w:u w:val="single"/>
              </w:rPr>
            </w:pPr>
          </w:p>
          <w:p w14:paraId="2EC904BC" w14:textId="77777777" w:rsidR="00E84A76" w:rsidRPr="00593724" w:rsidRDefault="00000000">
            <w:pPr>
              <w:pStyle w:val="ListParagraph"/>
              <w:ind w:left="0"/>
              <w:jc w:val="center"/>
              <w:rPr>
                <w:rFonts w:ascii="Times New Roman" w:hAnsi="Times New Roman" w:cs="Times New Roman"/>
                <w:bCs/>
                <w:sz w:val="20"/>
                <w:szCs w:val="20"/>
              </w:rPr>
            </w:pPr>
            <m:oMathPara>
              <m:oMathParaPr>
                <m:jc m:val="center"/>
              </m:oMathParaPr>
              <m:oMath>
                <m:sSub>
                  <m:sSubPr>
                    <m:ctrlPr>
                      <w:rPr>
                        <w:rFonts w:ascii="Cambria Math" w:hAnsi="Cambria Math"/>
                        <w:sz w:val="20"/>
                        <w:szCs w:val="20"/>
                      </w:rPr>
                    </m:ctrlPr>
                  </m:sSubPr>
                  <m:e>
                    <m:r>
                      <w:rPr>
                        <w:rFonts w:ascii="Cambria Math" w:hAnsi="Cambria Math"/>
                        <w:sz w:val="20"/>
                        <w:szCs w:val="20"/>
                      </w:rPr>
                      <m:t>N</m:t>
                    </m:r>
                  </m:e>
                  <m:sub>
                    <m:r>
                      <w:rPr>
                        <w:rFonts w:ascii="Cambria Math" w:hAnsi="Cambria Math"/>
                        <w:sz w:val="20"/>
                        <w:szCs w:val="20"/>
                      </w:rPr>
                      <m:t>min</m:t>
                    </m:r>
                  </m:sub>
                </m:sSub>
                <m:r>
                  <m:rPr>
                    <m:lit/>
                    <m:nor/>
                  </m:rPr>
                  <w:rPr>
                    <w:sz w:val="20"/>
                    <w:szCs w:val="20"/>
                  </w:rPr>
                  <m:t>=</m:t>
                </m:r>
                <m:f>
                  <m:fPr>
                    <m:ctrlPr>
                      <w:rPr>
                        <w:rFonts w:ascii="Cambria Math" w:hAnsi="Cambria Math"/>
                        <w:sz w:val="20"/>
                        <w:szCs w:val="20"/>
                      </w:rPr>
                    </m:ctrlPr>
                  </m:fPr>
                  <m:num>
                    <m:acc>
                      <m:accPr>
                        <m:chr m:val="˙"/>
                        <m:ctrlPr>
                          <w:rPr>
                            <w:rFonts w:ascii="Cambria Math" w:hAnsi="Cambria Math"/>
                            <w:sz w:val="20"/>
                            <w:szCs w:val="20"/>
                          </w:rPr>
                        </m:ctrlPr>
                      </m:accPr>
                      <m:e>
                        <m:sSub>
                          <m:sSubPr>
                            <m:ctrlPr>
                              <w:rPr>
                                <w:rFonts w:ascii="Cambria Math" w:hAnsi="Cambria Math"/>
                                <w:sz w:val="20"/>
                                <w:szCs w:val="20"/>
                              </w:rPr>
                            </m:ctrlPr>
                          </m:sSubPr>
                          <m:e>
                            <m:r>
                              <w:rPr>
                                <w:rFonts w:ascii="Cambria Math" w:hAnsi="Cambria Math"/>
                                <w:sz w:val="20"/>
                                <w:szCs w:val="20"/>
                              </w:rPr>
                              <m:t>M</m:t>
                            </m:r>
                          </m:e>
                          <m:sub>
                            <m:r>
                              <w:rPr>
                                <w:rFonts w:ascii="Cambria Math" w:hAnsi="Cambria Math"/>
                                <w:sz w:val="20"/>
                                <w:szCs w:val="20"/>
                              </w:rPr>
                              <m:t>0</m:t>
                            </m:r>
                          </m:sub>
                        </m:sSub>
                      </m:e>
                    </m:acc>
                    <m:r>
                      <w:rPr>
                        <w:rFonts w:ascii="Cambria Math" w:hAnsi="Cambria Math"/>
                        <w:sz w:val="20"/>
                        <w:szCs w:val="20"/>
                      </w:rPr>
                      <m:t>∙</m:t>
                    </m:r>
                    <m:d>
                      <m:dPr>
                        <m:ctrlPr>
                          <w:rPr>
                            <w:rFonts w:ascii="Cambria Math" w:hAnsi="Cambria Math"/>
                            <w:sz w:val="20"/>
                            <w:szCs w:val="20"/>
                          </w:rPr>
                        </m:ctrlPr>
                      </m:dPr>
                      <m:e>
                        <m:r>
                          <w:rPr>
                            <w:rFonts w:ascii="Cambria Math" w:hAnsi="Cambria Math"/>
                            <w:sz w:val="20"/>
                            <w:szCs w:val="20"/>
                          </w:rPr>
                          <m:t>d</m:t>
                        </m:r>
                        <m:r>
                          <m:rPr>
                            <m:lit/>
                            <m:nor/>
                          </m:rPr>
                          <w:rPr>
                            <w:sz w:val="20"/>
                            <w:szCs w:val="20"/>
                          </w:rPr>
                          <m:t>-</m:t>
                        </m:r>
                        <m:r>
                          <w:rPr>
                            <w:rFonts w:ascii="Cambria Math" w:hAnsi="Cambria Math"/>
                            <w:sz w:val="20"/>
                            <w:szCs w:val="20"/>
                          </w:rPr>
                          <m:t>b</m:t>
                        </m:r>
                      </m:e>
                    </m:d>
                    <m:r>
                      <w:rPr>
                        <w:rFonts w:ascii="Cambria Math" w:hAnsi="Cambria Math"/>
                        <w:sz w:val="20"/>
                        <w:szCs w:val="20"/>
                      </w:rPr>
                      <m:t>∙</m:t>
                    </m:r>
                    <m:d>
                      <m:dPr>
                        <m:begChr m:val="["/>
                        <m:endChr m:val="]"/>
                        <m:ctrlPr>
                          <w:rPr>
                            <w:rFonts w:ascii="Cambria Math" w:hAnsi="Cambria Math"/>
                            <w:sz w:val="20"/>
                            <w:szCs w:val="20"/>
                          </w:rPr>
                        </m:ctrlPr>
                      </m:dPr>
                      <m:e>
                        <m:r>
                          <w:rPr>
                            <w:rFonts w:ascii="Cambria Math" w:hAnsi="Cambria Math"/>
                            <w:sz w:val="20"/>
                            <w:szCs w:val="20"/>
                          </w:rPr>
                          <m:t>1</m:t>
                        </m:r>
                        <m:r>
                          <m:rPr>
                            <m:lit/>
                            <m:nor/>
                          </m:rPr>
                          <w:rPr>
                            <w:sz w:val="20"/>
                            <w:szCs w:val="20"/>
                          </w:rPr>
                          <m:t>-</m:t>
                        </m:r>
                        <m:sSup>
                          <m:sSupPr>
                            <m:ctrlPr>
                              <w:rPr>
                                <w:rFonts w:ascii="Cambria Math" w:hAnsi="Cambria Math"/>
                                <w:sz w:val="20"/>
                                <w:szCs w:val="20"/>
                              </w:rPr>
                            </m:ctrlPr>
                          </m:sSupPr>
                          <m:e>
                            <m:r>
                              <w:rPr>
                                <w:rFonts w:ascii="Cambria Math" w:hAnsi="Cambria Math"/>
                                <w:sz w:val="20"/>
                                <w:szCs w:val="20"/>
                              </w:rPr>
                              <m:t>e</m:t>
                            </m:r>
                          </m:e>
                          <m:sup>
                            <m:r>
                              <m:rPr>
                                <m:lit/>
                                <m:nor/>
                              </m:rPr>
                              <w:rPr>
                                <w:sz w:val="20"/>
                                <w:szCs w:val="20"/>
                              </w:rPr>
                              <m:t>-</m:t>
                            </m:r>
                            <m:r>
                              <w:rPr>
                                <w:rFonts w:ascii="Cambria Math" w:hAnsi="Cambria Math"/>
                                <w:sz w:val="20"/>
                                <w:szCs w:val="20"/>
                              </w:rPr>
                              <m:t>β</m:t>
                            </m:r>
                            <m:d>
                              <m:dPr>
                                <m:ctrlPr>
                                  <w:rPr>
                                    <w:rFonts w:ascii="Cambria Math" w:hAnsi="Cambria Math"/>
                                    <w:sz w:val="20"/>
                                    <w:szCs w:val="20"/>
                                  </w:rPr>
                                </m:ctrlPr>
                              </m:dPr>
                              <m:e>
                                <m:r>
                                  <w:rPr>
                                    <w:rFonts w:ascii="Cambria Math" w:hAnsi="Cambria Math"/>
                                    <w:sz w:val="20"/>
                                    <w:szCs w:val="20"/>
                                  </w:rPr>
                                  <m:t>Mmax</m:t>
                                </m:r>
                                <m:r>
                                  <m:rPr>
                                    <m:lit/>
                                    <m:nor/>
                                  </m:rPr>
                                  <w:rPr>
                                    <w:sz w:val="20"/>
                                    <w:szCs w:val="20"/>
                                  </w:rPr>
                                  <m:t>-</m:t>
                                </m:r>
                                <m:r>
                                  <w:rPr>
                                    <w:rFonts w:ascii="Cambria Math" w:hAnsi="Cambria Math"/>
                                    <w:sz w:val="20"/>
                                    <w:szCs w:val="20"/>
                                  </w:rPr>
                                  <m:t>Mmin</m:t>
                                </m:r>
                              </m:e>
                            </m:d>
                          </m:sup>
                        </m:sSup>
                      </m:e>
                    </m:d>
                  </m:num>
                  <m:den>
                    <m:r>
                      <w:rPr>
                        <w:rFonts w:ascii="Cambria Math" w:hAnsi="Cambria Math"/>
                        <w:sz w:val="20"/>
                        <w:szCs w:val="20"/>
                      </w:rPr>
                      <m:t>b∙MoMmax∙</m:t>
                    </m:r>
                    <m:sSup>
                      <m:sSupPr>
                        <m:ctrlPr>
                          <w:rPr>
                            <w:rFonts w:ascii="Cambria Math" w:hAnsi="Cambria Math"/>
                            <w:sz w:val="20"/>
                            <w:szCs w:val="20"/>
                          </w:rPr>
                        </m:ctrlPr>
                      </m:sSupPr>
                      <m:e>
                        <m:r>
                          <w:rPr>
                            <w:rFonts w:ascii="Cambria Math" w:hAnsi="Cambria Math"/>
                            <w:sz w:val="20"/>
                            <w:szCs w:val="20"/>
                          </w:rPr>
                          <m:t>e</m:t>
                        </m:r>
                      </m:e>
                      <m:sup>
                        <m:r>
                          <m:rPr>
                            <m:lit/>
                            <m:nor/>
                          </m:rPr>
                          <w:rPr>
                            <w:sz w:val="20"/>
                            <w:szCs w:val="20"/>
                          </w:rPr>
                          <m:t>-</m:t>
                        </m:r>
                        <m:r>
                          <w:rPr>
                            <w:rFonts w:ascii="Cambria Math" w:hAnsi="Cambria Math"/>
                            <w:sz w:val="20"/>
                            <w:szCs w:val="20"/>
                          </w:rPr>
                          <m:t>β</m:t>
                        </m:r>
                        <m:d>
                          <m:dPr>
                            <m:ctrlPr>
                              <w:rPr>
                                <w:rFonts w:ascii="Cambria Math" w:hAnsi="Cambria Math"/>
                                <w:sz w:val="20"/>
                                <w:szCs w:val="20"/>
                              </w:rPr>
                            </m:ctrlPr>
                          </m:dPr>
                          <m:e>
                            <m:r>
                              <w:rPr>
                                <w:rFonts w:ascii="Cambria Math" w:hAnsi="Cambria Math"/>
                                <w:sz w:val="20"/>
                                <w:szCs w:val="20"/>
                              </w:rPr>
                              <m:t>Mmax</m:t>
                            </m:r>
                            <m:r>
                              <m:rPr>
                                <m:lit/>
                                <m:nor/>
                              </m:rPr>
                              <w:rPr>
                                <w:sz w:val="20"/>
                                <w:szCs w:val="20"/>
                              </w:rPr>
                              <m:t>-</m:t>
                            </m:r>
                            <m:r>
                              <w:rPr>
                                <w:rFonts w:ascii="Cambria Math" w:hAnsi="Cambria Math"/>
                                <w:sz w:val="20"/>
                                <w:szCs w:val="20"/>
                              </w:rPr>
                              <m:t>Mmin</m:t>
                            </m:r>
                          </m:e>
                        </m:d>
                      </m:sup>
                    </m:sSup>
                  </m:den>
                </m:f>
              </m:oMath>
            </m:oMathPara>
          </w:p>
          <w:p w14:paraId="33E57612" w14:textId="77777777" w:rsidR="00E84A76" w:rsidRPr="00593724" w:rsidRDefault="00E84A76">
            <w:pPr>
              <w:pStyle w:val="ListParagraph"/>
              <w:ind w:left="0"/>
              <w:rPr>
                <w:rFonts w:ascii="Times New Roman" w:hAnsi="Times New Roman" w:cs="Times New Roman"/>
                <w:bCs/>
                <w:sz w:val="20"/>
                <w:szCs w:val="20"/>
              </w:rPr>
            </w:pPr>
          </w:p>
        </w:tc>
        <w:tc>
          <w:tcPr>
            <w:tcW w:w="3854" w:type="dxa"/>
            <w:vMerge/>
            <w:tcBorders>
              <w:right w:val="nil"/>
            </w:tcBorders>
            <w:vAlign w:val="center"/>
          </w:tcPr>
          <w:p w14:paraId="04EF6D9B" w14:textId="77777777" w:rsidR="00E84A76" w:rsidRPr="00593724" w:rsidRDefault="00E84A76">
            <w:pPr>
              <w:rPr>
                <w:rFonts w:ascii="Times New Roman" w:hAnsi="Times New Roman" w:cs="Times New Roman"/>
                <w:color w:val="000000"/>
                <w:sz w:val="20"/>
                <w:szCs w:val="20"/>
              </w:rPr>
            </w:pPr>
          </w:p>
        </w:tc>
      </w:tr>
      <w:tr w:rsidR="00E84A76" w:rsidRPr="00F612B4" w14:paraId="0BB51CC8" w14:textId="77777777">
        <w:trPr>
          <w:trHeight w:val="235"/>
        </w:trPr>
        <w:tc>
          <w:tcPr>
            <w:tcW w:w="5859" w:type="dxa"/>
            <w:tcBorders>
              <w:top w:val="nil"/>
              <w:left w:val="nil"/>
            </w:tcBorders>
          </w:tcPr>
          <w:p w14:paraId="408B7955" w14:textId="5A394303" w:rsidR="00E84A76" w:rsidRPr="00593724" w:rsidRDefault="006A665C">
            <w:pPr>
              <w:pStyle w:val="ListParagraph"/>
              <w:ind w:left="0"/>
              <w:jc w:val="center"/>
              <w:rPr>
                <w:rFonts w:ascii="Times New Roman" w:hAnsi="Times New Roman" w:cs="Times New Roman"/>
                <w:bCs/>
                <w:sz w:val="20"/>
                <w:szCs w:val="20"/>
                <w:lang w:val="es-CR"/>
              </w:rPr>
            </w:pPr>
            <w:r w:rsidRPr="00593724">
              <w:rPr>
                <w:rFonts w:ascii="Times New Roman" w:eastAsia="Calibri" w:hAnsi="Times New Roman" w:cs="Times New Roman"/>
                <w:bCs/>
                <w:i/>
                <w:sz w:val="20"/>
                <w:szCs w:val="20"/>
                <w:u w:val="single"/>
                <w:lang w:val="es-CR"/>
              </w:rPr>
              <w:t>Model 4</w:t>
            </w:r>
            <w:r w:rsidRPr="00593724">
              <w:rPr>
                <w:rFonts w:ascii="Times New Roman" w:eastAsia="Calibri" w:hAnsi="Times New Roman" w:cs="Times New Roman"/>
                <w:bCs/>
                <w:i/>
                <w:sz w:val="20"/>
                <w:szCs w:val="20"/>
                <w:lang w:val="es-CR"/>
              </w:rPr>
              <w:t xml:space="preserve">: </w:t>
            </w:r>
            <w:r w:rsidRPr="00593724">
              <w:rPr>
                <w:rFonts w:ascii="Times New Roman" w:eastAsia="Calibri" w:hAnsi="Times New Roman" w:cs="Times New Roman"/>
                <w:bCs/>
                <w:sz w:val="20"/>
                <w:szCs w:val="20"/>
                <w:lang w:val="es-CR"/>
              </w:rPr>
              <w:t xml:space="preserve"> </w:t>
            </w:r>
            <w:sdt>
              <w:sdtPr>
                <w:rPr>
                  <w:rFonts w:ascii="Times New Roman" w:hAnsi="Times New Roman" w:cs="Times New Roman"/>
                  <w:color w:val="000000"/>
                  <w:sz w:val="20"/>
                  <w:szCs w:val="20"/>
                </w:rPr>
                <w:tag w:val="MENDELEY_CITATION_v3_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"/>
                <w:id w:val="-1443144660"/>
                <w:placeholder>
                  <w:docPart w:val="C2D7E3EF0FF84A948CF14E23ED4453C6"/>
                </w:placeholder>
              </w:sdtPr>
              <w:sdtContent>
                <w:r w:rsidR="00B344CE" w:rsidRPr="00593724">
                  <w:rPr>
                    <w:rFonts w:ascii="Times New Roman" w:eastAsia="Calibri" w:hAnsi="Times New Roman" w:cs="Times New Roman"/>
                    <w:bCs/>
                    <w:color w:val="000000"/>
                    <w:sz w:val="20"/>
                    <w:szCs w:val="20"/>
                    <w:lang w:val="es-CR"/>
                  </w:rPr>
                  <w:t>Molnar (1979)</w:t>
                </w:r>
              </w:sdtContent>
            </w:sdt>
          </w:p>
          <w:p w14:paraId="41BA9037" w14:textId="77777777" w:rsidR="00E84A76" w:rsidRPr="00593724" w:rsidRDefault="00000000">
            <w:pPr>
              <w:pStyle w:val="ListParagraph"/>
              <w:ind w:left="0"/>
              <w:jc w:val="center"/>
              <w:rPr>
                <w:rFonts w:ascii="Times New Roman" w:hAnsi="Times New Roman" w:cs="Times New Roman"/>
                <w:sz w:val="20"/>
                <w:szCs w:val="20"/>
                <w:lang w:val="es-CR"/>
              </w:rPr>
            </w:pPr>
            <m:oMathPara>
              <m:oMathParaPr>
                <m:jc m:val="center"/>
              </m:oMathParaPr>
              <m:oMath>
                <m:sSub>
                  <m:sSubPr>
                    <m:ctrlPr>
                      <w:rPr>
                        <w:rFonts w:ascii="Cambria Math" w:hAnsi="Cambria Math"/>
                        <w:sz w:val="20"/>
                        <w:szCs w:val="20"/>
                      </w:rPr>
                    </m:ctrlPr>
                  </m:sSubPr>
                  <m:e>
                    <m:r>
                      <w:rPr>
                        <w:rFonts w:ascii="Cambria Math" w:hAnsi="Cambria Math"/>
                        <w:sz w:val="20"/>
                        <w:szCs w:val="20"/>
                      </w:rPr>
                      <m:t>N</m:t>
                    </m:r>
                  </m:e>
                  <m:sub>
                    <m:r>
                      <w:rPr>
                        <w:rFonts w:ascii="Cambria Math" w:hAnsi="Cambria Math"/>
                        <w:sz w:val="20"/>
                        <w:szCs w:val="20"/>
                      </w:rPr>
                      <m:t>min</m:t>
                    </m:r>
                  </m:sub>
                </m:sSub>
                <m:r>
                  <m:rPr>
                    <m:lit/>
                    <m:nor/>
                  </m:rPr>
                  <w:rPr>
                    <w:sz w:val="20"/>
                    <w:szCs w:val="20"/>
                    <w:lang w:val="es-CR"/>
                  </w:rPr>
                  <m:t>=</m:t>
                </m:r>
                <m:d>
                  <m:dPr>
                    <m:ctrlPr>
                      <w:rPr>
                        <w:rFonts w:ascii="Cambria Math" w:hAnsi="Cambria Math"/>
                        <w:sz w:val="20"/>
                        <w:szCs w:val="20"/>
                      </w:rPr>
                    </m:ctrlPr>
                  </m:dPr>
                  <m:e>
                    <m:r>
                      <w:rPr>
                        <w:rFonts w:ascii="Cambria Math" w:hAnsi="Cambria Math"/>
                        <w:sz w:val="20"/>
                        <w:szCs w:val="20"/>
                        <w:lang w:val="es-CR"/>
                      </w:rPr>
                      <m:t>1</m:t>
                    </m:r>
                    <m:r>
                      <m:rPr>
                        <m:lit/>
                        <m:nor/>
                      </m:rPr>
                      <w:rPr>
                        <w:sz w:val="20"/>
                        <w:szCs w:val="20"/>
                        <w:lang w:val="es-CR"/>
                      </w:rPr>
                      <m:t>-</m:t>
                    </m:r>
                    <m:f>
                      <m:fPr>
                        <m:ctrlPr>
                          <w:rPr>
                            <w:rFonts w:ascii="Cambria Math" w:hAnsi="Cambria Math"/>
                            <w:sz w:val="20"/>
                            <w:szCs w:val="20"/>
                          </w:rPr>
                        </m:ctrlPr>
                      </m:fPr>
                      <m:num>
                        <m:r>
                          <w:rPr>
                            <w:rFonts w:ascii="Cambria Math" w:hAnsi="Cambria Math"/>
                            <w:sz w:val="20"/>
                            <w:szCs w:val="20"/>
                            <w:lang w:val="es-CR"/>
                          </w:rPr>
                          <m:t>2∙</m:t>
                        </m:r>
                        <m:r>
                          <w:rPr>
                            <w:rFonts w:ascii="Cambria Math" w:hAnsi="Cambria Math"/>
                            <w:sz w:val="20"/>
                            <w:szCs w:val="20"/>
                          </w:rPr>
                          <m:t>b</m:t>
                        </m:r>
                      </m:num>
                      <m:den>
                        <m:r>
                          <w:rPr>
                            <w:rFonts w:ascii="Cambria Math" w:hAnsi="Cambria Math"/>
                            <w:sz w:val="20"/>
                            <w:szCs w:val="20"/>
                            <w:lang w:val="es-CR"/>
                          </w:rPr>
                          <m:t>3</m:t>
                        </m:r>
                      </m:den>
                    </m:f>
                  </m:e>
                </m:d>
                <m:r>
                  <w:rPr>
                    <w:rFonts w:ascii="Cambria Math" w:hAnsi="Cambria Math"/>
                    <w:sz w:val="20"/>
                    <w:szCs w:val="20"/>
                    <w:lang w:val="es-CR"/>
                  </w:rPr>
                  <m:t>∙</m:t>
                </m:r>
                <m:f>
                  <m:fPr>
                    <m:ctrlPr>
                      <w:rPr>
                        <w:rFonts w:ascii="Cambria Math" w:hAnsi="Cambria Math"/>
                        <w:sz w:val="20"/>
                        <w:szCs w:val="20"/>
                      </w:rPr>
                    </m:ctrlPr>
                  </m:fPr>
                  <m:num>
                    <m:acc>
                      <m:accPr>
                        <m:chr m:val="˙"/>
                        <m:ctrlPr>
                          <w:rPr>
                            <w:rFonts w:ascii="Cambria Math" w:hAnsi="Cambria Math"/>
                            <w:sz w:val="20"/>
                            <w:szCs w:val="20"/>
                          </w:rPr>
                        </m:ctrlPr>
                      </m:accPr>
                      <m:e>
                        <m:sSub>
                          <m:sSubPr>
                            <m:ctrlPr>
                              <w:rPr>
                                <w:rFonts w:ascii="Cambria Math" w:hAnsi="Cambria Math"/>
                                <w:sz w:val="20"/>
                                <w:szCs w:val="20"/>
                              </w:rPr>
                            </m:ctrlPr>
                          </m:sSubPr>
                          <m:e>
                            <m:r>
                              <w:rPr>
                                <w:rFonts w:ascii="Cambria Math" w:hAnsi="Cambria Math"/>
                                <w:sz w:val="20"/>
                                <w:szCs w:val="20"/>
                              </w:rPr>
                              <m:t>M</m:t>
                            </m:r>
                          </m:e>
                          <m:sub>
                            <m:r>
                              <w:rPr>
                                <w:rFonts w:ascii="Cambria Math" w:hAnsi="Cambria Math"/>
                                <w:sz w:val="20"/>
                                <w:szCs w:val="20"/>
                                <w:lang w:val="es-CR"/>
                              </w:rPr>
                              <m:t>0</m:t>
                            </m:r>
                          </m:sub>
                        </m:sSub>
                      </m:e>
                    </m:acc>
                  </m:num>
                  <m:den>
                    <m:r>
                      <w:rPr>
                        <w:rFonts w:ascii="Cambria Math" w:hAnsi="Cambria Math"/>
                        <w:sz w:val="20"/>
                        <w:szCs w:val="20"/>
                      </w:rPr>
                      <m:t>MoMmax</m:t>
                    </m:r>
                  </m:den>
                </m:f>
                <m:r>
                  <w:rPr>
                    <w:rFonts w:ascii="Cambria Math" w:hAnsi="Cambria Math"/>
                    <w:sz w:val="20"/>
                    <w:szCs w:val="20"/>
                    <w:lang w:val="es-CR"/>
                  </w:rPr>
                  <m:t>∙</m:t>
                </m:r>
                <m:sSup>
                  <m:sSupPr>
                    <m:ctrlPr>
                      <w:rPr>
                        <w:rFonts w:ascii="Cambria Math" w:hAnsi="Cambria Math"/>
                        <w:sz w:val="20"/>
                        <w:szCs w:val="20"/>
                      </w:rPr>
                    </m:ctrlPr>
                  </m:sSupPr>
                  <m:e>
                    <m:d>
                      <m:dPr>
                        <m:ctrlPr>
                          <w:rPr>
                            <w:rFonts w:ascii="Cambria Math" w:hAnsi="Cambria Math"/>
                            <w:sz w:val="20"/>
                            <w:szCs w:val="20"/>
                          </w:rPr>
                        </m:ctrlPr>
                      </m:dPr>
                      <m:e>
                        <m:f>
                          <m:fPr>
                            <m:ctrlPr>
                              <w:rPr>
                                <w:rFonts w:ascii="Cambria Math" w:hAnsi="Cambria Math"/>
                                <w:sz w:val="20"/>
                                <w:szCs w:val="20"/>
                              </w:rPr>
                            </m:ctrlPr>
                          </m:fPr>
                          <m:num>
                            <m:r>
                              <w:rPr>
                                <w:rFonts w:ascii="Cambria Math" w:hAnsi="Cambria Math"/>
                                <w:sz w:val="20"/>
                                <w:szCs w:val="20"/>
                              </w:rPr>
                              <m:t>MoMmax</m:t>
                            </m:r>
                          </m:num>
                          <m:den>
                            <m:r>
                              <w:rPr>
                                <w:rFonts w:ascii="Cambria Math" w:hAnsi="Cambria Math"/>
                                <w:sz w:val="20"/>
                                <w:szCs w:val="20"/>
                              </w:rPr>
                              <m:t>MoMmin</m:t>
                            </m:r>
                          </m:den>
                        </m:f>
                      </m:e>
                    </m:d>
                  </m:e>
                  <m:sup>
                    <m:f>
                      <m:fPr>
                        <m:ctrlPr>
                          <w:rPr>
                            <w:rFonts w:ascii="Cambria Math" w:hAnsi="Cambria Math"/>
                            <w:sz w:val="20"/>
                            <w:szCs w:val="20"/>
                          </w:rPr>
                        </m:ctrlPr>
                      </m:fPr>
                      <m:num>
                        <m:r>
                          <w:rPr>
                            <w:rFonts w:ascii="Cambria Math" w:hAnsi="Cambria Math"/>
                            <w:sz w:val="20"/>
                            <w:szCs w:val="20"/>
                            <w:lang w:val="es-CR"/>
                          </w:rPr>
                          <m:t>2</m:t>
                        </m:r>
                        <m:r>
                          <w:rPr>
                            <w:rFonts w:ascii="Cambria Math" w:hAnsi="Cambria Math"/>
                            <w:sz w:val="20"/>
                            <w:szCs w:val="20"/>
                          </w:rPr>
                          <m:t>b</m:t>
                        </m:r>
                      </m:num>
                      <m:den>
                        <m:r>
                          <w:rPr>
                            <w:rFonts w:ascii="Cambria Math" w:hAnsi="Cambria Math"/>
                            <w:sz w:val="20"/>
                            <w:szCs w:val="20"/>
                            <w:lang w:val="es-CR"/>
                          </w:rPr>
                          <m:t>3</m:t>
                        </m:r>
                      </m:den>
                    </m:f>
                  </m:sup>
                </m:sSup>
              </m:oMath>
            </m:oMathPara>
          </w:p>
          <w:p w14:paraId="6441CB14" w14:textId="77777777" w:rsidR="00E84A76" w:rsidRPr="00593724" w:rsidRDefault="00E84A76">
            <w:pPr>
              <w:pStyle w:val="ListParagraph"/>
              <w:ind w:left="0"/>
              <w:rPr>
                <w:rFonts w:ascii="Times New Roman" w:hAnsi="Times New Roman" w:cs="Times New Roman"/>
                <w:bCs/>
                <w:sz w:val="20"/>
                <w:szCs w:val="20"/>
                <w:lang w:val="es-CR"/>
              </w:rPr>
            </w:pPr>
          </w:p>
        </w:tc>
        <w:tc>
          <w:tcPr>
            <w:tcW w:w="3854" w:type="dxa"/>
            <w:vMerge/>
            <w:tcBorders>
              <w:right w:val="nil"/>
            </w:tcBorders>
            <w:vAlign w:val="center"/>
          </w:tcPr>
          <w:p w14:paraId="4B18A66A" w14:textId="77777777" w:rsidR="00E84A76" w:rsidRPr="00593724" w:rsidRDefault="00E84A76">
            <w:pPr>
              <w:rPr>
                <w:rFonts w:ascii="Times New Roman" w:hAnsi="Times New Roman" w:cs="Times New Roman"/>
                <w:color w:val="000000"/>
                <w:sz w:val="20"/>
                <w:szCs w:val="20"/>
                <w:lang w:val="es-CR"/>
              </w:rPr>
            </w:pPr>
          </w:p>
        </w:tc>
      </w:tr>
      <w:tr w:rsidR="00E84A76" w:rsidRPr="00593724" w14:paraId="6F646ED7" w14:textId="77777777">
        <w:trPr>
          <w:trHeight w:val="321"/>
        </w:trPr>
        <w:tc>
          <w:tcPr>
            <w:tcW w:w="5859" w:type="dxa"/>
            <w:tcBorders>
              <w:left w:val="nil"/>
            </w:tcBorders>
          </w:tcPr>
          <w:p w14:paraId="3E1DEA31" w14:textId="77777777" w:rsidR="00E84A76" w:rsidRPr="00593724" w:rsidRDefault="006A665C">
            <w:pPr>
              <w:pStyle w:val="ListParagraph"/>
              <w:ind w:left="0"/>
              <w:rPr>
                <w:rFonts w:ascii="Times New Roman" w:hAnsi="Times New Roman" w:cs="Times New Roman"/>
                <w:sz w:val="20"/>
                <w:szCs w:val="20"/>
                <w:u w:val="single"/>
              </w:rPr>
            </w:pPr>
            <w:r w:rsidRPr="00593724">
              <w:rPr>
                <w:rFonts w:ascii="Times New Roman" w:eastAsia="Calibri" w:hAnsi="Times New Roman" w:cs="Times New Roman"/>
                <w:b/>
                <w:bCs/>
                <w:i/>
                <w:iCs/>
                <w:sz w:val="20"/>
                <w:szCs w:val="20"/>
                <w:u w:val="single"/>
              </w:rPr>
              <w:t>M</w:t>
            </w:r>
            <w:r w:rsidRPr="00593724">
              <w:rPr>
                <w:rFonts w:ascii="Times New Roman" w:eastAsia="Calibri" w:hAnsi="Times New Roman" w:cs="Times New Roman"/>
                <w:b/>
                <w:bCs/>
                <w:i/>
                <w:iCs/>
                <w:sz w:val="20"/>
                <w:szCs w:val="20"/>
                <w:u w:val="single"/>
                <w:vertAlign w:val="subscript"/>
              </w:rPr>
              <w:t>max</w:t>
            </w:r>
            <w:r w:rsidRPr="00593724">
              <w:rPr>
                <w:rFonts w:ascii="Times New Roman" w:eastAsia="Calibri" w:hAnsi="Times New Roman" w:cs="Times New Roman"/>
                <w:b/>
                <w:bCs/>
                <w:sz w:val="20"/>
                <w:szCs w:val="20"/>
                <w:u w:val="single"/>
              </w:rPr>
              <w:t xml:space="preserve"> variation</w:t>
            </w:r>
          </w:p>
          <w:p w14:paraId="1CAE22DC" w14:textId="77777777" w:rsidR="00E84A76" w:rsidRPr="00593724" w:rsidRDefault="006A665C">
            <w:pPr>
              <w:pStyle w:val="ListParagraph"/>
              <w:ind w:left="0"/>
              <w:jc w:val="center"/>
              <w:rPr>
                <w:rFonts w:ascii="Times New Roman" w:hAnsi="Times New Roman" w:cs="Times New Roman"/>
                <w:bCs/>
                <w:sz w:val="20"/>
                <w:szCs w:val="20"/>
              </w:rPr>
            </w:pPr>
            <m:oMathPara>
              <m:oMathParaPr>
                <m:jc m:val="center"/>
              </m:oMathParaPr>
              <m:oMath>
                <m:r>
                  <w:rPr>
                    <w:rFonts w:ascii="Cambria Math" w:hAnsi="Cambria Math"/>
                    <w:sz w:val="20"/>
                    <w:szCs w:val="20"/>
                  </w:rPr>
                  <m:t>logN</m:t>
                </m:r>
                <m:r>
                  <m:rPr>
                    <m:lit/>
                    <m:nor/>
                  </m:rPr>
                  <w:rPr>
                    <w:sz w:val="20"/>
                    <w:szCs w:val="20"/>
                  </w:rPr>
                  <m:t>=</m:t>
                </m:r>
                <m:f>
                  <m:fPr>
                    <m:ctrlPr>
                      <w:rPr>
                        <w:rFonts w:ascii="Cambria Math" w:hAnsi="Cambria Math"/>
                        <w:sz w:val="20"/>
                        <w:szCs w:val="20"/>
                      </w:rPr>
                    </m:ctrlPr>
                  </m:fPr>
                  <m:num>
                    <m:r>
                      <m:rPr>
                        <m:lit/>
                        <m:nor/>
                      </m:rPr>
                      <w:rPr>
                        <w:sz w:val="20"/>
                        <w:szCs w:val="20"/>
                      </w:rPr>
                      <m:t>-</m:t>
                    </m:r>
                    <m:r>
                      <w:rPr>
                        <w:rFonts w:ascii="Cambria Math" w:hAnsi="Cambria Math"/>
                        <w:sz w:val="20"/>
                        <w:szCs w:val="20"/>
                      </w:rPr>
                      <m:t>3</m:t>
                    </m:r>
                  </m:num>
                  <m:den>
                    <m:r>
                      <w:rPr>
                        <w:rFonts w:ascii="Cambria Math" w:hAnsi="Cambria Math"/>
                        <w:sz w:val="20"/>
                        <w:szCs w:val="20"/>
                      </w:rPr>
                      <m:t>2</m:t>
                    </m:r>
                  </m:den>
                </m:f>
                <m:r>
                  <w:rPr>
                    <w:rFonts w:ascii="Cambria Math" w:hAnsi="Cambria Math"/>
                    <w:sz w:val="20"/>
                    <w:szCs w:val="20"/>
                  </w:rPr>
                  <m:t>∙Mw</m:t>
                </m:r>
                <m:r>
                  <m:rPr>
                    <m:lit/>
                    <m:nor/>
                  </m:rPr>
                  <w:rPr>
                    <w:sz w:val="20"/>
                    <w:szCs w:val="20"/>
                  </w:rPr>
                  <m:t>-</m:t>
                </m:r>
                <m:r>
                  <w:rPr>
                    <w:rFonts w:ascii="Cambria Math" w:hAnsi="Cambria Math"/>
                    <w:sz w:val="20"/>
                    <w:szCs w:val="20"/>
                  </w:rPr>
                  <m:t>log</m:t>
                </m:r>
                <m:acc>
                  <m:accPr>
                    <m:chr m:val="˙"/>
                    <m:ctrlPr>
                      <w:rPr>
                        <w:rFonts w:ascii="Cambria Math" w:hAnsi="Cambria Math"/>
                        <w:sz w:val="20"/>
                        <w:szCs w:val="20"/>
                      </w:rPr>
                    </m:ctrlPr>
                  </m:accPr>
                  <m:e>
                    <m:sSub>
                      <m:sSubPr>
                        <m:ctrlPr>
                          <w:rPr>
                            <w:rFonts w:ascii="Cambria Math" w:hAnsi="Cambria Math"/>
                            <w:sz w:val="20"/>
                            <w:szCs w:val="20"/>
                          </w:rPr>
                        </m:ctrlPr>
                      </m:sSubPr>
                      <m:e>
                        <m:r>
                          <w:rPr>
                            <w:rFonts w:ascii="Cambria Math" w:hAnsi="Cambria Math"/>
                            <w:sz w:val="20"/>
                            <w:szCs w:val="20"/>
                          </w:rPr>
                          <m:t>M</m:t>
                        </m:r>
                      </m:e>
                      <m:sub>
                        <m:r>
                          <w:rPr>
                            <w:rFonts w:ascii="Cambria Math" w:hAnsi="Cambria Math"/>
                            <w:sz w:val="20"/>
                            <w:szCs w:val="20"/>
                          </w:rPr>
                          <m:t>0</m:t>
                        </m:r>
                      </m:sub>
                    </m:sSub>
                  </m:e>
                </m:acc>
                <m:r>
                  <m:rPr>
                    <m:lit/>
                    <m:nor/>
                  </m:rPr>
                  <w:rPr>
                    <w:sz w:val="20"/>
                    <w:szCs w:val="20"/>
                  </w:rPr>
                  <m:t>+</m:t>
                </m:r>
                <m:r>
                  <w:rPr>
                    <w:rFonts w:ascii="Cambria Math" w:hAnsi="Cambria Math"/>
                    <w:sz w:val="20"/>
                    <w:szCs w:val="20"/>
                  </w:rPr>
                  <m:t>log</m:t>
                </m:r>
                <m:d>
                  <m:dPr>
                    <m:begChr m:val="["/>
                    <m:endChr m:val="]"/>
                    <m:ctrlPr>
                      <w:rPr>
                        <w:rFonts w:ascii="Cambria Math" w:hAnsi="Cambria Math"/>
                        <w:sz w:val="20"/>
                        <w:szCs w:val="20"/>
                      </w:rPr>
                    </m:ctrlPr>
                  </m:dPr>
                  <m:e>
                    <m:r>
                      <w:rPr>
                        <w:rFonts w:ascii="Cambria Math" w:hAnsi="Cambria Math"/>
                        <w:sz w:val="20"/>
                        <w:szCs w:val="20"/>
                      </w:rPr>
                      <m:t>α∙</m:t>
                    </m:r>
                    <m:d>
                      <m:dPr>
                        <m:ctrlPr>
                          <w:rPr>
                            <w:rFonts w:ascii="Cambria Math" w:hAnsi="Cambria Math"/>
                            <w:sz w:val="20"/>
                            <w:szCs w:val="20"/>
                          </w:rPr>
                        </m:ctrlPr>
                      </m:dPr>
                      <m:e>
                        <m:r>
                          <w:rPr>
                            <w:rFonts w:ascii="Cambria Math" w:hAnsi="Cambria Math"/>
                            <w:sz w:val="20"/>
                            <w:szCs w:val="20"/>
                          </w:rPr>
                          <m:t>1</m:t>
                        </m:r>
                        <m:r>
                          <m:rPr>
                            <m:lit/>
                            <m:nor/>
                          </m:rPr>
                          <w:rPr>
                            <w:sz w:val="20"/>
                            <w:szCs w:val="20"/>
                          </w:rPr>
                          <m:t>-</m:t>
                        </m:r>
                        <m:f>
                          <m:fPr>
                            <m:ctrlPr>
                              <w:rPr>
                                <w:rFonts w:ascii="Cambria Math" w:hAnsi="Cambria Math"/>
                                <w:sz w:val="20"/>
                                <w:szCs w:val="20"/>
                              </w:rPr>
                            </m:ctrlPr>
                          </m:fPr>
                          <m:num>
                            <m:r>
                              <w:rPr>
                                <w:rFonts w:ascii="Cambria Math" w:hAnsi="Cambria Math"/>
                                <w:sz w:val="20"/>
                                <w:szCs w:val="20"/>
                              </w:rPr>
                              <m:t>2b</m:t>
                            </m:r>
                          </m:num>
                          <m:den>
                            <m:r>
                              <w:rPr>
                                <w:rFonts w:ascii="Cambria Math" w:hAnsi="Cambria Math"/>
                                <w:sz w:val="20"/>
                                <w:szCs w:val="20"/>
                              </w:rPr>
                              <m:t>3</m:t>
                            </m:r>
                          </m:den>
                        </m:f>
                      </m:e>
                    </m:d>
                  </m:e>
                </m:d>
              </m:oMath>
            </m:oMathPara>
          </w:p>
          <w:p w14:paraId="5FB27ACA" w14:textId="77777777" w:rsidR="00E84A76" w:rsidRPr="00593724" w:rsidRDefault="00E84A76">
            <w:pPr>
              <w:pStyle w:val="ListParagraph"/>
              <w:ind w:left="0"/>
              <w:jc w:val="center"/>
              <w:rPr>
                <w:rFonts w:ascii="Times New Roman" w:hAnsi="Times New Roman" w:cs="Times New Roman"/>
                <w:bCs/>
                <w:sz w:val="20"/>
                <w:szCs w:val="20"/>
              </w:rPr>
            </w:pPr>
          </w:p>
          <w:p w14:paraId="4BAF2B07" w14:textId="19A508D1" w:rsidR="00E84A76" w:rsidRPr="00593724" w:rsidRDefault="006A665C">
            <w:pPr>
              <w:pStyle w:val="ListParagraph"/>
              <w:ind w:left="0"/>
              <w:jc w:val="center"/>
              <w:rPr>
                <w:rFonts w:ascii="Times New Roman" w:eastAsia="Calibri" w:hAnsi="Times New Roman" w:cs="Times New Roman"/>
                <w:bCs/>
                <w:i/>
                <w:iCs/>
                <w:sz w:val="20"/>
                <w:szCs w:val="20"/>
              </w:rPr>
            </w:pPr>
            <w:r w:rsidRPr="00593724">
              <w:rPr>
                <w:rFonts w:ascii="Times New Roman" w:eastAsia="Calibri" w:hAnsi="Times New Roman" w:cs="Times New Roman"/>
                <w:bCs/>
                <w:i/>
                <w:iCs/>
                <w:sz w:val="20"/>
                <w:szCs w:val="20"/>
              </w:rPr>
              <w:t xml:space="preserve">From </w:t>
            </w:r>
            <w:sdt>
              <w:sdtPr>
                <w:rPr>
                  <w:rFonts w:ascii="Times New Roman" w:hAnsi="Times New Roman" w:cs="Times New Roman"/>
                  <w:color w:val="000000"/>
                  <w:sz w:val="20"/>
                  <w:szCs w:val="20"/>
                </w:rPr>
                <w:tag w:val="MENDELEY_CITATION_v3_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"/>
                <w:id w:val="1590886076"/>
                <w:placeholder>
                  <w:docPart w:val="C2D7E3EF0FF84A948CF14E23ED4453C6"/>
                </w:placeholder>
              </w:sdtPr>
              <w:sdtContent>
                <w:r w:rsidR="00B344CE" w:rsidRPr="00593724">
                  <w:rPr>
                    <w:rFonts w:ascii="Times New Roman" w:eastAsia="Calibri" w:hAnsi="Times New Roman" w:cs="Times New Roman"/>
                    <w:bCs/>
                    <w:iCs/>
                    <w:color w:val="000000"/>
                    <w:sz w:val="20"/>
                    <w:szCs w:val="20"/>
                  </w:rPr>
                  <w:t>Avouac (2015)</w:t>
                </w:r>
              </w:sdtContent>
            </w:sdt>
            <w:r w:rsidRPr="00593724">
              <w:rPr>
                <w:rFonts w:ascii="Times New Roman" w:eastAsia="Calibri" w:hAnsi="Times New Roman" w:cs="Times New Roman"/>
                <w:bCs/>
                <w:i/>
                <w:iCs/>
                <w:sz w:val="20"/>
                <w:szCs w:val="20"/>
              </w:rPr>
              <w:t xml:space="preserve">, based on </w:t>
            </w:r>
            <w:sdt>
              <w:sdtPr>
                <w:rPr>
                  <w:rFonts w:ascii="Times New Roman" w:hAnsi="Times New Roman" w:cs="Times New Roman"/>
                  <w:color w:val="000000"/>
                  <w:sz w:val="20"/>
                  <w:szCs w:val="20"/>
                </w:rPr>
                <w:tag w:val="MENDELEY_CITATION_v3_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"/>
                <w:id w:val="-465426596"/>
                <w:placeholder>
                  <w:docPart w:val="61EE6F65F266422092C91D0A0EF21CA8"/>
                </w:placeholder>
              </w:sdtPr>
              <w:sdtContent>
                <w:r w:rsidR="00B344CE" w:rsidRPr="00593724">
                  <w:rPr>
                    <w:rFonts w:ascii="Times New Roman" w:eastAsia="Calibri" w:hAnsi="Times New Roman" w:cs="Times New Roman"/>
                    <w:bCs/>
                    <w:iCs/>
                    <w:color w:val="000000"/>
                    <w:sz w:val="20"/>
                    <w:szCs w:val="20"/>
                  </w:rPr>
                  <w:t>Molnar (1979)</w:t>
                </w:r>
              </w:sdtContent>
            </w:sdt>
            <w:r w:rsidRPr="00593724">
              <w:rPr>
                <w:rFonts w:ascii="Times New Roman" w:eastAsia="Calibri" w:hAnsi="Times New Roman" w:cs="Times New Roman"/>
                <w:bCs/>
                <w:i/>
                <w:iCs/>
                <w:sz w:val="20"/>
                <w:szCs w:val="20"/>
              </w:rPr>
              <w:t>, but accounting for aseismic processes.</w:t>
            </w:r>
          </w:p>
          <w:p w14:paraId="5D1D84B4" w14:textId="0FA86ECB" w:rsidR="00F80E2D" w:rsidRPr="00593724" w:rsidRDefault="00F80E2D">
            <w:pPr>
              <w:pStyle w:val="ListParagraph"/>
              <w:ind w:left="0"/>
              <w:jc w:val="center"/>
              <w:rPr>
                <w:rFonts w:ascii="Times New Roman" w:hAnsi="Times New Roman" w:cs="Times New Roman"/>
                <w:bCs/>
                <w:i/>
                <w:iCs/>
                <w:sz w:val="20"/>
                <w:szCs w:val="20"/>
              </w:rPr>
            </w:pPr>
          </w:p>
        </w:tc>
        <w:tc>
          <w:tcPr>
            <w:tcW w:w="3854" w:type="dxa"/>
            <w:tcBorders>
              <w:right w:val="nil"/>
            </w:tcBorders>
            <w:vAlign w:val="center"/>
          </w:tcPr>
          <w:p w14:paraId="5078C7C1" w14:textId="77777777" w:rsidR="00E84A76" w:rsidRPr="00593724" w:rsidRDefault="006A665C">
            <w:pPr>
              <w:rPr>
                <w:rFonts w:ascii="Times New Roman" w:hAnsi="Times New Roman" w:cs="Times New Roman"/>
                <w:bCs/>
                <w:sz w:val="20"/>
                <w:szCs w:val="20"/>
              </w:rPr>
            </w:pPr>
            <m:oMath>
              <m:r>
                <w:rPr>
                  <w:rFonts w:ascii="Cambria Math" w:hAnsi="Cambria Math"/>
                  <w:sz w:val="20"/>
                  <w:szCs w:val="20"/>
                </w:rPr>
                <m:t>α</m:t>
              </m:r>
              <m:r>
                <m:rPr>
                  <m:lit/>
                  <m:nor/>
                </m:rPr>
                <w:rPr>
                  <w:sz w:val="20"/>
                  <w:szCs w:val="20"/>
                </w:rPr>
                <m:t>=</m:t>
              </m:r>
              <m:f>
                <m:fPr>
                  <m:type m:val="lin"/>
                  <m:ctrlPr>
                    <w:rPr>
                      <w:rFonts w:ascii="Cambria Math" w:hAnsi="Cambria Math"/>
                      <w:sz w:val="20"/>
                      <w:szCs w:val="20"/>
                    </w:rPr>
                  </m:ctrlPr>
                </m:fPr>
                <m:num>
                  <m:r>
                    <w:rPr>
                      <w:rFonts w:ascii="Cambria Math" w:hAnsi="Cambria Math"/>
                      <w:sz w:val="20"/>
                      <w:szCs w:val="20"/>
                    </w:rPr>
                    <m:t>χs</m:t>
                  </m:r>
                </m:num>
                <m:den>
                  <m:r>
                    <w:rPr>
                      <w:rFonts w:ascii="Cambria Math" w:hAnsi="Cambria Math"/>
                      <w:sz w:val="20"/>
                      <w:szCs w:val="20"/>
                    </w:rPr>
                    <m:t>(χs</m:t>
                  </m:r>
                  <m:r>
                    <m:rPr>
                      <m:lit/>
                      <m:nor/>
                    </m:rPr>
                    <w:rPr>
                      <w:sz w:val="20"/>
                      <w:szCs w:val="20"/>
                    </w:rPr>
                    <m:t>+</m:t>
                  </m:r>
                  <m:r>
                    <w:rPr>
                      <w:rFonts w:ascii="Cambria Math" w:hAnsi="Cambria Math"/>
                      <w:sz w:val="20"/>
                      <w:szCs w:val="20"/>
                    </w:rPr>
                    <m:t>χas</m:t>
                  </m:r>
                  <m:r>
                    <m:rPr>
                      <m:lit/>
                      <m:nor/>
                    </m:rPr>
                    <w:rPr>
                      <w:sz w:val="20"/>
                      <w:szCs w:val="20"/>
                    </w:rPr>
                    <m:t>+</m:t>
                  </m:r>
                  <m:r>
                    <w:rPr>
                      <w:rFonts w:ascii="Cambria Math" w:hAnsi="Cambria Math"/>
                      <w:sz w:val="20"/>
                      <w:szCs w:val="20"/>
                    </w:rPr>
                    <m:t>χSSE</m:t>
                  </m:r>
                </m:den>
              </m:f>
            </m:oMath>
            <w:r w:rsidRPr="00593724">
              <w:rPr>
                <w:rFonts w:ascii="Times New Roman" w:eastAsia="MS Mincho" w:hAnsi="Times New Roman" w:cs="Times New Roman"/>
                <w:bCs/>
                <w:sz w:val="20"/>
                <w:szCs w:val="20"/>
              </w:rPr>
              <w:t xml:space="preserve">), where </w:t>
            </w:r>
            <w:r w:rsidRPr="00593724">
              <w:rPr>
                <w:rFonts w:ascii="Times New Roman" w:eastAsia="MS Mincho" w:hAnsi="Times New Roman" w:cs="Times New Roman"/>
                <w:b/>
                <w:sz w:val="20"/>
                <w:szCs w:val="20"/>
              </w:rPr>
              <w:t>χs</w:t>
            </w:r>
            <w:r w:rsidRPr="00593724">
              <w:rPr>
                <w:rFonts w:ascii="Times New Roman" w:eastAsia="MS Mincho" w:hAnsi="Times New Roman" w:cs="Times New Roman"/>
                <w:bCs/>
                <w:sz w:val="20"/>
                <w:szCs w:val="20"/>
              </w:rPr>
              <w:t xml:space="preserve"> is the seismic coupling (ratio of cumulative seismic slip to long-term slip), </w:t>
            </w:r>
            <w:r w:rsidRPr="00593724">
              <w:rPr>
                <w:rFonts w:ascii="Times New Roman" w:eastAsia="MS Mincho" w:hAnsi="Times New Roman" w:cs="Times New Roman"/>
                <w:b/>
                <w:sz w:val="20"/>
                <w:szCs w:val="20"/>
              </w:rPr>
              <w:t>χas</w:t>
            </w:r>
            <w:r w:rsidRPr="00593724">
              <w:rPr>
                <w:rFonts w:ascii="Times New Roman" w:eastAsia="MS Mincho" w:hAnsi="Times New Roman" w:cs="Times New Roman"/>
                <w:bCs/>
                <w:sz w:val="20"/>
                <w:szCs w:val="20"/>
              </w:rPr>
              <w:t xml:space="preserve"> aseismic coupling due to afterslip, and </w:t>
            </w:r>
            <w:r w:rsidRPr="00593724">
              <w:rPr>
                <w:rFonts w:ascii="Times New Roman" w:eastAsia="MS Mincho" w:hAnsi="Times New Roman" w:cs="Times New Roman"/>
                <w:b/>
                <w:sz w:val="20"/>
                <w:szCs w:val="20"/>
              </w:rPr>
              <w:t>χSSE</w:t>
            </w:r>
            <w:r w:rsidRPr="00593724">
              <w:rPr>
                <w:rFonts w:ascii="Times New Roman" w:eastAsia="MS Mincho" w:hAnsi="Times New Roman" w:cs="Times New Roman"/>
                <w:bCs/>
                <w:sz w:val="20"/>
                <w:szCs w:val="20"/>
              </w:rPr>
              <w:t xml:space="preserve"> is the aseismic coupling due to SSE (ratio of cumulative aseismic SSEs to long-term slip).</w:t>
            </w:r>
          </w:p>
        </w:tc>
      </w:tr>
    </w:tbl>
    <w:p w14:paraId="2EF547FF" w14:textId="77777777" w:rsidR="00E84A76" w:rsidRPr="00593724" w:rsidRDefault="006A665C">
      <w:pPr>
        <w:rPr>
          <w:rFonts w:ascii="Times New Roman" w:hAnsi="Times New Roman" w:cs="Times New Roman"/>
          <w:bCs/>
          <w:i/>
          <w:iCs/>
          <w:sz w:val="20"/>
          <w:szCs w:val="20"/>
        </w:rPr>
        <w:sectPr w:rsidR="00E84A76" w:rsidRPr="00593724">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0" w:footer="0" w:gutter="0"/>
          <w:lnNumType w:countBy="1" w:distance="283" w:restart="continuous"/>
          <w:cols w:space="720"/>
          <w:formProt w:val="0"/>
          <w:docGrid w:linePitch="360"/>
        </w:sectPr>
      </w:pPr>
      <w:r w:rsidRPr="00593724">
        <w:rPr>
          <w:rFonts w:ascii="Times New Roman" w:hAnsi="Times New Roman" w:cs="Times New Roman"/>
          <w:bCs/>
          <w:i/>
          <w:iCs/>
          <w:sz w:val="20"/>
          <w:szCs w:val="20"/>
        </w:rPr>
        <w:t xml:space="preserve">* </w:t>
      </w:r>
      <w:r w:rsidRPr="00593724">
        <w:rPr>
          <w:rFonts w:ascii="Times New Roman" w:hAnsi="Times New Roman" w:cs="Times New Roman"/>
          <w:bCs/>
          <w:sz w:val="20"/>
          <w:szCs w:val="20"/>
        </w:rPr>
        <w:t xml:space="preserve">We used the average of both equations presented due to their similarity. </w:t>
      </w:r>
    </w:p>
    <w:p w14:paraId="12D7BC29" w14:textId="77777777" w:rsidR="00E84A76" w:rsidRPr="00593724" w:rsidRDefault="006A665C">
      <w:pPr>
        <w:spacing w:line="360" w:lineRule="auto"/>
        <w:rPr>
          <w:rFonts w:ascii="Times New Roman" w:eastAsia="Times New Roman" w:hAnsi="Times New Roman" w:cs="Times New Roman"/>
          <w:sz w:val="22"/>
          <w:szCs w:val="22"/>
        </w:rPr>
      </w:pPr>
      <w:r w:rsidRPr="00593724">
        <w:rPr>
          <w:rFonts w:ascii="Times New Roman" w:hAnsi="Times New Roman" w:cs="Times New Roman"/>
          <w:b/>
          <w:bCs/>
          <w:sz w:val="22"/>
          <w:szCs w:val="22"/>
        </w:rPr>
        <w:t>Table A2</w:t>
      </w:r>
      <w:r w:rsidRPr="00593724">
        <w:rPr>
          <w:rFonts w:ascii="Times New Roman" w:hAnsi="Times New Roman" w:cs="Times New Roman"/>
          <w:bCs/>
          <w:sz w:val="22"/>
          <w:szCs w:val="22"/>
        </w:rPr>
        <w:t>. Geometric and kinematic characteristics of the faults analyzed.</w:t>
      </w:r>
    </w:p>
    <w:tbl>
      <w:tblPr>
        <w:tblStyle w:val="TableGrid1"/>
        <w:tblW w:w="9412" w:type="dxa"/>
        <w:jc w:val="center"/>
        <w:tblLayout w:type="fixed"/>
        <w:tblLook w:val="04A0" w:firstRow="1" w:lastRow="0" w:firstColumn="1" w:lastColumn="0" w:noHBand="0" w:noVBand="1"/>
      </w:tblPr>
      <w:tblGrid>
        <w:gridCol w:w="988"/>
        <w:gridCol w:w="1134"/>
        <w:gridCol w:w="992"/>
        <w:gridCol w:w="1546"/>
        <w:gridCol w:w="1711"/>
        <w:gridCol w:w="851"/>
        <w:gridCol w:w="850"/>
        <w:gridCol w:w="570"/>
        <w:gridCol w:w="770"/>
      </w:tblGrid>
      <w:tr w:rsidR="00E84A76" w:rsidRPr="00593724" w14:paraId="2DC3D0AE" w14:textId="77777777">
        <w:trPr>
          <w:trHeight w:val="220"/>
          <w:jc w:val="center"/>
        </w:trPr>
        <w:tc>
          <w:tcPr>
            <w:tcW w:w="988" w:type="dxa"/>
            <w:vMerge w:val="restart"/>
          </w:tcPr>
          <w:p w14:paraId="795A1F0C"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Seismic Zone</w:t>
            </w:r>
          </w:p>
        </w:tc>
        <w:tc>
          <w:tcPr>
            <w:tcW w:w="1134" w:type="dxa"/>
            <w:vMerge w:val="restart"/>
          </w:tcPr>
          <w:p w14:paraId="11660B5E"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Fault</w:t>
            </w:r>
          </w:p>
        </w:tc>
        <w:tc>
          <w:tcPr>
            <w:tcW w:w="992" w:type="dxa"/>
            <w:vMerge w:val="restart"/>
          </w:tcPr>
          <w:p w14:paraId="12CEE04E"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Seismic Source</w:t>
            </w:r>
          </w:p>
        </w:tc>
        <w:tc>
          <w:tcPr>
            <w:tcW w:w="3257" w:type="dxa"/>
            <w:gridSpan w:val="2"/>
          </w:tcPr>
          <w:p w14:paraId="257FCAEF"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Slip rate (mm/yr)</w:t>
            </w:r>
          </w:p>
        </w:tc>
        <w:tc>
          <w:tcPr>
            <w:tcW w:w="851" w:type="dxa"/>
            <w:vMerge w:val="restart"/>
          </w:tcPr>
          <w:p w14:paraId="3298E7F3"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Length (km)</w:t>
            </w:r>
          </w:p>
        </w:tc>
        <w:tc>
          <w:tcPr>
            <w:tcW w:w="850" w:type="dxa"/>
            <w:vMerge w:val="restart"/>
          </w:tcPr>
          <w:p w14:paraId="2F0726CD"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Width (km)</w:t>
            </w:r>
          </w:p>
        </w:tc>
        <w:tc>
          <w:tcPr>
            <w:tcW w:w="570" w:type="dxa"/>
            <w:vMerge w:val="restart"/>
          </w:tcPr>
          <w:p w14:paraId="406851ED"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Dip (°)</w:t>
            </w:r>
          </w:p>
        </w:tc>
        <w:tc>
          <w:tcPr>
            <w:tcW w:w="770" w:type="dxa"/>
            <w:vMerge w:val="restart"/>
          </w:tcPr>
          <w:p w14:paraId="7D1BC790"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Rake (°)</w:t>
            </w:r>
          </w:p>
        </w:tc>
      </w:tr>
      <w:tr w:rsidR="00E84A76" w:rsidRPr="00593724" w14:paraId="6EBDF963" w14:textId="77777777">
        <w:trPr>
          <w:trHeight w:val="484"/>
          <w:jc w:val="center"/>
        </w:trPr>
        <w:tc>
          <w:tcPr>
            <w:tcW w:w="988" w:type="dxa"/>
            <w:vMerge/>
          </w:tcPr>
          <w:p w14:paraId="4C29764E" w14:textId="77777777" w:rsidR="00E84A76" w:rsidRPr="00593724" w:rsidRDefault="00E84A76">
            <w:pPr>
              <w:jc w:val="center"/>
              <w:rPr>
                <w:rFonts w:ascii="Times New Roman" w:hAnsi="Times New Roman" w:cs="Times New Roman"/>
                <w:b/>
                <w:bCs/>
                <w:sz w:val="20"/>
                <w:szCs w:val="20"/>
              </w:rPr>
            </w:pPr>
          </w:p>
        </w:tc>
        <w:tc>
          <w:tcPr>
            <w:tcW w:w="1134" w:type="dxa"/>
            <w:vMerge/>
          </w:tcPr>
          <w:p w14:paraId="6DAC7908" w14:textId="77777777" w:rsidR="00E84A76" w:rsidRPr="00593724" w:rsidRDefault="00E84A76">
            <w:pPr>
              <w:jc w:val="center"/>
              <w:rPr>
                <w:rFonts w:ascii="Times New Roman" w:hAnsi="Times New Roman" w:cs="Times New Roman"/>
                <w:b/>
                <w:bCs/>
                <w:sz w:val="20"/>
                <w:szCs w:val="20"/>
              </w:rPr>
            </w:pPr>
          </w:p>
        </w:tc>
        <w:tc>
          <w:tcPr>
            <w:tcW w:w="992" w:type="dxa"/>
            <w:vMerge/>
          </w:tcPr>
          <w:p w14:paraId="0CAC1AED" w14:textId="77777777" w:rsidR="00E84A76" w:rsidRPr="00593724" w:rsidRDefault="00E84A76">
            <w:pPr>
              <w:jc w:val="center"/>
              <w:rPr>
                <w:rFonts w:ascii="Times New Roman" w:hAnsi="Times New Roman" w:cs="Times New Roman"/>
                <w:b/>
                <w:bCs/>
                <w:sz w:val="20"/>
                <w:szCs w:val="20"/>
              </w:rPr>
            </w:pPr>
          </w:p>
        </w:tc>
        <w:tc>
          <w:tcPr>
            <w:tcW w:w="1546" w:type="dxa"/>
          </w:tcPr>
          <w:p w14:paraId="4191A2AE"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Garnier et al. (2022)</w:t>
            </w:r>
          </w:p>
        </w:tc>
        <w:tc>
          <w:tcPr>
            <w:tcW w:w="1711" w:type="dxa"/>
          </w:tcPr>
          <w:p w14:paraId="0B1AC9FA"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Maurer et al. (2025)</w:t>
            </w:r>
          </w:p>
        </w:tc>
        <w:tc>
          <w:tcPr>
            <w:tcW w:w="851" w:type="dxa"/>
            <w:vMerge/>
          </w:tcPr>
          <w:p w14:paraId="1DC32A5A" w14:textId="77777777" w:rsidR="00E84A76" w:rsidRPr="00593724" w:rsidRDefault="00E84A76">
            <w:pPr>
              <w:jc w:val="center"/>
              <w:rPr>
                <w:rFonts w:ascii="Times New Roman" w:hAnsi="Times New Roman" w:cs="Times New Roman"/>
                <w:b/>
                <w:bCs/>
                <w:sz w:val="20"/>
                <w:szCs w:val="20"/>
              </w:rPr>
            </w:pPr>
          </w:p>
        </w:tc>
        <w:tc>
          <w:tcPr>
            <w:tcW w:w="850" w:type="dxa"/>
            <w:vMerge/>
          </w:tcPr>
          <w:p w14:paraId="633C90D1" w14:textId="77777777" w:rsidR="00E84A76" w:rsidRPr="00593724" w:rsidRDefault="00E84A76">
            <w:pPr>
              <w:jc w:val="center"/>
              <w:rPr>
                <w:rFonts w:ascii="Times New Roman" w:hAnsi="Times New Roman" w:cs="Times New Roman"/>
                <w:b/>
                <w:bCs/>
                <w:sz w:val="20"/>
                <w:szCs w:val="20"/>
              </w:rPr>
            </w:pPr>
          </w:p>
        </w:tc>
        <w:tc>
          <w:tcPr>
            <w:tcW w:w="570" w:type="dxa"/>
            <w:vMerge/>
          </w:tcPr>
          <w:p w14:paraId="258C7EC4" w14:textId="77777777" w:rsidR="00E84A76" w:rsidRPr="00593724" w:rsidRDefault="00E84A76">
            <w:pPr>
              <w:jc w:val="center"/>
              <w:rPr>
                <w:rFonts w:ascii="Times New Roman" w:hAnsi="Times New Roman" w:cs="Times New Roman"/>
                <w:b/>
                <w:bCs/>
                <w:sz w:val="20"/>
                <w:szCs w:val="20"/>
              </w:rPr>
            </w:pPr>
          </w:p>
        </w:tc>
        <w:tc>
          <w:tcPr>
            <w:tcW w:w="770" w:type="dxa"/>
            <w:vMerge/>
          </w:tcPr>
          <w:p w14:paraId="19E7DAB4" w14:textId="77777777" w:rsidR="00E84A76" w:rsidRPr="00593724" w:rsidRDefault="00E84A76">
            <w:pPr>
              <w:jc w:val="center"/>
              <w:rPr>
                <w:rFonts w:ascii="Times New Roman" w:hAnsi="Times New Roman" w:cs="Times New Roman"/>
                <w:b/>
                <w:bCs/>
                <w:sz w:val="20"/>
                <w:szCs w:val="20"/>
              </w:rPr>
            </w:pPr>
          </w:p>
        </w:tc>
      </w:tr>
      <w:tr w:rsidR="00E84A76" w:rsidRPr="00593724" w14:paraId="135869C5" w14:textId="77777777">
        <w:trPr>
          <w:trHeight w:val="122"/>
          <w:jc w:val="center"/>
        </w:trPr>
        <w:tc>
          <w:tcPr>
            <w:tcW w:w="988" w:type="dxa"/>
            <w:vMerge w:val="restart"/>
          </w:tcPr>
          <w:p w14:paraId="09154E8B" w14:textId="77777777" w:rsidR="00E84A76" w:rsidRPr="00593724" w:rsidRDefault="00E84A76">
            <w:pPr>
              <w:jc w:val="center"/>
              <w:rPr>
                <w:rFonts w:ascii="Times New Roman" w:hAnsi="Times New Roman" w:cs="Times New Roman"/>
                <w:sz w:val="20"/>
                <w:szCs w:val="20"/>
              </w:rPr>
            </w:pPr>
          </w:p>
          <w:p w14:paraId="1172DC7A" w14:textId="77777777" w:rsidR="00E84A76" w:rsidRPr="00593724" w:rsidRDefault="006A665C">
            <w:pPr>
              <w:jc w:val="center"/>
              <w:rPr>
                <w:rFonts w:ascii="Times New Roman" w:hAnsi="Times New Roman" w:cs="Times New Roman"/>
                <w:sz w:val="20"/>
                <w:szCs w:val="20"/>
              </w:rPr>
            </w:pPr>
            <w:r w:rsidRPr="00593724">
              <w:rPr>
                <w:rFonts w:ascii="Times New Roman" w:eastAsia="Calibri" w:hAnsi="Times New Roman" w:cs="Times New Roman"/>
                <w:kern w:val="0"/>
                <w:sz w:val="20"/>
                <w:szCs w:val="20"/>
              </w:rPr>
              <w:t>Polochic-Motagua West</w:t>
            </w:r>
          </w:p>
          <w:p w14:paraId="7E80EDB6" w14:textId="77777777" w:rsidR="00E84A76" w:rsidRPr="00593724" w:rsidRDefault="006A665C">
            <w:pPr>
              <w:jc w:val="center"/>
              <w:rPr>
                <w:rFonts w:ascii="Times New Roman" w:hAnsi="Times New Roman" w:cs="Times New Roman"/>
                <w:sz w:val="20"/>
                <w:szCs w:val="20"/>
              </w:rPr>
            </w:pPr>
            <w:r w:rsidRPr="00593724">
              <w:rPr>
                <w:rFonts w:ascii="Times New Roman" w:eastAsia="Calibri" w:hAnsi="Times New Roman" w:cs="Times New Roman"/>
                <w:kern w:val="0"/>
                <w:sz w:val="20"/>
                <w:szCs w:val="20"/>
              </w:rPr>
              <w:t>(G6)</w:t>
            </w:r>
          </w:p>
        </w:tc>
        <w:tc>
          <w:tcPr>
            <w:tcW w:w="1134" w:type="dxa"/>
            <w:vMerge w:val="restart"/>
          </w:tcPr>
          <w:p w14:paraId="332C6491" w14:textId="77777777" w:rsidR="00E84A76" w:rsidRPr="00593724" w:rsidRDefault="006A665C">
            <w:pPr>
              <w:jc w:val="center"/>
              <w:rPr>
                <w:rFonts w:ascii="Times New Roman" w:hAnsi="Times New Roman" w:cs="Times New Roman"/>
                <w:sz w:val="20"/>
                <w:szCs w:val="20"/>
              </w:rPr>
            </w:pPr>
            <w:r w:rsidRPr="00593724">
              <w:rPr>
                <w:rFonts w:ascii="Times New Roman" w:eastAsia="Calibri" w:hAnsi="Times New Roman" w:cs="Times New Roman"/>
                <w:kern w:val="0"/>
                <w:sz w:val="20"/>
                <w:szCs w:val="20"/>
              </w:rPr>
              <w:t>Polochic</w:t>
            </w:r>
          </w:p>
        </w:tc>
        <w:tc>
          <w:tcPr>
            <w:tcW w:w="992" w:type="dxa"/>
          </w:tcPr>
          <w:p w14:paraId="491AD57C"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
                <w:bCs/>
                <w:kern w:val="0"/>
                <w:sz w:val="20"/>
                <w:szCs w:val="20"/>
              </w:rPr>
              <w:t>P01</w:t>
            </w:r>
          </w:p>
        </w:tc>
        <w:tc>
          <w:tcPr>
            <w:tcW w:w="1546" w:type="dxa"/>
          </w:tcPr>
          <w:p w14:paraId="257CC27A"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3.7</w:t>
            </w:r>
          </w:p>
        </w:tc>
        <w:tc>
          <w:tcPr>
            <w:tcW w:w="1711" w:type="dxa"/>
          </w:tcPr>
          <w:p w14:paraId="3E3D8049"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6.6</w:t>
            </w:r>
          </w:p>
        </w:tc>
        <w:tc>
          <w:tcPr>
            <w:tcW w:w="851" w:type="dxa"/>
          </w:tcPr>
          <w:p w14:paraId="586F52AD"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250</w:t>
            </w:r>
          </w:p>
        </w:tc>
        <w:tc>
          <w:tcPr>
            <w:tcW w:w="850" w:type="dxa"/>
          </w:tcPr>
          <w:p w14:paraId="41C38EBD"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20</w:t>
            </w:r>
          </w:p>
        </w:tc>
        <w:tc>
          <w:tcPr>
            <w:tcW w:w="570" w:type="dxa"/>
          </w:tcPr>
          <w:p w14:paraId="0647C4FA"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90</w:t>
            </w:r>
          </w:p>
        </w:tc>
        <w:tc>
          <w:tcPr>
            <w:tcW w:w="770" w:type="dxa"/>
          </w:tcPr>
          <w:p w14:paraId="0A5C55E8"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0</w:t>
            </w:r>
          </w:p>
        </w:tc>
      </w:tr>
      <w:tr w:rsidR="00E84A76" w:rsidRPr="00593724" w14:paraId="47C00407" w14:textId="77777777">
        <w:trPr>
          <w:trHeight w:val="122"/>
          <w:jc w:val="center"/>
        </w:trPr>
        <w:tc>
          <w:tcPr>
            <w:tcW w:w="988" w:type="dxa"/>
            <w:vMerge/>
          </w:tcPr>
          <w:p w14:paraId="41DE5ECB" w14:textId="77777777" w:rsidR="00E84A76" w:rsidRPr="00593724" w:rsidRDefault="00E84A76">
            <w:pPr>
              <w:jc w:val="center"/>
              <w:rPr>
                <w:rFonts w:ascii="Times New Roman" w:hAnsi="Times New Roman" w:cs="Times New Roman"/>
                <w:sz w:val="20"/>
                <w:szCs w:val="20"/>
              </w:rPr>
            </w:pPr>
          </w:p>
        </w:tc>
        <w:tc>
          <w:tcPr>
            <w:tcW w:w="1134" w:type="dxa"/>
            <w:vMerge/>
          </w:tcPr>
          <w:p w14:paraId="0AE75C61" w14:textId="77777777" w:rsidR="00E84A76" w:rsidRPr="00593724" w:rsidRDefault="00E84A76">
            <w:pPr>
              <w:jc w:val="center"/>
              <w:rPr>
                <w:rFonts w:ascii="Times New Roman" w:hAnsi="Times New Roman" w:cs="Times New Roman"/>
                <w:sz w:val="20"/>
                <w:szCs w:val="20"/>
              </w:rPr>
            </w:pPr>
          </w:p>
        </w:tc>
        <w:tc>
          <w:tcPr>
            <w:tcW w:w="992" w:type="dxa"/>
          </w:tcPr>
          <w:p w14:paraId="68CFA56A"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
                <w:bCs/>
                <w:kern w:val="0"/>
                <w:sz w:val="20"/>
                <w:szCs w:val="20"/>
              </w:rPr>
              <w:t>P02</w:t>
            </w:r>
          </w:p>
        </w:tc>
        <w:tc>
          <w:tcPr>
            <w:tcW w:w="1546" w:type="dxa"/>
          </w:tcPr>
          <w:p w14:paraId="0109CBD9"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3.7</w:t>
            </w:r>
          </w:p>
        </w:tc>
        <w:tc>
          <w:tcPr>
            <w:tcW w:w="1711" w:type="dxa"/>
          </w:tcPr>
          <w:p w14:paraId="6FDDEC5E"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3.0</w:t>
            </w:r>
          </w:p>
        </w:tc>
        <w:tc>
          <w:tcPr>
            <w:tcW w:w="851" w:type="dxa"/>
          </w:tcPr>
          <w:p w14:paraId="2FC1B641"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190</w:t>
            </w:r>
          </w:p>
        </w:tc>
        <w:tc>
          <w:tcPr>
            <w:tcW w:w="850" w:type="dxa"/>
          </w:tcPr>
          <w:p w14:paraId="3579B467"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20</w:t>
            </w:r>
          </w:p>
        </w:tc>
        <w:tc>
          <w:tcPr>
            <w:tcW w:w="570" w:type="dxa"/>
          </w:tcPr>
          <w:p w14:paraId="190AB6A0"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lang w:val="es-CR"/>
              </w:rPr>
              <w:t>90</w:t>
            </w:r>
          </w:p>
        </w:tc>
        <w:tc>
          <w:tcPr>
            <w:tcW w:w="770" w:type="dxa"/>
          </w:tcPr>
          <w:p w14:paraId="4B0CDE7B"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0</w:t>
            </w:r>
          </w:p>
        </w:tc>
      </w:tr>
      <w:tr w:rsidR="00E84A76" w:rsidRPr="00593724" w14:paraId="3FFC0BAE" w14:textId="77777777">
        <w:trPr>
          <w:trHeight w:val="159"/>
          <w:jc w:val="center"/>
        </w:trPr>
        <w:tc>
          <w:tcPr>
            <w:tcW w:w="988" w:type="dxa"/>
            <w:vMerge/>
          </w:tcPr>
          <w:p w14:paraId="2C67573D" w14:textId="77777777" w:rsidR="00E84A76" w:rsidRPr="00593724" w:rsidRDefault="00E84A76">
            <w:pPr>
              <w:jc w:val="center"/>
              <w:rPr>
                <w:rFonts w:ascii="Times New Roman" w:hAnsi="Times New Roman" w:cs="Times New Roman"/>
                <w:sz w:val="20"/>
                <w:szCs w:val="20"/>
              </w:rPr>
            </w:pPr>
          </w:p>
        </w:tc>
        <w:tc>
          <w:tcPr>
            <w:tcW w:w="1134" w:type="dxa"/>
            <w:vMerge w:val="restart"/>
          </w:tcPr>
          <w:p w14:paraId="138A78B5" w14:textId="77777777" w:rsidR="00E84A76" w:rsidRPr="00593724" w:rsidRDefault="00E84A76">
            <w:pPr>
              <w:jc w:val="center"/>
              <w:rPr>
                <w:rFonts w:ascii="Times New Roman" w:hAnsi="Times New Roman" w:cs="Times New Roman"/>
                <w:sz w:val="20"/>
                <w:szCs w:val="20"/>
              </w:rPr>
            </w:pPr>
          </w:p>
          <w:p w14:paraId="42457E69" w14:textId="77777777" w:rsidR="00E84A76" w:rsidRPr="00593724" w:rsidRDefault="006A665C">
            <w:pPr>
              <w:jc w:val="center"/>
              <w:rPr>
                <w:rFonts w:ascii="Times New Roman" w:hAnsi="Times New Roman" w:cs="Times New Roman"/>
                <w:sz w:val="20"/>
                <w:szCs w:val="20"/>
              </w:rPr>
            </w:pPr>
            <w:r w:rsidRPr="00593724">
              <w:rPr>
                <w:rFonts w:ascii="Times New Roman" w:eastAsia="Calibri" w:hAnsi="Times New Roman" w:cs="Times New Roman"/>
                <w:kern w:val="0"/>
                <w:sz w:val="20"/>
                <w:szCs w:val="20"/>
              </w:rPr>
              <w:t>Motagua</w:t>
            </w:r>
          </w:p>
        </w:tc>
        <w:tc>
          <w:tcPr>
            <w:tcW w:w="992" w:type="dxa"/>
          </w:tcPr>
          <w:p w14:paraId="7F0F66FF"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
                <w:bCs/>
                <w:kern w:val="0"/>
                <w:sz w:val="20"/>
                <w:szCs w:val="20"/>
              </w:rPr>
              <w:t>M01</w:t>
            </w:r>
          </w:p>
        </w:tc>
        <w:tc>
          <w:tcPr>
            <w:tcW w:w="1546" w:type="dxa"/>
          </w:tcPr>
          <w:p w14:paraId="0CEF3136"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5.1</w:t>
            </w:r>
          </w:p>
        </w:tc>
        <w:tc>
          <w:tcPr>
            <w:tcW w:w="1711" w:type="dxa"/>
          </w:tcPr>
          <w:p w14:paraId="4F3F9FBC"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3.0</w:t>
            </w:r>
          </w:p>
        </w:tc>
        <w:tc>
          <w:tcPr>
            <w:tcW w:w="851" w:type="dxa"/>
          </w:tcPr>
          <w:p w14:paraId="56DFD533"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170</w:t>
            </w:r>
          </w:p>
        </w:tc>
        <w:tc>
          <w:tcPr>
            <w:tcW w:w="850" w:type="dxa"/>
          </w:tcPr>
          <w:p w14:paraId="6402E090"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20</w:t>
            </w:r>
          </w:p>
        </w:tc>
        <w:tc>
          <w:tcPr>
            <w:tcW w:w="570" w:type="dxa"/>
          </w:tcPr>
          <w:p w14:paraId="5D6DE8C0"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lang w:val="es-CR"/>
              </w:rPr>
              <w:t>90</w:t>
            </w:r>
          </w:p>
        </w:tc>
        <w:tc>
          <w:tcPr>
            <w:tcW w:w="770" w:type="dxa"/>
          </w:tcPr>
          <w:p w14:paraId="5C86F1ED"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0</w:t>
            </w:r>
          </w:p>
        </w:tc>
      </w:tr>
      <w:tr w:rsidR="00E84A76" w:rsidRPr="00593724" w14:paraId="341F66F6" w14:textId="77777777">
        <w:trPr>
          <w:trHeight w:val="122"/>
          <w:jc w:val="center"/>
        </w:trPr>
        <w:tc>
          <w:tcPr>
            <w:tcW w:w="988" w:type="dxa"/>
            <w:vMerge/>
          </w:tcPr>
          <w:p w14:paraId="4358F258" w14:textId="77777777" w:rsidR="00E84A76" w:rsidRPr="00593724" w:rsidRDefault="00E84A76">
            <w:pPr>
              <w:jc w:val="center"/>
              <w:rPr>
                <w:rFonts w:ascii="Times New Roman" w:hAnsi="Times New Roman" w:cs="Times New Roman"/>
                <w:sz w:val="20"/>
                <w:szCs w:val="20"/>
              </w:rPr>
            </w:pPr>
          </w:p>
        </w:tc>
        <w:tc>
          <w:tcPr>
            <w:tcW w:w="1134" w:type="dxa"/>
            <w:vMerge/>
          </w:tcPr>
          <w:p w14:paraId="4655F588" w14:textId="77777777" w:rsidR="00E84A76" w:rsidRPr="00593724" w:rsidRDefault="00E84A76">
            <w:pPr>
              <w:jc w:val="center"/>
              <w:rPr>
                <w:rFonts w:ascii="Times New Roman" w:hAnsi="Times New Roman" w:cs="Times New Roman"/>
                <w:sz w:val="20"/>
                <w:szCs w:val="20"/>
              </w:rPr>
            </w:pPr>
          </w:p>
        </w:tc>
        <w:tc>
          <w:tcPr>
            <w:tcW w:w="992" w:type="dxa"/>
          </w:tcPr>
          <w:p w14:paraId="6AB93AE5"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M02</w:t>
            </w:r>
          </w:p>
        </w:tc>
        <w:tc>
          <w:tcPr>
            <w:tcW w:w="1546" w:type="dxa"/>
          </w:tcPr>
          <w:p w14:paraId="5F1550E3"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11.9</w:t>
            </w:r>
          </w:p>
        </w:tc>
        <w:tc>
          <w:tcPr>
            <w:tcW w:w="1711" w:type="dxa"/>
          </w:tcPr>
          <w:p w14:paraId="4FCCEB4E"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8.8</w:t>
            </w:r>
          </w:p>
        </w:tc>
        <w:tc>
          <w:tcPr>
            <w:tcW w:w="851" w:type="dxa"/>
          </w:tcPr>
          <w:p w14:paraId="036BFD2F"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140</w:t>
            </w:r>
          </w:p>
        </w:tc>
        <w:tc>
          <w:tcPr>
            <w:tcW w:w="850" w:type="dxa"/>
          </w:tcPr>
          <w:p w14:paraId="60DCB27D"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20</w:t>
            </w:r>
          </w:p>
        </w:tc>
        <w:tc>
          <w:tcPr>
            <w:tcW w:w="570" w:type="dxa"/>
          </w:tcPr>
          <w:p w14:paraId="0DB84B04" w14:textId="77777777" w:rsidR="00E84A76" w:rsidRPr="00593724" w:rsidRDefault="006A665C">
            <w:pPr>
              <w:jc w:val="center"/>
              <w:rPr>
                <w:rFonts w:ascii="Times New Roman" w:hAnsi="Times New Roman" w:cs="Times New Roman"/>
                <w:bCs/>
                <w:sz w:val="20"/>
                <w:szCs w:val="20"/>
                <w:lang w:val="es-CR"/>
              </w:rPr>
            </w:pPr>
            <w:r w:rsidRPr="00593724">
              <w:rPr>
                <w:rFonts w:ascii="Times New Roman" w:eastAsia="Calibri" w:hAnsi="Times New Roman" w:cs="Times New Roman"/>
                <w:bCs/>
                <w:kern w:val="0"/>
                <w:sz w:val="20"/>
                <w:szCs w:val="20"/>
              </w:rPr>
              <w:t>90</w:t>
            </w:r>
          </w:p>
        </w:tc>
        <w:tc>
          <w:tcPr>
            <w:tcW w:w="770" w:type="dxa"/>
          </w:tcPr>
          <w:p w14:paraId="7222979D"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0</w:t>
            </w:r>
          </w:p>
        </w:tc>
      </w:tr>
      <w:tr w:rsidR="00E84A76" w:rsidRPr="00593724" w14:paraId="6454FD31" w14:textId="77777777">
        <w:trPr>
          <w:trHeight w:val="122"/>
          <w:jc w:val="center"/>
        </w:trPr>
        <w:tc>
          <w:tcPr>
            <w:tcW w:w="988" w:type="dxa"/>
            <w:vMerge/>
          </w:tcPr>
          <w:p w14:paraId="33BDA7D6" w14:textId="77777777" w:rsidR="00E84A76" w:rsidRPr="00593724" w:rsidRDefault="00E84A76">
            <w:pPr>
              <w:jc w:val="center"/>
              <w:rPr>
                <w:rFonts w:ascii="Times New Roman" w:hAnsi="Times New Roman" w:cs="Times New Roman"/>
                <w:sz w:val="20"/>
                <w:szCs w:val="20"/>
              </w:rPr>
            </w:pPr>
          </w:p>
        </w:tc>
        <w:tc>
          <w:tcPr>
            <w:tcW w:w="1134" w:type="dxa"/>
            <w:vMerge/>
          </w:tcPr>
          <w:p w14:paraId="0DDC86A0" w14:textId="77777777" w:rsidR="00E84A76" w:rsidRPr="00593724" w:rsidRDefault="00E84A76">
            <w:pPr>
              <w:jc w:val="center"/>
              <w:rPr>
                <w:rFonts w:ascii="Times New Roman" w:hAnsi="Times New Roman" w:cs="Times New Roman"/>
                <w:sz w:val="20"/>
                <w:szCs w:val="20"/>
              </w:rPr>
            </w:pPr>
          </w:p>
        </w:tc>
        <w:tc>
          <w:tcPr>
            <w:tcW w:w="992" w:type="dxa"/>
          </w:tcPr>
          <w:p w14:paraId="60255F58"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M03</w:t>
            </w:r>
          </w:p>
        </w:tc>
        <w:tc>
          <w:tcPr>
            <w:tcW w:w="1546" w:type="dxa"/>
          </w:tcPr>
          <w:p w14:paraId="14C7AE27"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13.9</w:t>
            </w:r>
          </w:p>
        </w:tc>
        <w:tc>
          <w:tcPr>
            <w:tcW w:w="1711" w:type="dxa"/>
          </w:tcPr>
          <w:p w14:paraId="4B70D952"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9.7</w:t>
            </w:r>
          </w:p>
        </w:tc>
        <w:tc>
          <w:tcPr>
            <w:tcW w:w="851" w:type="dxa"/>
          </w:tcPr>
          <w:p w14:paraId="434DFFBF"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85</w:t>
            </w:r>
          </w:p>
        </w:tc>
        <w:tc>
          <w:tcPr>
            <w:tcW w:w="850" w:type="dxa"/>
          </w:tcPr>
          <w:p w14:paraId="22591DE0"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20</w:t>
            </w:r>
          </w:p>
        </w:tc>
        <w:tc>
          <w:tcPr>
            <w:tcW w:w="570" w:type="dxa"/>
          </w:tcPr>
          <w:p w14:paraId="4FDBEBE5" w14:textId="77777777" w:rsidR="00E84A76" w:rsidRPr="00593724" w:rsidRDefault="006A665C">
            <w:pPr>
              <w:jc w:val="center"/>
              <w:rPr>
                <w:rFonts w:ascii="Times New Roman" w:hAnsi="Times New Roman" w:cs="Times New Roman"/>
                <w:bCs/>
                <w:sz w:val="20"/>
                <w:szCs w:val="20"/>
                <w:lang w:val="es-CR"/>
              </w:rPr>
            </w:pPr>
            <w:r w:rsidRPr="00593724">
              <w:rPr>
                <w:rFonts w:ascii="Times New Roman" w:eastAsia="Calibri" w:hAnsi="Times New Roman" w:cs="Times New Roman"/>
                <w:bCs/>
                <w:kern w:val="0"/>
                <w:sz w:val="20"/>
                <w:szCs w:val="20"/>
                <w:lang w:val="es-CR"/>
              </w:rPr>
              <w:t>90</w:t>
            </w:r>
          </w:p>
        </w:tc>
        <w:tc>
          <w:tcPr>
            <w:tcW w:w="770" w:type="dxa"/>
          </w:tcPr>
          <w:p w14:paraId="42F5A202"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0</w:t>
            </w:r>
          </w:p>
        </w:tc>
      </w:tr>
      <w:tr w:rsidR="00E84A76" w:rsidRPr="00593724" w14:paraId="4C1B8408" w14:textId="77777777">
        <w:trPr>
          <w:trHeight w:val="246"/>
          <w:jc w:val="center"/>
        </w:trPr>
        <w:tc>
          <w:tcPr>
            <w:tcW w:w="988" w:type="dxa"/>
            <w:vMerge/>
          </w:tcPr>
          <w:p w14:paraId="2B82322B" w14:textId="77777777" w:rsidR="00E84A76" w:rsidRPr="00593724" w:rsidRDefault="00E84A76">
            <w:pPr>
              <w:jc w:val="center"/>
              <w:rPr>
                <w:rFonts w:ascii="Times New Roman" w:hAnsi="Times New Roman" w:cs="Times New Roman"/>
                <w:sz w:val="20"/>
                <w:szCs w:val="20"/>
              </w:rPr>
            </w:pPr>
          </w:p>
        </w:tc>
        <w:tc>
          <w:tcPr>
            <w:tcW w:w="1134" w:type="dxa"/>
            <w:vMerge/>
          </w:tcPr>
          <w:p w14:paraId="3CCB6EA4" w14:textId="77777777" w:rsidR="00E84A76" w:rsidRPr="00593724" w:rsidRDefault="00E84A76">
            <w:pPr>
              <w:jc w:val="center"/>
              <w:rPr>
                <w:rFonts w:ascii="Times New Roman" w:hAnsi="Times New Roman" w:cs="Times New Roman"/>
                <w:sz w:val="20"/>
                <w:szCs w:val="20"/>
              </w:rPr>
            </w:pPr>
          </w:p>
        </w:tc>
        <w:tc>
          <w:tcPr>
            <w:tcW w:w="992" w:type="dxa"/>
          </w:tcPr>
          <w:p w14:paraId="63606D4E"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M04</w:t>
            </w:r>
          </w:p>
        </w:tc>
        <w:tc>
          <w:tcPr>
            <w:tcW w:w="1546" w:type="dxa"/>
          </w:tcPr>
          <w:p w14:paraId="054E407A"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16.2</w:t>
            </w:r>
          </w:p>
        </w:tc>
        <w:tc>
          <w:tcPr>
            <w:tcW w:w="1711" w:type="dxa"/>
          </w:tcPr>
          <w:p w14:paraId="260C3474"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9.0</w:t>
            </w:r>
          </w:p>
        </w:tc>
        <w:tc>
          <w:tcPr>
            <w:tcW w:w="851" w:type="dxa"/>
          </w:tcPr>
          <w:p w14:paraId="3D451F75"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100</w:t>
            </w:r>
          </w:p>
        </w:tc>
        <w:tc>
          <w:tcPr>
            <w:tcW w:w="850" w:type="dxa"/>
          </w:tcPr>
          <w:p w14:paraId="1FD492C3"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20</w:t>
            </w:r>
          </w:p>
        </w:tc>
        <w:tc>
          <w:tcPr>
            <w:tcW w:w="570" w:type="dxa"/>
          </w:tcPr>
          <w:p w14:paraId="390F12B7" w14:textId="77777777" w:rsidR="00E84A76" w:rsidRPr="00593724" w:rsidRDefault="006A665C">
            <w:pPr>
              <w:jc w:val="center"/>
              <w:rPr>
                <w:rFonts w:ascii="Times New Roman" w:hAnsi="Times New Roman" w:cs="Times New Roman"/>
                <w:bCs/>
                <w:sz w:val="20"/>
                <w:szCs w:val="20"/>
                <w:lang w:val="es-CR"/>
              </w:rPr>
            </w:pPr>
            <w:r w:rsidRPr="00593724">
              <w:rPr>
                <w:rFonts w:ascii="Times New Roman" w:eastAsia="Calibri" w:hAnsi="Times New Roman" w:cs="Times New Roman"/>
                <w:bCs/>
                <w:kern w:val="0"/>
                <w:sz w:val="20"/>
                <w:szCs w:val="20"/>
                <w:lang w:val="es-CR"/>
              </w:rPr>
              <w:t>90</w:t>
            </w:r>
          </w:p>
        </w:tc>
        <w:tc>
          <w:tcPr>
            <w:tcW w:w="770" w:type="dxa"/>
          </w:tcPr>
          <w:p w14:paraId="124DC216"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0</w:t>
            </w:r>
          </w:p>
        </w:tc>
      </w:tr>
      <w:tr w:rsidR="00E84A76" w:rsidRPr="00593724" w14:paraId="40A523B5" w14:textId="77777777">
        <w:trPr>
          <w:trHeight w:val="122"/>
          <w:jc w:val="center"/>
        </w:trPr>
        <w:tc>
          <w:tcPr>
            <w:tcW w:w="988" w:type="dxa"/>
            <w:vMerge w:val="restart"/>
          </w:tcPr>
          <w:p w14:paraId="56A51008" w14:textId="77777777" w:rsidR="00E84A76" w:rsidRPr="00593724" w:rsidRDefault="006A665C">
            <w:pPr>
              <w:jc w:val="center"/>
              <w:rPr>
                <w:rFonts w:ascii="Times New Roman" w:hAnsi="Times New Roman" w:cs="Times New Roman"/>
                <w:sz w:val="20"/>
                <w:szCs w:val="20"/>
              </w:rPr>
            </w:pPr>
            <w:r w:rsidRPr="00593724">
              <w:rPr>
                <w:rFonts w:ascii="Times New Roman" w:eastAsia="Calibri" w:hAnsi="Times New Roman" w:cs="Times New Roman"/>
                <w:kern w:val="0"/>
                <w:sz w:val="20"/>
                <w:szCs w:val="20"/>
              </w:rPr>
              <w:t>Volcanic Arc East (G4)</w:t>
            </w:r>
          </w:p>
        </w:tc>
        <w:tc>
          <w:tcPr>
            <w:tcW w:w="1134" w:type="dxa"/>
            <w:vMerge w:val="restart"/>
          </w:tcPr>
          <w:p w14:paraId="1564D6AE" w14:textId="77777777" w:rsidR="00E84A76" w:rsidRPr="00593724" w:rsidRDefault="00E84A76">
            <w:pPr>
              <w:jc w:val="center"/>
              <w:rPr>
                <w:rFonts w:ascii="Times New Roman" w:hAnsi="Times New Roman" w:cs="Times New Roman"/>
                <w:sz w:val="20"/>
                <w:szCs w:val="20"/>
              </w:rPr>
            </w:pPr>
          </w:p>
          <w:p w14:paraId="588C8788" w14:textId="77777777" w:rsidR="00E84A76" w:rsidRPr="00593724" w:rsidRDefault="006A665C">
            <w:pPr>
              <w:jc w:val="center"/>
              <w:rPr>
                <w:rFonts w:ascii="Times New Roman" w:hAnsi="Times New Roman" w:cs="Times New Roman"/>
                <w:sz w:val="20"/>
                <w:szCs w:val="20"/>
              </w:rPr>
            </w:pPr>
            <w:r w:rsidRPr="00593724">
              <w:rPr>
                <w:rFonts w:ascii="Times New Roman" w:eastAsia="Calibri" w:hAnsi="Times New Roman" w:cs="Times New Roman"/>
                <w:kern w:val="0"/>
                <w:sz w:val="20"/>
                <w:szCs w:val="20"/>
              </w:rPr>
              <w:t>Jalpatagua</w:t>
            </w:r>
          </w:p>
        </w:tc>
        <w:tc>
          <w:tcPr>
            <w:tcW w:w="992" w:type="dxa"/>
          </w:tcPr>
          <w:p w14:paraId="223860B2"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J01</w:t>
            </w:r>
          </w:p>
        </w:tc>
        <w:tc>
          <w:tcPr>
            <w:tcW w:w="1546" w:type="dxa"/>
          </w:tcPr>
          <w:p w14:paraId="67E262E8"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3.0</w:t>
            </w:r>
          </w:p>
        </w:tc>
        <w:tc>
          <w:tcPr>
            <w:tcW w:w="1711" w:type="dxa"/>
          </w:tcPr>
          <w:p w14:paraId="72F93ABD"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4.4</w:t>
            </w:r>
          </w:p>
        </w:tc>
        <w:tc>
          <w:tcPr>
            <w:tcW w:w="851" w:type="dxa"/>
          </w:tcPr>
          <w:p w14:paraId="5E4F6A68"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45</w:t>
            </w:r>
          </w:p>
        </w:tc>
        <w:tc>
          <w:tcPr>
            <w:tcW w:w="850" w:type="dxa"/>
          </w:tcPr>
          <w:p w14:paraId="27B1FA77"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20</w:t>
            </w:r>
          </w:p>
        </w:tc>
        <w:tc>
          <w:tcPr>
            <w:tcW w:w="570" w:type="dxa"/>
          </w:tcPr>
          <w:p w14:paraId="71E2632C" w14:textId="77777777" w:rsidR="00E84A76" w:rsidRPr="00593724" w:rsidRDefault="006A665C">
            <w:pPr>
              <w:jc w:val="center"/>
              <w:rPr>
                <w:rFonts w:ascii="Times New Roman" w:hAnsi="Times New Roman" w:cs="Times New Roman"/>
                <w:bCs/>
                <w:sz w:val="20"/>
                <w:szCs w:val="20"/>
                <w:lang w:val="es-CR"/>
              </w:rPr>
            </w:pPr>
            <w:r w:rsidRPr="00593724">
              <w:rPr>
                <w:rFonts w:ascii="Times New Roman" w:eastAsia="Calibri" w:hAnsi="Times New Roman" w:cs="Times New Roman"/>
                <w:bCs/>
                <w:kern w:val="0"/>
                <w:sz w:val="20"/>
                <w:szCs w:val="20"/>
                <w:lang w:val="es-CR"/>
              </w:rPr>
              <w:t>90</w:t>
            </w:r>
          </w:p>
        </w:tc>
        <w:tc>
          <w:tcPr>
            <w:tcW w:w="770" w:type="dxa"/>
          </w:tcPr>
          <w:p w14:paraId="150374D1"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0</w:t>
            </w:r>
          </w:p>
        </w:tc>
      </w:tr>
      <w:tr w:rsidR="00E84A76" w:rsidRPr="00593724" w14:paraId="46D94D5B" w14:textId="77777777">
        <w:trPr>
          <w:trHeight w:val="122"/>
          <w:jc w:val="center"/>
        </w:trPr>
        <w:tc>
          <w:tcPr>
            <w:tcW w:w="988" w:type="dxa"/>
            <w:vMerge/>
          </w:tcPr>
          <w:p w14:paraId="1A57AFEC" w14:textId="77777777" w:rsidR="00E84A76" w:rsidRPr="00593724" w:rsidRDefault="00E84A76">
            <w:pPr>
              <w:jc w:val="center"/>
              <w:rPr>
                <w:rFonts w:ascii="Times New Roman" w:hAnsi="Times New Roman" w:cs="Times New Roman"/>
                <w:b/>
                <w:bCs/>
                <w:sz w:val="20"/>
                <w:szCs w:val="20"/>
              </w:rPr>
            </w:pPr>
          </w:p>
        </w:tc>
        <w:tc>
          <w:tcPr>
            <w:tcW w:w="1134" w:type="dxa"/>
            <w:vMerge/>
          </w:tcPr>
          <w:p w14:paraId="3104AA0E" w14:textId="77777777" w:rsidR="00E84A76" w:rsidRPr="00593724" w:rsidRDefault="00E84A76">
            <w:pPr>
              <w:jc w:val="center"/>
              <w:rPr>
                <w:rFonts w:ascii="Times New Roman" w:hAnsi="Times New Roman" w:cs="Times New Roman"/>
                <w:b/>
                <w:bCs/>
                <w:sz w:val="20"/>
                <w:szCs w:val="20"/>
              </w:rPr>
            </w:pPr>
          </w:p>
        </w:tc>
        <w:tc>
          <w:tcPr>
            <w:tcW w:w="992" w:type="dxa"/>
          </w:tcPr>
          <w:p w14:paraId="1AFCB334"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J02</w:t>
            </w:r>
          </w:p>
        </w:tc>
        <w:tc>
          <w:tcPr>
            <w:tcW w:w="1546" w:type="dxa"/>
          </w:tcPr>
          <w:p w14:paraId="6B739CBE"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5.5</w:t>
            </w:r>
          </w:p>
        </w:tc>
        <w:tc>
          <w:tcPr>
            <w:tcW w:w="1711" w:type="dxa"/>
          </w:tcPr>
          <w:p w14:paraId="4D511078"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7.3</w:t>
            </w:r>
          </w:p>
        </w:tc>
        <w:tc>
          <w:tcPr>
            <w:tcW w:w="851" w:type="dxa"/>
          </w:tcPr>
          <w:p w14:paraId="39F1B7B7"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50</w:t>
            </w:r>
          </w:p>
        </w:tc>
        <w:tc>
          <w:tcPr>
            <w:tcW w:w="850" w:type="dxa"/>
          </w:tcPr>
          <w:p w14:paraId="0921C572"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20</w:t>
            </w:r>
          </w:p>
        </w:tc>
        <w:tc>
          <w:tcPr>
            <w:tcW w:w="570" w:type="dxa"/>
          </w:tcPr>
          <w:p w14:paraId="6FA05158" w14:textId="77777777" w:rsidR="00E84A76" w:rsidRPr="00593724" w:rsidRDefault="006A665C">
            <w:pPr>
              <w:jc w:val="center"/>
              <w:rPr>
                <w:rFonts w:ascii="Times New Roman" w:hAnsi="Times New Roman" w:cs="Times New Roman"/>
                <w:bCs/>
                <w:sz w:val="20"/>
                <w:szCs w:val="20"/>
                <w:lang w:val="es-CR"/>
              </w:rPr>
            </w:pPr>
            <w:r w:rsidRPr="00593724">
              <w:rPr>
                <w:rFonts w:ascii="Times New Roman" w:eastAsia="Calibri" w:hAnsi="Times New Roman" w:cs="Times New Roman"/>
                <w:bCs/>
                <w:kern w:val="0"/>
                <w:sz w:val="20"/>
                <w:szCs w:val="20"/>
                <w:lang w:val="es-CR"/>
              </w:rPr>
              <w:t>90</w:t>
            </w:r>
          </w:p>
        </w:tc>
        <w:tc>
          <w:tcPr>
            <w:tcW w:w="770" w:type="dxa"/>
          </w:tcPr>
          <w:p w14:paraId="745DA03E"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0</w:t>
            </w:r>
          </w:p>
        </w:tc>
      </w:tr>
      <w:tr w:rsidR="00E84A76" w:rsidRPr="00593724" w14:paraId="446DD882" w14:textId="77777777">
        <w:trPr>
          <w:trHeight w:val="223"/>
          <w:jc w:val="center"/>
        </w:trPr>
        <w:tc>
          <w:tcPr>
            <w:tcW w:w="988" w:type="dxa"/>
            <w:vMerge/>
          </w:tcPr>
          <w:p w14:paraId="19796604" w14:textId="77777777" w:rsidR="00E84A76" w:rsidRPr="00593724" w:rsidRDefault="00E84A76">
            <w:pPr>
              <w:jc w:val="center"/>
              <w:rPr>
                <w:rFonts w:ascii="Times New Roman" w:hAnsi="Times New Roman" w:cs="Times New Roman"/>
                <w:b/>
                <w:bCs/>
                <w:sz w:val="20"/>
                <w:szCs w:val="20"/>
              </w:rPr>
            </w:pPr>
          </w:p>
        </w:tc>
        <w:tc>
          <w:tcPr>
            <w:tcW w:w="1134" w:type="dxa"/>
            <w:vMerge/>
          </w:tcPr>
          <w:p w14:paraId="614B65A4" w14:textId="77777777" w:rsidR="00E84A76" w:rsidRPr="00593724" w:rsidRDefault="00E84A76">
            <w:pPr>
              <w:jc w:val="center"/>
              <w:rPr>
                <w:rFonts w:ascii="Times New Roman" w:hAnsi="Times New Roman" w:cs="Times New Roman"/>
                <w:b/>
                <w:bCs/>
                <w:sz w:val="20"/>
                <w:szCs w:val="20"/>
              </w:rPr>
            </w:pPr>
          </w:p>
        </w:tc>
        <w:tc>
          <w:tcPr>
            <w:tcW w:w="992" w:type="dxa"/>
          </w:tcPr>
          <w:p w14:paraId="24873BA4" w14:textId="77777777" w:rsidR="00E84A76" w:rsidRPr="00593724" w:rsidRDefault="006A665C">
            <w:pPr>
              <w:jc w:val="center"/>
              <w:rPr>
                <w:rFonts w:ascii="Times New Roman" w:hAnsi="Times New Roman" w:cs="Times New Roman"/>
                <w:b/>
                <w:bCs/>
                <w:sz w:val="20"/>
                <w:szCs w:val="20"/>
              </w:rPr>
            </w:pPr>
            <w:r w:rsidRPr="00593724">
              <w:rPr>
                <w:rFonts w:ascii="Times New Roman" w:eastAsia="Calibri" w:hAnsi="Times New Roman" w:cs="Times New Roman"/>
                <w:b/>
                <w:bCs/>
                <w:kern w:val="0"/>
                <w:sz w:val="20"/>
                <w:szCs w:val="20"/>
              </w:rPr>
              <w:t>J03</w:t>
            </w:r>
          </w:p>
        </w:tc>
        <w:tc>
          <w:tcPr>
            <w:tcW w:w="1546" w:type="dxa"/>
          </w:tcPr>
          <w:p w14:paraId="7307CE1A"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7.1</w:t>
            </w:r>
          </w:p>
        </w:tc>
        <w:tc>
          <w:tcPr>
            <w:tcW w:w="1711" w:type="dxa"/>
          </w:tcPr>
          <w:p w14:paraId="0D7ABF3F"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16.5</w:t>
            </w:r>
          </w:p>
        </w:tc>
        <w:tc>
          <w:tcPr>
            <w:tcW w:w="851" w:type="dxa"/>
          </w:tcPr>
          <w:p w14:paraId="39079AD8"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75</w:t>
            </w:r>
          </w:p>
        </w:tc>
        <w:tc>
          <w:tcPr>
            <w:tcW w:w="850" w:type="dxa"/>
          </w:tcPr>
          <w:p w14:paraId="73CC2AD4"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20</w:t>
            </w:r>
          </w:p>
        </w:tc>
        <w:tc>
          <w:tcPr>
            <w:tcW w:w="570" w:type="dxa"/>
          </w:tcPr>
          <w:p w14:paraId="7A940976" w14:textId="77777777" w:rsidR="00E84A76" w:rsidRPr="00593724" w:rsidRDefault="006A665C">
            <w:pPr>
              <w:jc w:val="center"/>
              <w:rPr>
                <w:rFonts w:ascii="Times New Roman" w:hAnsi="Times New Roman" w:cs="Times New Roman"/>
                <w:bCs/>
                <w:sz w:val="20"/>
                <w:szCs w:val="20"/>
                <w:lang w:val="es-CR"/>
              </w:rPr>
            </w:pPr>
            <w:r w:rsidRPr="00593724">
              <w:rPr>
                <w:rFonts w:ascii="Times New Roman" w:eastAsia="Calibri" w:hAnsi="Times New Roman" w:cs="Times New Roman"/>
                <w:bCs/>
                <w:kern w:val="0"/>
                <w:sz w:val="20"/>
                <w:szCs w:val="20"/>
              </w:rPr>
              <w:t>90</w:t>
            </w:r>
          </w:p>
        </w:tc>
        <w:tc>
          <w:tcPr>
            <w:tcW w:w="770" w:type="dxa"/>
          </w:tcPr>
          <w:p w14:paraId="1C3BFD37" w14:textId="77777777" w:rsidR="00E84A76" w:rsidRPr="00593724" w:rsidRDefault="006A665C">
            <w:pPr>
              <w:jc w:val="center"/>
              <w:rPr>
                <w:rFonts w:ascii="Times New Roman" w:hAnsi="Times New Roman" w:cs="Times New Roman"/>
                <w:bCs/>
                <w:sz w:val="20"/>
                <w:szCs w:val="20"/>
              </w:rPr>
            </w:pPr>
            <w:r w:rsidRPr="00593724">
              <w:rPr>
                <w:rFonts w:ascii="Times New Roman" w:eastAsia="Calibri" w:hAnsi="Times New Roman" w:cs="Times New Roman"/>
                <w:bCs/>
                <w:kern w:val="0"/>
                <w:sz w:val="20"/>
                <w:szCs w:val="20"/>
              </w:rPr>
              <w:t>0</w:t>
            </w:r>
          </w:p>
        </w:tc>
      </w:tr>
    </w:tbl>
    <w:p w14:paraId="4517CF8A" w14:textId="77777777" w:rsidR="00E84A76" w:rsidRPr="00593724" w:rsidRDefault="006A665C">
      <w:pPr>
        <w:rPr>
          <w:rFonts w:ascii="Times New Roman" w:hAnsi="Times New Roman" w:cs="Times New Roman"/>
          <w:sz w:val="20"/>
          <w:szCs w:val="20"/>
          <w:lang w:val="en-GB"/>
        </w:rPr>
      </w:pPr>
      <w:r w:rsidRPr="00593724">
        <w:rPr>
          <w:rFonts w:ascii="Times New Roman" w:hAnsi="Times New Roman" w:cs="Times New Roman"/>
          <w:bCs/>
          <w:sz w:val="20"/>
          <w:szCs w:val="20"/>
        </w:rPr>
        <w:t xml:space="preserve">L, length; W, width; </w:t>
      </w:r>
      <w:r w:rsidRPr="00593724">
        <w:rPr>
          <w:rFonts w:ascii="Times New Roman" w:hAnsi="Times New Roman" w:cs="Times New Roman"/>
          <w:bCs/>
          <w:i/>
          <w:iCs/>
          <w:sz w:val="20"/>
          <w:szCs w:val="20"/>
        </w:rPr>
        <w:t>a-</w:t>
      </w:r>
      <w:r w:rsidRPr="00593724">
        <w:rPr>
          <w:rFonts w:ascii="Times New Roman" w:hAnsi="Times New Roman" w:cs="Times New Roman"/>
          <w:bCs/>
          <w:sz w:val="20"/>
          <w:szCs w:val="20"/>
        </w:rPr>
        <w:t xml:space="preserve">val, </w:t>
      </w:r>
      <w:r w:rsidRPr="00593724">
        <w:rPr>
          <w:rFonts w:ascii="Times New Roman" w:hAnsi="Times New Roman" w:cs="Times New Roman"/>
          <w:bCs/>
          <w:i/>
          <w:iCs/>
          <w:sz w:val="20"/>
          <w:szCs w:val="20"/>
        </w:rPr>
        <w:t>a-</w:t>
      </w:r>
      <w:r w:rsidRPr="00593724">
        <w:rPr>
          <w:rFonts w:ascii="Times New Roman" w:hAnsi="Times New Roman" w:cs="Times New Roman"/>
          <w:bCs/>
          <w:sz w:val="20"/>
          <w:szCs w:val="20"/>
        </w:rPr>
        <w:t xml:space="preserve">value; </w:t>
      </w:r>
      <w:r w:rsidRPr="00593724">
        <w:rPr>
          <w:rFonts w:ascii="Times New Roman" w:hAnsi="Times New Roman" w:cs="Times New Roman"/>
          <w:bCs/>
          <w:i/>
          <w:iCs/>
          <w:sz w:val="20"/>
          <w:szCs w:val="20"/>
        </w:rPr>
        <w:t>b-</w:t>
      </w:r>
      <w:r w:rsidRPr="00593724">
        <w:rPr>
          <w:rFonts w:ascii="Times New Roman" w:hAnsi="Times New Roman" w:cs="Times New Roman"/>
          <w:bCs/>
          <w:sz w:val="20"/>
          <w:szCs w:val="20"/>
        </w:rPr>
        <w:t xml:space="preserve">val, </w:t>
      </w:r>
      <w:r w:rsidRPr="00593724">
        <w:rPr>
          <w:rFonts w:ascii="Times New Roman" w:hAnsi="Times New Roman" w:cs="Times New Roman"/>
          <w:bCs/>
          <w:i/>
          <w:iCs/>
          <w:sz w:val="20"/>
          <w:szCs w:val="20"/>
        </w:rPr>
        <w:t>b-</w:t>
      </w:r>
      <w:r w:rsidRPr="00593724">
        <w:rPr>
          <w:rFonts w:ascii="Times New Roman" w:hAnsi="Times New Roman" w:cs="Times New Roman"/>
          <w:bCs/>
          <w:sz w:val="20"/>
          <w:szCs w:val="20"/>
        </w:rPr>
        <w:t xml:space="preserve">value; </w:t>
      </w:r>
      <w:r w:rsidRPr="00593724">
        <w:rPr>
          <w:rFonts w:ascii="Times New Roman" w:hAnsi="Times New Roman" w:cs="Times New Roman"/>
          <w:bCs/>
          <w:i/>
          <w:iCs/>
          <w:sz w:val="20"/>
          <w:szCs w:val="20"/>
        </w:rPr>
        <w:t>N</w:t>
      </w:r>
      <w:r w:rsidRPr="00593724">
        <w:rPr>
          <w:rFonts w:ascii="Times New Roman" w:hAnsi="Times New Roman" w:cs="Times New Roman"/>
          <w:bCs/>
          <w:i/>
          <w:iCs/>
          <w:sz w:val="20"/>
          <w:szCs w:val="20"/>
          <w:vertAlign w:val="subscript"/>
        </w:rPr>
        <w:t>min</w:t>
      </w:r>
      <w:r w:rsidRPr="00593724">
        <w:rPr>
          <w:rFonts w:ascii="Times New Roman" w:hAnsi="Times New Roman" w:cs="Times New Roman"/>
          <w:bCs/>
          <w:sz w:val="20"/>
          <w:szCs w:val="20"/>
        </w:rPr>
        <w:t xml:space="preserve">, cumulative events from </w:t>
      </w:r>
      <w:r w:rsidRPr="00593724">
        <w:rPr>
          <w:rFonts w:ascii="Times New Roman" w:hAnsi="Times New Roman" w:cs="Times New Roman"/>
          <w:bCs/>
          <w:i/>
          <w:iCs/>
          <w:sz w:val="20"/>
          <w:szCs w:val="20"/>
        </w:rPr>
        <w:t>M</w:t>
      </w:r>
      <w:r w:rsidRPr="00593724">
        <w:rPr>
          <w:rFonts w:ascii="Times New Roman" w:hAnsi="Times New Roman" w:cs="Times New Roman"/>
          <w:bCs/>
          <w:i/>
          <w:iCs/>
          <w:sz w:val="20"/>
          <w:szCs w:val="20"/>
          <w:vertAlign w:val="subscript"/>
        </w:rPr>
        <w:t>min</w:t>
      </w:r>
      <w:r w:rsidRPr="00593724">
        <w:rPr>
          <w:rFonts w:ascii="Times New Roman" w:hAnsi="Times New Roman" w:cs="Times New Roman"/>
          <w:bCs/>
          <w:sz w:val="20"/>
          <w:szCs w:val="20"/>
        </w:rPr>
        <w:t xml:space="preserve"> (M</w:t>
      </w:r>
      <w:r w:rsidRPr="00593724">
        <w:rPr>
          <w:rFonts w:ascii="Times New Roman" w:hAnsi="Times New Roman" w:cs="Times New Roman"/>
          <w:bCs/>
          <w:sz w:val="20"/>
          <w:szCs w:val="20"/>
          <w:vertAlign w:val="subscript"/>
        </w:rPr>
        <w:t>w</w:t>
      </w:r>
      <w:r w:rsidRPr="00593724">
        <w:rPr>
          <w:rFonts w:ascii="Times New Roman" w:hAnsi="Times New Roman" w:cs="Times New Roman"/>
          <w:bCs/>
          <w:sz w:val="20"/>
          <w:szCs w:val="20"/>
        </w:rPr>
        <w:t xml:space="preserve"> 4.5); </w:t>
      </w:r>
      <w:r w:rsidRPr="00593724">
        <w:rPr>
          <w:rFonts w:ascii="Times New Roman" w:hAnsi="Times New Roman" w:cs="Times New Roman"/>
          <w:bCs/>
          <w:i/>
          <w:iCs/>
          <w:sz w:val="20"/>
          <w:szCs w:val="20"/>
        </w:rPr>
        <w:t>M</w:t>
      </w:r>
      <w:r w:rsidRPr="00593724">
        <w:rPr>
          <w:rFonts w:ascii="Times New Roman" w:hAnsi="Times New Roman" w:cs="Times New Roman"/>
          <w:bCs/>
          <w:i/>
          <w:iCs/>
          <w:sz w:val="20"/>
          <w:szCs w:val="20"/>
          <w:vertAlign w:val="subscript"/>
        </w:rPr>
        <w:t>max</w:t>
      </w:r>
      <w:r w:rsidRPr="00593724">
        <w:rPr>
          <w:rFonts w:ascii="Times New Roman" w:hAnsi="Times New Roman" w:cs="Times New Roman"/>
          <w:bCs/>
          <w:sz w:val="20"/>
          <w:szCs w:val="20"/>
        </w:rPr>
        <w:t>, maximum magnitude inferred according to each approach</w:t>
      </w:r>
    </w:p>
    <w:p w14:paraId="3D81B295" w14:textId="77777777" w:rsidR="00E84A76" w:rsidRPr="00593724" w:rsidRDefault="00E84A76">
      <w:pPr>
        <w:spacing w:line="360" w:lineRule="auto"/>
        <w:jc w:val="left"/>
        <w:rPr>
          <w:rFonts w:ascii="Times New Roman" w:hAnsi="Times New Roman" w:cs="Times New Roman"/>
          <w:color w:val="000000"/>
          <w:kern w:val="0"/>
          <w:lang w:val="en-GB"/>
        </w:rPr>
      </w:pPr>
    </w:p>
    <w:p w14:paraId="33ACC29D" w14:textId="77777777" w:rsidR="00E84A76" w:rsidRPr="00593724" w:rsidRDefault="00E84A76">
      <w:pPr>
        <w:spacing w:line="360" w:lineRule="auto"/>
        <w:jc w:val="left"/>
        <w:rPr>
          <w:rFonts w:ascii="Times New Roman" w:hAnsi="Times New Roman" w:cs="Times New Roman"/>
          <w:color w:val="000000"/>
          <w:kern w:val="0"/>
          <w:lang w:val="en-GB"/>
        </w:rPr>
      </w:pPr>
    </w:p>
    <w:p w14:paraId="05B2DBA1" w14:textId="77777777" w:rsidR="00E84A76" w:rsidRPr="00593724" w:rsidRDefault="00E84A76">
      <w:pPr>
        <w:spacing w:line="360" w:lineRule="auto"/>
        <w:jc w:val="left"/>
        <w:rPr>
          <w:rFonts w:ascii="Times New Roman" w:hAnsi="Times New Roman" w:cs="Times New Roman"/>
          <w:color w:val="000000"/>
          <w:kern w:val="0"/>
          <w:lang w:val="en-GB"/>
        </w:rPr>
      </w:pPr>
    </w:p>
    <w:p w14:paraId="39A053C1" w14:textId="77777777" w:rsidR="00E84A76" w:rsidRPr="00593724" w:rsidRDefault="006A665C">
      <w:pPr>
        <w:rPr>
          <w:rFonts w:ascii="Times New Roman" w:hAnsi="Times New Roman" w:cs="Times New Roman"/>
          <w:b/>
          <w:bCs/>
          <w:lang w:val="en-GB"/>
        </w:rPr>
      </w:pPr>
      <w:r w:rsidRPr="00593724">
        <w:rPr>
          <w:rFonts w:ascii="Times New Roman" w:hAnsi="Times New Roman" w:cs="Times New Roman"/>
          <w:b/>
          <w:bCs/>
          <w:lang w:val="en-GB"/>
        </w:rPr>
        <w:t>FIGURES</w:t>
      </w:r>
    </w:p>
    <w:p w14:paraId="56B9E9A8" w14:textId="77777777" w:rsidR="00E84A76" w:rsidRPr="00593724" w:rsidRDefault="006A665C">
      <w:pPr>
        <w:jc w:val="center"/>
        <w:rPr>
          <w:rFonts w:ascii="Times New Roman" w:hAnsi="Times New Roman" w:cs="Times New Roman"/>
          <w:b/>
          <w:bCs/>
          <w:lang w:val="en-GB"/>
        </w:rPr>
      </w:pPr>
      <w:r w:rsidRPr="00593724">
        <w:rPr>
          <w:noProof/>
        </w:rPr>
        <w:drawing>
          <wp:inline distT="0" distB="0" distL="0" distR="0" wp14:anchorId="5EF25ACB" wp14:editId="12920839">
            <wp:extent cx="3225165" cy="2571750"/>
            <wp:effectExtent l="0" t="0" r="0" b="0"/>
            <wp:docPr id="1" name="Picture 4" descr="A graph with a green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A graph with a green line&#10;&#10;AI-generated content may be incorrect."/>
                    <pic:cNvPicPr>
                      <a:picLocks noChangeAspect="1" noChangeArrowheads="1"/>
                    </pic:cNvPicPr>
                  </pic:nvPicPr>
                  <pic:blipFill>
                    <a:blip r:embed="rId20"/>
                    <a:stretch>
                      <a:fillRect/>
                    </a:stretch>
                  </pic:blipFill>
                  <pic:spPr bwMode="auto">
                    <a:xfrm>
                      <a:off x="0" y="0"/>
                      <a:ext cx="3225165" cy="2571750"/>
                    </a:xfrm>
                    <a:prstGeom prst="rect">
                      <a:avLst/>
                    </a:prstGeom>
                    <a:noFill/>
                  </pic:spPr>
                </pic:pic>
              </a:graphicData>
            </a:graphic>
          </wp:inline>
        </w:drawing>
      </w:r>
    </w:p>
    <w:p w14:paraId="7FCFB339" w14:textId="371836AD" w:rsidR="00E84A76" w:rsidRPr="00593724" w:rsidRDefault="006A665C">
      <w:pPr>
        <w:rPr>
          <w:rFonts w:ascii="Times New Roman" w:hAnsi="Times New Roman" w:cs="Times New Roman"/>
          <w:sz w:val="22"/>
          <w:szCs w:val="22"/>
        </w:rPr>
        <w:sectPr w:rsidR="00E84A76" w:rsidRPr="00593724">
          <w:headerReference w:type="even" r:id="rId21"/>
          <w:headerReference w:type="default" r:id="rId22"/>
          <w:footerReference w:type="even" r:id="rId23"/>
          <w:footerReference w:type="default" r:id="rId24"/>
          <w:headerReference w:type="first" r:id="rId25"/>
          <w:footerReference w:type="first" r:id="rId26"/>
          <w:pgSz w:w="12240" w:h="15840"/>
          <w:pgMar w:top="1440" w:right="1440" w:bottom="1440" w:left="1440" w:header="0" w:footer="0" w:gutter="0"/>
          <w:lnNumType w:countBy="1" w:distance="283" w:restart="continuous"/>
          <w:cols w:space="720"/>
          <w:formProt w:val="0"/>
          <w:docGrid w:linePitch="360"/>
        </w:sectPr>
      </w:pPr>
      <w:r w:rsidRPr="00593724">
        <w:rPr>
          <w:rFonts w:ascii="Times New Roman" w:hAnsi="Times New Roman" w:cs="Times New Roman"/>
          <w:b/>
          <w:bCs/>
          <w:sz w:val="22"/>
          <w:szCs w:val="22"/>
        </w:rPr>
        <w:t xml:space="preserve">Figure A1. </w:t>
      </w:r>
      <w:r w:rsidRPr="00593724">
        <w:rPr>
          <w:rFonts w:ascii="Times New Roman" w:hAnsi="Times New Roman" w:cs="Times New Roman"/>
          <w:sz w:val="22"/>
          <w:szCs w:val="22"/>
        </w:rPr>
        <w:t xml:space="preserve">Resulting MFD assuming the possibility of multiple ruptures of subduction segments, following the characterization proposed in Table 1 and computed using the </w:t>
      </w:r>
      <w:r w:rsidRPr="00593724">
        <w:rPr>
          <w:rFonts w:ascii="Times New Roman" w:hAnsi="Times New Roman" w:cs="Times New Roman"/>
          <w:i/>
          <w:iCs/>
          <w:sz w:val="22"/>
          <w:szCs w:val="22"/>
        </w:rPr>
        <w:t>SHERIFS</w:t>
      </w:r>
      <w:r w:rsidRPr="00593724">
        <w:rPr>
          <w:rFonts w:ascii="Times New Roman" w:hAnsi="Times New Roman" w:cs="Times New Roman"/>
          <w:sz w:val="22"/>
          <w:szCs w:val="22"/>
        </w:rPr>
        <w:t xml:space="preserve"> software </w:t>
      </w:r>
      <w:sdt>
        <w:sdtPr>
          <w:rPr>
            <w:rFonts w:ascii="Times New Roman" w:hAnsi="Times New Roman" w:cs="Times New Roman"/>
            <w:color w:val="000000"/>
            <w:sz w:val="22"/>
          </w:rPr>
          <w:tag w:val="MENDELEY_CITATION_v3_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"/>
          <w:id w:val="61224453"/>
          <w:placeholder>
            <w:docPart w:val="DefaultPlaceholder_-1854013440"/>
          </w:placeholder>
        </w:sdtPr>
        <w:sdtContent>
          <w:r w:rsidR="00B344CE" w:rsidRPr="00593724">
            <w:rPr>
              <w:rFonts w:ascii="Times New Roman" w:hAnsi="Times New Roman" w:cs="Times New Roman"/>
              <w:color w:val="000000"/>
              <w:sz w:val="22"/>
              <w:szCs w:val="22"/>
            </w:rPr>
            <w:t>(Chartier et al. 2019)</w:t>
          </w:r>
        </w:sdtContent>
      </w:sdt>
      <w:r w:rsidRPr="00593724">
        <w:rPr>
          <w:rFonts w:ascii="Times New Roman" w:hAnsi="Times New Roman" w:cs="Times New Roman"/>
          <w:sz w:val="22"/>
          <w:szCs w:val="22"/>
        </w:rPr>
        <w:t>.</w:t>
      </w:r>
    </w:p>
    <w:p w14:paraId="5E1B9415" w14:textId="77777777" w:rsidR="00E84A76" w:rsidRPr="00593724" w:rsidRDefault="006A665C">
      <w:pPr>
        <w:spacing w:line="360" w:lineRule="auto"/>
        <w:jc w:val="center"/>
        <w:rPr>
          <w:rFonts w:ascii="Times New Roman" w:hAnsi="Times New Roman" w:cs="Times New Roman"/>
          <w:b/>
          <w:bCs/>
          <w:lang w:val="en-GB"/>
        </w:rPr>
      </w:pPr>
      <w:r w:rsidRPr="00593724">
        <w:rPr>
          <w:noProof/>
        </w:rPr>
        <w:drawing>
          <wp:inline distT="0" distB="0" distL="0" distR="0" wp14:anchorId="07522A75" wp14:editId="7633835F">
            <wp:extent cx="6079490" cy="4486275"/>
            <wp:effectExtent l="0" t="0" r="0" b="0"/>
            <wp:docPr id="2" name="Picture 9" descr="A diagram of different types of statistical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9" descr="A diagram of different types of statistical data&#10;&#10;AI-generated content may be incorrect."/>
                    <pic:cNvPicPr>
                      <a:picLocks noChangeAspect="1" noChangeArrowheads="1"/>
                    </pic:cNvPicPr>
                  </pic:nvPicPr>
                  <pic:blipFill>
                    <a:blip r:embed="rId27"/>
                    <a:stretch>
                      <a:fillRect/>
                    </a:stretch>
                  </pic:blipFill>
                  <pic:spPr bwMode="auto">
                    <a:xfrm>
                      <a:off x="0" y="0"/>
                      <a:ext cx="6079490" cy="4486275"/>
                    </a:xfrm>
                    <a:prstGeom prst="rect">
                      <a:avLst/>
                    </a:prstGeom>
                    <a:noFill/>
                  </pic:spPr>
                </pic:pic>
              </a:graphicData>
            </a:graphic>
          </wp:inline>
        </w:drawing>
      </w:r>
    </w:p>
    <w:p w14:paraId="3D5AC650" w14:textId="3E56A830" w:rsidR="00E84A76" w:rsidRPr="00593724" w:rsidRDefault="006A665C">
      <w:pPr>
        <w:rPr>
          <w:rFonts w:ascii="Times New Roman" w:hAnsi="Times New Roman" w:cs="Times New Roman"/>
          <w:color w:val="000000"/>
          <w:kern w:val="0"/>
          <w:sz w:val="22"/>
          <w:szCs w:val="22"/>
        </w:rPr>
        <w:sectPr w:rsidR="00E84A76" w:rsidRPr="00593724">
          <w:headerReference w:type="even" r:id="rId28"/>
          <w:headerReference w:type="default" r:id="rId29"/>
          <w:footerReference w:type="even" r:id="rId30"/>
          <w:footerReference w:type="default" r:id="rId31"/>
          <w:headerReference w:type="first" r:id="rId32"/>
          <w:footerReference w:type="first" r:id="rId33"/>
          <w:pgSz w:w="12240" w:h="15840"/>
          <w:pgMar w:top="1440" w:right="1440" w:bottom="1440" w:left="1440" w:header="0" w:footer="0" w:gutter="0"/>
          <w:lnNumType w:countBy="1" w:distance="283" w:restart="continuous"/>
          <w:cols w:space="720"/>
          <w:formProt w:val="0"/>
          <w:docGrid w:linePitch="360"/>
        </w:sectPr>
      </w:pPr>
      <w:r w:rsidRPr="00593724">
        <w:rPr>
          <w:rFonts w:ascii="Times New Roman" w:hAnsi="Times New Roman" w:cs="Times New Roman"/>
          <w:b/>
          <w:bCs/>
          <w:sz w:val="22"/>
          <w:szCs w:val="22"/>
          <w:lang w:val="en-GB"/>
        </w:rPr>
        <w:t>Figure A2.</w:t>
      </w:r>
      <w:r w:rsidRPr="00593724">
        <w:rPr>
          <w:rFonts w:ascii="Times New Roman" w:hAnsi="Times New Roman" w:cs="Times New Roman"/>
          <w:b/>
          <w:bCs/>
          <w:lang w:val="en-GB"/>
        </w:rPr>
        <w:t xml:space="preserve"> </w:t>
      </w:r>
      <w:r w:rsidRPr="00593724">
        <w:rPr>
          <w:rFonts w:ascii="Times New Roman" w:hAnsi="Times New Roman" w:cs="Times New Roman"/>
          <w:b/>
          <w:bCs/>
          <w:i/>
          <w:iCs/>
          <w:color w:val="000000"/>
          <w:kern w:val="0"/>
          <w:sz w:val="22"/>
          <w:szCs w:val="22"/>
        </w:rPr>
        <w:t xml:space="preserve">MFDs for the segments of the Polochic-Chixoy fault: </w:t>
      </w:r>
      <w:r w:rsidRPr="00593724">
        <w:rPr>
          <w:rFonts w:ascii="Times New Roman" w:hAnsi="Times New Roman" w:cs="Times New Roman"/>
          <w:i/>
          <w:iCs/>
          <w:color w:val="000000"/>
          <w:kern w:val="0"/>
          <w:sz w:val="22"/>
          <w:szCs w:val="22"/>
        </w:rPr>
        <w:t>N</w:t>
      </w:r>
      <w:r w:rsidRPr="00593724">
        <w:rPr>
          <w:rFonts w:ascii="Times New Roman" w:hAnsi="Times New Roman" w:cs="Times New Roman"/>
          <w:color w:val="000000"/>
          <w:kern w:val="0"/>
          <w:sz w:val="22"/>
          <w:szCs w:val="22"/>
          <w:vertAlign w:val="subscript"/>
        </w:rPr>
        <w:t>min</w:t>
      </w:r>
      <w:r w:rsidRPr="00593724">
        <w:rPr>
          <w:rFonts w:ascii="Times New Roman" w:hAnsi="Times New Roman" w:cs="Times New Roman"/>
          <w:color w:val="000000"/>
          <w:kern w:val="0"/>
          <w:sz w:val="22"/>
          <w:szCs w:val="22"/>
        </w:rPr>
        <w:t xml:space="preserve"> variation for two slip-rate models and two </w:t>
      </w:r>
      <w:r w:rsidRPr="00593724">
        <w:rPr>
          <w:rFonts w:ascii="Times New Roman" w:hAnsi="Times New Roman" w:cs="Times New Roman"/>
          <w:i/>
          <w:iCs/>
          <w:color w:val="000000"/>
          <w:kern w:val="0"/>
          <w:sz w:val="22"/>
          <w:szCs w:val="22"/>
        </w:rPr>
        <w:t>M</w:t>
      </w:r>
      <w:r w:rsidRPr="00593724">
        <w:rPr>
          <w:rFonts w:ascii="Times New Roman" w:hAnsi="Times New Roman" w:cs="Times New Roman"/>
          <w:color w:val="000000"/>
          <w:kern w:val="0"/>
          <w:sz w:val="22"/>
          <w:szCs w:val="22"/>
          <w:vertAlign w:val="subscript"/>
        </w:rPr>
        <w:t>max</w:t>
      </w:r>
      <w:r w:rsidRPr="00593724">
        <w:rPr>
          <w:rFonts w:ascii="Times New Roman" w:hAnsi="Times New Roman" w:cs="Times New Roman"/>
          <w:color w:val="000000"/>
          <w:kern w:val="0"/>
          <w:sz w:val="22"/>
          <w:szCs w:val="22"/>
        </w:rPr>
        <w:t xml:space="preserve"> constraints: </w:t>
      </w:r>
      <w:r w:rsidRPr="00593724">
        <w:rPr>
          <w:rFonts w:ascii="Times New Roman" w:hAnsi="Times New Roman" w:cs="Times New Roman"/>
          <w:i/>
          <w:iCs/>
          <w:color w:val="000000"/>
          <w:kern w:val="0"/>
          <w:sz w:val="22"/>
          <w:szCs w:val="22"/>
        </w:rPr>
        <w:t>M</w:t>
      </w:r>
      <w:r w:rsidRPr="00593724">
        <w:rPr>
          <w:rFonts w:ascii="Times New Roman" w:hAnsi="Times New Roman" w:cs="Times New Roman"/>
          <w:color w:val="000000"/>
          <w:kern w:val="0"/>
          <w:sz w:val="22"/>
          <w:szCs w:val="22"/>
          <w:vertAlign w:val="subscript"/>
        </w:rPr>
        <w:t>max</w:t>
      </w:r>
      <w:r w:rsidRPr="00593724">
        <w:rPr>
          <w:rFonts w:ascii="Times New Roman" w:hAnsi="Times New Roman" w:cs="Times New Roman"/>
          <w:color w:val="000000"/>
          <w:kern w:val="0"/>
          <w:sz w:val="22"/>
          <w:szCs w:val="22"/>
        </w:rPr>
        <w:noBreakHyphen/>
        <w:t xml:space="preserve">a from scaling relations </w:t>
      </w:r>
      <w:sdt>
        <w:sdtPr>
          <w:rPr>
            <w:rFonts w:ascii="Times New Roman" w:hAnsi="Times New Roman" w:cs="Times New Roman"/>
            <w:color w:val="000000"/>
            <w:sz w:val="22"/>
          </w:rPr>
          <w:tag w:val="MENDELEY_CITATION_v3_eyJjaXRhdGlvbklEIjoiTUVOREVMRVlfQ0lUQVRJT05fY2JiOGU1NmEtMzI5OS00OTg5LTgzMDAtZjhlYzJmNWI4NTRkIiwicHJvcGVydGllcyI6eyJub3RlSW5kZXgiOjB9LCJpc0VkaXRlZCI6ZmFsc2UsIm1hbnVhbE92ZXJyaWRlIjp7ImlzTWFudWFsbHlPdmVycmlkZGVuIjpmYWxzZSwiY2l0ZXByb2NUZXh0IjoiKEFycm95by1Tb2zDs3J6YW5vIGV0IGFsLiAyMDI0KSIsIm1hbnVhbE92ZXJyaWRlVGV4dCI6Ii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1dfQ=="/>
          <w:id w:val="485284802"/>
          <w:placeholder>
            <w:docPart w:val="F75172BE99924695A5E91A6A5E4A70CE"/>
          </w:placeholder>
        </w:sdtPr>
        <w:sdtContent>
          <w:r w:rsidR="00B344CE" w:rsidRPr="00593724">
            <w:rPr>
              <w:rFonts w:ascii="Times New Roman" w:hAnsi="Times New Roman" w:cs="Times New Roman"/>
              <w:color w:val="000000"/>
              <w:kern w:val="0"/>
              <w:sz w:val="22"/>
              <w:szCs w:val="22"/>
            </w:rPr>
            <w:t>(Arroyo-Solórzano et al. 2024)</w:t>
          </w:r>
        </w:sdtContent>
      </w:sdt>
      <w:r w:rsidRPr="00593724">
        <w:rPr>
          <w:rFonts w:ascii="Times New Roman" w:hAnsi="Times New Roman" w:cs="Times New Roman"/>
          <w:color w:val="000000"/>
          <w:kern w:val="0"/>
          <w:sz w:val="22"/>
          <w:szCs w:val="22"/>
        </w:rPr>
        <w:t xml:space="preserve"> and </w:t>
      </w:r>
      <w:r w:rsidRPr="00593724">
        <w:rPr>
          <w:rFonts w:ascii="Times New Roman" w:hAnsi="Times New Roman" w:cs="Times New Roman"/>
          <w:i/>
          <w:iCs/>
          <w:color w:val="000000"/>
          <w:kern w:val="0"/>
          <w:sz w:val="22"/>
          <w:szCs w:val="22"/>
        </w:rPr>
        <w:t>M</w:t>
      </w:r>
      <w:r w:rsidRPr="00593724">
        <w:rPr>
          <w:rFonts w:ascii="Times New Roman" w:hAnsi="Times New Roman" w:cs="Times New Roman"/>
          <w:color w:val="000000"/>
          <w:kern w:val="0"/>
          <w:sz w:val="22"/>
          <w:szCs w:val="22"/>
          <w:vertAlign w:val="subscript"/>
        </w:rPr>
        <w:t>max</w:t>
      </w:r>
      <w:r w:rsidRPr="00593724">
        <w:rPr>
          <w:rFonts w:ascii="Times New Roman" w:hAnsi="Times New Roman" w:cs="Times New Roman"/>
          <w:color w:val="000000"/>
          <w:kern w:val="0"/>
          <w:sz w:val="22"/>
          <w:szCs w:val="22"/>
        </w:rPr>
        <w:noBreakHyphen/>
        <w:t xml:space="preserve">b from probability distribution based on both empirical and observed magnitudes </w:t>
      </w:r>
      <w:sdt>
        <w:sdtPr>
          <w:rPr>
            <w:rFonts w:ascii="Times New Roman" w:hAnsi="Times New Roman" w:cs="Times New Roman"/>
            <w:color w:val="000000"/>
            <w:sz w:val="22"/>
          </w:rPr>
          <w:tag w:val="MENDELEY_CITATION_v3_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"/>
          <w:id w:val="514275917"/>
          <w:placeholder>
            <w:docPart w:val="F75172BE99924695A5E91A6A5E4A70CE"/>
          </w:placeholder>
        </w:sdtPr>
        <w:sdtContent>
          <w:r w:rsidR="00B344CE" w:rsidRPr="00593724">
            <w:rPr>
              <w:rFonts w:ascii="Times New Roman" w:hAnsi="Times New Roman" w:cs="Times New Roman"/>
              <w:color w:val="000000"/>
              <w:kern w:val="0"/>
              <w:sz w:val="22"/>
              <w:szCs w:val="22"/>
            </w:rPr>
            <w:t>(Tavakolizadeh et al. 2025)</w:t>
          </w:r>
        </w:sdtContent>
      </w:sdt>
      <w:r w:rsidRPr="00593724">
        <w:rPr>
          <w:rFonts w:ascii="Times New Roman" w:hAnsi="Times New Roman" w:cs="Times New Roman"/>
          <w:color w:val="000000"/>
          <w:kern w:val="0"/>
          <w:sz w:val="22"/>
          <w:szCs w:val="22"/>
        </w:rPr>
        <w:t>. Segment P01: Reasenberg (1985) (a) and Uhrhammer (1985) (b); segment P02: Reasenberg (1985) (c) and Uhrhammer (1985) (d).</w:t>
      </w:r>
    </w:p>
    <w:p w14:paraId="5E76BD7B" w14:textId="77777777" w:rsidR="00E84A76" w:rsidRPr="00593724" w:rsidRDefault="006A665C">
      <w:pPr>
        <w:spacing w:line="360" w:lineRule="auto"/>
        <w:jc w:val="center"/>
        <w:rPr>
          <w:rFonts w:ascii="Times New Roman" w:hAnsi="Times New Roman" w:cs="Times New Roman"/>
          <w:b/>
          <w:bCs/>
          <w:lang w:val="en-GB"/>
        </w:rPr>
      </w:pPr>
      <w:r w:rsidRPr="00593724">
        <w:rPr>
          <w:noProof/>
        </w:rPr>
        <w:drawing>
          <wp:inline distT="0" distB="0" distL="0" distR="0" wp14:anchorId="3143CE8C" wp14:editId="4FE0DBC5">
            <wp:extent cx="4829175" cy="7166610"/>
            <wp:effectExtent l="0" t="0" r="9525" b="0"/>
            <wp:docPr id="3" name="Picture 10" descr="A group of graphs showing different valu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0" descr="A group of graphs showing different values&#10;&#10;AI-generated content may be incorrect."/>
                    <pic:cNvPicPr>
                      <a:picLocks noChangeAspect="1" noChangeArrowheads="1"/>
                    </pic:cNvPicPr>
                  </pic:nvPicPr>
                  <pic:blipFill>
                    <a:blip r:embed="rId34"/>
                    <a:stretch>
                      <a:fillRect/>
                    </a:stretch>
                  </pic:blipFill>
                  <pic:spPr bwMode="auto">
                    <a:xfrm>
                      <a:off x="0" y="0"/>
                      <a:ext cx="4831356" cy="7169846"/>
                    </a:xfrm>
                    <a:prstGeom prst="rect">
                      <a:avLst/>
                    </a:prstGeom>
                    <a:noFill/>
                  </pic:spPr>
                </pic:pic>
              </a:graphicData>
            </a:graphic>
          </wp:inline>
        </w:drawing>
      </w:r>
    </w:p>
    <w:p w14:paraId="0C501066" w14:textId="5BAA22BB" w:rsidR="00E84A76" w:rsidRPr="00593724" w:rsidRDefault="006A665C">
      <w:pPr>
        <w:rPr>
          <w:rFonts w:ascii="Times New Roman" w:hAnsi="Times New Roman" w:cs="Times New Roman"/>
          <w:color w:val="000000"/>
          <w:kern w:val="0"/>
          <w:sz w:val="22"/>
          <w:szCs w:val="22"/>
        </w:rPr>
      </w:pPr>
      <w:r w:rsidRPr="00593724">
        <w:rPr>
          <w:rFonts w:ascii="Times New Roman" w:hAnsi="Times New Roman" w:cs="Times New Roman"/>
          <w:b/>
          <w:bCs/>
          <w:sz w:val="22"/>
          <w:szCs w:val="22"/>
          <w:lang w:val="en-GB"/>
        </w:rPr>
        <w:t>Figure A</w:t>
      </w:r>
      <w:r w:rsidR="00F612B4">
        <w:rPr>
          <w:rFonts w:ascii="Times New Roman" w:hAnsi="Times New Roman" w:cs="Times New Roman"/>
          <w:b/>
          <w:bCs/>
          <w:sz w:val="22"/>
          <w:szCs w:val="22"/>
          <w:lang w:val="en-GB"/>
        </w:rPr>
        <w:t>3</w:t>
      </w:r>
      <w:r w:rsidRPr="00593724">
        <w:rPr>
          <w:rFonts w:ascii="Times New Roman" w:hAnsi="Times New Roman" w:cs="Times New Roman"/>
          <w:b/>
          <w:bCs/>
          <w:sz w:val="22"/>
          <w:szCs w:val="22"/>
          <w:lang w:val="en-GB"/>
        </w:rPr>
        <w:t>.</w:t>
      </w:r>
      <w:r w:rsidRPr="00593724">
        <w:rPr>
          <w:rFonts w:ascii="Times New Roman" w:hAnsi="Times New Roman" w:cs="Times New Roman"/>
          <w:b/>
          <w:bCs/>
          <w:lang w:val="en-GB"/>
        </w:rPr>
        <w:t xml:space="preserve"> </w:t>
      </w:r>
      <w:r w:rsidRPr="00593724">
        <w:rPr>
          <w:rFonts w:ascii="Times New Roman" w:hAnsi="Times New Roman" w:cs="Times New Roman"/>
          <w:b/>
          <w:bCs/>
          <w:i/>
          <w:iCs/>
          <w:color w:val="000000"/>
          <w:kern w:val="0"/>
          <w:sz w:val="22"/>
          <w:szCs w:val="22"/>
        </w:rPr>
        <w:t xml:space="preserve">MFDs for the segments of the Motagua fault: </w:t>
      </w:r>
      <w:r w:rsidRPr="00593724">
        <w:rPr>
          <w:rFonts w:ascii="Times New Roman" w:hAnsi="Times New Roman" w:cs="Times New Roman"/>
          <w:i/>
          <w:iCs/>
          <w:color w:val="000000"/>
          <w:kern w:val="0"/>
          <w:sz w:val="22"/>
          <w:szCs w:val="22"/>
        </w:rPr>
        <w:t>N</w:t>
      </w:r>
      <w:r w:rsidRPr="00593724">
        <w:rPr>
          <w:rFonts w:ascii="Times New Roman" w:hAnsi="Times New Roman" w:cs="Times New Roman"/>
          <w:color w:val="000000"/>
          <w:kern w:val="0"/>
          <w:sz w:val="22"/>
          <w:szCs w:val="22"/>
          <w:vertAlign w:val="subscript"/>
        </w:rPr>
        <w:t>min</w:t>
      </w:r>
      <w:r w:rsidRPr="00593724">
        <w:rPr>
          <w:rFonts w:ascii="Times New Roman" w:hAnsi="Times New Roman" w:cs="Times New Roman"/>
          <w:color w:val="000000"/>
          <w:kern w:val="0"/>
          <w:sz w:val="22"/>
          <w:szCs w:val="22"/>
        </w:rPr>
        <w:t xml:space="preserve"> variation for two slip-rate models and two </w:t>
      </w:r>
      <w:r w:rsidRPr="00593724">
        <w:rPr>
          <w:rFonts w:ascii="Times New Roman" w:hAnsi="Times New Roman" w:cs="Times New Roman"/>
          <w:i/>
          <w:iCs/>
          <w:color w:val="000000"/>
          <w:kern w:val="0"/>
          <w:sz w:val="22"/>
          <w:szCs w:val="22"/>
        </w:rPr>
        <w:t>M</w:t>
      </w:r>
      <w:r w:rsidRPr="00593724">
        <w:rPr>
          <w:rFonts w:ascii="Times New Roman" w:hAnsi="Times New Roman" w:cs="Times New Roman"/>
          <w:color w:val="000000"/>
          <w:kern w:val="0"/>
          <w:sz w:val="22"/>
          <w:szCs w:val="22"/>
          <w:vertAlign w:val="subscript"/>
        </w:rPr>
        <w:t>max</w:t>
      </w:r>
      <w:r w:rsidRPr="00593724">
        <w:rPr>
          <w:rFonts w:ascii="Times New Roman" w:hAnsi="Times New Roman" w:cs="Times New Roman"/>
          <w:color w:val="000000"/>
          <w:kern w:val="0"/>
          <w:sz w:val="22"/>
          <w:szCs w:val="22"/>
        </w:rPr>
        <w:t xml:space="preserve"> constraints: </w:t>
      </w:r>
      <w:r w:rsidRPr="00593724">
        <w:rPr>
          <w:rFonts w:ascii="Times New Roman" w:hAnsi="Times New Roman" w:cs="Times New Roman"/>
          <w:i/>
          <w:iCs/>
          <w:color w:val="000000"/>
          <w:kern w:val="0"/>
          <w:sz w:val="22"/>
          <w:szCs w:val="22"/>
        </w:rPr>
        <w:t>M</w:t>
      </w:r>
      <w:r w:rsidRPr="00593724">
        <w:rPr>
          <w:rFonts w:ascii="Times New Roman" w:hAnsi="Times New Roman" w:cs="Times New Roman"/>
          <w:color w:val="000000"/>
          <w:kern w:val="0"/>
          <w:sz w:val="22"/>
          <w:szCs w:val="22"/>
          <w:vertAlign w:val="subscript"/>
        </w:rPr>
        <w:t>max</w:t>
      </w:r>
      <w:r w:rsidRPr="00593724">
        <w:rPr>
          <w:rFonts w:ascii="Times New Roman" w:hAnsi="Times New Roman" w:cs="Times New Roman"/>
          <w:color w:val="000000"/>
          <w:kern w:val="0"/>
          <w:sz w:val="22"/>
          <w:szCs w:val="22"/>
        </w:rPr>
        <w:noBreakHyphen/>
        <w:t xml:space="preserve">a from scaling relations </w:t>
      </w:r>
      <w:sdt>
        <w:sdtPr>
          <w:rPr>
            <w:rFonts w:ascii="Times New Roman" w:hAnsi="Times New Roman" w:cs="Times New Roman"/>
            <w:color w:val="000000"/>
            <w:sz w:val="22"/>
          </w:rPr>
          <w:tag w:val="MENDELEY_CITATION_v3_eyJjaXRhdGlvbklEIjoiTUVOREVMRVlfQ0lUQVRJT05fM2FmYTkwOTMtMGNhNS00M2E3LWE4NjMtMTQ4ODc4ZmU4NmEzIiwicHJvcGVydGllcyI6eyJub3RlSW5kZXgiOjB9LCJpc0VkaXRlZCI6ZmFsc2UsIm1hbnVhbE92ZXJyaWRlIjp7ImlzTWFudWFsbHlPdmVycmlkZGVuIjpmYWxzZSwiY2l0ZXByb2NUZXh0IjoiKEFycm95by1Tb2zDs3J6YW5vIGV0IGFsLiAyMDI0KSIsIm1hbnVhbE92ZXJyaWRlVGV4dCI6Ii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1dfQ=="/>
          <w:id w:val="-1566635030"/>
          <w:placeholder>
            <w:docPart w:val="5707BC53D2B44375BDC1F30E24B82163"/>
          </w:placeholder>
        </w:sdtPr>
        <w:sdtContent>
          <w:r w:rsidR="00B344CE" w:rsidRPr="00593724">
            <w:rPr>
              <w:rFonts w:ascii="Times New Roman" w:hAnsi="Times New Roman" w:cs="Times New Roman"/>
              <w:color w:val="000000"/>
              <w:kern w:val="0"/>
              <w:sz w:val="22"/>
              <w:szCs w:val="22"/>
            </w:rPr>
            <w:t>(Arroyo-Solórzano et al. 2024)</w:t>
          </w:r>
        </w:sdtContent>
      </w:sdt>
      <w:r w:rsidRPr="00593724">
        <w:rPr>
          <w:rFonts w:ascii="Times New Roman" w:hAnsi="Times New Roman" w:cs="Times New Roman"/>
          <w:color w:val="000000"/>
          <w:kern w:val="0"/>
          <w:sz w:val="22"/>
          <w:szCs w:val="22"/>
        </w:rPr>
        <w:t xml:space="preserve"> and </w:t>
      </w:r>
      <w:r w:rsidRPr="00593724">
        <w:rPr>
          <w:rFonts w:ascii="Times New Roman" w:hAnsi="Times New Roman" w:cs="Times New Roman"/>
          <w:i/>
          <w:iCs/>
          <w:color w:val="000000"/>
          <w:kern w:val="0"/>
          <w:sz w:val="22"/>
          <w:szCs w:val="22"/>
        </w:rPr>
        <w:t>M</w:t>
      </w:r>
      <w:r w:rsidRPr="00593724">
        <w:rPr>
          <w:rFonts w:ascii="Times New Roman" w:hAnsi="Times New Roman" w:cs="Times New Roman"/>
          <w:color w:val="000000"/>
          <w:kern w:val="0"/>
          <w:sz w:val="22"/>
          <w:szCs w:val="22"/>
          <w:vertAlign w:val="subscript"/>
        </w:rPr>
        <w:t>max</w:t>
      </w:r>
      <w:r w:rsidRPr="00593724">
        <w:rPr>
          <w:rFonts w:ascii="Times New Roman" w:hAnsi="Times New Roman" w:cs="Times New Roman"/>
          <w:color w:val="000000"/>
          <w:kern w:val="0"/>
          <w:sz w:val="22"/>
          <w:szCs w:val="22"/>
        </w:rPr>
        <w:noBreakHyphen/>
        <w:t xml:space="preserve">b from probability distribution based on both empirical and observed magnitudes </w:t>
      </w:r>
      <w:sdt>
        <w:sdtPr>
          <w:rPr>
            <w:rFonts w:ascii="Times New Roman" w:hAnsi="Times New Roman" w:cs="Times New Roman"/>
            <w:color w:val="000000"/>
            <w:sz w:val="22"/>
          </w:rPr>
          <w:tag w:val="MENDELEY_CITATION_v3_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"/>
          <w:id w:val="1306135077"/>
          <w:placeholder>
            <w:docPart w:val="5707BC53D2B44375BDC1F30E24B82163"/>
          </w:placeholder>
        </w:sdtPr>
        <w:sdtContent>
          <w:r w:rsidR="00B344CE" w:rsidRPr="00593724">
            <w:rPr>
              <w:rFonts w:ascii="Times New Roman" w:hAnsi="Times New Roman" w:cs="Times New Roman"/>
              <w:color w:val="000000"/>
              <w:kern w:val="0"/>
              <w:sz w:val="22"/>
              <w:szCs w:val="22"/>
            </w:rPr>
            <w:t>(Tavakolizadeh et al. 2025)</w:t>
          </w:r>
        </w:sdtContent>
      </w:sdt>
      <w:r w:rsidRPr="00593724">
        <w:rPr>
          <w:rFonts w:ascii="Times New Roman" w:hAnsi="Times New Roman" w:cs="Times New Roman"/>
          <w:color w:val="000000"/>
          <w:kern w:val="0"/>
          <w:sz w:val="22"/>
          <w:szCs w:val="22"/>
        </w:rPr>
        <w:t>. Segment M01: Reasenberg (1985) (a) and Uhrhammer (1985) (b); segment M02: Reasenberg (1985) (c) and Uhrhammer (1985) (d). Segment M03: Reasenberg (1985) (e) and Uhrhammer (1985) (f); segment M04: Reasenberg (1985) (g) and Uhrhammer (1985) (h).</w:t>
      </w:r>
    </w:p>
    <w:p w14:paraId="7691BE11" w14:textId="77777777" w:rsidR="00E84A76" w:rsidRPr="00593724" w:rsidRDefault="006A665C">
      <w:pPr>
        <w:spacing w:line="360" w:lineRule="auto"/>
        <w:rPr>
          <w:rFonts w:ascii="Times New Roman" w:hAnsi="Times New Roman" w:cs="Times New Roman"/>
          <w:b/>
          <w:bCs/>
          <w:lang w:val="en-GB"/>
        </w:rPr>
      </w:pPr>
      <w:r w:rsidRPr="00593724">
        <w:rPr>
          <w:noProof/>
        </w:rPr>
        <w:drawing>
          <wp:inline distT="0" distB="0" distL="0" distR="0" wp14:anchorId="66F817D7" wp14:editId="35F81432">
            <wp:extent cx="5873020" cy="6560288"/>
            <wp:effectExtent l="0" t="0" r="0" b="0"/>
            <wp:docPr id="4" name="Picture 11" descr="A group of graphs showing the number of different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1" descr="A group of graphs showing the number of different numbers&#10;&#10;AI-generated content may be incorrect."/>
                    <pic:cNvPicPr>
                      <a:picLocks noChangeAspect="1" noChangeArrowheads="1"/>
                    </pic:cNvPicPr>
                  </pic:nvPicPr>
                  <pic:blipFill>
                    <a:blip r:embed="rId35"/>
                    <a:stretch>
                      <a:fillRect/>
                    </a:stretch>
                  </pic:blipFill>
                  <pic:spPr bwMode="auto">
                    <a:xfrm>
                      <a:off x="0" y="0"/>
                      <a:ext cx="5875312" cy="6562848"/>
                    </a:xfrm>
                    <a:prstGeom prst="rect">
                      <a:avLst/>
                    </a:prstGeom>
                    <a:noFill/>
                  </pic:spPr>
                </pic:pic>
              </a:graphicData>
            </a:graphic>
          </wp:inline>
        </w:drawing>
      </w:r>
    </w:p>
    <w:p w14:paraId="7790DEE7" w14:textId="1A64BFA9" w:rsidR="00E84A76" w:rsidRPr="00593724" w:rsidRDefault="006A665C">
      <w:pPr>
        <w:rPr>
          <w:rFonts w:ascii="Times New Roman" w:hAnsi="Times New Roman" w:cs="Times New Roman"/>
          <w:lang w:val="en-GB"/>
        </w:rPr>
        <w:sectPr w:rsidR="00E84A76" w:rsidRPr="00593724">
          <w:headerReference w:type="even" r:id="rId36"/>
          <w:headerReference w:type="default" r:id="rId37"/>
          <w:footerReference w:type="even" r:id="rId38"/>
          <w:footerReference w:type="default" r:id="rId39"/>
          <w:headerReference w:type="first" r:id="rId40"/>
          <w:footerReference w:type="first" r:id="rId41"/>
          <w:pgSz w:w="12240" w:h="15840"/>
          <w:pgMar w:top="1440" w:right="1440" w:bottom="1440" w:left="1440" w:header="0" w:footer="0" w:gutter="0"/>
          <w:lnNumType w:countBy="1" w:distance="283" w:restart="continuous"/>
          <w:cols w:space="720"/>
          <w:formProt w:val="0"/>
          <w:docGrid w:linePitch="360"/>
        </w:sectPr>
      </w:pPr>
      <w:r w:rsidRPr="00593724">
        <w:rPr>
          <w:rFonts w:ascii="Times New Roman" w:hAnsi="Times New Roman" w:cs="Times New Roman"/>
          <w:b/>
          <w:bCs/>
          <w:sz w:val="22"/>
          <w:szCs w:val="22"/>
          <w:lang w:val="en-GB"/>
        </w:rPr>
        <w:t>Figure A4.</w:t>
      </w:r>
      <w:r w:rsidRPr="00593724">
        <w:rPr>
          <w:rFonts w:ascii="Times New Roman" w:hAnsi="Times New Roman" w:cs="Times New Roman"/>
          <w:b/>
          <w:bCs/>
          <w:lang w:val="en-GB"/>
        </w:rPr>
        <w:t xml:space="preserve"> </w:t>
      </w:r>
      <w:r w:rsidRPr="00593724">
        <w:rPr>
          <w:rFonts w:ascii="Times New Roman" w:hAnsi="Times New Roman" w:cs="Times New Roman"/>
          <w:b/>
          <w:bCs/>
          <w:i/>
          <w:iCs/>
          <w:color w:val="000000"/>
          <w:kern w:val="0"/>
          <w:sz w:val="22"/>
          <w:szCs w:val="22"/>
        </w:rPr>
        <w:t xml:space="preserve">MFDs for the segments of the Jalpatagua fault: </w:t>
      </w:r>
      <w:r w:rsidRPr="00593724">
        <w:rPr>
          <w:rFonts w:ascii="Times New Roman" w:hAnsi="Times New Roman" w:cs="Times New Roman"/>
          <w:i/>
          <w:iCs/>
          <w:color w:val="000000"/>
          <w:kern w:val="0"/>
          <w:sz w:val="22"/>
          <w:szCs w:val="22"/>
        </w:rPr>
        <w:t>N</w:t>
      </w:r>
      <w:r w:rsidRPr="00593724">
        <w:rPr>
          <w:rFonts w:ascii="Times New Roman" w:hAnsi="Times New Roman" w:cs="Times New Roman"/>
          <w:color w:val="000000"/>
          <w:kern w:val="0"/>
          <w:sz w:val="22"/>
          <w:szCs w:val="22"/>
          <w:vertAlign w:val="subscript"/>
        </w:rPr>
        <w:t>min</w:t>
      </w:r>
      <w:r w:rsidRPr="00593724">
        <w:rPr>
          <w:rFonts w:ascii="Times New Roman" w:hAnsi="Times New Roman" w:cs="Times New Roman"/>
          <w:color w:val="000000"/>
          <w:kern w:val="0"/>
          <w:sz w:val="22"/>
          <w:szCs w:val="22"/>
        </w:rPr>
        <w:t xml:space="preserve"> variation for two slip-rate models and two </w:t>
      </w:r>
      <w:r w:rsidRPr="00593724">
        <w:rPr>
          <w:rFonts w:ascii="Times New Roman" w:hAnsi="Times New Roman" w:cs="Times New Roman"/>
          <w:i/>
          <w:iCs/>
          <w:color w:val="000000"/>
          <w:kern w:val="0"/>
          <w:sz w:val="22"/>
          <w:szCs w:val="22"/>
        </w:rPr>
        <w:t>M</w:t>
      </w:r>
      <w:r w:rsidRPr="00593724">
        <w:rPr>
          <w:rFonts w:ascii="Times New Roman" w:hAnsi="Times New Roman" w:cs="Times New Roman"/>
          <w:color w:val="000000"/>
          <w:kern w:val="0"/>
          <w:sz w:val="22"/>
          <w:szCs w:val="22"/>
          <w:vertAlign w:val="subscript"/>
        </w:rPr>
        <w:t>max</w:t>
      </w:r>
      <w:r w:rsidRPr="00593724">
        <w:rPr>
          <w:rFonts w:ascii="Times New Roman" w:hAnsi="Times New Roman" w:cs="Times New Roman"/>
          <w:color w:val="000000"/>
          <w:kern w:val="0"/>
          <w:sz w:val="22"/>
          <w:szCs w:val="22"/>
        </w:rPr>
        <w:t xml:space="preserve"> constraints: </w:t>
      </w:r>
      <w:r w:rsidRPr="00593724">
        <w:rPr>
          <w:rFonts w:ascii="Times New Roman" w:hAnsi="Times New Roman" w:cs="Times New Roman"/>
          <w:i/>
          <w:iCs/>
          <w:color w:val="000000"/>
          <w:kern w:val="0"/>
          <w:sz w:val="22"/>
          <w:szCs w:val="22"/>
        </w:rPr>
        <w:t>M</w:t>
      </w:r>
      <w:r w:rsidRPr="00593724">
        <w:rPr>
          <w:rFonts w:ascii="Times New Roman" w:hAnsi="Times New Roman" w:cs="Times New Roman"/>
          <w:color w:val="000000"/>
          <w:kern w:val="0"/>
          <w:sz w:val="22"/>
          <w:szCs w:val="22"/>
          <w:vertAlign w:val="subscript"/>
        </w:rPr>
        <w:t>max</w:t>
      </w:r>
      <w:r w:rsidRPr="00593724">
        <w:rPr>
          <w:rFonts w:ascii="Times New Roman" w:hAnsi="Times New Roman" w:cs="Times New Roman"/>
          <w:color w:val="000000"/>
          <w:kern w:val="0"/>
          <w:sz w:val="22"/>
          <w:szCs w:val="22"/>
        </w:rPr>
        <w:noBreakHyphen/>
        <w:t xml:space="preserve">a from scaling relations </w:t>
      </w:r>
      <w:sdt>
        <w:sdtPr>
          <w:rPr>
            <w:rFonts w:ascii="Times New Roman" w:hAnsi="Times New Roman" w:cs="Times New Roman"/>
            <w:color w:val="000000"/>
            <w:sz w:val="22"/>
          </w:rPr>
          <w:tag w:val="MENDELEY_CITATION_v3_eyJjaXRhdGlvbklEIjoiTUVOREVMRVlfQ0lUQVRJT05fODA2Y2UwOTMtZDQ5ZS00YTZkLWI2MjUtMzVkZjMzMzBkYjQ2IiwicHJvcGVydGllcyI6eyJub3RlSW5kZXgiOjB9LCJpc0VkaXRlZCI6ZmFsc2UsIm1hbnVhbE92ZXJyaWRlIjp7ImlzTWFudWFsbHlPdmVycmlkZGVuIjpmYWxzZSwiY2l0ZXByb2NUZXh0IjoiKEFycm95by1Tb2zDs3J6YW5vIGV0IGFsLiAyMDI0KSIsIm1hbnVhbE92ZXJyaWRlVGV4dCI6Ii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1dfQ=="/>
          <w:id w:val="437950469"/>
          <w:placeholder>
            <w:docPart w:val="947F6DEE80A4451AA926C68F27F0BF02"/>
          </w:placeholder>
        </w:sdtPr>
        <w:sdtContent>
          <w:r w:rsidR="00B344CE" w:rsidRPr="00593724">
            <w:rPr>
              <w:rFonts w:ascii="Times New Roman" w:hAnsi="Times New Roman" w:cs="Times New Roman"/>
              <w:color w:val="000000"/>
              <w:kern w:val="0"/>
              <w:sz w:val="22"/>
              <w:szCs w:val="22"/>
            </w:rPr>
            <w:t>(Arroyo-Solórzano et al. 2024)</w:t>
          </w:r>
        </w:sdtContent>
      </w:sdt>
      <w:r w:rsidRPr="00593724">
        <w:rPr>
          <w:rFonts w:ascii="Times New Roman" w:hAnsi="Times New Roman" w:cs="Times New Roman"/>
          <w:color w:val="000000"/>
          <w:kern w:val="0"/>
          <w:sz w:val="22"/>
          <w:szCs w:val="22"/>
        </w:rPr>
        <w:t xml:space="preserve"> and </w:t>
      </w:r>
      <w:r w:rsidRPr="00593724">
        <w:rPr>
          <w:rFonts w:ascii="Times New Roman" w:hAnsi="Times New Roman" w:cs="Times New Roman"/>
          <w:i/>
          <w:iCs/>
          <w:color w:val="000000"/>
          <w:kern w:val="0"/>
          <w:sz w:val="22"/>
          <w:szCs w:val="22"/>
        </w:rPr>
        <w:t>M</w:t>
      </w:r>
      <w:r w:rsidRPr="00593724">
        <w:rPr>
          <w:rFonts w:ascii="Times New Roman" w:hAnsi="Times New Roman" w:cs="Times New Roman"/>
          <w:color w:val="000000"/>
          <w:kern w:val="0"/>
          <w:sz w:val="22"/>
          <w:szCs w:val="22"/>
          <w:vertAlign w:val="subscript"/>
        </w:rPr>
        <w:t>max</w:t>
      </w:r>
      <w:r w:rsidRPr="00593724">
        <w:rPr>
          <w:rFonts w:ascii="Times New Roman" w:hAnsi="Times New Roman" w:cs="Times New Roman"/>
          <w:color w:val="000000"/>
          <w:kern w:val="0"/>
          <w:sz w:val="22"/>
          <w:szCs w:val="22"/>
        </w:rPr>
        <w:noBreakHyphen/>
        <w:t xml:space="preserve">b from probability distribution based on both empirical and observed magnitudes </w:t>
      </w:r>
      <w:sdt>
        <w:sdtPr>
          <w:rPr>
            <w:rFonts w:ascii="Times New Roman" w:hAnsi="Times New Roman" w:cs="Times New Roman"/>
            <w:color w:val="000000"/>
            <w:sz w:val="22"/>
          </w:rPr>
          <w:tag w:val="MENDELEY_CITATION_v3_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"/>
          <w:id w:val="1605994751"/>
          <w:placeholder>
            <w:docPart w:val="947F6DEE80A4451AA926C68F27F0BF02"/>
          </w:placeholder>
        </w:sdtPr>
        <w:sdtContent>
          <w:r w:rsidR="00B344CE" w:rsidRPr="00593724">
            <w:rPr>
              <w:rFonts w:ascii="Times New Roman" w:hAnsi="Times New Roman" w:cs="Times New Roman"/>
              <w:color w:val="000000"/>
              <w:kern w:val="0"/>
              <w:sz w:val="22"/>
              <w:szCs w:val="22"/>
            </w:rPr>
            <w:t>(Tavakolizadeh et al. 2025)</w:t>
          </w:r>
        </w:sdtContent>
      </w:sdt>
      <w:r w:rsidRPr="00593724">
        <w:rPr>
          <w:rFonts w:ascii="Times New Roman" w:hAnsi="Times New Roman" w:cs="Times New Roman"/>
          <w:color w:val="000000"/>
          <w:kern w:val="0"/>
          <w:sz w:val="22"/>
          <w:szCs w:val="22"/>
        </w:rPr>
        <w:t>. Segment J01: Reasenberg (1985) (a) and Uhrhammer (1985) (b); segment J02: Reasenberg (1985) (c) and Uhrhammer (1985) (d). Segment J03: Reasenberg (1985) (e) and Uhrhammer (1985) (f).</w:t>
      </w:r>
    </w:p>
    <w:p w14:paraId="0BC44506" w14:textId="77777777" w:rsidR="00E84A76" w:rsidRPr="00593724" w:rsidRDefault="006A665C">
      <w:pPr>
        <w:spacing w:line="360" w:lineRule="auto"/>
        <w:jc w:val="center"/>
        <w:rPr>
          <w:rFonts w:ascii="Times New Roman" w:hAnsi="Times New Roman" w:cs="Times New Roman"/>
          <w:b/>
          <w:bCs/>
          <w:lang w:val="es-CR"/>
        </w:rPr>
      </w:pPr>
      <w:r w:rsidRPr="00593724">
        <w:rPr>
          <w:noProof/>
        </w:rPr>
        <w:drawing>
          <wp:inline distT="0" distB="0" distL="0" distR="0" wp14:anchorId="5A815C0B" wp14:editId="2FB4FF9E">
            <wp:extent cx="5911850" cy="6737985"/>
            <wp:effectExtent l="0" t="0" r="0" b="0"/>
            <wp:docPr id="5" name="Picture 8" descr="A graph of different types of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descr="A graph of different types of lines&#10;&#10;AI-generated content may be incorrect."/>
                    <pic:cNvPicPr>
                      <a:picLocks noChangeAspect="1" noChangeArrowheads="1"/>
                    </pic:cNvPicPr>
                  </pic:nvPicPr>
                  <pic:blipFill>
                    <a:blip r:embed="rId42"/>
                    <a:stretch>
                      <a:fillRect/>
                    </a:stretch>
                  </pic:blipFill>
                  <pic:spPr bwMode="auto">
                    <a:xfrm>
                      <a:off x="0" y="0"/>
                      <a:ext cx="5911850" cy="6737985"/>
                    </a:xfrm>
                    <a:prstGeom prst="rect">
                      <a:avLst/>
                    </a:prstGeom>
                    <a:noFill/>
                  </pic:spPr>
                </pic:pic>
              </a:graphicData>
            </a:graphic>
          </wp:inline>
        </w:drawing>
      </w:r>
    </w:p>
    <w:p w14:paraId="48C443EC" w14:textId="79B84131" w:rsidR="00E84A76" w:rsidRPr="00593724" w:rsidRDefault="006A665C">
      <w:pPr>
        <w:rPr>
          <w:rFonts w:ascii="Times New Roman" w:hAnsi="Times New Roman" w:cs="Times New Roman"/>
        </w:rPr>
        <w:sectPr w:rsidR="00E84A76" w:rsidRPr="00593724">
          <w:headerReference w:type="even" r:id="rId43"/>
          <w:headerReference w:type="default" r:id="rId44"/>
          <w:footerReference w:type="even" r:id="rId45"/>
          <w:footerReference w:type="default" r:id="rId46"/>
          <w:headerReference w:type="first" r:id="rId47"/>
          <w:footerReference w:type="first" r:id="rId48"/>
          <w:pgSz w:w="12240" w:h="15840"/>
          <w:pgMar w:top="1440" w:right="1440" w:bottom="1440" w:left="1440" w:header="0" w:footer="0" w:gutter="0"/>
          <w:lnNumType w:countBy="1" w:distance="283" w:restart="continuous"/>
          <w:cols w:space="720"/>
          <w:formProt w:val="0"/>
          <w:docGrid w:linePitch="360"/>
        </w:sectPr>
      </w:pPr>
      <w:r w:rsidRPr="00593724">
        <w:rPr>
          <w:rFonts w:ascii="Times New Roman" w:hAnsi="Times New Roman" w:cs="Times New Roman"/>
          <w:b/>
          <w:bCs/>
          <w:sz w:val="22"/>
          <w:szCs w:val="22"/>
        </w:rPr>
        <w:t>Figure A5.</w:t>
      </w:r>
      <w:r w:rsidRPr="00593724">
        <w:rPr>
          <w:rFonts w:ascii="Times New Roman" w:hAnsi="Times New Roman" w:cs="Times New Roman"/>
          <w:b/>
          <w:bCs/>
        </w:rPr>
        <w:t xml:space="preserve"> </w:t>
      </w:r>
      <w:r w:rsidRPr="00593724">
        <w:rPr>
          <w:rFonts w:ascii="Times New Roman" w:hAnsi="Times New Roman" w:cs="Times New Roman"/>
          <w:b/>
          <w:bCs/>
          <w:i/>
          <w:iCs/>
          <w:color w:val="000000"/>
          <w:kern w:val="0"/>
          <w:sz w:val="22"/>
          <w:szCs w:val="22"/>
        </w:rPr>
        <w:t xml:space="preserve">MFDs for the major faults considering multi-ruptures: </w:t>
      </w:r>
      <w:r w:rsidRPr="00593724">
        <w:rPr>
          <w:rFonts w:ascii="Times New Roman" w:hAnsi="Times New Roman" w:cs="Times New Roman"/>
          <w:sz w:val="22"/>
          <w:szCs w:val="22"/>
        </w:rPr>
        <w:t xml:space="preserve">Resulting MFD assuming the possibility of multiple ruptures of the fault systems: a) Polochic-Chixoy fault, b) Motagua fault, c) Jalpatagua fault. The estimations are based on the characterization proposed in Tables 2 and 3 and computed using the </w:t>
      </w:r>
      <w:r w:rsidRPr="00593724">
        <w:rPr>
          <w:rFonts w:ascii="Times New Roman" w:hAnsi="Times New Roman" w:cs="Times New Roman"/>
          <w:i/>
          <w:iCs/>
          <w:sz w:val="22"/>
          <w:szCs w:val="22"/>
        </w:rPr>
        <w:t>SHERIFS</w:t>
      </w:r>
      <w:r w:rsidRPr="00593724">
        <w:rPr>
          <w:rFonts w:ascii="Times New Roman" w:hAnsi="Times New Roman" w:cs="Times New Roman"/>
          <w:sz w:val="22"/>
          <w:szCs w:val="22"/>
        </w:rPr>
        <w:t xml:space="preserve"> software </w:t>
      </w:r>
      <w:sdt>
        <w:sdtPr>
          <w:rPr>
            <w:rFonts w:ascii="Times New Roman" w:hAnsi="Times New Roman" w:cs="Times New Roman"/>
            <w:color w:val="000000"/>
            <w:sz w:val="22"/>
          </w:rPr>
          <w:tag w:val="MENDELEY_CITATION_v3_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"/>
          <w:id w:val="1395241702"/>
          <w:placeholder>
            <w:docPart w:val="3EBD73E00D0945F5B53BC47C46361231"/>
          </w:placeholder>
        </w:sdtPr>
        <w:sdtContent>
          <w:r w:rsidR="00B344CE" w:rsidRPr="00593724">
            <w:rPr>
              <w:rFonts w:ascii="Times New Roman" w:hAnsi="Times New Roman" w:cs="Times New Roman"/>
              <w:color w:val="000000"/>
              <w:sz w:val="22"/>
              <w:szCs w:val="22"/>
            </w:rPr>
            <w:t>(Chartier et al. 2019)</w:t>
          </w:r>
        </w:sdtContent>
      </w:sdt>
      <w:r w:rsidRPr="00593724">
        <w:rPr>
          <w:rFonts w:ascii="Times New Roman" w:hAnsi="Times New Roman" w:cs="Times New Roman"/>
          <w:sz w:val="22"/>
          <w:szCs w:val="22"/>
        </w:rPr>
        <w:t xml:space="preserve">. </w:t>
      </w:r>
    </w:p>
    <w:p w14:paraId="14639E83" w14:textId="13C3CB33" w:rsidR="009C526A" w:rsidRPr="00593724" w:rsidRDefault="00C42BDE" w:rsidP="00C42BDE">
      <w:pPr>
        <w:jc w:val="center"/>
        <w:rPr>
          <w:rFonts w:ascii="Times New Roman" w:hAnsi="Times New Roman" w:cs="Times New Roman"/>
          <w:b/>
          <w:bCs/>
        </w:rPr>
      </w:pPr>
      <w:r w:rsidRPr="00593724">
        <w:rPr>
          <w:rFonts w:ascii="Times New Roman" w:hAnsi="Times New Roman" w:cs="Times New Roman"/>
          <w:b/>
          <w:bCs/>
          <w:noProof/>
        </w:rPr>
        <w:drawing>
          <wp:inline distT="0" distB="0" distL="0" distR="0" wp14:anchorId="15CBA286" wp14:editId="54DF1389">
            <wp:extent cx="5320326" cy="358317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49">
                      <a:extLst>
                        <a:ext uri="{28A0092B-C50C-407E-A947-70E740481C1C}">
                          <a14:useLocalDpi xmlns:a14="http://schemas.microsoft.com/office/drawing/2010/main" val="0"/>
                        </a:ext>
                      </a:extLst>
                    </a:blip>
                    <a:stretch>
                      <a:fillRect/>
                    </a:stretch>
                  </pic:blipFill>
                  <pic:spPr>
                    <a:xfrm>
                      <a:off x="0" y="0"/>
                      <a:ext cx="5325085" cy="3586378"/>
                    </a:xfrm>
                    <a:prstGeom prst="rect">
                      <a:avLst/>
                    </a:prstGeom>
                  </pic:spPr>
                </pic:pic>
              </a:graphicData>
            </a:graphic>
          </wp:inline>
        </w:drawing>
      </w:r>
    </w:p>
    <w:p w14:paraId="02BEA1A1" w14:textId="504E487C" w:rsidR="0072352C" w:rsidRPr="00593724" w:rsidRDefault="00C42BDE" w:rsidP="0072352C">
      <w:pPr>
        <w:rPr>
          <w:rFonts w:ascii="Times New Roman" w:hAnsi="Times New Roman" w:cs="Times New Roman"/>
          <w:sz w:val="20"/>
          <w:szCs w:val="20"/>
          <w:lang w:val="en-GB"/>
        </w:rPr>
      </w:pPr>
      <w:r w:rsidRPr="00593724">
        <w:rPr>
          <w:rFonts w:ascii="Times New Roman" w:hAnsi="Times New Roman" w:cs="Times New Roman"/>
          <w:b/>
          <w:bCs/>
          <w:sz w:val="22"/>
          <w:szCs w:val="22"/>
          <w:lang w:val="en-GB"/>
        </w:rPr>
        <w:t>Figure A</w:t>
      </w:r>
      <w:r w:rsidR="00926960" w:rsidRPr="00593724">
        <w:rPr>
          <w:rFonts w:ascii="Times New Roman" w:hAnsi="Times New Roman" w:cs="Times New Roman"/>
          <w:b/>
          <w:bCs/>
          <w:sz w:val="22"/>
          <w:szCs w:val="22"/>
          <w:lang w:val="en-GB"/>
        </w:rPr>
        <w:t>6</w:t>
      </w:r>
      <w:r w:rsidRPr="00593724">
        <w:rPr>
          <w:rFonts w:ascii="Times New Roman" w:hAnsi="Times New Roman" w:cs="Times New Roman"/>
          <w:b/>
          <w:bCs/>
          <w:sz w:val="22"/>
          <w:szCs w:val="22"/>
          <w:lang w:val="en-GB"/>
        </w:rPr>
        <w:t>.</w:t>
      </w:r>
      <w:r w:rsidRPr="00593724">
        <w:rPr>
          <w:rFonts w:ascii="Times New Roman" w:hAnsi="Times New Roman" w:cs="Times New Roman"/>
          <w:b/>
          <w:bCs/>
          <w:lang w:val="en-GB"/>
        </w:rPr>
        <w:t xml:space="preserve"> </w:t>
      </w:r>
      <w:r w:rsidR="00347A74" w:rsidRPr="00593724">
        <w:rPr>
          <w:rFonts w:ascii="Times New Roman" w:hAnsi="Times New Roman" w:cs="Times New Roman"/>
          <w:sz w:val="22"/>
          <w:szCs w:val="22"/>
          <w:lang w:val="en-GB"/>
        </w:rPr>
        <w:t xml:space="preserve">Fault </w:t>
      </w:r>
      <w:r w:rsidR="000B43C4" w:rsidRPr="00593724">
        <w:rPr>
          <w:rFonts w:ascii="Times New Roman" w:hAnsi="Times New Roman" w:cs="Times New Roman"/>
          <w:sz w:val="22"/>
          <w:szCs w:val="22"/>
          <w:lang w:val="en-GB"/>
        </w:rPr>
        <w:t>aggravation</w:t>
      </w:r>
      <w:r w:rsidR="00347A74" w:rsidRPr="00593724">
        <w:rPr>
          <w:rFonts w:ascii="Times New Roman" w:hAnsi="Times New Roman" w:cs="Times New Roman"/>
          <w:sz w:val="22"/>
          <w:szCs w:val="22"/>
          <w:lang w:val="en-GB"/>
        </w:rPr>
        <w:t xml:space="preserve"> factor (</w:t>
      </w:r>
      <w:r w:rsidR="00347A74" w:rsidRPr="00593724">
        <w:rPr>
          <w:rFonts w:ascii="Times New Roman" w:hAnsi="Times New Roman" w:cs="Times New Roman"/>
          <w:i/>
          <w:iCs/>
          <w:sz w:val="22"/>
          <w:szCs w:val="22"/>
          <w:lang w:val="en-GB"/>
        </w:rPr>
        <w:t>FAF</w:t>
      </w:r>
      <w:r w:rsidR="00347A74" w:rsidRPr="00593724">
        <w:rPr>
          <w:rFonts w:ascii="Times New Roman" w:hAnsi="Times New Roman" w:cs="Times New Roman"/>
          <w:sz w:val="22"/>
          <w:szCs w:val="22"/>
          <w:lang w:val="en-GB"/>
        </w:rPr>
        <w:t>) as a function of distance to the fault for individual fault segments. Each segment is shown in a different color, with dashed lines representing</w:t>
      </w:r>
      <w:r w:rsidR="0072352C" w:rsidRPr="00593724">
        <w:rPr>
          <w:rFonts w:ascii="Times New Roman" w:hAnsi="Times New Roman" w:cs="Times New Roman"/>
          <w:sz w:val="22"/>
          <w:szCs w:val="22"/>
          <w:lang w:val="en-GB"/>
        </w:rPr>
        <w:t xml:space="preserve"> </w:t>
      </w:r>
      <w:r w:rsidR="00347A74" w:rsidRPr="00593724">
        <w:rPr>
          <w:rFonts w:ascii="Times New Roman" w:hAnsi="Times New Roman" w:cs="Times New Roman"/>
          <w:sz w:val="22"/>
          <w:szCs w:val="22"/>
          <w:lang w:val="en-GB"/>
        </w:rPr>
        <w:t>exponential fits of the form</w:t>
      </w:r>
      <w:r w:rsidR="0072352C" w:rsidRPr="00593724">
        <w:rPr>
          <w:rFonts w:ascii="Times New Roman" w:hAnsi="Times New Roman" w:cs="Times New Roman"/>
          <w:sz w:val="22"/>
          <w:szCs w:val="22"/>
          <w:lang w:val="en-GB"/>
        </w:rPr>
        <w:t xml:space="preserve"> </w:t>
      </w:r>
      <m:oMath>
        <m:r>
          <w:rPr>
            <w:rFonts w:ascii="Cambria Math" w:hAnsi="Cambria Math" w:cs="Times New Roman"/>
            <w:sz w:val="20"/>
            <w:szCs w:val="20"/>
          </w:rPr>
          <m:t>FAF(d)=1</m:t>
        </m:r>
        <m:r>
          <w:rPr>
            <w:rFonts w:ascii="Cambria Math" w:hAnsi="Cambria Math" w:cs="Times New Roman"/>
            <w:sz w:val="20"/>
            <w:szCs w:val="20"/>
            <w:lang w:val="en-GB"/>
          </w:rPr>
          <m:t>+</m:t>
        </m:r>
        <m:sSub>
          <m:sSubPr>
            <m:ctrlPr>
              <w:rPr>
                <w:rFonts w:ascii="Cambria Math" w:eastAsiaTheme="minorHAnsi" w:hAnsi="Cambria Math" w:cs="Times New Roman"/>
                <w:bCs/>
                <w:i/>
                <w:sz w:val="20"/>
                <w:szCs w:val="20"/>
                <w:lang w:val="en-GB" w:eastAsia="en-US"/>
                <w14:ligatures w14:val="standardContextual"/>
              </w:rPr>
            </m:ctrlPr>
          </m:sSubPr>
          <m:e>
            <m:r>
              <w:rPr>
                <w:rFonts w:ascii="Cambria Math" w:hAnsi="Cambria Math" w:cs="Times New Roman"/>
                <w:sz w:val="20"/>
                <w:szCs w:val="20"/>
                <w:lang w:val="en-GB"/>
              </w:rPr>
              <m:t>A</m:t>
            </m:r>
          </m:e>
          <m:sub>
            <m:r>
              <w:rPr>
                <w:rFonts w:ascii="Cambria Math" w:hAnsi="Cambria Math" w:cs="Times New Roman"/>
                <w:sz w:val="20"/>
                <w:szCs w:val="20"/>
                <w:lang w:val="en-GB"/>
              </w:rPr>
              <m:t>0</m:t>
            </m:r>
          </m:sub>
        </m:sSub>
        <m:r>
          <w:rPr>
            <w:rFonts w:ascii="Cambria Math" w:hAnsi="Cambria Math" w:cs="Times New Roman"/>
            <w:sz w:val="20"/>
            <w:szCs w:val="20"/>
          </w:rPr>
          <m:t>*</m:t>
        </m:r>
        <m:sSup>
          <m:sSupPr>
            <m:ctrlPr>
              <w:rPr>
                <w:rFonts w:ascii="Cambria Math" w:eastAsiaTheme="minorHAnsi" w:hAnsi="Cambria Math" w:cs="Times New Roman"/>
                <w:bCs/>
                <w:i/>
                <w:sz w:val="20"/>
                <w:szCs w:val="20"/>
                <w:lang w:eastAsia="en-US"/>
                <w14:ligatures w14:val="standardContextual"/>
              </w:rPr>
            </m:ctrlPr>
          </m:sSupPr>
          <m:e>
            <m:r>
              <w:rPr>
                <w:rFonts w:ascii="Cambria Math" w:hAnsi="Cambria Math" w:cs="Times New Roman"/>
                <w:sz w:val="20"/>
                <w:szCs w:val="20"/>
                <w14:ligatures w14:val="standardContextual"/>
              </w:rPr>
              <m:t>e</m:t>
            </m:r>
          </m:e>
          <m:sup>
            <m:r>
              <w:rPr>
                <w:rFonts w:ascii="Cambria Math" w:hAnsi="Cambria Math" w:cs="Times New Roman"/>
                <w:sz w:val="20"/>
                <w:szCs w:val="20"/>
                <w14:ligatures w14:val="standardContextual"/>
              </w:rPr>
              <m:t>-</m:t>
            </m:r>
            <m:r>
              <w:rPr>
                <w:rFonts w:ascii="Cambria Math" w:hAnsi="Cambria Math" w:cs="Times New Roman"/>
                <w:sz w:val="20"/>
                <w:szCs w:val="20"/>
              </w:rPr>
              <m:t>d/dc</m:t>
            </m:r>
          </m:sup>
        </m:sSup>
      </m:oMath>
      <w:r w:rsidR="0072352C" w:rsidRPr="00593724">
        <w:rPr>
          <w:rFonts w:ascii="Times New Roman" w:hAnsi="Times New Roman" w:cs="Times New Roman"/>
          <w:bCs/>
          <w:sz w:val="20"/>
          <w:szCs w:val="20"/>
          <w:lang w:eastAsia="en-US"/>
          <w14:ligatures w14:val="standardContextual"/>
        </w:rPr>
        <w:t xml:space="preserve">. </w:t>
      </w:r>
      <w:r w:rsidR="0072352C" w:rsidRPr="00593724">
        <w:rPr>
          <w:rFonts w:ascii="Times New Roman" w:hAnsi="Times New Roman" w:cs="Times New Roman"/>
          <w:sz w:val="22"/>
          <w:szCs w:val="22"/>
          <w:lang w:val="en-GB"/>
        </w:rPr>
        <w:t>Note the differential behavior of some segments (M02, M03 and M04) compared to others in both data trends and fitted curves.</w:t>
      </w:r>
    </w:p>
    <w:p w14:paraId="74164CA3" w14:textId="0E4EC762" w:rsidR="00C42BDE" w:rsidRPr="00593724" w:rsidRDefault="00C42BDE" w:rsidP="00C42BDE">
      <w:pPr>
        <w:jc w:val="center"/>
        <w:rPr>
          <w:rFonts w:ascii="Times New Roman" w:hAnsi="Times New Roman" w:cs="Times New Roman"/>
          <w:b/>
          <w:bCs/>
        </w:rPr>
      </w:pPr>
      <w:r w:rsidRPr="00593724">
        <w:rPr>
          <w:rFonts w:ascii="Times New Roman" w:hAnsi="Times New Roman" w:cs="Times New Roman"/>
          <w:b/>
          <w:bCs/>
          <w:noProof/>
        </w:rPr>
        <w:drawing>
          <wp:inline distT="0" distB="0" distL="0" distR="0" wp14:anchorId="7D999EF3" wp14:editId="5FCBC903">
            <wp:extent cx="5972232" cy="5954233"/>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979993" cy="5961971"/>
                    </a:xfrm>
                    <a:prstGeom prst="rect">
                      <a:avLst/>
                    </a:prstGeom>
                  </pic:spPr>
                </pic:pic>
              </a:graphicData>
            </a:graphic>
          </wp:inline>
        </w:drawing>
      </w:r>
    </w:p>
    <w:p w14:paraId="121116C8" w14:textId="3CA08CA6" w:rsidR="00926960" w:rsidRPr="00593724" w:rsidRDefault="00C42BDE" w:rsidP="00C42BDE">
      <w:pPr>
        <w:rPr>
          <w:rFonts w:ascii="Times New Roman" w:hAnsi="Times New Roman" w:cs="Times New Roman"/>
          <w:sz w:val="22"/>
          <w:szCs w:val="22"/>
        </w:rPr>
      </w:pPr>
      <w:r w:rsidRPr="00593724">
        <w:rPr>
          <w:rFonts w:ascii="Times New Roman" w:hAnsi="Times New Roman" w:cs="Times New Roman"/>
          <w:b/>
          <w:bCs/>
          <w:sz w:val="22"/>
          <w:szCs w:val="22"/>
          <w:lang w:val="en-GB"/>
        </w:rPr>
        <w:t>Figure A</w:t>
      </w:r>
      <w:r w:rsidR="00926960" w:rsidRPr="00593724">
        <w:rPr>
          <w:rFonts w:ascii="Times New Roman" w:hAnsi="Times New Roman" w:cs="Times New Roman"/>
          <w:b/>
          <w:bCs/>
          <w:sz w:val="22"/>
          <w:szCs w:val="22"/>
          <w:lang w:val="en-GB"/>
        </w:rPr>
        <w:t>7</w:t>
      </w:r>
      <w:r w:rsidRPr="00593724">
        <w:rPr>
          <w:rFonts w:ascii="Times New Roman" w:hAnsi="Times New Roman" w:cs="Times New Roman"/>
          <w:b/>
          <w:bCs/>
          <w:sz w:val="22"/>
          <w:szCs w:val="22"/>
          <w:lang w:val="en-GB"/>
        </w:rPr>
        <w:t xml:space="preserve">. </w:t>
      </w:r>
      <w:r w:rsidR="00347A74" w:rsidRPr="00593724">
        <w:rPr>
          <w:rFonts w:ascii="Times New Roman" w:hAnsi="Times New Roman" w:cs="Times New Roman"/>
          <w:b/>
          <w:bCs/>
          <w:sz w:val="22"/>
          <w:szCs w:val="22"/>
          <w:lang w:val="en-GB"/>
        </w:rPr>
        <w:t>Residuals</w:t>
      </w:r>
      <w:r w:rsidR="00E55B3F" w:rsidRPr="00593724">
        <w:rPr>
          <w:rFonts w:ascii="Times New Roman" w:hAnsi="Times New Roman" w:cs="Times New Roman"/>
          <w:b/>
          <w:bCs/>
          <w:sz w:val="22"/>
          <w:szCs w:val="22"/>
          <w:lang w:val="en-GB"/>
        </w:rPr>
        <w:t xml:space="preserve"> (observed-predicted </w:t>
      </w:r>
      <w:r w:rsidR="00E55B3F" w:rsidRPr="00593724">
        <w:rPr>
          <w:rFonts w:ascii="Times New Roman" w:hAnsi="Times New Roman" w:cs="Times New Roman"/>
          <w:b/>
          <w:bCs/>
          <w:i/>
          <w:iCs/>
          <w:sz w:val="22"/>
          <w:szCs w:val="22"/>
          <w:lang w:val="en-GB"/>
        </w:rPr>
        <w:t>FAF</w:t>
      </w:r>
      <w:r w:rsidR="00E55B3F" w:rsidRPr="00593724">
        <w:rPr>
          <w:rFonts w:ascii="Times New Roman" w:hAnsi="Times New Roman" w:cs="Times New Roman"/>
          <w:b/>
          <w:bCs/>
          <w:sz w:val="22"/>
          <w:szCs w:val="22"/>
          <w:lang w:val="en-GB"/>
        </w:rPr>
        <w:t>)</w:t>
      </w:r>
      <w:r w:rsidR="00347A74" w:rsidRPr="00593724">
        <w:rPr>
          <w:rFonts w:ascii="Times New Roman" w:hAnsi="Times New Roman" w:cs="Times New Roman"/>
          <w:b/>
          <w:bCs/>
          <w:sz w:val="22"/>
          <w:szCs w:val="22"/>
          <w:lang w:val="en-GB"/>
        </w:rPr>
        <w:t xml:space="preserve"> after fitting the distance exponential model</w:t>
      </w:r>
      <w:r w:rsidR="00E55B3F" w:rsidRPr="00593724">
        <w:rPr>
          <w:rFonts w:ascii="Times New Roman" w:hAnsi="Times New Roman" w:cs="Times New Roman"/>
          <w:b/>
          <w:bCs/>
          <w:sz w:val="22"/>
          <w:szCs w:val="22"/>
          <w:lang w:val="en-GB"/>
        </w:rPr>
        <w:t>s</w:t>
      </w:r>
      <w:r w:rsidR="00347A74" w:rsidRPr="00593724">
        <w:rPr>
          <w:rFonts w:ascii="Times New Roman" w:hAnsi="Times New Roman" w:cs="Times New Roman"/>
          <w:b/>
          <w:bCs/>
          <w:sz w:val="22"/>
          <w:szCs w:val="22"/>
          <w:lang w:val="en-GB"/>
        </w:rPr>
        <w:t xml:space="preserve">. </w:t>
      </w:r>
      <w:r w:rsidR="00347A74" w:rsidRPr="00593724">
        <w:rPr>
          <w:rFonts w:ascii="Times New Roman" w:hAnsi="Times New Roman" w:cs="Times New Roman"/>
          <w:sz w:val="22"/>
          <w:szCs w:val="22"/>
        </w:rPr>
        <w:t xml:space="preserve">a) High Seismic Potential (HSP) </w:t>
      </w:r>
      <w:r w:rsidR="0020343E" w:rsidRPr="00593724">
        <w:rPr>
          <w:rFonts w:ascii="Times New Roman" w:hAnsi="Times New Roman" w:cs="Times New Roman"/>
          <w:sz w:val="22"/>
          <w:szCs w:val="22"/>
        </w:rPr>
        <w:t xml:space="preserve">fault </w:t>
      </w:r>
      <w:r w:rsidR="00347A74" w:rsidRPr="00593724">
        <w:rPr>
          <w:rFonts w:ascii="Times New Roman" w:hAnsi="Times New Roman" w:cs="Times New Roman"/>
          <w:sz w:val="22"/>
          <w:szCs w:val="22"/>
        </w:rPr>
        <w:t xml:space="preserve">segments. b) Very High Seismic Potential (VHSP) </w:t>
      </w:r>
      <w:r w:rsidR="0020343E" w:rsidRPr="00593724">
        <w:rPr>
          <w:rFonts w:ascii="Times New Roman" w:hAnsi="Times New Roman" w:cs="Times New Roman"/>
          <w:sz w:val="22"/>
          <w:szCs w:val="22"/>
        </w:rPr>
        <w:t xml:space="preserve">fault </w:t>
      </w:r>
      <w:r w:rsidR="00347A74" w:rsidRPr="00593724">
        <w:rPr>
          <w:rFonts w:ascii="Times New Roman" w:hAnsi="Times New Roman" w:cs="Times New Roman"/>
          <w:sz w:val="22"/>
          <w:szCs w:val="22"/>
        </w:rPr>
        <w:t>segments. Histogram of residuals are shown on the right of each plot, and the horizontal dashed line represents zero residual.</w:t>
      </w:r>
    </w:p>
    <w:p w14:paraId="33E91144" w14:textId="77777777" w:rsidR="00926960" w:rsidRPr="00593724" w:rsidRDefault="00926960" w:rsidP="00926960">
      <w:pPr>
        <w:spacing w:line="360" w:lineRule="auto"/>
        <w:jc w:val="center"/>
        <w:rPr>
          <w:rFonts w:ascii="Times New Roman" w:hAnsi="Times New Roman" w:cs="Times New Roman"/>
          <w:lang w:val="en-GB"/>
        </w:rPr>
      </w:pPr>
      <w:r w:rsidRPr="00593724">
        <w:rPr>
          <w:noProof/>
        </w:rPr>
        <w:drawing>
          <wp:inline distT="0" distB="0" distL="0" distR="0" wp14:anchorId="5E5CDA20" wp14:editId="2B28F31D">
            <wp:extent cx="3663315" cy="7325995"/>
            <wp:effectExtent l="0" t="0" r="0" b="0"/>
            <wp:docPr id="6" name="Picture 7" descr="A map of the state of mexic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7" descr="A map of the state of mexico&#10;&#10;AI-generated content may be incorrect."/>
                    <pic:cNvPicPr>
                      <a:picLocks noChangeAspect="1" noChangeArrowheads="1"/>
                    </pic:cNvPicPr>
                  </pic:nvPicPr>
                  <pic:blipFill>
                    <a:blip r:embed="rId51"/>
                    <a:stretch>
                      <a:fillRect/>
                    </a:stretch>
                  </pic:blipFill>
                  <pic:spPr bwMode="auto">
                    <a:xfrm>
                      <a:off x="0" y="0"/>
                      <a:ext cx="3663315" cy="7325995"/>
                    </a:xfrm>
                    <a:prstGeom prst="rect">
                      <a:avLst/>
                    </a:prstGeom>
                    <a:noFill/>
                  </pic:spPr>
                </pic:pic>
              </a:graphicData>
            </a:graphic>
          </wp:inline>
        </w:drawing>
      </w:r>
    </w:p>
    <w:p w14:paraId="697824BF" w14:textId="6E6D3467" w:rsidR="00926960" w:rsidRPr="00085870" w:rsidRDefault="00926960" w:rsidP="00C42BDE">
      <w:pPr>
        <w:rPr>
          <w:rFonts w:ascii="Times New Roman" w:hAnsi="Times New Roman" w:cs="Times New Roman"/>
          <w:bCs/>
          <w:sz w:val="22"/>
          <w:szCs w:val="22"/>
        </w:rPr>
      </w:pPr>
      <w:r w:rsidRPr="00593724">
        <w:rPr>
          <w:rFonts w:ascii="Times New Roman" w:hAnsi="Times New Roman" w:cs="Times New Roman"/>
          <w:b/>
          <w:bCs/>
          <w:sz w:val="22"/>
          <w:szCs w:val="22"/>
          <w:lang w:val="en-GB"/>
        </w:rPr>
        <w:t>Figure A8.</w:t>
      </w:r>
      <w:r w:rsidRPr="00593724">
        <w:rPr>
          <w:rFonts w:ascii="Times New Roman" w:hAnsi="Times New Roman" w:cs="Times New Roman"/>
          <w:b/>
          <w:bCs/>
          <w:lang w:val="en-GB"/>
        </w:rPr>
        <w:t xml:space="preserve"> </w:t>
      </w:r>
      <w:r w:rsidRPr="00593724">
        <w:rPr>
          <w:rFonts w:ascii="Times New Roman" w:hAnsi="Times New Roman" w:cs="Times New Roman"/>
          <w:sz w:val="22"/>
          <w:szCs w:val="22"/>
        </w:rPr>
        <w:t xml:space="preserve">Comparison between hazard computations considering all seismic sources (a) and only the major faults analyzed (b) for a return period of 475yr. </w:t>
      </w:r>
      <w:r w:rsidRPr="00593724">
        <w:rPr>
          <w:rFonts w:ascii="Times New Roman" w:hAnsi="Times New Roman" w:cs="Times New Roman"/>
          <w:bCs/>
          <w:sz w:val="22"/>
          <w:szCs w:val="22"/>
        </w:rPr>
        <w:t>Turquoise points are specific inland locations. CG: Guatemala City, CUI: Cuilapa, HUE: Huehuetenango, PB: Puerto Barrios, PSJ: Puerto San José, RH: Rio Hondo.</w:t>
      </w:r>
    </w:p>
    <w:sectPr w:rsidR="00926960" w:rsidRPr="00085870">
      <w:headerReference w:type="even" r:id="rId52"/>
      <w:headerReference w:type="default" r:id="rId53"/>
      <w:footerReference w:type="even" r:id="rId54"/>
      <w:footerReference w:type="default" r:id="rId55"/>
      <w:headerReference w:type="first" r:id="rId56"/>
      <w:footerReference w:type="first" r:id="rId57"/>
      <w:pgSz w:w="11906" w:h="16838"/>
      <w:pgMar w:top="1985" w:right="1701" w:bottom="1701" w:left="1701" w:header="851" w:footer="992" w:gutter="0"/>
      <w:lnNumType w:countBy="1" w:distance="283" w:restart="continuous"/>
      <w:cols w:space="720"/>
      <w:formProt w:val="0"/>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49A56" w14:textId="77777777" w:rsidR="00F76796" w:rsidRDefault="00F76796">
      <w:r>
        <w:separator/>
      </w:r>
    </w:p>
  </w:endnote>
  <w:endnote w:type="continuationSeparator" w:id="0">
    <w:p w14:paraId="41BD72B6" w14:textId="77777777" w:rsidR="00F76796" w:rsidRDefault="00F767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206030504050203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SC Regular">
    <w:altName w:val="Segoe Print"/>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3A82A" w14:textId="77777777" w:rsidR="00E84A76" w:rsidRDefault="00E84A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0618235"/>
      <w:docPartObj>
        <w:docPartGallery w:val="Page Numbers (Bottom of Page)"/>
        <w:docPartUnique/>
      </w:docPartObj>
    </w:sdtPr>
    <w:sdtContent>
      <w:p w14:paraId="78B32B1A" w14:textId="77777777" w:rsidR="00E84A76" w:rsidRDefault="006A665C">
        <w:pPr>
          <w:pStyle w:val="Footer"/>
          <w:jc w:val="right"/>
        </w:pPr>
        <w:r>
          <w:fldChar w:fldCharType="begin"/>
        </w:r>
        <w:r>
          <w:instrText xml:space="preserve"> PAGE </w:instrText>
        </w:r>
        <w:r>
          <w:fldChar w:fldCharType="separate"/>
        </w:r>
        <w:r>
          <w:t>36</w:t>
        </w:r>
        <w:r>
          <w:fldChar w:fldCharType="end"/>
        </w:r>
      </w:p>
    </w:sdtContent>
  </w:sdt>
  <w:p w14:paraId="1A52514E" w14:textId="77777777" w:rsidR="00E84A76" w:rsidRDefault="00E84A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5881106"/>
      <w:docPartObj>
        <w:docPartGallery w:val="Page Numbers (Bottom of Page)"/>
        <w:docPartUnique/>
      </w:docPartObj>
    </w:sdtPr>
    <w:sdtContent>
      <w:p w14:paraId="71E644B2" w14:textId="77777777" w:rsidR="00E84A76" w:rsidRDefault="006A665C">
        <w:pPr>
          <w:pStyle w:val="Footer"/>
          <w:jc w:val="right"/>
        </w:pPr>
        <w:r>
          <w:fldChar w:fldCharType="begin"/>
        </w:r>
        <w:r>
          <w:instrText xml:space="preserve"> PAGE </w:instrText>
        </w:r>
        <w:r>
          <w:fldChar w:fldCharType="separate"/>
        </w:r>
        <w:r>
          <w:t>36</w:t>
        </w:r>
        <w:r>
          <w:fldChar w:fldCharType="end"/>
        </w:r>
      </w:p>
    </w:sdtContent>
  </w:sdt>
  <w:p w14:paraId="0691DEBD" w14:textId="77777777" w:rsidR="00E84A76" w:rsidRDefault="00E84A7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45CB3" w14:textId="77777777" w:rsidR="00E84A76" w:rsidRDefault="00E84A7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9426631"/>
      <w:docPartObj>
        <w:docPartGallery w:val="Page Numbers (Bottom of Page)"/>
        <w:docPartUnique/>
      </w:docPartObj>
    </w:sdtPr>
    <w:sdtContent>
      <w:p w14:paraId="7CA8D7A1" w14:textId="77777777" w:rsidR="00E84A76" w:rsidRDefault="006A665C">
        <w:pPr>
          <w:pStyle w:val="Footer"/>
          <w:jc w:val="right"/>
        </w:pPr>
        <w:r>
          <w:fldChar w:fldCharType="begin"/>
        </w:r>
        <w:r>
          <w:instrText xml:space="preserve"> PAGE </w:instrText>
        </w:r>
        <w:r>
          <w:fldChar w:fldCharType="separate"/>
        </w:r>
        <w:r>
          <w:t>37</w:t>
        </w:r>
        <w:r>
          <w:fldChar w:fldCharType="end"/>
        </w:r>
      </w:p>
    </w:sdtContent>
  </w:sdt>
  <w:p w14:paraId="25F20F1A" w14:textId="77777777" w:rsidR="00E84A76" w:rsidRDefault="00E84A7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3703120"/>
      <w:docPartObj>
        <w:docPartGallery w:val="Page Numbers (Bottom of Page)"/>
        <w:docPartUnique/>
      </w:docPartObj>
    </w:sdtPr>
    <w:sdtContent>
      <w:p w14:paraId="1A3B33A3" w14:textId="77777777" w:rsidR="00E84A76" w:rsidRDefault="006A665C">
        <w:pPr>
          <w:pStyle w:val="Footer"/>
          <w:jc w:val="right"/>
        </w:pPr>
        <w:r>
          <w:fldChar w:fldCharType="begin"/>
        </w:r>
        <w:r>
          <w:instrText xml:space="preserve"> PAGE </w:instrText>
        </w:r>
        <w:r>
          <w:fldChar w:fldCharType="separate"/>
        </w:r>
        <w:r>
          <w:t>37</w:t>
        </w:r>
        <w:r>
          <w:fldChar w:fldCharType="end"/>
        </w:r>
      </w:p>
    </w:sdtContent>
  </w:sdt>
  <w:p w14:paraId="0C1223D5" w14:textId="77777777" w:rsidR="00E84A76" w:rsidRDefault="00E84A7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F7AFA" w14:textId="77777777" w:rsidR="00E84A76" w:rsidRDefault="00E84A7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1120026"/>
      <w:docPartObj>
        <w:docPartGallery w:val="Page Numbers (Bottom of Page)"/>
        <w:docPartUnique/>
      </w:docPartObj>
    </w:sdtPr>
    <w:sdtContent>
      <w:p w14:paraId="13440D8E" w14:textId="77777777" w:rsidR="00E84A76" w:rsidRDefault="006A665C">
        <w:pPr>
          <w:pStyle w:val="Footer"/>
          <w:jc w:val="right"/>
        </w:pPr>
        <w:r>
          <w:fldChar w:fldCharType="begin"/>
        </w:r>
        <w:r>
          <w:instrText xml:space="preserve"> PAGE </w:instrText>
        </w:r>
        <w:r>
          <w:fldChar w:fldCharType="separate"/>
        </w:r>
        <w:r>
          <w:t>38</w:t>
        </w:r>
        <w:r>
          <w:fldChar w:fldCharType="end"/>
        </w:r>
      </w:p>
    </w:sdtContent>
  </w:sdt>
  <w:p w14:paraId="6E7C58A3" w14:textId="77777777" w:rsidR="00E84A76" w:rsidRDefault="00E84A7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3149693"/>
      <w:docPartObj>
        <w:docPartGallery w:val="Page Numbers (Bottom of Page)"/>
        <w:docPartUnique/>
      </w:docPartObj>
    </w:sdtPr>
    <w:sdtContent>
      <w:p w14:paraId="396E57C6" w14:textId="77777777" w:rsidR="00E84A76" w:rsidRDefault="006A665C">
        <w:pPr>
          <w:pStyle w:val="Footer"/>
          <w:jc w:val="right"/>
        </w:pPr>
        <w:r>
          <w:fldChar w:fldCharType="begin"/>
        </w:r>
        <w:r>
          <w:instrText xml:space="preserve"> PAGE </w:instrText>
        </w:r>
        <w:r>
          <w:fldChar w:fldCharType="separate"/>
        </w:r>
        <w:r>
          <w:t>38</w:t>
        </w:r>
        <w:r>
          <w:fldChar w:fldCharType="end"/>
        </w:r>
      </w:p>
    </w:sdtContent>
  </w:sdt>
  <w:p w14:paraId="41C36392" w14:textId="77777777" w:rsidR="00E84A76" w:rsidRDefault="00E84A7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5FF78" w14:textId="77777777" w:rsidR="00E84A76" w:rsidRDefault="00E84A7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853073"/>
      <w:docPartObj>
        <w:docPartGallery w:val="Page Numbers (Bottom of Page)"/>
        <w:docPartUnique/>
      </w:docPartObj>
    </w:sdtPr>
    <w:sdtContent>
      <w:p w14:paraId="3EB023BC" w14:textId="77777777" w:rsidR="00E84A76" w:rsidRDefault="006A665C">
        <w:pPr>
          <w:pStyle w:val="Footer"/>
          <w:jc w:val="right"/>
        </w:pPr>
        <w:r>
          <w:fldChar w:fldCharType="begin"/>
        </w:r>
        <w:r>
          <w:instrText xml:space="preserve"> PAGE </w:instrText>
        </w:r>
        <w:r>
          <w:fldChar w:fldCharType="separate"/>
        </w:r>
        <w:r>
          <w:t>39</w:t>
        </w:r>
        <w:r>
          <w:fldChar w:fldCharType="end"/>
        </w:r>
      </w:p>
    </w:sdtContent>
  </w:sdt>
  <w:p w14:paraId="242D1C2D" w14:textId="77777777" w:rsidR="00E84A76" w:rsidRDefault="00E84A7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3634923"/>
      <w:docPartObj>
        <w:docPartGallery w:val="Page Numbers (Bottom of Page)"/>
        <w:docPartUnique/>
      </w:docPartObj>
    </w:sdtPr>
    <w:sdtContent>
      <w:p w14:paraId="6DEE2FC0" w14:textId="77777777" w:rsidR="00E84A76" w:rsidRDefault="006A665C">
        <w:pPr>
          <w:pStyle w:val="Footer"/>
          <w:jc w:val="right"/>
        </w:pPr>
        <w:r>
          <w:fldChar w:fldCharType="begin"/>
        </w:r>
        <w:r>
          <w:instrText xml:space="preserve"> PAGE </w:instrText>
        </w:r>
        <w:r>
          <w:fldChar w:fldCharType="separate"/>
        </w:r>
        <w:r>
          <w:t>39</w:t>
        </w:r>
        <w:r>
          <w:fldChar w:fldCharType="end"/>
        </w:r>
      </w:p>
    </w:sdtContent>
  </w:sdt>
  <w:p w14:paraId="0AB42E24" w14:textId="77777777" w:rsidR="00E84A76" w:rsidRDefault="00E84A7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2A721" w14:textId="77777777" w:rsidR="00E84A76" w:rsidRDefault="00E84A7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6320439"/>
      <w:docPartObj>
        <w:docPartGallery w:val="Page Numbers (Bottom of Page)"/>
        <w:docPartUnique/>
      </w:docPartObj>
    </w:sdtPr>
    <w:sdtContent>
      <w:p w14:paraId="16FC123C" w14:textId="77777777" w:rsidR="00E84A76" w:rsidRDefault="006A665C">
        <w:pPr>
          <w:pStyle w:val="Footer"/>
          <w:jc w:val="right"/>
        </w:pPr>
        <w:r>
          <w:fldChar w:fldCharType="begin"/>
        </w:r>
        <w:r>
          <w:instrText xml:space="preserve"> PAGE </w:instrText>
        </w:r>
        <w:r>
          <w:fldChar w:fldCharType="separate"/>
        </w:r>
        <w:r>
          <w:t>41</w:t>
        </w:r>
        <w:r>
          <w:fldChar w:fldCharType="end"/>
        </w:r>
      </w:p>
    </w:sdtContent>
  </w:sdt>
  <w:p w14:paraId="548699C9" w14:textId="77777777" w:rsidR="00E84A76" w:rsidRDefault="00E84A7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0327866"/>
      <w:docPartObj>
        <w:docPartGallery w:val="Page Numbers (Bottom of Page)"/>
        <w:docPartUnique/>
      </w:docPartObj>
    </w:sdtPr>
    <w:sdtContent>
      <w:p w14:paraId="40BB25E2" w14:textId="77777777" w:rsidR="00E84A76" w:rsidRDefault="006A665C">
        <w:pPr>
          <w:pStyle w:val="Footer"/>
          <w:jc w:val="right"/>
        </w:pPr>
        <w:r>
          <w:fldChar w:fldCharType="begin"/>
        </w:r>
        <w:r>
          <w:instrText xml:space="preserve"> PAGE </w:instrText>
        </w:r>
        <w:r>
          <w:fldChar w:fldCharType="separate"/>
        </w:r>
        <w:r>
          <w:t>41</w:t>
        </w:r>
        <w:r>
          <w:fldChar w:fldCharType="end"/>
        </w:r>
      </w:p>
    </w:sdtContent>
  </w:sdt>
  <w:p w14:paraId="187C673A" w14:textId="77777777" w:rsidR="00E84A76" w:rsidRDefault="00E84A7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FE293" w14:textId="77777777" w:rsidR="00E84A76" w:rsidRDefault="00E84A7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7186516"/>
      <w:docPartObj>
        <w:docPartGallery w:val="Page Numbers (Bottom of Page)"/>
        <w:docPartUnique/>
      </w:docPartObj>
    </w:sdtPr>
    <w:sdtContent>
      <w:p w14:paraId="7CA74A37" w14:textId="77777777" w:rsidR="00E84A76" w:rsidRDefault="006A665C">
        <w:pPr>
          <w:pStyle w:val="Footer"/>
          <w:jc w:val="right"/>
        </w:pPr>
        <w:r>
          <w:fldChar w:fldCharType="begin"/>
        </w:r>
        <w:r>
          <w:instrText xml:space="preserve"> PAGE </w:instrText>
        </w:r>
        <w:r>
          <w:fldChar w:fldCharType="separate"/>
        </w:r>
        <w:r>
          <w:t>42</w:t>
        </w:r>
        <w:r>
          <w:fldChar w:fldCharType="end"/>
        </w:r>
      </w:p>
    </w:sdtContent>
  </w:sdt>
  <w:p w14:paraId="7AEA2F2B" w14:textId="77777777" w:rsidR="00E84A76" w:rsidRDefault="00E84A7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4218816"/>
      <w:docPartObj>
        <w:docPartGallery w:val="Page Numbers (Bottom of Page)"/>
        <w:docPartUnique/>
      </w:docPartObj>
    </w:sdtPr>
    <w:sdtContent>
      <w:p w14:paraId="49278055" w14:textId="77777777" w:rsidR="00E84A76" w:rsidRDefault="006A665C">
        <w:pPr>
          <w:pStyle w:val="Footer"/>
          <w:jc w:val="right"/>
        </w:pPr>
        <w:r>
          <w:fldChar w:fldCharType="begin"/>
        </w:r>
        <w:r>
          <w:instrText xml:space="preserve"> PAGE </w:instrText>
        </w:r>
        <w:r>
          <w:fldChar w:fldCharType="separate"/>
        </w:r>
        <w:r>
          <w:t>42</w:t>
        </w:r>
        <w:r>
          <w:fldChar w:fldCharType="end"/>
        </w:r>
      </w:p>
    </w:sdtContent>
  </w:sdt>
  <w:p w14:paraId="1CC83C76" w14:textId="77777777" w:rsidR="00E84A76" w:rsidRDefault="00E84A7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BF6B2" w14:textId="77777777" w:rsidR="00E84A76" w:rsidRDefault="00E84A7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6056388"/>
      <w:docPartObj>
        <w:docPartGallery w:val="Page Numbers (Bottom of Page)"/>
        <w:docPartUnique/>
      </w:docPartObj>
    </w:sdtPr>
    <w:sdtContent>
      <w:p w14:paraId="6B7B1AC6" w14:textId="77777777" w:rsidR="00E84A76" w:rsidRDefault="006A665C">
        <w:pPr>
          <w:pStyle w:val="Footer"/>
          <w:jc w:val="right"/>
        </w:pPr>
        <w:r>
          <w:fldChar w:fldCharType="begin"/>
        </w:r>
        <w:r>
          <w:instrText xml:space="preserve"> PAGE </w:instrText>
        </w:r>
        <w:r>
          <w:fldChar w:fldCharType="separate"/>
        </w:r>
        <w:r>
          <w:t>44</w:t>
        </w:r>
        <w:r>
          <w:fldChar w:fldCharType="end"/>
        </w:r>
      </w:p>
    </w:sdtContent>
  </w:sdt>
  <w:p w14:paraId="6CA643BE" w14:textId="77777777" w:rsidR="00E84A76" w:rsidRDefault="00E84A7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2508083"/>
      <w:docPartObj>
        <w:docPartGallery w:val="Page Numbers (Bottom of Page)"/>
        <w:docPartUnique/>
      </w:docPartObj>
    </w:sdtPr>
    <w:sdtContent>
      <w:p w14:paraId="2B0A1F3C" w14:textId="77777777" w:rsidR="00E84A76" w:rsidRDefault="006A665C">
        <w:pPr>
          <w:pStyle w:val="Footer"/>
          <w:jc w:val="right"/>
        </w:pPr>
        <w:r>
          <w:fldChar w:fldCharType="begin"/>
        </w:r>
        <w:r>
          <w:instrText xml:space="preserve"> PAGE </w:instrText>
        </w:r>
        <w:r>
          <w:fldChar w:fldCharType="separate"/>
        </w:r>
        <w:r>
          <w:t>44</w:t>
        </w:r>
        <w:r>
          <w:fldChar w:fldCharType="end"/>
        </w:r>
      </w:p>
    </w:sdtContent>
  </w:sdt>
  <w:p w14:paraId="715230D3" w14:textId="77777777" w:rsidR="00E84A76" w:rsidRDefault="00E84A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E0AE2" w14:textId="77777777" w:rsidR="00F76796" w:rsidRDefault="00F76796">
      <w:r>
        <w:separator/>
      </w:r>
    </w:p>
  </w:footnote>
  <w:footnote w:type="continuationSeparator" w:id="0">
    <w:p w14:paraId="771CF56C" w14:textId="77777777" w:rsidR="00F76796" w:rsidRDefault="00F767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265A2" w14:textId="77777777" w:rsidR="00E84A76" w:rsidRDefault="00E84A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E21BE" w14:textId="77777777" w:rsidR="00E84A76" w:rsidRDefault="00E84A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F7121" w14:textId="77777777" w:rsidR="00E84A76" w:rsidRDefault="00E84A7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DC4FC" w14:textId="77777777" w:rsidR="00E84A76" w:rsidRDefault="00E84A7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DC87A" w14:textId="77777777" w:rsidR="00E84A76" w:rsidRDefault="00E84A7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71DAA" w14:textId="77777777" w:rsidR="00E84A76" w:rsidRDefault="00E84A7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18943" w14:textId="77777777" w:rsidR="00E84A76" w:rsidRDefault="00E84A7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FE9AB" w14:textId="77777777" w:rsidR="00E84A76" w:rsidRDefault="00E84A7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74527" w14:textId="77777777" w:rsidR="00E84A76" w:rsidRDefault="00E84A7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420A4" w14:textId="77777777" w:rsidR="00E84A76" w:rsidRDefault="00E84A7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392B2" w14:textId="77777777" w:rsidR="00E84A76" w:rsidRDefault="00E84A7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EC65F" w14:textId="77777777" w:rsidR="00E84A76" w:rsidRDefault="00E84A7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B0B6D5" w14:textId="77777777" w:rsidR="00E84A76" w:rsidRDefault="00E84A7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B0D68" w14:textId="77777777" w:rsidR="00E84A76" w:rsidRDefault="00E84A7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27B17" w14:textId="77777777" w:rsidR="00E84A76" w:rsidRDefault="00E84A7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9C2C7" w14:textId="77777777" w:rsidR="00E84A76" w:rsidRDefault="00E84A7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ECDA4" w14:textId="77777777" w:rsidR="00E84A76" w:rsidRDefault="00E84A76">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12408" w14:textId="77777777" w:rsidR="00E84A76" w:rsidRDefault="00E84A7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5D6D0" w14:textId="77777777" w:rsidR="00E84A76" w:rsidRDefault="00E84A7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33B52" w14:textId="77777777" w:rsidR="00E84A76" w:rsidRDefault="00E84A76">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0AF8A" w14:textId="77777777" w:rsidR="00E84A76" w:rsidRDefault="00E84A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53FA7"/>
    <w:multiLevelType w:val="hybridMultilevel"/>
    <w:tmpl w:val="98E2A6DA"/>
    <w:lvl w:ilvl="0" w:tplc="231E9528">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 w15:restartNumberingAfterBreak="0">
    <w:nsid w:val="1CF347F5"/>
    <w:multiLevelType w:val="multilevel"/>
    <w:tmpl w:val="7D2EB6A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73DA511A"/>
    <w:multiLevelType w:val="multilevel"/>
    <w:tmpl w:val="355A458E"/>
    <w:lvl w:ilvl="0">
      <w:start w:val="1"/>
      <w:numFmt w:val="decimal"/>
      <w:lvlText w:val="%1."/>
      <w:lvlJc w:val="left"/>
      <w:pPr>
        <w:tabs>
          <w:tab w:val="num" w:pos="0"/>
        </w:tabs>
        <w:ind w:left="720" w:hanging="360"/>
      </w:pPr>
    </w:lvl>
    <w:lvl w:ilvl="1">
      <w:start w:val="1"/>
      <w:numFmt w:val="decimal"/>
      <w:isLgl/>
      <w:lvlText w:val="%1.%2."/>
      <w:lvlJc w:val="left"/>
      <w:pPr>
        <w:tabs>
          <w:tab w:val="num" w:pos="0"/>
        </w:tabs>
        <w:ind w:left="360" w:hanging="360"/>
      </w:pPr>
    </w:lvl>
    <w:lvl w:ilvl="2">
      <w:start w:val="1"/>
      <w:numFmt w:val="decimal"/>
      <w:isLgl/>
      <w:lvlText w:val="%1.%2.%3."/>
      <w:lvlJc w:val="left"/>
      <w:pPr>
        <w:tabs>
          <w:tab w:val="num" w:pos="0"/>
        </w:tabs>
        <w:ind w:left="1080" w:hanging="720"/>
      </w:pPr>
    </w:lvl>
    <w:lvl w:ilvl="3">
      <w:start w:val="1"/>
      <w:numFmt w:val="decimal"/>
      <w:isLgl/>
      <w:lvlText w:val="%1.%2.%3.%4."/>
      <w:lvlJc w:val="left"/>
      <w:pPr>
        <w:tabs>
          <w:tab w:val="num" w:pos="0"/>
        </w:tabs>
        <w:ind w:left="1080" w:hanging="720"/>
      </w:pPr>
    </w:lvl>
    <w:lvl w:ilvl="4">
      <w:start w:val="1"/>
      <w:numFmt w:val="decimal"/>
      <w:isLgl/>
      <w:lvlText w:val="%1.%2.%3.%4.%5."/>
      <w:lvlJc w:val="left"/>
      <w:pPr>
        <w:tabs>
          <w:tab w:val="num" w:pos="0"/>
        </w:tabs>
        <w:ind w:left="1440" w:hanging="1080"/>
      </w:pPr>
    </w:lvl>
    <w:lvl w:ilvl="5">
      <w:start w:val="1"/>
      <w:numFmt w:val="decimal"/>
      <w:isLgl/>
      <w:lvlText w:val="%1.%2.%3.%4.%5.%6."/>
      <w:lvlJc w:val="left"/>
      <w:pPr>
        <w:tabs>
          <w:tab w:val="num" w:pos="0"/>
        </w:tabs>
        <w:ind w:left="1440" w:hanging="1080"/>
      </w:pPr>
    </w:lvl>
    <w:lvl w:ilvl="6">
      <w:start w:val="1"/>
      <w:numFmt w:val="decimal"/>
      <w:isLgl/>
      <w:lvlText w:val="%1.%2.%3.%4.%5.%6.%7."/>
      <w:lvlJc w:val="left"/>
      <w:pPr>
        <w:tabs>
          <w:tab w:val="num" w:pos="0"/>
        </w:tabs>
        <w:ind w:left="1800" w:hanging="1440"/>
      </w:pPr>
    </w:lvl>
    <w:lvl w:ilvl="7">
      <w:start w:val="1"/>
      <w:numFmt w:val="decimal"/>
      <w:isLgl/>
      <w:lvlText w:val="%1.%2.%3.%4.%5.%6.%7.%8."/>
      <w:lvlJc w:val="left"/>
      <w:pPr>
        <w:tabs>
          <w:tab w:val="num" w:pos="0"/>
        </w:tabs>
        <w:ind w:left="1800" w:hanging="1440"/>
      </w:pPr>
    </w:lvl>
    <w:lvl w:ilvl="8">
      <w:start w:val="1"/>
      <w:numFmt w:val="decimal"/>
      <w:isLgl/>
      <w:lvlText w:val="%1.%2.%3.%4.%5.%6.%7.%8.%9."/>
      <w:lvlJc w:val="left"/>
      <w:pPr>
        <w:tabs>
          <w:tab w:val="num" w:pos="0"/>
        </w:tabs>
        <w:ind w:left="2160" w:hanging="1800"/>
      </w:pPr>
    </w:lvl>
  </w:abstractNum>
  <w:num w:numId="1" w16cid:durableId="915167533">
    <w:abstractNumId w:val="1"/>
  </w:num>
  <w:num w:numId="2" w16cid:durableId="1841314970">
    <w:abstractNumId w:val="2"/>
  </w:num>
  <w:num w:numId="3" w16cid:durableId="6636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960"/>
  <w:autoHyphenation/>
  <w:hyphenationZone w:val="0"/>
  <w:characterSpacingControl w:val="doNotCompress"/>
  <w:savePreviewPicture/>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4A76"/>
    <w:rsid w:val="000037CB"/>
    <w:rsid w:val="000166EE"/>
    <w:rsid w:val="00085870"/>
    <w:rsid w:val="0009012F"/>
    <w:rsid w:val="000A7C07"/>
    <w:rsid w:val="000B43C4"/>
    <w:rsid w:val="000E290C"/>
    <w:rsid w:val="00114687"/>
    <w:rsid w:val="00147080"/>
    <w:rsid w:val="001676A6"/>
    <w:rsid w:val="00197AB6"/>
    <w:rsid w:val="001D674C"/>
    <w:rsid w:val="001D68C6"/>
    <w:rsid w:val="00202330"/>
    <w:rsid w:val="0020343E"/>
    <w:rsid w:val="002044CB"/>
    <w:rsid w:val="00211833"/>
    <w:rsid w:val="002248C3"/>
    <w:rsid w:val="0023655B"/>
    <w:rsid w:val="00240F72"/>
    <w:rsid w:val="0024652E"/>
    <w:rsid w:val="0026516F"/>
    <w:rsid w:val="00267467"/>
    <w:rsid w:val="0028410B"/>
    <w:rsid w:val="00290226"/>
    <w:rsid w:val="00291538"/>
    <w:rsid w:val="002A462C"/>
    <w:rsid w:val="002A55AD"/>
    <w:rsid w:val="002D0CA3"/>
    <w:rsid w:val="002E7AD7"/>
    <w:rsid w:val="003443DF"/>
    <w:rsid w:val="00347A74"/>
    <w:rsid w:val="00382B87"/>
    <w:rsid w:val="00400297"/>
    <w:rsid w:val="004115FA"/>
    <w:rsid w:val="00420A66"/>
    <w:rsid w:val="00422485"/>
    <w:rsid w:val="004314C5"/>
    <w:rsid w:val="00433875"/>
    <w:rsid w:val="0045300C"/>
    <w:rsid w:val="00463653"/>
    <w:rsid w:val="00470604"/>
    <w:rsid w:val="00475C7F"/>
    <w:rsid w:val="004A2175"/>
    <w:rsid w:val="004A30AF"/>
    <w:rsid w:val="004A4E6F"/>
    <w:rsid w:val="004C587D"/>
    <w:rsid w:val="004C6E46"/>
    <w:rsid w:val="004E77D1"/>
    <w:rsid w:val="00511049"/>
    <w:rsid w:val="00525F84"/>
    <w:rsid w:val="00533A95"/>
    <w:rsid w:val="00544291"/>
    <w:rsid w:val="00577C16"/>
    <w:rsid w:val="00593724"/>
    <w:rsid w:val="005A2E8C"/>
    <w:rsid w:val="005D0471"/>
    <w:rsid w:val="00600324"/>
    <w:rsid w:val="00600CD7"/>
    <w:rsid w:val="0060378B"/>
    <w:rsid w:val="006241FB"/>
    <w:rsid w:val="00640752"/>
    <w:rsid w:val="00654BDC"/>
    <w:rsid w:val="00691A37"/>
    <w:rsid w:val="006A665C"/>
    <w:rsid w:val="006B5DCE"/>
    <w:rsid w:val="006D7DDF"/>
    <w:rsid w:val="006F7F7A"/>
    <w:rsid w:val="007160B3"/>
    <w:rsid w:val="0072352C"/>
    <w:rsid w:val="007441D3"/>
    <w:rsid w:val="00746138"/>
    <w:rsid w:val="007600A4"/>
    <w:rsid w:val="0076103E"/>
    <w:rsid w:val="00781184"/>
    <w:rsid w:val="007B4404"/>
    <w:rsid w:val="007C318C"/>
    <w:rsid w:val="007C6A92"/>
    <w:rsid w:val="007D6643"/>
    <w:rsid w:val="007F0EDD"/>
    <w:rsid w:val="007F4824"/>
    <w:rsid w:val="008404A2"/>
    <w:rsid w:val="00846E29"/>
    <w:rsid w:val="00886241"/>
    <w:rsid w:val="008A46E4"/>
    <w:rsid w:val="008B140E"/>
    <w:rsid w:val="008D08C6"/>
    <w:rsid w:val="008D3F61"/>
    <w:rsid w:val="008F7B20"/>
    <w:rsid w:val="00926960"/>
    <w:rsid w:val="00935110"/>
    <w:rsid w:val="00947849"/>
    <w:rsid w:val="0096230A"/>
    <w:rsid w:val="00965294"/>
    <w:rsid w:val="0097680A"/>
    <w:rsid w:val="009A12B6"/>
    <w:rsid w:val="009C448B"/>
    <w:rsid w:val="009C526A"/>
    <w:rsid w:val="009C672B"/>
    <w:rsid w:val="009F45F0"/>
    <w:rsid w:val="00A24C16"/>
    <w:rsid w:val="00A658BC"/>
    <w:rsid w:val="00AA7F3F"/>
    <w:rsid w:val="00AB3E59"/>
    <w:rsid w:val="00B344CE"/>
    <w:rsid w:val="00B408B5"/>
    <w:rsid w:val="00B816C5"/>
    <w:rsid w:val="00BE47CD"/>
    <w:rsid w:val="00BE4AB1"/>
    <w:rsid w:val="00BE7703"/>
    <w:rsid w:val="00C01572"/>
    <w:rsid w:val="00C12241"/>
    <w:rsid w:val="00C17D95"/>
    <w:rsid w:val="00C42BDE"/>
    <w:rsid w:val="00C63FFA"/>
    <w:rsid w:val="00C71E11"/>
    <w:rsid w:val="00C73F32"/>
    <w:rsid w:val="00C940F6"/>
    <w:rsid w:val="00C95C61"/>
    <w:rsid w:val="00CB56A5"/>
    <w:rsid w:val="00CB7087"/>
    <w:rsid w:val="00CE5412"/>
    <w:rsid w:val="00D00EEA"/>
    <w:rsid w:val="00D01EC3"/>
    <w:rsid w:val="00D35D4C"/>
    <w:rsid w:val="00D4009A"/>
    <w:rsid w:val="00D40B44"/>
    <w:rsid w:val="00D444A8"/>
    <w:rsid w:val="00D721A7"/>
    <w:rsid w:val="00DC68AA"/>
    <w:rsid w:val="00E065D8"/>
    <w:rsid w:val="00E13D4C"/>
    <w:rsid w:val="00E14585"/>
    <w:rsid w:val="00E160C5"/>
    <w:rsid w:val="00E45CC9"/>
    <w:rsid w:val="00E47C35"/>
    <w:rsid w:val="00E55B3F"/>
    <w:rsid w:val="00E66A6B"/>
    <w:rsid w:val="00E71B56"/>
    <w:rsid w:val="00E84A76"/>
    <w:rsid w:val="00E85C7A"/>
    <w:rsid w:val="00EC670A"/>
    <w:rsid w:val="00ED56AB"/>
    <w:rsid w:val="00EE0742"/>
    <w:rsid w:val="00F043AF"/>
    <w:rsid w:val="00F13667"/>
    <w:rsid w:val="00F23800"/>
    <w:rsid w:val="00F53DF0"/>
    <w:rsid w:val="00F612B4"/>
    <w:rsid w:val="00F73A10"/>
    <w:rsid w:val="00F75E34"/>
    <w:rsid w:val="00F76796"/>
    <w:rsid w:val="00F807D7"/>
    <w:rsid w:val="00F80E2D"/>
    <w:rsid w:val="00F86D00"/>
    <w:rsid w:val="00F90A84"/>
    <w:rsid w:val="00FA0020"/>
    <w:rsid w:val="00FA0E0F"/>
    <w:rsid w:val="00FB12A0"/>
    <w:rsid w:val="00FD0764"/>
    <w:rsid w:val="00FD1FD3"/>
    <w:rsid w:val="00FD3291"/>
    <w:rsid w:val="00FE61D9"/>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A4E6C"/>
  <w15:docId w15:val="{D0CE4FC2-2595-4199-AAE3-44E5FC30E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57E7"/>
    <w:pPr>
      <w:widowControl w:val="0"/>
      <w:jc w:val="both"/>
    </w:pPr>
  </w:style>
  <w:style w:type="paragraph" w:styleId="Heading1">
    <w:name w:val="heading 1"/>
    <w:basedOn w:val="Normal"/>
    <w:next w:val="Normal"/>
    <w:link w:val="Heading1Char"/>
    <w:uiPriority w:val="9"/>
    <w:qFormat/>
    <w:rsid w:val="00716D5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943565"/>
    <w:pPr>
      <w:keepNext/>
      <w:outlineLvl w:val="1"/>
    </w:pPr>
    <w:rPr>
      <w:rFonts w:asciiTheme="majorHAnsi" w:eastAsiaTheme="majorEastAsia" w:hAnsiTheme="majorHAnsi" w:cstheme="majorBidi"/>
    </w:rPr>
  </w:style>
  <w:style w:type="paragraph" w:styleId="Heading3">
    <w:name w:val="heading 3"/>
    <w:basedOn w:val="Normal"/>
    <w:link w:val="Heading3Char"/>
    <w:uiPriority w:val="9"/>
    <w:qFormat/>
    <w:rsid w:val="0067327D"/>
    <w:pPr>
      <w:widowControl/>
      <w:spacing w:beforeAutospacing="1" w:afterAutospacing="1"/>
      <w:jc w:val="left"/>
      <w:outlineLvl w:val="2"/>
    </w:pPr>
    <w:rPr>
      <w:rFonts w:ascii="Times" w:hAnsi="Times"/>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qFormat/>
    <w:rsid w:val="0067327D"/>
    <w:rPr>
      <w:rFonts w:ascii="Times" w:hAnsi="Times"/>
      <w:b/>
      <w:bCs/>
      <w:kern w:val="0"/>
      <w:sz w:val="27"/>
      <w:szCs w:val="27"/>
    </w:rPr>
  </w:style>
  <w:style w:type="character" w:styleId="Hyperlink">
    <w:name w:val="Hyperlink"/>
    <w:basedOn w:val="DefaultParagraphFont"/>
    <w:uiPriority w:val="99"/>
    <w:unhideWhenUsed/>
    <w:rsid w:val="0067327D"/>
    <w:rPr>
      <w:color w:val="0000FF" w:themeColor="hyperlink"/>
      <w:u w:val="single"/>
    </w:rPr>
  </w:style>
  <w:style w:type="character" w:styleId="LineNumber">
    <w:name w:val="line number"/>
    <w:basedOn w:val="DefaultParagraphFont"/>
    <w:uiPriority w:val="99"/>
    <w:semiHidden/>
    <w:unhideWhenUsed/>
    <w:rsid w:val="00780760"/>
  </w:style>
  <w:style w:type="character" w:styleId="CommentReference">
    <w:name w:val="annotation reference"/>
    <w:basedOn w:val="DefaultParagraphFont"/>
    <w:uiPriority w:val="99"/>
    <w:semiHidden/>
    <w:unhideWhenUsed/>
    <w:qFormat/>
    <w:rsid w:val="000A5C36"/>
    <w:rPr>
      <w:sz w:val="16"/>
      <w:szCs w:val="16"/>
    </w:rPr>
  </w:style>
  <w:style w:type="character" w:customStyle="1" w:styleId="CommentTextChar">
    <w:name w:val="Comment Text Char"/>
    <w:basedOn w:val="DefaultParagraphFont"/>
    <w:link w:val="CommentText"/>
    <w:uiPriority w:val="99"/>
    <w:qFormat/>
    <w:rsid w:val="000A5C36"/>
    <w:rPr>
      <w:sz w:val="20"/>
      <w:szCs w:val="20"/>
    </w:rPr>
  </w:style>
  <w:style w:type="character" w:customStyle="1" w:styleId="CommentSubjectChar">
    <w:name w:val="Comment Subject Char"/>
    <w:basedOn w:val="CommentTextChar"/>
    <w:link w:val="CommentSubject"/>
    <w:uiPriority w:val="99"/>
    <w:semiHidden/>
    <w:qFormat/>
    <w:rsid w:val="000A5C36"/>
    <w:rPr>
      <w:b/>
      <w:bCs/>
      <w:sz w:val="20"/>
      <w:szCs w:val="20"/>
    </w:rPr>
  </w:style>
  <w:style w:type="character" w:customStyle="1" w:styleId="BalloonTextChar">
    <w:name w:val="Balloon Text Char"/>
    <w:basedOn w:val="DefaultParagraphFont"/>
    <w:link w:val="BalloonText"/>
    <w:uiPriority w:val="99"/>
    <w:semiHidden/>
    <w:qFormat/>
    <w:rsid w:val="000A5C36"/>
    <w:rPr>
      <w:rFonts w:ascii="Tahoma" w:hAnsi="Tahoma" w:cs="Tahoma"/>
      <w:sz w:val="16"/>
      <w:szCs w:val="16"/>
    </w:rPr>
  </w:style>
  <w:style w:type="character" w:styleId="FollowedHyperlink">
    <w:name w:val="FollowedHyperlink"/>
    <w:basedOn w:val="DefaultParagraphFont"/>
    <w:uiPriority w:val="99"/>
    <w:semiHidden/>
    <w:unhideWhenUsed/>
    <w:rsid w:val="0019787B"/>
    <w:rPr>
      <w:color w:val="800080" w:themeColor="followedHyperlink"/>
      <w:u w:val="single"/>
    </w:rPr>
  </w:style>
  <w:style w:type="character" w:customStyle="1" w:styleId="Heading2Char">
    <w:name w:val="Heading 2 Char"/>
    <w:basedOn w:val="DefaultParagraphFont"/>
    <w:link w:val="Heading2"/>
    <w:uiPriority w:val="9"/>
    <w:qFormat/>
    <w:rsid w:val="00943565"/>
    <w:rPr>
      <w:rFonts w:asciiTheme="majorHAnsi" w:eastAsiaTheme="majorEastAsia" w:hAnsiTheme="majorHAnsi" w:cstheme="majorBidi"/>
    </w:rPr>
  </w:style>
  <w:style w:type="character" w:customStyle="1" w:styleId="apple-converted-space">
    <w:name w:val="apple-converted-space"/>
    <w:basedOn w:val="DefaultParagraphFont"/>
    <w:qFormat/>
    <w:rsid w:val="005E5462"/>
  </w:style>
  <w:style w:type="character" w:styleId="Strong">
    <w:name w:val="Strong"/>
    <w:basedOn w:val="DefaultParagraphFont"/>
    <w:uiPriority w:val="22"/>
    <w:qFormat/>
    <w:rsid w:val="00665AAD"/>
    <w:rPr>
      <w:b/>
      <w:bCs/>
    </w:rPr>
  </w:style>
  <w:style w:type="character" w:styleId="UnresolvedMention">
    <w:name w:val="Unresolved Mention"/>
    <w:basedOn w:val="DefaultParagraphFont"/>
    <w:uiPriority w:val="99"/>
    <w:semiHidden/>
    <w:unhideWhenUsed/>
    <w:qFormat/>
    <w:rsid w:val="00D43646"/>
    <w:rPr>
      <w:color w:val="605E5C"/>
      <w:shd w:val="clear" w:color="auto" w:fill="E1DFDD"/>
    </w:rPr>
  </w:style>
  <w:style w:type="character" w:customStyle="1" w:styleId="Heading1Char">
    <w:name w:val="Heading 1 Char"/>
    <w:basedOn w:val="DefaultParagraphFont"/>
    <w:link w:val="Heading1"/>
    <w:uiPriority w:val="9"/>
    <w:qFormat/>
    <w:rsid w:val="00716D51"/>
    <w:rPr>
      <w:rFonts w:asciiTheme="majorHAnsi" w:eastAsiaTheme="majorEastAsia" w:hAnsiTheme="majorHAnsi" w:cstheme="majorBidi"/>
      <w:color w:val="365F91" w:themeColor="accent1" w:themeShade="BF"/>
      <w:sz w:val="32"/>
      <w:szCs w:val="32"/>
    </w:rPr>
  </w:style>
  <w:style w:type="character" w:styleId="PlaceholderText">
    <w:name w:val="Placeholder Text"/>
    <w:basedOn w:val="DefaultParagraphFont"/>
    <w:uiPriority w:val="99"/>
    <w:semiHidden/>
    <w:qFormat/>
    <w:rsid w:val="001F34B0"/>
    <w:rPr>
      <w:color w:val="808080"/>
    </w:rPr>
  </w:style>
  <w:style w:type="character" w:customStyle="1" w:styleId="katex-mathml">
    <w:name w:val="katex-mathml"/>
    <w:basedOn w:val="DefaultParagraphFont"/>
    <w:qFormat/>
    <w:rsid w:val="00A43D4F"/>
  </w:style>
  <w:style w:type="character" w:customStyle="1" w:styleId="mord">
    <w:name w:val="mord"/>
    <w:basedOn w:val="DefaultParagraphFont"/>
    <w:qFormat/>
    <w:rsid w:val="00A43D4F"/>
  </w:style>
  <w:style w:type="character" w:customStyle="1" w:styleId="vlist-s">
    <w:name w:val="vlist-s"/>
    <w:basedOn w:val="DefaultParagraphFont"/>
    <w:qFormat/>
    <w:rsid w:val="00A43D4F"/>
  </w:style>
  <w:style w:type="character" w:customStyle="1" w:styleId="HeaderChar">
    <w:name w:val="Header Char"/>
    <w:basedOn w:val="DefaultParagraphFont"/>
    <w:link w:val="Header"/>
    <w:uiPriority w:val="99"/>
    <w:qFormat/>
    <w:rsid w:val="00F05FBC"/>
  </w:style>
  <w:style w:type="character" w:customStyle="1" w:styleId="FooterChar">
    <w:name w:val="Footer Char"/>
    <w:basedOn w:val="DefaultParagraphFont"/>
    <w:link w:val="Footer"/>
    <w:uiPriority w:val="99"/>
    <w:qFormat/>
    <w:rsid w:val="00F05FBC"/>
  </w:style>
  <w:style w:type="character" w:customStyle="1" w:styleId="mtight">
    <w:name w:val="mtight"/>
    <w:basedOn w:val="DefaultParagraphFont"/>
    <w:qFormat/>
    <w:rsid w:val="003D4EF5"/>
  </w:style>
  <w:style w:type="paragraph" w:customStyle="1" w:styleId="Ttulo">
    <w:name w:val="Título"/>
    <w:basedOn w:val="Normal"/>
    <w:next w:val="BodyText"/>
    <w:qFormat/>
    <w:pPr>
      <w:keepNext/>
      <w:spacing w:before="240" w:after="120"/>
    </w:pPr>
    <w:rPr>
      <w:rFonts w:ascii="Liberation Sans" w:eastAsia="Noto Sans SC Regular" w:hAnsi="Liberation Sans" w:cs="Noto Sans"/>
      <w:sz w:val="28"/>
      <w:szCs w:val="28"/>
    </w:rPr>
  </w:style>
  <w:style w:type="paragraph" w:styleId="BodyText">
    <w:name w:val="Body Text"/>
    <w:basedOn w:val="Normal"/>
    <w:pPr>
      <w:spacing w:after="140" w:line="276" w:lineRule="auto"/>
    </w:pPr>
  </w:style>
  <w:style w:type="paragraph" w:styleId="List">
    <w:name w:val="List"/>
    <w:basedOn w:val="BodyText"/>
    <w:rPr>
      <w:rFonts w:cs="Noto Sans"/>
    </w:rPr>
  </w:style>
  <w:style w:type="paragraph" w:styleId="Caption">
    <w:name w:val="caption"/>
    <w:basedOn w:val="Normal"/>
    <w:qFormat/>
    <w:pPr>
      <w:suppressLineNumbers/>
      <w:spacing w:before="120" w:after="120"/>
    </w:pPr>
    <w:rPr>
      <w:rFonts w:cs="Noto Sans"/>
      <w:i/>
      <w:iCs/>
    </w:rPr>
  </w:style>
  <w:style w:type="paragraph" w:customStyle="1" w:styleId="ndice">
    <w:name w:val="Índice"/>
    <w:basedOn w:val="Normal"/>
    <w:qFormat/>
    <w:pPr>
      <w:suppressLineNumbers/>
    </w:pPr>
    <w:rPr>
      <w:rFonts w:cs="Noto Sans"/>
    </w:rPr>
  </w:style>
  <w:style w:type="paragraph" w:customStyle="1" w:styleId="Ttulouser">
    <w:name w:val="Título (user)"/>
    <w:basedOn w:val="Normal"/>
    <w:next w:val="BodyText"/>
    <w:qFormat/>
    <w:pPr>
      <w:keepNext/>
      <w:spacing w:before="240" w:after="120"/>
    </w:pPr>
    <w:rPr>
      <w:rFonts w:ascii="Liberation Sans" w:eastAsia="Noto Sans SC Regular" w:hAnsi="Liberation Sans" w:cs="Noto Sans"/>
      <w:sz w:val="28"/>
      <w:szCs w:val="28"/>
    </w:rPr>
  </w:style>
  <w:style w:type="paragraph" w:customStyle="1" w:styleId="ndiceuser">
    <w:name w:val="Índice (user)"/>
    <w:basedOn w:val="Normal"/>
    <w:qFormat/>
    <w:pPr>
      <w:suppressLineNumbers/>
    </w:pPr>
    <w:rPr>
      <w:rFonts w:cs="Noto Sans"/>
    </w:rPr>
  </w:style>
  <w:style w:type="paragraph" w:styleId="NormalWeb">
    <w:name w:val="Normal (Web)"/>
    <w:basedOn w:val="Normal"/>
    <w:uiPriority w:val="99"/>
    <w:unhideWhenUsed/>
    <w:qFormat/>
    <w:rsid w:val="0067327D"/>
    <w:pPr>
      <w:widowControl/>
      <w:spacing w:beforeAutospacing="1" w:afterAutospacing="1"/>
      <w:jc w:val="left"/>
    </w:pPr>
    <w:rPr>
      <w:rFonts w:ascii="Times" w:hAnsi="Times" w:cs="Times New Roman"/>
      <w:kern w:val="0"/>
      <w:sz w:val="20"/>
      <w:szCs w:val="20"/>
    </w:rPr>
  </w:style>
  <w:style w:type="paragraph" w:styleId="CommentText">
    <w:name w:val="annotation text"/>
    <w:basedOn w:val="Normal"/>
    <w:link w:val="CommentTextChar"/>
    <w:uiPriority w:val="99"/>
    <w:unhideWhenUsed/>
    <w:rsid w:val="000A5C36"/>
    <w:rPr>
      <w:sz w:val="20"/>
      <w:szCs w:val="20"/>
    </w:rPr>
  </w:style>
  <w:style w:type="paragraph" w:styleId="CommentSubject">
    <w:name w:val="annotation subject"/>
    <w:basedOn w:val="CommentText"/>
    <w:next w:val="CommentText"/>
    <w:link w:val="CommentSubjectChar"/>
    <w:uiPriority w:val="99"/>
    <w:semiHidden/>
    <w:unhideWhenUsed/>
    <w:qFormat/>
    <w:rsid w:val="000A5C36"/>
    <w:rPr>
      <w:b/>
      <w:bCs/>
    </w:rPr>
  </w:style>
  <w:style w:type="paragraph" w:styleId="BalloonText">
    <w:name w:val="Balloon Text"/>
    <w:basedOn w:val="Normal"/>
    <w:link w:val="BalloonTextChar"/>
    <w:uiPriority w:val="99"/>
    <w:semiHidden/>
    <w:unhideWhenUsed/>
    <w:qFormat/>
    <w:rsid w:val="000A5C36"/>
    <w:rPr>
      <w:rFonts w:ascii="Tahoma" w:hAnsi="Tahoma" w:cs="Tahoma"/>
      <w:sz w:val="16"/>
      <w:szCs w:val="16"/>
    </w:rPr>
  </w:style>
  <w:style w:type="paragraph" w:styleId="ListParagraph">
    <w:name w:val="List Paragraph"/>
    <w:basedOn w:val="Normal"/>
    <w:uiPriority w:val="34"/>
    <w:qFormat/>
    <w:rsid w:val="00EA7963"/>
    <w:pPr>
      <w:ind w:left="720"/>
      <w:contextualSpacing/>
    </w:pPr>
  </w:style>
  <w:style w:type="paragraph" w:customStyle="1" w:styleId="Cabeceraypieuser">
    <w:name w:val="Cabecera y pie (user)"/>
    <w:basedOn w:val="Normal"/>
    <w:qFormat/>
  </w:style>
  <w:style w:type="paragraph" w:customStyle="1" w:styleId="Cabeceraypie">
    <w:name w:val="Cabecera y pie"/>
    <w:basedOn w:val="Normal"/>
    <w:qFormat/>
  </w:style>
  <w:style w:type="paragraph" w:styleId="Header">
    <w:name w:val="header"/>
    <w:basedOn w:val="Normal"/>
    <w:link w:val="HeaderChar"/>
    <w:uiPriority w:val="99"/>
    <w:unhideWhenUsed/>
    <w:rsid w:val="00F05FBC"/>
    <w:pPr>
      <w:suppressLineNumbers/>
      <w:tabs>
        <w:tab w:val="center" w:pos="4680"/>
        <w:tab w:val="right" w:pos="9360"/>
      </w:tabs>
    </w:pPr>
  </w:style>
  <w:style w:type="paragraph" w:styleId="Footer">
    <w:name w:val="footer"/>
    <w:basedOn w:val="Normal"/>
    <w:link w:val="FooterChar"/>
    <w:uiPriority w:val="99"/>
    <w:unhideWhenUsed/>
    <w:rsid w:val="00F05FBC"/>
    <w:pPr>
      <w:suppressLineNumbers/>
      <w:tabs>
        <w:tab w:val="center" w:pos="4680"/>
        <w:tab w:val="right" w:pos="9360"/>
      </w:tabs>
    </w:pPr>
  </w:style>
  <w:style w:type="paragraph" w:styleId="Revision">
    <w:name w:val="Revision"/>
    <w:uiPriority w:val="99"/>
    <w:semiHidden/>
    <w:qFormat/>
    <w:rsid w:val="00E56CC3"/>
  </w:style>
  <w:style w:type="numbering" w:customStyle="1" w:styleId="Ningunalistauser">
    <w:name w:val="Ninguna lista (user)"/>
    <w:uiPriority w:val="99"/>
    <w:semiHidden/>
    <w:unhideWhenUsed/>
    <w:qFormat/>
  </w:style>
  <w:style w:type="table" w:styleId="TableGrid">
    <w:name w:val="Table Grid"/>
    <w:basedOn w:val="TableNormal"/>
    <w:uiPriority w:val="39"/>
    <w:rsid w:val="00400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430BC7"/>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5838">
      <w:bodyDiv w:val="1"/>
      <w:marLeft w:val="0"/>
      <w:marRight w:val="0"/>
      <w:marTop w:val="0"/>
      <w:marBottom w:val="0"/>
      <w:divBdr>
        <w:top w:val="none" w:sz="0" w:space="0" w:color="auto"/>
        <w:left w:val="none" w:sz="0" w:space="0" w:color="auto"/>
        <w:bottom w:val="none" w:sz="0" w:space="0" w:color="auto"/>
        <w:right w:val="none" w:sz="0" w:space="0" w:color="auto"/>
      </w:divBdr>
    </w:div>
    <w:div w:id="16129533">
      <w:bodyDiv w:val="1"/>
      <w:marLeft w:val="0"/>
      <w:marRight w:val="0"/>
      <w:marTop w:val="0"/>
      <w:marBottom w:val="0"/>
      <w:divBdr>
        <w:top w:val="none" w:sz="0" w:space="0" w:color="auto"/>
        <w:left w:val="none" w:sz="0" w:space="0" w:color="auto"/>
        <w:bottom w:val="none" w:sz="0" w:space="0" w:color="auto"/>
        <w:right w:val="none" w:sz="0" w:space="0" w:color="auto"/>
      </w:divBdr>
    </w:div>
    <w:div w:id="56125195">
      <w:bodyDiv w:val="1"/>
      <w:marLeft w:val="0"/>
      <w:marRight w:val="0"/>
      <w:marTop w:val="0"/>
      <w:marBottom w:val="0"/>
      <w:divBdr>
        <w:top w:val="none" w:sz="0" w:space="0" w:color="auto"/>
        <w:left w:val="none" w:sz="0" w:space="0" w:color="auto"/>
        <w:bottom w:val="none" w:sz="0" w:space="0" w:color="auto"/>
        <w:right w:val="none" w:sz="0" w:space="0" w:color="auto"/>
      </w:divBdr>
      <w:divsChild>
        <w:div w:id="358700019">
          <w:marLeft w:val="480"/>
          <w:marRight w:val="0"/>
          <w:marTop w:val="0"/>
          <w:marBottom w:val="0"/>
          <w:divBdr>
            <w:top w:val="none" w:sz="0" w:space="0" w:color="auto"/>
            <w:left w:val="none" w:sz="0" w:space="0" w:color="auto"/>
            <w:bottom w:val="none" w:sz="0" w:space="0" w:color="auto"/>
            <w:right w:val="none" w:sz="0" w:space="0" w:color="auto"/>
          </w:divBdr>
        </w:div>
        <w:div w:id="991101240">
          <w:marLeft w:val="480"/>
          <w:marRight w:val="0"/>
          <w:marTop w:val="0"/>
          <w:marBottom w:val="0"/>
          <w:divBdr>
            <w:top w:val="none" w:sz="0" w:space="0" w:color="auto"/>
            <w:left w:val="none" w:sz="0" w:space="0" w:color="auto"/>
            <w:bottom w:val="none" w:sz="0" w:space="0" w:color="auto"/>
            <w:right w:val="none" w:sz="0" w:space="0" w:color="auto"/>
          </w:divBdr>
        </w:div>
        <w:div w:id="1385255254">
          <w:marLeft w:val="480"/>
          <w:marRight w:val="0"/>
          <w:marTop w:val="0"/>
          <w:marBottom w:val="0"/>
          <w:divBdr>
            <w:top w:val="none" w:sz="0" w:space="0" w:color="auto"/>
            <w:left w:val="none" w:sz="0" w:space="0" w:color="auto"/>
            <w:bottom w:val="none" w:sz="0" w:space="0" w:color="auto"/>
            <w:right w:val="none" w:sz="0" w:space="0" w:color="auto"/>
          </w:divBdr>
        </w:div>
        <w:div w:id="1709993279">
          <w:marLeft w:val="480"/>
          <w:marRight w:val="0"/>
          <w:marTop w:val="0"/>
          <w:marBottom w:val="0"/>
          <w:divBdr>
            <w:top w:val="none" w:sz="0" w:space="0" w:color="auto"/>
            <w:left w:val="none" w:sz="0" w:space="0" w:color="auto"/>
            <w:bottom w:val="none" w:sz="0" w:space="0" w:color="auto"/>
            <w:right w:val="none" w:sz="0" w:space="0" w:color="auto"/>
          </w:divBdr>
        </w:div>
        <w:div w:id="826440642">
          <w:marLeft w:val="480"/>
          <w:marRight w:val="0"/>
          <w:marTop w:val="0"/>
          <w:marBottom w:val="0"/>
          <w:divBdr>
            <w:top w:val="none" w:sz="0" w:space="0" w:color="auto"/>
            <w:left w:val="none" w:sz="0" w:space="0" w:color="auto"/>
            <w:bottom w:val="none" w:sz="0" w:space="0" w:color="auto"/>
            <w:right w:val="none" w:sz="0" w:space="0" w:color="auto"/>
          </w:divBdr>
        </w:div>
        <w:div w:id="1056921">
          <w:marLeft w:val="480"/>
          <w:marRight w:val="0"/>
          <w:marTop w:val="0"/>
          <w:marBottom w:val="0"/>
          <w:divBdr>
            <w:top w:val="none" w:sz="0" w:space="0" w:color="auto"/>
            <w:left w:val="none" w:sz="0" w:space="0" w:color="auto"/>
            <w:bottom w:val="none" w:sz="0" w:space="0" w:color="auto"/>
            <w:right w:val="none" w:sz="0" w:space="0" w:color="auto"/>
          </w:divBdr>
        </w:div>
        <w:div w:id="797991329">
          <w:marLeft w:val="480"/>
          <w:marRight w:val="0"/>
          <w:marTop w:val="0"/>
          <w:marBottom w:val="0"/>
          <w:divBdr>
            <w:top w:val="none" w:sz="0" w:space="0" w:color="auto"/>
            <w:left w:val="none" w:sz="0" w:space="0" w:color="auto"/>
            <w:bottom w:val="none" w:sz="0" w:space="0" w:color="auto"/>
            <w:right w:val="none" w:sz="0" w:space="0" w:color="auto"/>
          </w:divBdr>
        </w:div>
        <w:div w:id="176503845">
          <w:marLeft w:val="480"/>
          <w:marRight w:val="0"/>
          <w:marTop w:val="0"/>
          <w:marBottom w:val="0"/>
          <w:divBdr>
            <w:top w:val="none" w:sz="0" w:space="0" w:color="auto"/>
            <w:left w:val="none" w:sz="0" w:space="0" w:color="auto"/>
            <w:bottom w:val="none" w:sz="0" w:space="0" w:color="auto"/>
            <w:right w:val="none" w:sz="0" w:space="0" w:color="auto"/>
          </w:divBdr>
        </w:div>
        <w:div w:id="2066637177">
          <w:marLeft w:val="480"/>
          <w:marRight w:val="0"/>
          <w:marTop w:val="0"/>
          <w:marBottom w:val="0"/>
          <w:divBdr>
            <w:top w:val="none" w:sz="0" w:space="0" w:color="auto"/>
            <w:left w:val="none" w:sz="0" w:space="0" w:color="auto"/>
            <w:bottom w:val="none" w:sz="0" w:space="0" w:color="auto"/>
            <w:right w:val="none" w:sz="0" w:space="0" w:color="auto"/>
          </w:divBdr>
        </w:div>
        <w:div w:id="280919976">
          <w:marLeft w:val="480"/>
          <w:marRight w:val="0"/>
          <w:marTop w:val="0"/>
          <w:marBottom w:val="0"/>
          <w:divBdr>
            <w:top w:val="none" w:sz="0" w:space="0" w:color="auto"/>
            <w:left w:val="none" w:sz="0" w:space="0" w:color="auto"/>
            <w:bottom w:val="none" w:sz="0" w:space="0" w:color="auto"/>
            <w:right w:val="none" w:sz="0" w:space="0" w:color="auto"/>
          </w:divBdr>
        </w:div>
        <w:div w:id="21786184">
          <w:marLeft w:val="480"/>
          <w:marRight w:val="0"/>
          <w:marTop w:val="0"/>
          <w:marBottom w:val="0"/>
          <w:divBdr>
            <w:top w:val="none" w:sz="0" w:space="0" w:color="auto"/>
            <w:left w:val="none" w:sz="0" w:space="0" w:color="auto"/>
            <w:bottom w:val="none" w:sz="0" w:space="0" w:color="auto"/>
            <w:right w:val="none" w:sz="0" w:space="0" w:color="auto"/>
          </w:divBdr>
        </w:div>
        <w:div w:id="1716807569">
          <w:marLeft w:val="480"/>
          <w:marRight w:val="0"/>
          <w:marTop w:val="0"/>
          <w:marBottom w:val="0"/>
          <w:divBdr>
            <w:top w:val="none" w:sz="0" w:space="0" w:color="auto"/>
            <w:left w:val="none" w:sz="0" w:space="0" w:color="auto"/>
            <w:bottom w:val="none" w:sz="0" w:space="0" w:color="auto"/>
            <w:right w:val="none" w:sz="0" w:space="0" w:color="auto"/>
          </w:divBdr>
        </w:div>
        <w:div w:id="1294826752">
          <w:marLeft w:val="480"/>
          <w:marRight w:val="0"/>
          <w:marTop w:val="0"/>
          <w:marBottom w:val="0"/>
          <w:divBdr>
            <w:top w:val="none" w:sz="0" w:space="0" w:color="auto"/>
            <w:left w:val="none" w:sz="0" w:space="0" w:color="auto"/>
            <w:bottom w:val="none" w:sz="0" w:space="0" w:color="auto"/>
            <w:right w:val="none" w:sz="0" w:space="0" w:color="auto"/>
          </w:divBdr>
        </w:div>
        <w:div w:id="598292501">
          <w:marLeft w:val="480"/>
          <w:marRight w:val="0"/>
          <w:marTop w:val="0"/>
          <w:marBottom w:val="0"/>
          <w:divBdr>
            <w:top w:val="none" w:sz="0" w:space="0" w:color="auto"/>
            <w:left w:val="none" w:sz="0" w:space="0" w:color="auto"/>
            <w:bottom w:val="none" w:sz="0" w:space="0" w:color="auto"/>
            <w:right w:val="none" w:sz="0" w:space="0" w:color="auto"/>
          </w:divBdr>
        </w:div>
        <w:div w:id="186145061">
          <w:marLeft w:val="480"/>
          <w:marRight w:val="0"/>
          <w:marTop w:val="0"/>
          <w:marBottom w:val="0"/>
          <w:divBdr>
            <w:top w:val="none" w:sz="0" w:space="0" w:color="auto"/>
            <w:left w:val="none" w:sz="0" w:space="0" w:color="auto"/>
            <w:bottom w:val="none" w:sz="0" w:space="0" w:color="auto"/>
            <w:right w:val="none" w:sz="0" w:space="0" w:color="auto"/>
          </w:divBdr>
        </w:div>
        <w:div w:id="2086609581">
          <w:marLeft w:val="480"/>
          <w:marRight w:val="0"/>
          <w:marTop w:val="0"/>
          <w:marBottom w:val="0"/>
          <w:divBdr>
            <w:top w:val="none" w:sz="0" w:space="0" w:color="auto"/>
            <w:left w:val="none" w:sz="0" w:space="0" w:color="auto"/>
            <w:bottom w:val="none" w:sz="0" w:space="0" w:color="auto"/>
            <w:right w:val="none" w:sz="0" w:space="0" w:color="auto"/>
          </w:divBdr>
        </w:div>
        <w:div w:id="1191604061">
          <w:marLeft w:val="480"/>
          <w:marRight w:val="0"/>
          <w:marTop w:val="0"/>
          <w:marBottom w:val="0"/>
          <w:divBdr>
            <w:top w:val="none" w:sz="0" w:space="0" w:color="auto"/>
            <w:left w:val="none" w:sz="0" w:space="0" w:color="auto"/>
            <w:bottom w:val="none" w:sz="0" w:space="0" w:color="auto"/>
            <w:right w:val="none" w:sz="0" w:space="0" w:color="auto"/>
          </w:divBdr>
        </w:div>
        <w:div w:id="1818764703">
          <w:marLeft w:val="480"/>
          <w:marRight w:val="0"/>
          <w:marTop w:val="0"/>
          <w:marBottom w:val="0"/>
          <w:divBdr>
            <w:top w:val="none" w:sz="0" w:space="0" w:color="auto"/>
            <w:left w:val="none" w:sz="0" w:space="0" w:color="auto"/>
            <w:bottom w:val="none" w:sz="0" w:space="0" w:color="auto"/>
            <w:right w:val="none" w:sz="0" w:space="0" w:color="auto"/>
          </w:divBdr>
        </w:div>
        <w:div w:id="1186362489">
          <w:marLeft w:val="480"/>
          <w:marRight w:val="0"/>
          <w:marTop w:val="0"/>
          <w:marBottom w:val="0"/>
          <w:divBdr>
            <w:top w:val="none" w:sz="0" w:space="0" w:color="auto"/>
            <w:left w:val="none" w:sz="0" w:space="0" w:color="auto"/>
            <w:bottom w:val="none" w:sz="0" w:space="0" w:color="auto"/>
            <w:right w:val="none" w:sz="0" w:space="0" w:color="auto"/>
          </w:divBdr>
        </w:div>
        <w:div w:id="1904411340">
          <w:marLeft w:val="480"/>
          <w:marRight w:val="0"/>
          <w:marTop w:val="0"/>
          <w:marBottom w:val="0"/>
          <w:divBdr>
            <w:top w:val="none" w:sz="0" w:space="0" w:color="auto"/>
            <w:left w:val="none" w:sz="0" w:space="0" w:color="auto"/>
            <w:bottom w:val="none" w:sz="0" w:space="0" w:color="auto"/>
            <w:right w:val="none" w:sz="0" w:space="0" w:color="auto"/>
          </w:divBdr>
        </w:div>
        <w:div w:id="1545017837">
          <w:marLeft w:val="480"/>
          <w:marRight w:val="0"/>
          <w:marTop w:val="0"/>
          <w:marBottom w:val="0"/>
          <w:divBdr>
            <w:top w:val="none" w:sz="0" w:space="0" w:color="auto"/>
            <w:left w:val="none" w:sz="0" w:space="0" w:color="auto"/>
            <w:bottom w:val="none" w:sz="0" w:space="0" w:color="auto"/>
            <w:right w:val="none" w:sz="0" w:space="0" w:color="auto"/>
          </w:divBdr>
        </w:div>
        <w:div w:id="630674948">
          <w:marLeft w:val="480"/>
          <w:marRight w:val="0"/>
          <w:marTop w:val="0"/>
          <w:marBottom w:val="0"/>
          <w:divBdr>
            <w:top w:val="none" w:sz="0" w:space="0" w:color="auto"/>
            <w:left w:val="none" w:sz="0" w:space="0" w:color="auto"/>
            <w:bottom w:val="none" w:sz="0" w:space="0" w:color="auto"/>
            <w:right w:val="none" w:sz="0" w:space="0" w:color="auto"/>
          </w:divBdr>
        </w:div>
        <w:div w:id="1871340536">
          <w:marLeft w:val="480"/>
          <w:marRight w:val="0"/>
          <w:marTop w:val="0"/>
          <w:marBottom w:val="0"/>
          <w:divBdr>
            <w:top w:val="none" w:sz="0" w:space="0" w:color="auto"/>
            <w:left w:val="none" w:sz="0" w:space="0" w:color="auto"/>
            <w:bottom w:val="none" w:sz="0" w:space="0" w:color="auto"/>
            <w:right w:val="none" w:sz="0" w:space="0" w:color="auto"/>
          </w:divBdr>
        </w:div>
        <w:div w:id="1355617811">
          <w:marLeft w:val="480"/>
          <w:marRight w:val="0"/>
          <w:marTop w:val="0"/>
          <w:marBottom w:val="0"/>
          <w:divBdr>
            <w:top w:val="none" w:sz="0" w:space="0" w:color="auto"/>
            <w:left w:val="none" w:sz="0" w:space="0" w:color="auto"/>
            <w:bottom w:val="none" w:sz="0" w:space="0" w:color="auto"/>
            <w:right w:val="none" w:sz="0" w:space="0" w:color="auto"/>
          </w:divBdr>
        </w:div>
        <w:div w:id="1928004343">
          <w:marLeft w:val="480"/>
          <w:marRight w:val="0"/>
          <w:marTop w:val="0"/>
          <w:marBottom w:val="0"/>
          <w:divBdr>
            <w:top w:val="none" w:sz="0" w:space="0" w:color="auto"/>
            <w:left w:val="none" w:sz="0" w:space="0" w:color="auto"/>
            <w:bottom w:val="none" w:sz="0" w:space="0" w:color="auto"/>
            <w:right w:val="none" w:sz="0" w:space="0" w:color="auto"/>
          </w:divBdr>
        </w:div>
        <w:div w:id="1243829406">
          <w:marLeft w:val="480"/>
          <w:marRight w:val="0"/>
          <w:marTop w:val="0"/>
          <w:marBottom w:val="0"/>
          <w:divBdr>
            <w:top w:val="none" w:sz="0" w:space="0" w:color="auto"/>
            <w:left w:val="none" w:sz="0" w:space="0" w:color="auto"/>
            <w:bottom w:val="none" w:sz="0" w:space="0" w:color="auto"/>
            <w:right w:val="none" w:sz="0" w:space="0" w:color="auto"/>
          </w:divBdr>
        </w:div>
        <w:div w:id="1444227415">
          <w:marLeft w:val="480"/>
          <w:marRight w:val="0"/>
          <w:marTop w:val="0"/>
          <w:marBottom w:val="0"/>
          <w:divBdr>
            <w:top w:val="none" w:sz="0" w:space="0" w:color="auto"/>
            <w:left w:val="none" w:sz="0" w:space="0" w:color="auto"/>
            <w:bottom w:val="none" w:sz="0" w:space="0" w:color="auto"/>
            <w:right w:val="none" w:sz="0" w:space="0" w:color="auto"/>
          </w:divBdr>
        </w:div>
        <w:div w:id="10189017">
          <w:marLeft w:val="480"/>
          <w:marRight w:val="0"/>
          <w:marTop w:val="0"/>
          <w:marBottom w:val="0"/>
          <w:divBdr>
            <w:top w:val="none" w:sz="0" w:space="0" w:color="auto"/>
            <w:left w:val="none" w:sz="0" w:space="0" w:color="auto"/>
            <w:bottom w:val="none" w:sz="0" w:space="0" w:color="auto"/>
            <w:right w:val="none" w:sz="0" w:space="0" w:color="auto"/>
          </w:divBdr>
        </w:div>
        <w:div w:id="1112819557">
          <w:marLeft w:val="480"/>
          <w:marRight w:val="0"/>
          <w:marTop w:val="0"/>
          <w:marBottom w:val="0"/>
          <w:divBdr>
            <w:top w:val="none" w:sz="0" w:space="0" w:color="auto"/>
            <w:left w:val="none" w:sz="0" w:space="0" w:color="auto"/>
            <w:bottom w:val="none" w:sz="0" w:space="0" w:color="auto"/>
            <w:right w:val="none" w:sz="0" w:space="0" w:color="auto"/>
          </w:divBdr>
        </w:div>
        <w:div w:id="127014756">
          <w:marLeft w:val="480"/>
          <w:marRight w:val="0"/>
          <w:marTop w:val="0"/>
          <w:marBottom w:val="0"/>
          <w:divBdr>
            <w:top w:val="none" w:sz="0" w:space="0" w:color="auto"/>
            <w:left w:val="none" w:sz="0" w:space="0" w:color="auto"/>
            <w:bottom w:val="none" w:sz="0" w:space="0" w:color="auto"/>
            <w:right w:val="none" w:sz="0" w:space="0" w:color="auto"/>
          </w:divBdr>
        </w:div>
        <w:div w:id="1953051276">
          <w:marLeft w:val="480"/>
          <w:marRight w:val="0"/>
          <w:marTop w:val="0"/>
          <w:marBottom w:val="0"/>
          <w:divBdr>
            <w:top w:val="none" w:sz="0" w:space="0" w:color="auto"/>
            <w:left w:val="none" w:sz="0" w:space="0" w:color="auto"/>
            <w:bottom w:val="none" w:sz="0" w:space="0" w:color="auto"/>
            <w:right w:val="none" w:sz="0" w:space="0" w:color="auto"/>
          </w:divBdr>
        </w:div>
        <w:div w:id="898441906">
          <w:marLeft w:val="480"/>
          <w:marRight w:val="0"/>
          <w:marTop w:val="0"/>
          <w:marBottom w:val="0"/>
          <w:divBdr>
            <w:top w:val="none" w:sz="0" w:space="0" w:color="auto"/>
            <w:left w:val="none" w:sz="0" w:space="0" w:color="auto"/>
            <w:bottom w:val="none" w:sz="0" w:space="0" w:color="auto"/>
            <w:right w:val="none" w:sz="0" w:space="0" w:color="auto"/>
          </w:divBdr>
        </w:div>
        <w:div w:id="577714862">
          <w:marLeft w:val="480"/>
          <w:marRight w:val="0"/>
          <w:marTop w:val="0"/>
          <w:marBottom w:val="0"/>
          <w:divBdr>
            <w:top w:val="none" w:sz="0" w:space="0" w:color="auto"/>
            <w:left w:val="none" w:sz="0" w:space="0" w:color="auto"/>
            <w:bottom w:val="none" w:sz="0" w:space="0" w:color="auto"/>
            <w:right w:val="none" w:sz="0" w:space="0" w:color="auto"/>
          </w:divBdr>
        </w:div>
        <w:div w:id="1040326502">
          <w:marLeft w:val="480"/>
          <w:marRight w:val="0"/>
          <w:marTop w:val="0"/>
          <w:marBottom w:val="0"/>
          <w:divBdr>
            <w:top w:val="none" w:sz="0" w:space="0" w:color="auto"/>
            <w:left w:val="none" w:sz="0" w:space="0" w:color="auto"/>
            <w:bottom w:val="none" w:sz="0" w:space="0" w:color="auto"/>
            <w:right w:val="none" w:sz="0" w:space="0" w:color="auto"/>
          </w:divBdr>
        </w:div>
        <w:div w:id="353388415">
          <w:marLeft w:val="480"/>
          <w:marRight w:val="0"/>
          <w:marTop w:val="0"/>
          <w:marBottom w:val="0"/>
          <w:divBdr>
            <w:top w:val="none" w:sz="0" w:space="0" w:color="auto"/>
            <w:left w:val="none" w:sz="0" w:space="0" w:color="auto"/>
            <w:bottom w:val="none" w:sz="0" w:space="0" w:color="auto"/>
            <w:right w:val="none" w:sz="0" w:space="0" w:color="auto"/>
          </w:divBdr>
        </w:div>
        <w:div w:id="2036539230">
          <w:marLeft w:val="480"/>
          <w:marRight w:val="0"/>
          <w:marTop w:val="0"/>
          <w:marBottom w:val="0"/>
          <w:divBdr>
            <w:top w:val="none" w:sz="0" w:space="0" w:color="auto"/>
            <w:left w:val="none" w:sz="0" w:space="0" w:color="auto"/>
            <w:bottom w:val="none" w:sz="0" w:space="0" w:color="auto"/>
            <w:right w:val="none" w:sz="0" w:space="0" w:color="auto"/>
          </w:divBdr>
        </w:div>
        <w:div w:id="1533762252">
          <w:marLeft w:val="480"/>
          <w:marRight w:val="0"/>
          <w:marTop w:val="0"/>
          <w:marBottom w:val="0"/>
          <w:divBdr>
            <w:top w:val="none" w:sz="0" w:space="0" w:color="auto"/>
            <w:left w:val="none" w:sz="0" w:space="0" w:color="auto"/>
            <w:bottom w:val="none" w:sz="0" w:space="0" w:color="auto"/>
            <w:right w:val="none" w:sz="0" w:space="0" w:color="auto"/>
          </w:divBdr>
        </w:div>
        <w:div w:id="1617760935">
          <w:marLeft w:val="480"/>
          <w:marRight w:val="0"/>
          <w:marTop w:val="0"/>
          <w:marBottom w:val="0"/>
          <w:divBdr>
            <w:top w:val="none" w:sz="0" w:space="0" w:color="auto"/>
            <w:left w:val="none" w:sz="0" w:space="0" w:color="auto"/>
            <w:bottom w:val="none" w:sz="0" w:space="0" w:color="auto"/>
            <w:right w:val="none" w:sz="0" w:space="0" w:color="auto"/>
          </w:divBdr>
        </w:div>
        <w:div w:id="521630575">
          <w:marLeft w:val="480"/>
          <w:marRight w:val="0"/>
          <w:marTop w:val="0"/>
          <w:marBottom w:val="0"/>
          <w:divBdr>
            <w:top w:val="none" w:sz="0" w:space="0" w:color="auto"/>
            <w:left w:val="none" w:sz="0" w:space="0" w:color="auto"/>
            <w:bottom w:val="none" w:sz="0" w:space="0" w:color="auto"/>
            <w:right w:val="none" w:sz="0" w:space="0" w:color="auto"/>
          </w:divBdr>
        </w:div>
        <w:div w:id="189076660">
          <w:marLeft w:val="480"/>
          <w:marRight w:val="0"/>
          <w:marTop w:val="0"/>
          <w:marBottom w:val="0"/>
          <w:divBdr>
            <w:top w:val="none" w:sz="0" w:space="0" w:color="auto"/>
            <w:left w:val="none" w:sz="0" w:space="0" w:color="auto"/>
            <w:bottom w:val="none" w:sz="0" w:space="0" w:color="auto"/>
            <w:right w:val="none" w:sz="0" w:space="0" w:color="auto"/>
          </w:divBdr>
        </w:div>
        <w:div w:id="1085033549">
          <w:marLeft w:val="480"/>
          <w:marRight w:val="0"/>
          <w:marTop w:val="0"/>
          <w:marBottom w:val="0"/>
          <w:divBdr>
            <w:top w:val="none" w:sz="0" w:space="0" w:color="auto"/>
            <w:left w:val="none" w:sz="0" w:space="0" w:color="auto"/>
            <w:bottom w:val="none" w:sz="0" w:space="0" w:color="auto"/>
            <w:right w:val="none" w:sz="0" w:space="0" w:color="auto"/>
          </w:divBdr>
        </w:div>
        <w:div w:id="1248730906">
          <w:marLeft w:val="480"/>
          <w:marRight w:val="0"/>
          <w:marTop w:val="0"/>
          <w:marBottom w:val="0"/>
          <w:divBdr>
            <w:top w:val="none" w:sz="0" w:space="0" w:color="auto"/>
            <w:left w:val="none" w:sz="0" w:space="0" w:color="auto"/>
            <w:bottom w:val="none" w:sz="0" w:space="0" w:color="auto"/>
            <w:right w:val="none" w:sz="0" w:space="0" w:color="auto"/>
          </w:divBdr>
        </w:div>
        <w:div w:id="699621438">
          <w:marLeft w:val="480"/>
          <w:marRight w:val="0"/>
          <w:marTop w:val="0"/>
          <w:marBottom w:val="0"/>
          <w:divBdr>
            <w:top w:val="none" w:sz="0" w:space="0" w:color="auto"/>
            <w:left w:val="none" w:sz="0" w:space="0" w:color="auto"/>
            <w:bottom w:val="none" w:sz="0" w:space="0" w:color="auto"/>
            <w:right w:val="none" w:sz="0" w:space="0" w:color="auto"/>
          </w:divBdr>
        </w:div>
        <w:div w:id="1082752775">
          <w:marLeft w:val="480"/>
          <w:marRight w:val="0"/>
          <w:marTop w:val="0"/>
          <w:marBottom w:val="0"/>
          <w:divBdr>
            <w:top w:val="none" w:sz="0" w:space="0" w:color="auto"/>
            <w:left w:val="none" w:sz="0" w:space="0" w:color="auto"/>
            <w:bottom w:val="none" w:sz="0" w:space="0" w:color="auto"/>
            <w:right w:val="none" w:sz="0" w:space="0" w:color="auto"/>
          </w:divBdr>
        </w:div>
        <w:div w:id="1253204271">
          <w:marLeft w:val="480"/>
          <w:marRight w:val="0"/>
          <w:marTop w:val="0"/>
          <w:marBottom w:val="0"/>
          <w:divBdr>
            <w:top w:val="none" w:sz="0" w:space="0" w:color="auto"/>
            <w:left w:val="none" w:sz="0" w:space="0" w:color="auto"/>
            <w:bottom w:val="none" w:sz="0" w:space="0" w:color="auto"/>
            <w:right w:val="none" w:sz="0" w:space="0" w:color="auto"/>
          </w:divBdr>
        </w:div>
        <w:div w:id="1737896343">
          <w:marLeft w:val="480"/>
          <w:marRight w:val="0"/>
          <w:marTop w:val="0"/>
          <w:marBottom w:val="0"/>
          <w:divBdr>
            <w:top w:val="none" w:sz="0" w:space="0" w:color="auto"/>
            <w:left w:val="none" w:sz="0" w:space="0" w:color="auto"/>
            <w:bottom w:val="none" w:sz="0" w:space="0" w:color="auto"/>
            <w:right w:val="none" w:sz="0" w:space="0" w:color="auto"/>
          </w:divBdr>
        </w:div>
        <w:div w:id="113720419">
          <w:marLeft w:val="480"/>
          <w:marRight w:val="0"/>
          <w:marTop w:val="0"/>
          <w:marBottom w:val="0"/>
          <w:divBdr>
            <w:top w:val="none" w:sz="0" w:space="0" w:color="auto"/>
            <w:left w:val="none" w:sz="0" w:space="0" w:color="auto"/>
            <w:bottom w:val="none" w:sz="0" w:space="0" w:color="auto"/>
            <w:right w:val="none" w:sz="0" w:space="0" w:color="auto"/>
          </w:divBdr>
        </w:div>
        <w:div w:id="1132207915">
          <w:marLeft w:val="480"/>
          <w:marRight w:val="0"/>
          <w:marTop w:val="0"/>
          <w:marBottom w:val="0"/>
          <w:divBdr>
            <w:top w:val="none" w:sz="0" w:space="0" w:color="auto"/>
            <w:left w:val="none" w:sz="0" w:space="0" w:color="auto"/>
            <w:bottom w:val="none" w:sz="0" w:space="0" w:color="auto"/>
            <w:right w:val="none" w:sz="0" w:space="0" w:color="auto"/>
          </w:divBdr>
        </w:div>
        <w:div w:id="954798005">
          <w:marLeft w:val="480"/>
          <w:marRight w:val="0"/>
          <w:marTop w:val="0"/>
          <w:marBottom w:val="0"/>
          <w:divBdr>
            <w:top w:val="none" w:sz="0" w:space="0" w:color="auto"/>
            <w:left w:val="none" w:sz="0" w:space="0" w:color="auto"/>
            <w:bottom w:val="none" w:sz="0" w:space="0" w:color="auto"/>
            <w:right w:val="none" w:sz="0" w:space="0" w:color="auto"/>
          </w:divBdr>
        </w:div>
        <w:div w:id="519122060">
          <w:marLeft w:val="480"/>
          <w:marRight w:val="0"/>
          <w:marTop w:val="0"/>
          <w:marBottom w:val="0"/>
          <w:divBdr>
            <w:top w:val="none" w:sz="0" w:space="0" w:color="auto"/>
            <w:left w:val="none" w:sz="0" w:space="0" w:color="auto"/>
            <w:bottom w:val="none" w:sz="0" w:space="0" w:color="auto"/>
            <w:right w:val="none" w:sz="0" w:space="0" w:color="auto"/>
          </w:divBdr>
        </w:div>
        <w:div w:id="315034448">
          <w:marLeft w:val="480"/>
          <w:marRight w:val="0"/>
          <w:marTop w:val="0"/>
          <w:marBottom w:val="0"/>
          <w:divBdr>
            <w:top w:val="none" w:sz="0" w:space="0" w:color="auto"/>
            <w:left w:val="none" w:sz="0" w:space="0" w:color="auto"/>
            <w:bottom w:val="none" w:sz="0" w:space="0" w:color="auto"/>
            <w:right w:val="none" w:sz="0" w:space="0" w:color="auto"/>
          </w:divBdr>
        </w:div>
        <w:div w:id="335309474">
          <w:marLeft w:val="480"/>
          <w:marRight w:val="0"/>
          <w:marTop w:val="0"/>
          <w:marBottom w:val="0"/>
          <w:divBdr>
            <w:top w:val="none" w:sz="0" w:space="0" w:color="auto"/>
            <w:left w:val="none" w:sz="0" w:space="0" w:color="auto"/>
            <w:bottom w:val="none" w:sz="0" w:space="0" w:color="auto"/>
            <w:right w:val="none" w:sz="0" w:space="0" w:color="auto"/>
          </w:divBdr>
        </w:div>
        <w:div w:id="2058164790">
          <w:marLeft w:val="480"/>
          <w:marRight w:val="0"/>
          <w:marTop w:val="0"/>
          <w:marBottom w:val="0"/>
          <w:divBdr>
            <w:top w:val="none" w:sz="0" w:space="0" w:color="auto"/>
            <w:left w:val="none" w:sz="0" w:space="0" w:color="auto"/>
            <w:bottom w:val="none" w:sz="0" w:space="0" w:color="auto"/>
            <w:right w:val="none" w:sz="0" w:space="0" w:color="auto"/>
          </w:divBdr>
        </w:div>
        <w:div w:id="642004657">
          <w:marLeft w:val="480"/>
          <w:marRight w:val="0"/>
          <w:marTop w:val="0"/>
          <w:marBottom w:val="0"/>
          <w:divBdr>
            <w:top w:val="none" w:sz="0" w:space="0" w:color="auto"/>
            <w:left w:val="none" w:sz="0" w:space="0" w:color="auto"/>
            <w:bottom w:val="none" w:sz="0" w:space="0" w:color="auto"/>
            <w:right w:val="none" w:sz="0" w:space="0" w:color="auto"/>
          </w:divBdr>
        </w:div>
        <w:div w:id="984892446">
          <w:marLeft w:val="480"/>
          <w:marRight w:val="0"/>
          <w:marTop w:val="0"/>
          <w:marBottom w:val="0"/>
          <w:divBdr>
            <w:top w:val="none" w:sz="0" w:space="0" w:color="auto"/>
            <w:left w:val="none" w:sz="0" w:space="0" w:color="auto"/>
            <w:bottom w:val="none" w:sz="0" w:space="0" w:color="auto"/>
            <w:right w:val="none" w:sz="0" w:space="0" w:color="auto"/>
          </w:divBdr>
        </w:div>
        <w:div w:id="1605113487">
          <w:marLeft w:val="480"/>
          <w:marRight w:val="0"/>
          <w:marTop w:val="0"/>
          <w:marBottom w:val="0"/>
          <w:divBdr>
            <w:top w:val="none" w:sz="0" w:space="0" w:color="auto"/>
            <w:left w:val="none" w:sz="0" w:space="0" w:color="auto"/>
            <w:bottom w:val="none" w:sz="0" w:space="0" w:color="auto"/>
            <w:right w:val="none" w:sz="0" w:space="0" w:color="auto"/>
          </w:divBdr>
        </w:div>
        <w:div w:id="1956978204">
          <w:marLeft w:val="480"/>
          <w:marRight w:val="0"/>
          <w:marTop w:val="0"/>
          <w:marBottom w:val="0"/>
          <w:divBdr>
            <w:top w:val="none" w:sz="0" w:space="0" w:color="auto"/>
            <w:left w:val="none" w:sz="0" w:space="0" w:color="auto"/>
            <w:bottom w:val="none" w:sz="0" w:space="0" w:color="auto"/>
            <w:right w:val="none" w:sz="0" w:space="0" w:color="auto"/>
          </w:divBdr>
        </w:div>
        <w:div w:id="952596576">
          <w:marLeft w:val="480"/>
          <w:marRight w:val="0"/>
          <w:marTop w:val="0"/>
          <w:marBottom w:val="0"/>
          <w:divBdr>
            <w:top w:val="none" w:sz="0" w:space="0" w:color="auto"/>
            <w:left w:val="none" w:sz="0" w:space="0" w:color="auto"/>
            <w:bottom w:val="none" w:sz="0" w:space="0" w:color="auto"/>
            <w:right w:val="none" w:sz="0" w:space="0" w:color="auto"/>
          </w:divBdr>
        </w:div>
        <w:div w:id="658459714">
          <w:marLeft w:val="480"/>
          <w:marRight w:val="0"/>
          <w:marTop w:val="0"/>
          <w:marBottom w:val="0"/>
          <w:divBdr>
            <w:top w:val="none" w:sz="0" w:space="0" w:color="auto"/>
            <w:left w:val="none" w:sz="0" w:space="0" w:color="auto"/>
            <w:bottom w:val="none" w:sz="0" w:space="0" w:color="auto"/>
            <w:right w:val="none" w:sz="0" w:space="0" w:color="auto"/>
          </w:divBdr>
        </w:div>
        <w:div w:id="350887009">
          <w:marLeft w:val="480"/>
          <w:marRight w:val="0"/>
          <w:marTop w:val="0"/>
          <w:marBottom w:val="0"/>
          <w:divBdr>
            <w:top w:val="none" w:sz="0" w:space="0" w:color="auto"/>
            <w:left w:val="none" w:sz="0" w:space="0" w:color="auto"/>
            <w:bottom w:val="none" w:sz="0" w:space="0" w:color="auto"/>
            <w:right w:val="none" w:sz="0" w:space="0" w:color="auto"/>
          </w:divBdr>
        </w:div>
        <w:div w:id="1460539143">
          <w:marLeft w:val="480"/>
          <w:marRight w:val="0"/>
          <w:marTop w:val="0"/>
          <w:marBottom w:val="0"/>
          <w:divBdr>
            <w:top w:val="none" w:sz="0" w:space="0" w:color="auto"/>
            <w:left w:val="none" w:sz="0" w:space="0" w:color="auto"/>
            <w:bottom w:val="none" w:sz="0" w:space="0" w:color="auto"/>
            <w:right w:val="none" w:sz="0" w:space="0" w:color="auto"/>
          </w:divBdr>
        </w:div>
        <w:div w:id="85464592">
          <w:marLeft w:val="480"/>
          <w:marRight w:val="0"/>
          <w:marTop w:val="0"/>
          <w:marBottom w:val="0"/>
          <w:divBdr>
            <w:top w:val="none" w:sz="0" w:space="0" w:color="auto"/>
            <w:left w:val="none" w:sz="0" w:space="0" w:color="auto"/>
            <w:bottom w:val="none" w:sz="0" w:space="0" w:color="auto"/>
            <w:right w:val="none" w:sz="0" w:space="0" w:color="auto"/>
          </w:divBdr>
        </w:div>
        <w:div w:id="1863278848">
          <w:marLeft w:val="480"/>
          <w:marRight w:val="0"/>
          <w:marTop w:val="0"/>
          <w:marBottom w:val="0"/>
          <w:divBdr>
            <w:top w:val="none" w:sz="0" w:space="0" w:color="auto"/>
            <w:left w:val="none" w:sz="0" w:space="0" w:color="auto"/>
            <w:bottom w:val="none" w:sz="0" w:space="0" w:color="auto"/>
            <w:right w:val="none" w:sz="0" w:space="0" w:color="auto"/>
          </w:divBdr>
        </w:div>
        <w:div w:id="1668900584">
          <w:marLeft w:val="480"/>
          <w:marRight w:val="0"/>
          <w:marTop w:val="0"/>
          <w:marBottom w:val="0"/>
          <w:divBdr>
            <w:top w:val="none" w:sz="0" w:space="0" w:color="auto"/>
            <w:left w:val="none" w:sz="0" w:space="0" w:color="auto"/>
            <w:bottom w:val="none" w:sz="0" w:space="0" w:color="auto"/>
            <w:right w:val="none" w:sz="0" w:space="0" w:color="auto"/>
          </w:divBdr>
        </w:div>
        <w:div w:id="177545870">
          <w:marLeft w:val="480"/>
          <w:marRight w:val="0"/>
          <w:marTop w:val="0"/>
          <w:marBottom w:val="0"/>
          <w:divBdr>
            <w:top w:val="none" w:sz="0" w:space="0" w:color="auto"/>
            <w:left w:val="none" w:sz="0" w:space="0" w:color="auto"/>
            <w:bottom w:val="none" w:sz="0" w:space="0" w:color="auto"/>
            <w:right w:val="none" w:sz="0" w:space="0" w:color="auto"/>
          </w:divBdr>
        </w:div>
        <w:div w:id="745880547">
          <w:marLeft w:val="480"/>
          <w:marRight w:val="0"/>
          <w:marTop w:val="0"/>
          <w:marBottom w:val="0"/>
          <w:divBdr>
            <w:top w:val="none" w:sz="0" w:space="0" w:color="auto"/>
            <w:left w:val="none" w:sz="0" w:space="0" w:color="auto"/>
            <w:bottom w:val="none" w:sz="0" w:space="0" w:color="auto"/>
            <w:right w:val="none" w:sz="0" w:space="0" w:color="auto"/>
          </w:divBdr>
        </w:div>
        <w:div w:id="346954540">
          <w:marLeft w:val="480"/>
          <w:marRight w:val="0"/>
          <w:marTop w:val="0"/>
          <w:marBottom w:val="0"/>
          <w:divBdr>
            <w:top w:val="none" w:sz="0" w:space="0" w:color="auto"/>
            <w:left w:val="none" w:sz="0" w:space="0" w:color="auto"/>
            <w:bottom w:val="none" w:sz="0" w:space="0" w:color="auto"/>
            <w:right w:val="none" w:sz="0" w:space="0" w:color="auto"/>
          </w:divBdr>
        </w:div>
        <w:div w:id="1957440388">
          <w:marLeft w:val="480"/>
          <w:marRight w:val="0"/>
          <w:marTop w:val="0"/>
          <w:marBottom w:val="0"/>
          <w:divBdr>
            <w:top w:val="none" w:sz="0" w:space="0" w:color="auto"/>
            <w:left w:val="none" w:sz="0" w:space="0" w:color="auto"/>
            <w:bottom w:val="none" w:sz="0" w:space="0" w:color="auto"/>
            <w:right w:val="none" w:sz="0" w:space="0" w:color="auto"/>
          </w:divBdr>
        </w:div>
        <w:div w:id="2042120593">
          <w:marLeft w:val="480"/>
          <w:marRight w:val="0"/>
          <w:marTop w:val="0"/>
          <w:marBottom w:val="0"/>
          <w:divBdr>
            <w:top w:val="none" w:sz="0" w:space="0" w:color="auto"/>
            <w:left w:val="none" w:sz="0" w:space="0" w:color="auto"/>
            <w:bottom w:val="none" w:sz="0" w:space="0" w:color="auto"/>
            <w:right w:val="none" w:sz="0" w:space="0" w:color="auto"/>
          </w:divBdr>
        </w:div>
        <w:div w:id="1334843282">
          <w:marLeft w:val="480"/>
          <w:marRight w:val="0"/>
          <w:marTop w:val="0"/>
          <w:marBottom w:val="0"/>
          <w:divBdr>
            <w:top w:val="none" w:sz="0" w:space="0" w:color="auto"/>
            <w:left w:val="none" w:sz="0" w:space="0" w:color="auto"/>
            <w:bottom w:val="none" w:sz="0" w:space="0" w:color="auto"/>
            <w:right w:val="none" w:sz="0" w:space="0" w:color="auto"/>
          </w:divBdr>
        </w:div>
        <w:div w:id="1212494334">
          <w:marLeft w:val="480"/>
          <w:marRight w:val="0"/>
          <w:marTop w:val="0"/>
          <w:marBottom w:val="0"/>
          <w:divBdr>
            <w:top w:val="none" w:sz="0" w:space="0" w:color="auto"/>
            <w:left w:val="none" w:sz="0" w:space="0" w:color="auto"/>
            <w:bottom w:val="none" w:sz="0" w:space="0" w:color="auto"/>
            <w:right w:val="none" w:sz="0" w:space="0" w:color="auto"/>
          </w:divBdr>
        </w:div>
        <w:div w:id="9532852">
          <w:marLeft w:val="480"/>
          <w:marRight w:val="0"/>
          <w:marTop w:val="0"/>
          <w:marBottom w:val="0"/>
          <w:divBdr>
            <w:top w:val="none" w:sz="0" w:space="0" w:color="auto"/>
            <w:left w:val="none" w:sz="0" w:space="0" w:color="auto"/>
            <w:bottom w:val="none" w:sz="0" w:space="0" w:color="auto"/>
            <w:right w:val="none" w:sz="0" w:space="0" w:color="auto"/>
          </w:divBdr>
        </w:div>
        <w:div w:id="568270127">
          <w:marLeft w:val="480"/>
          <w:marRight w:val="0"/>
          <w:marTop w:val="0"/>
          <w:marBottom w:val="0"/>
          <w:divBdr>
            <w:top w:val="none" w:sz="0" w:space="0" w:color="auto"/>
            <w:left w:val="none" w:sz="0" w:space="0" w:color="auto"/>
            <w:bottom w:val="none" w:sz="0" w:space="0" w:color="auto"/>
            <w:right w:val="none" w:sz="0" w:space="0" w:color="auto"/>
          </w:divBdr>
          <w:divsChild>
            <w:div w:id="1499998064">
              <w:marLeft w:val="0"/>
              <w:marRight w:val="0"/>
              <w:marTop w:val="0"/>
              <w:marBottom w:val="0"/>
              <w:divBdr>
                <w:top w:val="none" w:sz="0" w:space="0" w:color="auto"/>
                <w:left w:val="none" w:sz="0" w:space="0" w:color="auto"/>
                <w:bottom w:val="none" w:sz="0" w:space="0" w:color="auto"/>
                <w:right w:val="none" w:sz="0" w:space="0" w:color="auto"/>
              </w:divBdr>
              <w:divsChild>
                <w:div w:id="1565949337">
                  <w:marLeft w:val="480"/>
                  <w:marRight w:val="0"/>
                  <w:marTop w:val="0"/>
                  <w:marBottom w:val="0"/>
                  <w:divBdr>
                    <w:top w:val="none" w:sz="0" w:space="0" w:color="auto"/>
                    <w:left w:val="none" w:sz="0" w:space="0" w:color="auto"/>
                    <w:bottom w:val="none" w:sz="0" w:space="0" w:color="auto"/>
                    <w:right w:val="none" w:sz="0" w:space="0" w:color="auto"/>
                  </w:divBdr>
                </w:div>
                <w:div w:id="2145155951">
                  <w:marLeft w:val="480"/>
                  <w:marRight w:val="0"/>
                  <w:marTop w:val="0"/>
                  <w:marBottom w:val="0"/>
                  <w:divBdr>
                    <w:top w:val="none" w:sz="0" w:space="0" w:color="auto"/>
                    <w:left w:val="none" w:sz="0" w:space="0" w:color="auto"/>
                    <w:bottom w:val="none" w:sz="0" w:space="0" w:color="auto"/>
                    <w:right w:val="none" w:sz="0" w:space="0" w:color="auto"/>
                  </w:divBdr>
                </w:div>
                <w:div w:id="1923172692">
                  <w:marLeft w:val="480"/>
                  <w:marRight w:val="0"/>
                  <w:marTop w:val="0"/>
                  <w:marBottom w:val="0"/>
                  <w:divBdr>
                    <w:top w:val="none" w:sz="0" w:space="0" w:color="auto"/>
                    <w:left w:val="none" w:sz="0" w:space="0" w:color="auto"/>
                    <w:bottom w:val="none" w:sz="0" w:space="0" w:color="auto"/>
                    <w:right w:val="none" w:sz="0" w:space="0" w:color="auto"/>
                  </w:divBdr>
                </w:div>
                <w:div w:id="1195004509">
                  <w:marLeft w:val="480"/>
                  <w:marRight w:val="0"/>
                  <w:marTop w:val="0"/>
                  <w:marBottom w:val="0"/>
                  <w:divBdr>
                    <w:top w:val="none" w:sz="0" w:space="0" w:color="auto"/>
                    <w:left w:val="none" w:sz="0" w:space="0" w:color="auto"/>
                    <w:bottom w:val="none" w:sz="0" w:space="0" w:color="auto"/>
                    <w:right w:val="none" w:sz="0" w:space="0" w:color="auto"/>
                  </w:divBdr>
                </w:div>
                <w:div w:id="1634017345">
                  <w:marLeft w:val="480"/>
                  <w:marRight w:val="0"/>
                  <w:marTop w:val="0"/>
                  <w:marBottom w:val="0"/>
                  <w:divBdr>
                    <w:top w:val="none" w:sz="0" w:space="0" w:color="auto"/>
                    <w:left w:val="none" w:sz="0" w:space="0" w:color="auto"/>
                    <w:bottom w:val="none" w:sz="0" w:space="0" w:color="auto"/>
                    <w:right w:val="none" w:sz="0" w:space="0" w:color="auto"/>
                  </w:divBdr>
                </w:div>
                <w:div w:id="1606228970">
                  <w:marLeft w:val="480"/>
                  <w:marRight w:val="0"/>
                  <w:marTop w:val="0"/>
                  <w:marBottom w:val="0"/>
                  <w:divBdr>
                    <w:top w:val="none" w:sz="0" w:space="0" w:color="auto"/>
                    <w:left w:val="none" w:sz="0" w:space="0" w:color="auto"/>
                    <w:bottom w:val="none" w:sz="0" w:space="0" w:color="auto"/>
                    <w:right w:val="none" w:sz="0" w:space="0" w:color="auto"/>
                  </w:divBdr>
                </w:div>
                <w:div w:id="1739739994">
                  <w:marLeft w:val="480"/>
                  <w:marRight w:val="0"/>
                  <w:marTop w:val="0"/>
                  <w:marBottom w:val="0"/>
                  <w:divBdr>
                    <w:top w:val="none" w:sz="0" w:space="0" w:color="auto"/>
                    <w:left w:val="none" w:sz="0" w:space="0" w:color="auto"/>
                    <w:bottom w:val="none" w:sz="0" w:space="0" w:color="auto"/>
                    <w:right w:val="none" w:sz="0" w:space="0" w:color="auto"/>
                  </w:divBdr>
                </w:div>
                <w:div w:id="990478004">
                  <w:marLeft w:val="480"/>
                  <w:marRight w:val="0"/>
                  <w:marTop w:val="0"/>
                  <w:marBottom w:val="0"/>
                  <w:divBdr>
                    <w:top w:val="none" w:sz="0" w:space="0" w:color="auto"/>
                    <w:left w:val="none" w:sz="0" w:space="0" w:color="auto"/>
                    <w:bottom w:val="none" w:sz="0" w:space="0" w:color="auto"/>
                    <w:right w:val="none" w:sz="0" w:space="0" w:color="auto"/>
                  </w:divBdr>
                </w:div>
                <w:div w:id="2049138422">
                  <w:marLeft w:val="480"/>
                  <w:marRight w:val="0"/>
                  <w:marTop w:val="0"/>
                  <w:marBottom w:val="0"/>
                  <w:divBdr>
                    <w:top w:val="none" w:sz="0" w:space="0" w:color="auto"/>
                    <w:left w:val="none" w:sz="0" w:space="0" w:color="auto"/>
                    <w:bottom w:val="none" w:sz="0" w:space="0" w:color="auto"/>
                    <w:right w:val="none" w:sz="0" w:space="0" w:color="auto"/>
                  </w:divBdr>
                </w:div>
                <w:div w:id="564294890">
                  <w:marLeft w:val="480"/>
                  <w:marRight w:val="0"/>
                  <w:marTop w:val="0"/>
                  <w:marBottom w:val="0"/>
                  <w:divBdr>
                    <w:top w:val="none" w:sz="0" w:space="0" w:color="auto"/>
                    <w:left w:val="none" w:sz="0" w:space="0" w:color="auto"/>
                    <w:bottom w:val="none" w:sz="0" w:space="0" w:color="auto"/>
                    <w:right w:val="none" w:sz="0" w:space="0" w:color="auto"/>
                  </w:divBdr>
                </w:div>
                <w:div w:id="1747460517">
                  <w:marLeft w:val="480"/>
                  <w:marRight w:val="0"/>
                  <w:marTop w:val="0"/>
                  <w:marBottom w:val="0"/>
                  <w:divBdr>
                    <w:top w:val="none" w:sz="0" w:space="0" w:color="auto"/>
                    <w:left w:val="none" w:sz="0" w:space="0" w:color="auto"/>
                    <w:bottom w:val="none" w:sz="0" w:space="0" w:color="auto"/>
                    <w:right w:val="none" w:sz="0" w:space="0" w:color="auto"/>
                  </w:divBdr>
                </w:div>
                <w:div w:id="935289921">
                  <w:marLeft w:val="480"/>
                  <w:marRight w:val="0"/>
                  <w:marTop w:val="0"/>
                  <w:marBottom w:val="0"/>
                  <w:divBdr>
                    <w:top w:val="none" w:sz="0" w:space="0" w:color="auto"/>
                    <w:left w:val="none" w:sz="0" w:space="0" w:color="auto"/>
                    <w:bottom w:val="none" w:sz="0" w:space="0" w:color="auto"/>
                    <w:right w:val="none" w:sz="0" w:space="0" w:color="auto"/>
                  </w:divBdr>
                </w:div>
                <w:div w:id="649015094">
                  <w:marLeft w:val="480"/>
                  <w:marRight w:val="0"/>
                  <w:marTop w:val="0"/>
                  <w:marBottom w:val="0"/>
                  <w:divBdr>
                    <w:top w:val="none" w:sz="0" w:space="0" w:color="auto"/>
                    <w:left w:val="none" w:sz="0" w:space="0" w:color="auto"/>
                    <w:bottom w:val="none" w:sz="0" w:space="0" w:color="auto"/>
                    <w:right w:val="none" w:sz="0" w:space="0" w:color="auto"/>
                  </w:divBdr>
                </w:div>
                <w:div w:id="956720929">
                  <w:marLeft w:val="480"/>
                  <w:marRight w:val="0"/>
                  <w:marTop w:val="0"/>
                  <w:marBottom w:val="0"/>
                  <w:divBdr>
                    <w:top w:val="none" w:sz="0" w:space="0" w:color="auto"/>
                    <w:left w:val="none" w:sz="0" w:space="0" w:color="auto"/>
                    <w:bottom w:val="none" w:sz="0" w:space="0" w:color="auto"/>
                    <w:right w:val="none" w:sz="0" w:space="0" w:color="auto"/>
                  </w:divBdr>
                </w:div>
                <w:div w:id="81807304">
                  <w:marLeft w:val="480"/>
                  <w:marRight w:val="0"/>
                  <w:marTop w:val="0"/>
                  <w:marBottom w:val="0"/>
                  <w:divBdr>
                    <w:top w:val="none" w:sz="0" w:space="0" w:color="auto"/>
                    <w:left w:val="none" w:sz="0" w:space="0" w:color="auto"/>
                    <w:bottom w:val="none" w:sz="0" w:space="0" w:color="auto"/>
                    <w:right w:val="none" w:sz="0" w:space="0" w:color="auto"/>
                  </w:divBdr>
                </w:div>
                <w:div w:id="1490172499">
                  <w:marLeft w:val="480"/>
                  <w:marRight w:val="0"/>
                  <w:marTop w:val="0"/>
                  <w:marBottom w:val="0"/>
                  <w:divBdr>
                    <w:top w:val="none" w:sz="0" w:space="0" w:color="auto"/>
                    <w:left w:val="none" w:sz="0" w:space="0" w:color="auto"/>
                    <w:bottom w:val="none" w:sz="0" w:space="0" w:color="auto"/>
                    <w:right w:val="none" w:sz="0" w:space="0" w:color="auto"/>
                  </w:divBdr>
                </w:div>
                <w:div w:id="457070649">
                  <w:marLeft w:val="480"/>
                  <w:marRight w:val="0"/>
                  <w:marTop w:val="0"/>
                  <w:marBottom w:val="0"/>
                  <w:divBdr>
                    <w:top w:val="none" w:sz="0" w:space="0" w:color="auto"/>
                    <w:left w:val="none" w:sz="0" w:space="0" w:color="auto"/>
                    <w:bottom w:val="none" w:sz="0" w:space="0" w:color="auto"/>
                    <w:right w:val="none" w:sz="0" w:space="0" w:color="auto"/>
                  </w:divBdr>
                </w:div>
                <w:div w:id="874846898">
                  <w:marLeft w:val="480"/>
                  <w:marRight w:val="0"/>
                  <w:marTop w:val="0"/>
                  <w:marBottom w:val="0"/>
                  <w:divBdr>
                    <w:top w:val="none" w:sz="0" w:space="0" w:color="auto"/>
                    <w:left w:val="none" w:sz="0" w:space="0" w:color="auto"/>
                    <w:bottom w:val="none" w:sz="0" w:space="0" w:color="auto"/>
                    <w:right w:val="none" w:sz="0" w:space="0" w:color="auto"/>
                  </w:divBdr>
                </w:div>
                <w:div w:id="1019548870">
                  <w:marLeft w:val="480"/>
                  <w:marRight w:val="0"/>
                  <w:marTop w:val="0"/>
                  <w:marBottom w:val="0"/>
                  <w:divBdr>
                    <w:top w:val="none" w:sz="0" w:space="0" w:color="auto"/>
                    <w:left w:val="none" w:sz="0" w:space="0" w:color="auto"/>
                    <w:bottom w:val="none" w:sz="0" w:space="0" w:color="auto"/>
                    <w:right w:val="none" w:sz="0" w:space="0" w:color="auto"/>
                  </w:divBdr>
                </w:div>
                <w:div w:id="2140416736">
                  <w:marLeft w:val="480"/>
                  <w:marRight w:val="0"/>
                  <w:marTop w:val="0"/>
                  <w:marBottom w:val="0"/>
                  <w:divBdr>
                    <w:top w:val="none" w:sz="0" w:space="0" w:color="auto"/>
                    <w:left w:val="none" w:sz="0" w:space="0" w:color="auto"/>
                    <w:bottom w:val="none" w:sz="0" w:space="0" w:color="auto"/>
                    <w:right w:val="none" w:sz="0" w:space="0" w:color="auto"/>
                  </w:divBdr>
                </w:div>
                <w:div w:id="2065642583">
                  <w:marLeft w:val="480"/>
                  <w:marRight w:val="0"/>
                  <w:marTop w:val="0"/>
                  <w:marBottom w:val="0"/>
                  <w:divBdr>
                    <w:top w:val="none" w:sz="0" w:space="0" w:color="auto"/>
                    <w:left w:val="none" w:sz="0" w:space="0" w:color="auto"/>
                    <w:bottom w:val="none" w:sz="0" w:space="0" w:color="auto"/>
                    <w:right w:val="none" w:sz="0" w:space="0" w:color="auto"/>
                  </w:divBdr>
                </w:div>
                <w:div w:id="159732633">
                  <w:marLeft w:val="480"/>
                  <w:marRight w:val="0"/>
                  <w:marTop w:val="0"/>
                  <w:marBottom w:val="0"/>
                  <w:divBdr>
                    <w:top w:val="none" w:sz="0" w:space="0" w:color="auto"/>
                    <w:left w:val="none" w:sz="0" w:space="0" w:color="auto"/>
                    <w:bottom w:val="none" w:sz="0" w:space="0" w:color="auto"/>
                    <w:right w:val="none" w:sz="0" w:space="0" w:color="auto"/>
                  </w:divBdr>
                </w:div>
                <w:div w:id="1077479336">
                  <w:marLeft w:val="480"/>
                  <w:marRight w:val="0"/>
                  <w:marTop w:val="0"/>
                  <w:marBottom w:val="0"/>
                  <w:divBdr>
                    <w:top w:val="none" w:sz="0" w:space="0" w:color="auto"/>
                    <w:left w:val="none" w:sz="0" w:space="0" w:color="auto"/>
                    <w:bottom w:val="none" w:sz="0" w:space="0" w:color="auto"/>
                    <w:right w:val="none" w:sz="0" w:space="0" w:color="auto"/>
                  </w:divBdr>
                </w:div>
                <w:div w:id="1416782847">
                  <w:marLeft w:val="480"/>
                  <w:marRight w:val="0"/>
                  <w:marTop w:val="0"/>
                  <w:marBottom w:val="0"/>
                  <w:divBdr>
                    <w:top w:val="none" w:sz="0" w:space="0" w:color="auto"/>
                    <w:left w:val="none" w:sz="0" w:space="0" w:color="auto"/>
                    <w:bottom w:val="none" w:sz="0" w:space="0" w:color="auto"/>
                    <w:right w:val="none" w:sz="0" w:space="0" w:color="auto"/>
                  </w:divBdr>
                </w:div>
                <w:div w:id="1285116104">
                  <w:marLeft w:val="480"/>
                  <w:marRight w:val="0"/>
                  <w:marTop w:val="0"/>
                  <w:marBottom w:val="0"/>
                  <w:divBdr>
                    <w:top w:val="none" w:sz="0" w:space="0" w:color="auto"/>
                    <w:left w:val="none" w:sz="0" w:space="0" w:color="auto"/>
                    <w:bottom w:val="none" w:sz="0" w:space="0" w:color="auto"/>
                    <w:right w:val="none" w:sz="0" w:space="0" w:color="auto"/>
                  </w:divBdr>
                </w:div>
                <w:div w:id="377240785">
                  <w:marLeft w:val="480"/>
                  <w:marRight w:val="0"/>
                  <w:marTop w:val="0"/>
                  <w:marBottom w:val="0"/>
                  <w:divBdr>
                    <w:top w:val="none" w:sz="0" w:space="0" w:color="auto"/>
                    <w:left w:val="none" w:sz="0" w:space="0" w:color="auto"/>
                    <w:bottom w:val="none" w:sz="0" w:space="0" w:color="auto"/>
                    <w:right w:val="none" w:sz="0" w:space="0" w:color="auto"/>
                  </w:divBdr>
                </w:div>
                <w:div w:id="920337362">
                  <w:marLeft w:val="480"/>
                  <w:marRight w:val="0"/>
                  <w:marTop w:val="0"/>
                  <w:marBottom w:val="0"/>
                  <w:divBdr>
                    <w:top w:val="none" w:sz="0" w:space="0" w:color="auto"/>
                    <w:left w:val="none" w:sz="0" w:space="0" w:color="auto"/>
                    <w:bottom w:val="none" w:sz="0" w:space="0" w:color="auto"/>
                    <w:right w:val="none" w:sz="0" w:space="0" w:color="auto"/>
                  </w:divBdr>
                </w:div>
                <w:div w:id="2099328176">
                  <w:marLeft w:val="480"/>
                  <w:marRight w:val="0"/>
                  <w:marTop w:val="0"/>
                  <w:marBottom w:val="0"/>
                  <w:divBdr>
                    <w:top w:val="none" w:sz="0" w:space="0" w:color="auto"/>
                    <w:left w:val="none" w:sz="0" w:space="0" w:color="auto"/>
                    <w:bottom w:val="none" w:sz="0" w:space="0" w:color="auto"/>
                    <w:right w:val="none" w:sz="0" w:space="0" w:color="auto"/>
                  </w:divBdr>
                </w:div>
                <w:div w:id="1768651036">
                  <w:marLeft w:val="480"/>
                  <w:marRight w:val="0"/>
                  <w:marTop w:val="0"/>
                  <w:marBottom w:val="0"/>
                  <w:divBdr>
                    <w:top w:val="none" w:sz="0" w:space="0" w:color="auto"/>
                    <w:left w:val="none" w:sz="0" w:space="0" w:color="auto"/>
                    <w:bottom w:val="none" w:sz="0" w:space="0" w:color="auto"/>
                    <w:right w:val="none" w:sz="0" w:space="0" w:color="auto"/>
                  </w:divBdr>
                </w:div>
                <w:div w:id="1456826418">
                  <w:marLeft w:val="480"/>
                  <w:marRight w:val="0"/>
                  <w:marTop w:val="0"/>
                  <w:marBottom w:val="0"/>
                  <w:divBdr>
                    <w:top w:val="none" w:sz="0" w:space="0" w:color="auto"/>
                    <w:left w:val="none" w:sz="0" w:space="0" w:color="auto"/>
                    <w:bottom w:val="none" w:sz="0" w:space="0" w:color="auto"/>
                    <w:right w:val="none" w:sz="0" w:space="0" w:color="auto"/>
                  </w:divBdr>
                </w:div>
                <w:div w:id="1568343368">
                  <w:marLeft w:val="480"/>
                  <w:marRight w:val="0"/>
                  <w:marTop w:val="0"/>
                  <w:marBottom w:val="0"/>
                  <w:divBdr>
                    <w:top w:val="none" w:sz="0" w:space="0" w:color="auto"/>
                    <w:left w:val="none" w:sz="0" w:space="0" w:color="auto"/>
                    <w:bottom w:val="none" w:sz="0" w:space="0" w:color="auto"/>
                    <w:right w:val="none" w:sz="0" w:space="0" w:color="auto"/>
                  </w:divBdr>
                </w:div>
                <w:div w:id="758334530">
                  <w:marLeft w:val="480"/>
                  <w:marRight w:val="0"/>
                  <w:marTop w:val="0"/>
                  <w:marBottom w:val="0"/>
                  <w:divBdr>
                    <w:top w:val="none" w:sz="0" w:space="0" w:color="auto"/>
                    <w:left w:val="none" w:sz="0" w:space="0" w:color="auto"/>
                    <w:bottom w:val="none" w:sz="0" w:space="0" w:color="auto"/>
                    <w:right w:val="none" w:sz="0" w:space="0" w:color="auto"/>
                  </w:divBdr>
                </w:div>
                <w:div w:id="803234536">
                  <w:marLeft w:val="480"/>
                  <w:marRight w:val="0"/>
                  <w:marTop w:val="0"/>
                  <w:marBottom w:val="0"/>
                  <w:divBdr>
                    <w:top w:val="none" w:sz="0" w:space="0" w:color="auto"/>
                    <w:left w:val="none" w:sz="0" w:space="0" w:color="auto"/>
                    <w:bottom w:val="none" w:sz="0" w:space="0" w:color="auto"/>
                    <w:right w:val="none" w:sz="0" w:space="0" w:color="auto"/>
                  </w:divBdr>
                </w:div>
                <w:div w:id="383456159">
                  <w:marLeft w:val="480"/>
                  <w:marRight w:val="0"/>
                  <w:marTop w:val="0"/>
                  <w:marBottom w:val="0"/>
                  <w:divBdr>
                    <w:top w:val="none" w:sz="0" w:space="0" w:color="auto"/>
                    <w:left w:val="none" w:sz="0" w:space="0" w:color="auto"/>
                    <w:bottom w:val="none" w:sz="0" w:space="0" w:color="auto"/>
                    <w:right w:val="none" w:sz="0" w:space="0" w:color="auto"/>
                  </w:divBdr>
                </w:div>
                <w:div w:id="1002127946">
                  <w:marLeft w:val="480"/>
                  <w:marRight w:val="0"/>
                  <w:marTop w:val="0"/>
                  <w:marBottom w:val="0"/>
                  <w:divBdr>
                    <w:top w:val="none" w:sz="0" w:space="0" w:color="auto"/>
                    <w:left w:val="none" w:sz="0" w:space="0" w:color="auto"/>
                    <w:bottom w:val="none" w:sz="0" w:space="0" w:color="auto"/>
                    <w:right w:val="none" w:sz="0" w:space="0" w:color="auto"/>
                  </w:divBdr>
                </w:div>
                <w:div w:id="862783310">
                  <w:marLeft w:val="480"/>
                  <w:marRight w:val="0"/>
                  <w:marTop w:val="0"/>
                  <w:marBottom w:val="0"/>
                  <w:divBdr>
                    <w:top w:val="none" w:sz="0" w:space="0" w:color="auto"/>
                    <w:left w:val="none" w:sz="0" w:space="0" w:color="auto"/>
                    <w:bottom w:val="none" w:sz="0" w:space="0" w:color="auto"/>
                    <w:right w:val="none" w:sz="0" w:space="0" w:color="auto"/>
                  </w:divBdr>
                </w:div>
                <w:div w:id="1175457244">
                  <w:marLeft w:val="480"/>
                  <w:marRight w:val="0"/>
                  <w:marTop w:val="0"/>
                  <w:marBottom w:val="0"/>
                  <w:divBdr>
                    <w:top w:val="none" w:sz="0" w:space="0" w:color="auto"/>
                    <w:left w:val="none" w:sz="0" w:space="0" w:color="auto"/>
                    <w:bottom w:val="none" w:sz="0" w:space="0" w:color="auto"/>
                    <w:right w:val="none" w:sz="0" w:space="0" w:color="auto"/>
                  </w:divBdr>
                </w:div>
                <w:div w:id="1292438454">
                  <w:marLeft w:val="480"/>
                  <w:marRight w:val="0"/>
                  <w:marTop w:val="0"/>
                  <w:marBottom w:val="0"/>
                  <w:divBdr>
                    <w:top w:val="none" w:sz="0" w:space="0" w:color="auto"/>
                    <w:left w:val="none" w:sz="0" w:space="0" w:color="auto"/>
                    <w:bottom w:val="none" w:sz="0" w:space="0" w:color="auto"/>
                    <w:right w:val="none" w:sz="0" w:space="0" w:color="auto"/>
                  </w:divBdr>
                </w:div>
                <w:div w:id="1227184077">
                  <w:marLeft w:val="480"/>
                  <w:marRight w:val="0"/>
                  <w:marTop w:val="0"/>
                  <w:marBottom w:val="0"/>
                  <w:divBdr>
                    <w:top w:val="none" w:sz="0" w:space="0" w:color="auto"/>
                    <w:left w:val="none" w:sz="0" w:space="0" w:color="auto"/>
                    <w:bottom w:val="none" w:sz="0" w:space="0" w:color="auto"/>
                    <w:right w:val="none" w:sz="0" w:space="0" w:color="auto"/>
                  </w:divBdr>
                </w:div>
                <w:div w:id="1861160244">
                  <w:marLeft w:val="480"/>
                  <w:marRight w:val="0"/>
                  <w:marTop w:val="0"/>
                  <w:marBottom w:val="0"/>
                  <w:divBdr>
                    <w:top w:val="none" w:sz="0" w:space="0" w:color="auto"/>
                    <w:left w:val="none" w:sz="0" w:space="0" w:color="auto"/>
                    <w:bottom w:val="none" w:sz="0" w:space="0" w:color="auto"/>
                    <w:right w:val="none" w:sz="0" w:space="0" w:color="auto"/>
                  </w:divBdr>
                </w:div>
                <w:div w:id="235288870">
                  <w:marLeft w:val="480"/>
                  <w:marRight w:val="0"/>
                  <w:marTop w:val="0"/>
                  <w:marBottom w:val="0"/>
                  <w:divBdr>
                    <w:top w:val="none" w:sz="0" w:space="0" w:color="auto"/>
                    <w:left w:val="none" w:sz="0" w:space="0" w:color="auto"/>
                    <w:bottom w:val="none" w:sz="0" w:space="0" w:color="auto"/>
                    <w:right w:val="none" w:sz="0" w:space="0" w:color="auto"/>
                  </w:divBdr>
                </w:div>
                <w:div w:id="109983085">
                  <w:marLeft w:val="480"/>
                  <w:marRight w:val="0"/>
                  <w:marTop w:val="0"/>
                  <w:marBottom w:val="0"/>
                  <w:divBdr>
                    <w:top w:val="none" w:sz="0" w:space="0" w:color="auto"/>
                    <w:left w:val="none" w:sz="0" w:space="0" w:color="auto"/>
                    <w:bottom w:val="none" w:sz="0" w:space="0" w:color="auto"/>
                    <w:right w:val="none" w:sz="0" w:space="0" w:color="auto"/>
                  </w:divBdr>
                </w:div>
                <w:div w:id="887841582">
                  <w:marLeft w:val="480"/>
                  <w:marRight w:val="0"/>
                  <w:marTop w:val="0"/>
                  <w:marBottom w:val="0"/>
                  <w:divBdr>
                    <w:top w:val="none" w:sz="0" w:space="0" w:color="auto"/>
                    <w:left w:val="none" w:sz="0" w:space="0" w:color="auto"/>
                    <w:bottom w:val="none" w:sz="0" w:space="0" w:color="auto"/>
                    <w:right w:val="none" w:sz="0" w:space="0" w:color="auto"/>
                  </w:divBdr>
                </w:div>
                <w:div w:id="2115399271">
                  <w:marLeft w:val="480"/>
                  <w:marRight w:val="0"/>
                  <w:marTop w:val="0"/>
                  <w:marBottom w:val="0"/>
                  <w:divBdr>
                    <w:top w:val="none" w:sz="0" w:space="0" w:color="auto"/>
                    <w:left w:val="none" w:sz="0" w:space="0" w:color="auto"/>
                    <w:bottom w:val="none" w:sz="0" w:space="0" w:color="auto"/>
                    <w:right w:val="none" w:sz="0" w:space="0" w:color="auto"/>
                  </w:divBdr>
                </w:div>
                <w:div w:id="285307857">
                  <w:marLeft w:val="480"/>
                  <w:marRight w:val="0"/>
                  <w:marTop w:val="0"/>
                  <w:marBottom w:val="0"/>
                  <w:divBdr>
                    <w:top w:val="none" w:sz="0" w:space="0" w:color="auto"/>
                    <w:left w:val="none" w:sz="0" w:space="0" w:color="auto"/>
                    <w:bottom w:val="none" w:sz="0" w:space="0" w:color="auto"/>
                    <w:right w:val="none" w:sz="0" w:space="0" w:color="auto"/>
                  </w:divBdr>
                </w:div>
                <w:div w:id="1342974263">
                  <w:marLeft w:val="480"/>
                  <w:marRight w:val="0"/>
                  <w:marTop w:val="0"/>
                  <w:marBottom w:val="0"/>
                  <w:divBdr>
                    <w:top w:val="none" w:sz="0" w:space="0" w:color="auto"/>
                    <w:left w:val="none" w:sz="0" w:space="0" w:color="auto"/>
                    <w:bottom w:val="none" w:sz="0" w:space="0" w:color="auto"/>
                    <w:right w:val="none" w:sz="0" w:space="0" w:color="auto"/>
                  </w:divBdr>
                </w:div>
                <w:div w:id="1037699419">
                  <w:marLeft w:val="480"/>
                  <w:marRight w:val="0"/>
                  <w:marTop w:val="0"/>
                  <w:marBottom w:val="0"/>
                  <w:divBdr>
                    <w:top w:val="none" w:sz="0" w:space="0" w:color="auto"/>
                    <w:left w:val="none" w:sz="0" w:space="0" w:color="auto"/>
                    <w:bottom w:val="none" w:sz="0" w:space="0" w:color="auto"/>
                    <w:right w:val="none" w:sz="0" w:space="0" w:color="auto"/>
                  </w:divBdr>
                </w:div>
                <w:div w:id="25759344">
                  <w:marLeft w:val="480"/>
                  <w:marRight w:val="0"/>
                  <w:marTop w:val="0"/>
                  <w:marBottom w:val="0"/>
                  <w:divBdr>
                    <w:top w:val="none" w:sz="0" w:space="0" w:color="auto"/>
                    <w:left w:val="none" w:sz="0" w:space="0" w:color="auto"/>
                    <w:bottom w:val="none" w:sz="0" w:space="0" w:color="auto"/>
                    <w:right w:val="none" w:sz="0" w:space="0" w:color="auto"/>
                  </w:divBdr>
                </w:div>
                <w:div w:id="1660378552">
                  <w:marLeft w:val="480"/>
                  <w:marRight w:val="0"/>
                  <w:marTop w:val="0"/>
                  <w:marBottom w:val="0"/>
                  <w:divBdr>
                    <w:top w:val="none" w:sz="0" w:space="0" w:color="auto"/>
                    <w:left w:val="none" w:sz="0" w:space="0" w:color="auto"/>
                    <w:bottom w:val="none" w:sz="0" w:space="0" w:color="auto"/>
                    <w:right w:val="none" w:sz="0" w:space="0" w:color="auto"/>
                  </w:divBdr>
                </w:div>
                <w:div w:id="2106415515">
                  <w:marLeft w:val="480"/>
                  <w:marRight w:val="0"/>
                  <w:marTop w:val="0"/>
                  <w:marBottom w:val="0"/>
                  <w:divBdr>
                    <w:top w:val="none" w:sz="0" w:space="0" w:color="auto"/>
                    <w:left w:val="none" w:sz="0" w:space="0" w:color="auto"/>
                    <w:bottom w:val="none" w:sz="0" w:space="0" w:color="auto"/>
                    <w:right w:val="none" w:sz="0" w:space="0" w:color="auto"/>
                  </w:divBdr>
                </w:div>
                <w:div w:id="734737596">
                  <w:marLeft w:val="480"/>
                  <w:marRight w:val="0"/>
                  <w:marTop w:val="0"/>
                  <w:marBottom w:val="0"/>
                  <w:divBdr>
                    <w:top w:val="none" w:sz="0" w:space="0" w:color="auto"/>
                    <w:left w:val="none" w:sz="0" w:space="0" w:color="auto"/>
                    <w:bottom w:val="none" w:sz="0" w:space="0" w:color="auto"/>
                    <w:right w:val="none" w:sz="0" w:space="0" w:color="auto"/>
                  </w:divBdr>
                </w:div>
                <w:div w:id="727606416">
                  <w:marLeft w:val="480"/>
                  <w:marRight w:val="0"/>
                  <w:marTop w:val="0"/>
                  <w:marBottom w:val="0"/>
                  <w:divBdr>
                    <w:top w:val="none" w:sz="0" w:space="0" w:color="auto"/>
                    <w:left w:val="none" w:sz="0" w:space="0" w:color="auto"/>
                    <w:bottom w:val="none" w:sz="0" w:space="0" w:color="auto"/>
                    <w:right w:val="none" w:sz="0" w:space="0" w:color="auto"/>
                  </w:divBdr>
                </w:div>
                <w:div w:id="260258870">
                  <w:marLeft w:val="480"/>
                  <w:marRight w:val="0"/>
                  <w:marTop w:val="0"/>
                  <w:marBottom w:val="0"/>
                  <w:divBdr>
                    <w:top w:val="none" w:sz="0" w:space="0" w:color="auto"/>
                    <w:left w:val="none" w:sz="0" w:space="0" w:color="auto"/>
                    <w:bottom w:val="none" w:sz="0" w:space="0" w:color="auto"/>
                    <w:right w:val="none" w:sz="0" w:space="0" w:color="auto"/>
                  </w:divBdr>
                </w:div>
                <w:div w:id="107552158">
                  <w:marLeft w:val="480"/>
                  <w:marRight w:val="0"/>
                  <w:marTop w:val="0"/>
                  <w:marBottom w:val="0"/>
                  <w:divBdr>
                    <w:top w:val="none" w:sz="0" w:space="0" w:color="auto"/>
                    <w:left w:val="none" w:sz="0" w:space="0" w:color="auto"/>
                    <w:bottom w:val="none" w:sz="0" w:space="0" w:color="auto"/>
                    <w:right w:val="none" w:sz="0" w:space="0" w:color="auto"/>
                  </w:divBdr>
                </w:div>
                <w:div w:id="942615610">
                  <w:marLeft w:val="480"/>
                  <w:marRight w:val="0"/>
                  <w:marTop w:val="0"/>
                  <w:marBottom w:val="0"/>
                  <w:divBdr>
                    <w:top w:val="none" w:sz="0" w:space="0" w:color="auto"/>
                    <w:left w:val="none" w:sz="0" w:space="0" w:color="auto"/>
                    <w:bottom w:val="none" w:sz="0" w:space="0" w:color="auto"/>
                    <w:right w:val="none" w:sz="0" w:space="0" w:color="auto"/>
                  </w:divBdr>
                </w:div>
                <w:div w:id="1066104347">
                  <w:marLeft w:val="480"/>
                  <w:marRight w:val="0"/>
                  <w:marTop w:val="0"/>
                  <w:marBottom w:val="0"/>
                  <w:divBdr>
                    <w:top w:val="none" w:sz="0" w:space="0" w:color="auto"/>
                    <w:left w:val="none" w:sz="0" w:space="0" w:color="auto"/>
                    <w:bottom w:val="none" w:sz="0" w:space="0" w:color="auto"/>
                    <w:right w:val="none" w:sz="0" w:space="0" w:color="auto"/>
                  </w:divBdr>
                </w:div>
                <w:div w:id="434639676">
                  <w:marLeft w:val="480"/>
                  <w:marRight w:val="0"/>
                  <w:marTop w:val="0"/>
                  <w:marBottom w:val="0"/>
                  <w:divBdr>
                    <w:top w:val="none" w:sz="0" w:space="0" w:color="auto"/>
                    <w:left w:val="none" w:sz="0" w:space="0" w:color="auto"/>
                    <w:bottom w:val="none" w:sz="0" w:space="0" w:color="auto"/>
                    <w:right w:val="none" w:sz="0" w:space="0" w:color="auto"/>
                  </w:divBdr>
                </w:div>
                <w:div w:id="1861776787">
                  <w:marLeft w:val="480"/>
                  <w:marRight w:val="0"/>
                  <w:marTop w:val="0"/>
                  <w:marBottom w:val="0"/>
                  <w:divBdr>
                    <w:top w:val="none" w:sz="0" w:space="0" w:color="auto"/>
                    <w:left w:val="none" w:sz="0" w:space="0" w:color="auto"/>
                    <w:bottom w:val="none" w:sz="0" w:space="0" w:color="auto"/>
                    <w:right w:val="none" w:sz="0" w:space="0" w:color="auto"/>
                  </w:divBdr>
                </w:div>
                <w:div w:id="681518224">
                  <w:marLeft w:val="480"/>
                  <w:marRight w:val="0"/>
                  <w:marTop w:val="0"/>
                  <w:marBottom w:val="0"/>
                  <w:divBdr>
                    <w:top w:val="none" w:sz="0" w:space="0" w:color="auto"/>
                    <w:left w:val="none" w:sz="0" w:space="0" w:color="auto"/>
                    <w:bottom w:val="none" w:sz="0" w:space="0" w:color="auto"/>
                    <w:right w:val="none" w:sz="0" w:space="0" w:color="auto"/>
                  </w:divBdr>
                </w:div>
                <w:div w:id="1009798003">
                  <w:marLeft w:val="480"/>
                  <w:marRight w:val="0"/>
                  <w:marTop w:val="0"/>
                  <w:marBottom w:val="0"/>
                  <w:divBdr>
                    <w:top w:val="none" w:sz="0" w:space="0" w:color="auto"/>
                    <w:left w:val="none" w:sz="0" w:space="0" w:color="auto"/>
                    <w:bottom w:val="none" w:sz="0" w:space="0" w:color="auto"/>
                    <w:right w:val="none" w:sz="0" w:space="0" w:color="auto"/>
                  </w:divBdr>
                </w:div>
                <w:div w:id="268704051">
                  <w:marLeft w:val="480"/>
                  <w:marRight w:val="0"/>
                  <w:marTop w:val="0"/>
                  <w:marBottom w:val="0"/>
                  <w:divBdr>
                    <w:top w:val="none" w:sz="0" w:space="0" w:color="auto"/>
                    <w:left w:val="none" w:sz="0" w:space="0" w:color="auto"/>
                    <w:bottom w:val="none" w:sz="0" w:space="0" w:color="auto"/>
                    <w:right w:val="none" w:sz="0" w:space="0" w:color="auto"/>
                  </w:divBdr>
                </w:div>
                <w:div w:id="1153714960">
                  <w:marLeft w:val="480"/>
                  <w:marRight w:val="0"/>
                  <w:marTop w:val="0"/>
                  <w:marBottom w:val="0"/>
                  <w:divBdr>
                    <w:top w:val="none" w:sz="0" w:space="0" w:color="auto"/>
                    <w:left w:val="none" w:sz="0" w:space="0" w:color="auto"/>
                    <w:bottom w:val="none" w:sz="0" w:space="0" w:color="auto"/>
                    <w:right w:val="none" w:sz="0" w:space="0" w:color="auto"/>
                  </w:divBdr>
                </w:div>
                <w:div w:id="1406564891">
                  <w:marLeft w:val="480"/>
                  <w:marRight w:val="0"/>
                  <w:marTop w:val="0"/>
                  <w:marBottom w:val="0"/>
                  <w:divBdr>
                    <w:top w:val="none" w:sz="0" w:space="0" w:color="auto"/>
                    <w:left w:val="none" w:sz="0" w:space="0" w:color="auto"/>
                    <w:bottom w:val="none" w:sz="0" w:space="0" w:color="auto"/>
                    <w:right w:val="none" w:sz="0" w:space="0" w:color="auto"/>
                  </w:divBdr>
                </w:div>
                <w:div w:id="2027707614">
                  <w:marLeft w:val="480"/>
                  <w:marRight w:val="0"/>
                  <w:marTop w:val="0"/>
                  <w:marBottom w:val="0"/>
                  <w:divBdr>
                    <w:top w:val="none" w:sz="0" w:space="0" w:color="auto"/>
                    <w:left w:val="none" w:sz="0" w:space="0" w:color="auto"/>
                    <w:bottom w:val="none" w:sz="0" w:space="0" w:color="auto"/>
                    <w:right w:val="none" w:sz="0" w:space="0" w:color="auto"/>
                  </w:divBdr>
                </w:div>
                <w:div w:id="1426416732">
                  <w:marLeft w:val="480"/>
                  <w:marRight w:val="0"/>
                  <w:marTop w:val="0"/>
                  <w:marBottom w:val="0"/>
                  <w:divBdr>
                    <w:top w:val="none" w:sz="0" w:space="0" w:color="auto"/>
                    <w:left w:val="none" w:sz="0" w:space="0" w:color="auto"/>
                    <w:bottom w:val="none" w:sz="0" w:space="0" w:color="auto"/>
                    <w:right w:val="none" w:sz="0" w:space="0" w:color="auto"/>
                  </w:divBdr>
                </w:div>
                <w:div w:id="990061010">
                  <w:marLeft w:val="480"/>
                  <w:marRight w:val="0"/>
                  <w:marTop w:val="0"/>
                  <w:marBottom w:val="0"/>
                  <w:divBdr>
                    <w:top w:val="none" w:sz="0" w:space="0" w:color="auto"/>
                    <w:left w:val="none" w:sz="0" w:space="0" w:color="auto"/>
                    <w:bottom w:val="none" w:sz="0" w:space="0" w:color="auto"/>
                    <w:right w:val="none" w:sz="0" w:space="0" w:color="auto"/>
                  </w:divBdr>
                </w:div>
                <w:div w:id="1981153634">
                  <w:marLeft w:val="480"/>
                  <w:marRight w:val="0"/>
                  <w:marTop w:val="0"/>
                  <w:marBottom w:val="0"/>
                  <w:divBdr>
                    <w:top w:val="none" w:sz="0" w:space="0" w:color="auto"/>
                    <w:left w:val="none" w:sz="0" w:space="0" w:color="auto"/>
                    <w:bottom w:val="none" w:sz="0" w:space="0" w:color="auto"/>
                    <w:right w:val="none" w:sz="0" w:space="0" w:color="auto"/>
                  </w:divBdr>
                </w:div>
                <w:div w:id="222915065">
                  <w:marLeft w:val="480"/>
                  <w:marRight w:val="0"/>
                  <w:marTop w:val="0"/>
                  <w:marBottom w:val="0"/>
                  <w:divBdr>
                    <w:top w:val="none" w:sz="0" w:space="0" w:color="auto"/>
                    <w:left w:val="none" w:sz="0" w:space="0" w:color="auto"/>
                    <w:bottom w:val="none" w:sz="0" w:space="0" w:color="auto"/>
                    <w:right w:val="none" w:sz="0" w:space="0" w:color="auto"/>
                  </w:divBdr>
                </w:div>
                <w:div w:id="211620683">
                  <w:marLeft w:val="480"/>
                  <w:marRight w:val="0"/>
                  <w:marTop w:val="0"/>
                  <w:marBottom w:val="0"/>
                  <w:divBdr>
                    <w:top w:val="none" w:sz="0" w:space="0" w:color="auto"/>
                    <w:left w:val="none" w:sz="0" w:space="0" w:color="auto"/>
                    <w:bottom w:val="none" w:sz="0" w:space="0" w:color="auto"/>
                    <w:right w:val="none" w:sz="0" w:space="0" w:color="auto"/>
                  </w:divBdr>
                </w:div>
                <w:div w:id="1086809753">
                  <w:marLeft w:val="480"/>
                  <w:marRight w:val="0"/>
                  <w:marTop w:val="0"/>
                  <w:marBottom w:val="0"/>
                  <w:divBdr>
                    <w:top w:val="none" w:sz="0" w:space="0" w:color="auto"/>
                    <w:left w:val="none" w:sz="0" w:space="0" w:color="auto"/>
                    <w:bottom w:val="none" w:sz="0" w:space="0" w:color="auto"/>
                    <w:right w:val="none" w:sz="0" w:space="0" w:color="auto"/>
                  </w:divBdr>
                </w:div>
                <w:div w:id="627248778">
                  <w:marLeft w:val="480"/>
                  <w:marRight w:val="0"/>
                  <w:marTop w:val="0"/>
                  <w:marBottom w:val="0"/>
                  <w:divBdr>
                    <w:top w:val="none" w:sz="0" w:space="0" w:color="auto"/>
                    <w:left w:val="none" w:sz="0" w:space="0" w:color="auto"/>
                    <w:bottom w:val="none" w:sz="0" w:space="0" w:color="auto"/>
                    <w:right w:val="none" w:sz="0" w:space="0" w:color="auto"/>
                  </w:divBdr>
                </w:div>
                <w:div w:id="1452357979">
                  <w:marLeft w:val="480"/>
                  <w:marRight w:val="0"/>
                  <w:marTop w:val="0"/>
                  <w:marBottom w:val="0"/>
                  <w:divBdr>
                    <w:top w:val="none" w:sz="0" w:space="0" w:color="auto"/>
                    <w:left w:val="none" w:sz="0" w:space="0" w:color="auto"/>
                    <w:bottom w:val="none" w:sz="0" w:space="0" w:color="auto"/>
                    <w:right w:val="none" w:sz="0" w:space="0" w:color="auto"/>
                  </w:divBdr>
                </w:div>
                <w:div w:id="1587231373">
                  <w:marLeft w:val="480"/>
                  <w:marRight w:val="0"/>
                  <w:marTop w:val="0"/>
                  <w:marBottom w:val="0"/>
                  <w:divBdr>
                    <w:top w:val="none" w:sz="0" w:space="0" w:color="auto"/>
                    <w:left w:val="none" w:sz="0" w:space="0" w:color="auto"/>
                    <w:bottom w:val="none" w:sz="0" w:space="0" w:color="auto"/>
                    <w:right w:val="none" w:sz="0" w:space="0" w:color="auto"/>
                  </w:divBdr>
                </w:div>
                <w:div w:id="1486432952">
                  <w:marLeft w:val="480"/>
                  <w:marRight w:val="0"/>
                  <w:marTop w:val="0"/>
                  <w:marBottom w:val="0"/>
                  <w:divBdr>
                    <w:top w:val="none" w:sz="0" w:space="0" w:color="auto"/>
                    <w:left w:val="none" w:sz="0" w:space="0" w:color="auto"/>
                    <w:bottom w:val="none" w:sz="0" w:space="0" w:color="auto"/>
                    <w:right w:val="none" w:sz="0" w:space="0" w:color="auto"/>
                  </w:divBdr>
                </w:div>
              </w:divsChild>
            </w:div>
            <w:div w:id="745880005">
              <w:marLeft w:val="0"/>
              <w:marRight w:val="0"/>
              <w:marTop w:val="0"/>
              <w:marBottom w:val="0"/>
              <w:divBdr>
                <w:top w:val="none" w:sz="0" w:space="0" w:color="auto"/>
                <w:left w:val="none" w:sz="0" w:space="0" w:color="auto"/>
                <w:bottom w:val="none" w:sz="0" w:space="0" w:color="auto"/>
                <w:right w:val="none" w:sz="0" w:space="0" w:color="auto"/>
              </w:divBdr>
              <w:divsChild>
                <w:div w:id="1752851838">
                  <w:marLeft w:val="480"/>
                  <w:marRight w:val="0"/>
                  <w:marTop w:val="0"/>
                  <w:marBottom w:val="0"/>
                  <w:divBdr>
                    <w:top w:val="none" w:sz="0" w:space="0" w:color="auto"/>
                    <w:left w:val="none" w:sz="0" w:space="0" w:color="auto"/>
                    <w:bottom w:val="none" w:sz="0" w:space="0" w:color="auto"/>
                    <w:right w:val="none" w:sz="0" w:space="0" w:color="auto"/>
                  </w:divBdr>
                </w:div>
                <w:div w:id="706030540">
                  <w:marLeft w:val="480"/>
                  <w:marRight w:val="0"/>
                  <w:marTop w:val="0"/>
                  <w:marBottom w:val="0"/>
                  <w:divBdr>
                    <w:top w:val="none" w:sz="0" w:space="0" w:color="auto"/>
                    <w:left w:val="none" w:sz="0" w:space="0" w:color="auto"/>
                    <w:bottom w:val="none" w:sz="0" w:space="0" w:color="auto"/>
                    <w:right w:val="none" w:sz="0" w:space="0" w:color="auto"/>
                  </w:divBdr>
                </w:div>
                <w:div w:id="1127434494">
                  <w:marLeft w:val="480"/>
                  <w:marRight w:val="0"/>
                  <w:marTop w:val="0"/>
                  <w:marBottom w:val="0"/>
                  <w:divBdr>
                    <w:top w:val="none" w:sz="0" w:space="0" w:color="auto"/>
                    <w:left w:val="none" w:sz="0" w:space="0" w:color="auto"/>
                    <w:bottom w:val="none" w:sz="0" w:space="0" w:color="auto"/>
                    <w:right w:val="none" w:sz="0" w:space="0" w:color="auto"/>
                  </w:divBdr>
                </w:div>
                <w:div w:id="1415929417">
                  <w:marLeft w:val="480"/>
                  <w:marRight w:val="0"/>
                  <w:marTop w:val="0"/>
                  <w:marBottom w:val="0"/>
                  <w:divBdr>
                    <w:top w:val="none" w:sz="0" w:space="0" w:color="auto"/>
                    <w:left w:val="none" w:sz="0" w:space="0" w:color="auto"/>
                    <w:bottom w:val="none" w:sz="0" w:space="0" w:color="auto"/>
                    <w:right w:val="none" w:sz="0" w:space="0" w:color="auto"/>
                  </w:divBdr>
                </w:div>
                <w:div w:id="1092892564">
                  <w:marLeft w:val="480"/>
                  <w:marRight w:val="0"/>
                  <w:marTop w:val="0"/>
                  <w:marBottom w:val="0"/>
                  <w:divBdr>
                    <w:top w:val="none" w:sz="0" w:space="0" w:color="auto"/>
                    <w:left w:val="none" w:sz="0" w:space="0" w:color="auto"/>
                    <w:bottom w:val="none" w:sz="0" w:space="0" w:color="auto"/>
                    <w:right w:val="none" w:sz="0" w:space="0" w:color="auto"/>
                  </w:divBdr>
                </w:div>
                <w:div w:id="1366557571">
                  <w:marLeft w:val="480"/>
                  <w:marRight w:val="0"/>
                  <w:marTop w:val="0"/>
                  <w:marBottom w:val="0"/>
                  <w:divBdr>
                    <w:top w:val="none" w:sz="0" w:space="0" w:color="auto"/>
                    <w:left w:val="none" w:sz="0" w:space="0" w:color="auto"/>
                    <w:bottom w:val="none" w:sz="0" w:space="0" w:color="auto"/>
                    <w:right w:val="none" w:sz="0" w:space="0" w:color="auto"/>
                  </w:divBdr>
                </w:div>
                <w:div w:id="1096941794">
                  <w:marLeft w:val="480"/>
                  <w:marRight w:val="0"/>
                  <w:marTop w:val="0"/>
                  <w:marBottom w:val="0"/>
                  <w:divBdr>
                    <w:top w:val="none" w:sz="0" w:space="0" w:color="auto"/>
                    <w:left w:val="none" w:sz="0" w:space="0" w:color="auto"/>
                    <w:bottom w:val="none" w:sz="0" w:space="0" w:color="auto"/>
                    <w:right w:val="none" w:sz="0" w:space="0" w:color="auto"/>
                  </w:divBdr>
                </w:div>
                <w:div w:id="1408261632">
                  <w:marLeft w:val="480"/>
                  <w:marRight w:val="0"/>
                  <w:marTop w:val="0"/>
                  <w:marBottom w:val="0"/>
                  <w:divBdr>
                    <w:top w:val="none" w:sz="0" w:space="0" w:color="auto"/>
                    <w:left w:val="none" w:sz="0" w:space="0" w:color="auto"/>
                    <w:bottom w:val="none" w:sz="0" w:space="0" w:color="auto"/>
                    <w:right w:val="none" w:sz="0" w:space="0" w:color="auto"/>
                  </w:divBdr>
                </w:div>
                <w:div w:id="1423602308">
                  <w:marLeft w:val="480"/>
                  <w:marRight w:val="0"/>
                  <w:marTop w:val="0"/>
                  <w:marBottom w:val="0"/>
                  <w:divBdr>
                    <w:top w:val="none" w:sz="0" w:space="0" w:color="auto"/>
                    <w:left w:val="none" w:sz="0" w:space="0" w:color="auto"/>
                    <w:bottom w:val="none" w:sz="0" w:space="0" w:color="auto"/>
                    <w:right w:val="none" w:sz="0" w:space="0" w:color="auto"/>
                  </w:divBdr>
                </w:div>
                <w:div w:id="1520854395">
                  <w:marLeft w:val="480"/>
                  <w:marRight w:val="0"/>
                  <w:marTop w:val="0"/>
                  <w:marBottom w:val="0"/>
                  <w:divBdr>
                    <w:top w:val="none" w:sz="0" w:space="0" w:color="auto"/>
                    <w:left w:val="none" w:sz="0" w:space="0" w:color="auto"/>
                    <w:bottom w:val="none" w:sz="0" w:space="0" w:color="auto"/>
                    <w:right w:val="none" w:sz="0" w:space="0" w:color="auto"/>
                  </w:divBdr>
                </w:div>
                <w:div w:id="1346441398">
                  <w:marLeft w:val="480"/>
                  <w:marRight w:val="0"/>
                  <w:marTop w:val="0"/>
                  <w:marBottom w:val="0"/>
                  <w:divBdr>
                    <w:top w:val="none" w:sz="0" w:space="0" w:color="auto"/>
                    <w:left w:val="none" w:sz="0" w:space="0" w:color="auto"/>
                    <w:bottom w:val="none" w:sz="0" w:space="0" w:color="auto"/>
                    <w:right w:val="none" w:sz="0" w:space="0" w:color="auto"/>
                  </w:divBdr>
                </w:div>
                <w:div w:id="456726798">
                  <w:marLeft w:val="480"/>
                  <w:marRight w:val="0"/>
                  <w:marTop w:val="0"/>
                  <w:marBottom w:val="0"/>
                  <w:divBdr>
                    <w:top w:val="none" w:sz="0" w:space="0" w:color="auto"/>
                    <w:left w:val="none" w:sz="0" w:space="0" w:color="auto"/>
                    <w:bottom w:val="none" w:sz="0" w:space="0" w:color="auto"/>
                    <w:right w:val="none" w:sz="0" w:space="0" w:color="auto"/>
                  </w:divBdr>
                </w:div>
                <w:div w:id="903024425">
                  <w:marLeft w:val="480"/>
                  <w:marRight w:val="0"/>
                  <w:marTop w:val="0"/>
                  <w:marBottom w:val="0"/>
                  <w:divBdr>
                    <w:top w:val="none" w:sz="0" w:space="0" w:color="auto"/>
                    <w:left w:val="none" w:sz="0" w:space="0" w:color="auto"/>
                    <w:bottom w:val="none" w:sz="0" w:space="0" w:color="auto"/>
                    <w:right w:val="none" w:sz="0" w:space="0" w:color="auto"/>
                  </w:divBdr>
                </w:div>
                <w:div w:id="621961988">
                  <w:marLeft w:val="480"/>
                  <w:marRight w:val="0"/>
                  <w:marTop w:val="0"/>
                  <w:marBottom w:val="0"/>
                  <w:divBdr>
                    <w:top w:val="none" w:sz="0" w:space="0" w:color="auto"/>
                    <w:left w:val="none" w:sz="0" w:space="0" w:color="auto"/>
                    <w:bottom w:val="none" w:sz="0" w:space="0" w:color="auto"/>
                    <w:right w:val="none" w:sz="0" w:space="0" w:color="auto"/>
                  </w:divBdr>
                </w:div>
                <w:div w:id="784157801">
                  <w:marLeft w:val="480"/>
                  <w:marRight w:val="0"/>
                  <w:marTop w:val="0"/>
                  <w:marBottom w:val="0"/>
                  <w:divBdr>
                    <w:top w:val="none" w:sz="0" w:space="0" w:color="auto"/>
                    <w:left w:val="none" w:sz="0" w:space="0" w:color="auto"/>
                    <w:bottom w:val="none" w:sz="0" w:space="0" w:color="auto"/>
                    <w:right w:val="none" w:sz="0" w:space="0" w:color="auto"/>
                  </w:divBdr>
                </w:div>
                <w:div w:id="1792743560">
                  <w:marLeft w:val="480"/>
                  <w:marRight w:val="0"/>
                  <w:marTop w:val="0"/>
                  <w:marBottom w:val="0"/>
                  <w:divBdr>
                    <w:top w:val="none" w:sz="0" w:space="0" w:color="auto"/>
                    <w:left w:val="none" w:sz="0" w:space="0" w:color="auto"/>
                    <w:bottom w:val="none" w:sz="0" w:space="0" w:color="auto"/>
                    <w:right w:val="none" w:sz="0" w:space="0" w:color="auto"/>
                  </w:divBdr>
                </w:div>
                <w:div w:id="623776769">
                  <w:marLeft w:val="480"/>
                  <w:marRight w:val="0"/>
                  <w:marTop w:val="0"/>
                  <w:marBottom w:val="0"/>
                  <w:divBdr>
                    <w:top w:val="none" w:sz="0" w:space="0" w:color="auto"/>
                    <w:left w:val="none" w:sz="0" w:space="0" w:color="auto"/>
                    <w:bottom w:val="none" w:sz="0" w:space="0" w:color="auto"/>
                    <w:right w:val="none" w:sz="0" w:space="0" w:color="auto"/>
                  </w:divBdr>
                </w:div>
                <w:div w:id="23219611">
                  <w:marLeft w:val="480"/>
                  <w:marRight w:val="0"/>
                  <w:marTop w:val="0"/>
                  <w:marBottom w:val="0"/>
                  <w:divBdr>
                    <w:top w:val="none" w:sz="0" w:space="0" w:color="auto"/>
                    <w:left w:val="none" w:sz="0" w:space="0" w:color="auto"/>
                    <w:bottom w:val="none" w:sz="0" w:space="0" w:color="auto"/>
                    <w:right w:val="none" w:sz="0" w:space="0" w:color="auto"/>
                  </w:divBdr>
                </w:div>
                <w:div w:id="1560746280">
                  <w:marLeft w:val="480"/>
                  <w:marRight w:val="0"/>
                  <w:marTop w:val="0"/>
                  <w:marBottom w:val="0"/>
                  <w:divBdr>
                    <w:top w:val="none" w:sz="0" w:space="0" w:color="auto"/>
                    <w:left w:val="none" w:sz="0" w:space="0" w:color="auto"/>
                    <w:bottom w:val="none" w:sz="0" w:space="0" w:color="auto"/>
                    <w:right w:val="none" w:sz="0" w:space="0" w:color="auto"/>
                  </w:divBdr>
                </w:div>
                <w:div w:id="601497151">
                  <w:marLeft w:val="480"/>
                  <w:marRight w:val="0"/>
                  <w:marTop w:val="0"/>
                  <w:marBottom w:val="0"/>
                  <w:divBdr>
                    <w:top w:val="none" w:sz="0" w:space="0" w:color="auto"/>
                    <w:left w:val="none" w:sz="0" w:space="0" w:color="auto"/>
                    <w:bottom w:val="none" w:sz="0" w:space="0" w:color="auto"/>
                    <w:right w:val="none" w:sz="0" w:space="0" w:color="auto"/>
                  </w:divBdr>
                </w:div>
                <w:div w:id="1629821331">
                  <w:marLeft w:val="480"/>
                  <w:marRight w:val="0"/>
                  <w:marTop w:val="0"/>
                  <w:marBottom w:val="0"/>
                  <w:divBdr>
                    <w:top w:val="none" w:sz="0" w:space="0" w:color="auto"/>
                    <w:left w:val="none" w:sz="0" w:space="0" w:color="auto"/>
                    <w:bottom w:val="none" w:sz="0" w:space="0" w:color="auto"/>
                    <w:right w:val="none" w:sz="0" w:space="0" w:color="auto"/>
                  </w:divBdr>
                </w:div>
                <w:div w:id="1000159291">
                  <w:marLeft w:val="480"/>
                  <w:marRight w:val="0"/>
                  <w:marTop w:val="0"/>
                  <w:marBottom w:val="0"/>
                  <w:divBdr>
                    <w:top w:val="none" w:sz="0" w:space="0" w:color="auto"/>
                    <w:left w:val="none" w:sz="0" w:space="0" w:color="auto"/>
                    <w:bottom w:val="none" w:sz="0" w:space="0" w:color="auto"/>
                    <w:right w:val="none" w:sz="0" w:space="0" w:color="auto"/>
                  </w:divBdr>
                </w:div>
                <w:div w:id="1437293534">
                  <w:marLeft w:val="480"/>
                  <w:marRight w:val="0"/>
                  <w:marTop w:val="0"/>
                  <w:marBottom w:val="0"/>
                  <w:divBdr>
                    <w:top w:val="none" w:sz="0" w:space="0" w:color="auto"/>
                    <w:left w:val="none" w:sz="0" w:space="0" w:color="auto"/>
                    <w:bottom w:val="none" w:sz="0" w:space="0" w:color="auto"/>
                    <w:right w:val="none" w:sz="0" w:space="0" w:color="auto"/>
                  </w:divBdr>
                </w:div>
                <w:div w:id="94257124">
                  <w:marLeft w:val="480"/>
                  <w:marRight w:val="0"/>
                  <w:marTop w:val="0"/>
                  <w:marBottom w:val="0"/>
                  <w:divBdr>
                    <w:top w:val="none" w:sz="0" w:space="0" w:color="auto"/>
                    <w:left w:val="none" w:sz="0" w:space="0" w:color="auto"/>
                    <w:bottom w:val="none" w:sz="0" w:space="0" w:color="auto"/>
                    <w:right w:val="none" w:sz="0" w:space="0" w:color="auto"/>
                  </w:divBdr>
                </w:div>
                <w:div w:id="424426421">
                  <w:marLeft w:val="480"/>
                  <w:marRight w:val="0"/>
                  <w:marTop w:val="0"/>
                  <w:marBottom w:val="0"/>
                  <w:divBdr>
                    <w:top w:val="none" w:sz="0" w:space="0" w:color="auto"/>
                    <w:left w:val="none" w:sz="0" w:space="0" w:color="auto"/>
                    <w:bottom w:val="none" w:sz="0" w:space="0" w:color="auto"/>
                    <w:right w:val="none" w:sz="0" w:space="0" w:color="auto"/>
                  </w:divBdr>
                </w:div>
                <w:div w:id="496380023">
                  <w:marLeft w:val="480"/>
                  <w:marRight w:val="0"/>
                  <w:marTop w:val="0"/>
                  <w:marBottom w:val="0"/>
                  <w:divBdr>
                    <w:top w:val="none" w:sz="0" w:space="0" w:color="auto"/>
                    <w:left w:val="none" w:sz="0" w:space="0" w:color="auto"/>
                    <w:bottom w:val="none" w:sz="0" w:space="0" w:color="auto"/>
                    <w:right w:val="none" w:sz="0" w:space="0" w:color="auto"/>
                  </w:divBdr>
                </w:div>
                <w:div w:id="1827942000">
                  <w:marLeft w:val="480"/>
                  <w:marRight w:val="0"/>
                  <w:marTop w:val="0"/>
                  <w:marBottom w:val="0"/>
                  <w:divBdr>
                    <w:top w:val="none" w:sz="0" w:space="0" w:color="auto"/>
                    <w:left w:val="none" w:sz="0" w:space="0" w:color="auto"/>
                    <w:bottom w:val="none" w:sz="0" w:space="0" w:color="auto"/>
                    <w:right w:val="none" w:sz="0" w:space="0" w:color="auto"/>
                  </w:divBdr>
                </w:div>
                <w:div w:id="554967584">
                  <w:marLeft w:val="480"/>
                  <w:marRight w:val="0"/>
                  <w:marTop w:val="0"/>
                  <w:marBottom w:val="0"/>
                  <w:divBdr>
                    <w:top w:val="none" w:sz="0" w:space="0" w:color="auto"/>
                    <w:left w:val="none" w:sz="0" w:space="0" w:color="auto"/>
                    <w:bottom w:val="none" w:sz="0" w:space="0" w:color="auto"/>
                    <w:right w:val="none" w:sz="0" w:space="0" w:color="auto"/>
                  </w:divBdr>
                </w:div>
                <w:div w:id="1073048661">
                  <w:marLeft w:val="480"/>
                  <w:marRight w:val="0"/>
                  <w:marTop w:val="0"/>
                  <w:marBottom w:val="0"/>
                  <w:divBdr>
                    <w:top w:val="none" w:sz="0" w:space="0" w:color="auto"/>
                    <w:left w:val="none" w:sz="0" w:space="0" w:color="auto"/>
                    <w:bottom w:val="none" w:sz="0" w:space="0" w:color="auto"/>
                    <w:right w:val="none" w:sz="0" w:space="0" w:color="auto"/>
                  </w:divBdr>
                </w:div>
                <w:div w:id="629746744">
                  <w:marLeft w:val="480"/>
                  <w:marRight w:val="0"/>
                  <w:marTop w:val="0"/>
                  <w:marBottom w:val="0"/>
                  <w:divBdr>
                    <w:top w:val="none" w:sz="0" w:space="0" w:color="auto"/>
                    <w:left w:val="none" w:sz="0" w:space="0" w:color="auto"/>
                    <w:bottom w:val="none" w:sz="0" w:space="0" w:color="auto"/>
                    <w:right w:val="none" w:sz="0" w:space="0" w:color="auto"/>
                  </w:divBdr>
                </w:div>
                <w:div w:id="2040929151">
                  <w:marLeft w:val="480"/>
                  <w:marRight w:val="0"/>
                  <w:marTop w:val="0"/>
                  <w:marBottom w:val="0"/>
                  <w:divBdr>
                    <w:top w:val="none" w:sz="0" w:space="0" w:color="auto"/>
                    <w:left w:val="none" w:sz="0" w:space="0" w:color="auto"/>
                    <w:bottom w:val="none" w:sz="0" w:space="0" w:color="auto"/>
                    <w:right w:val="none" w:sz="0" w:space="0" w:color="auto"/>
                  </w:divBdr>
                </w:div>
                <w:div w:id="1797799203">
                  <w:marLeft w:val="480"/>
                  <w:marRight w:val="0"/>
                  <w:marTop w:val="0"/>
                  <w:marBottom w:val="0"/>
                  <w:divBdr>
                    <w:top w:val="none" w:sz="0" w:space="0" w:color="auto"/>
                    <w:left w:val="none" w:sz="0" w:space="0" w:color="auto"/>
                    <w:bottom w:val="none" w:sz="0" w:space="0" w:color="auto"/>
                    <w:right w:val="none" w:sz="0" w:space="0" w:color="auto"/>
                  </w:divBdr>
                </w:div>
                <w:div w:id="1917200717">
                  <w:marLeft w:val="480"/>
                  <w:marRight w:val="0"/>
                  <w:marTop w:val="0"/>
                  <w:marBottom w:val="0"/>
                  <w:divBdr>
                    <w:top w:val="none" w:sz="0" w:space="0" w:color="auto"/>
                    <w:left w:val="none" w:sz="0" w:space="0" w:color="auto"/>
                    <w:bottom w:val="none" w:sz="0" w:space="0" w:color="auto"/>
                    <w:right w:val="none" w:sz="0" w:space="0" w:color="auto"/>
                  </w:divBdr>
                </w:div>
                <w:div w:id="180122499">
                  <w:marLeft w:val="480"/>
                  <w:marRight w:val="0"/>
                  <w:marTop w:val="0"/>
                  <w:marBottom w:val="0"/>
                  <w:divBdr>
                    <w:top w:val="none" w:sz="0" w:space="0" w:color="auto"/>
                    <w:left w:val="none" w:sz="0" w:space="0" w:color="auto"/>
                    <w:bottom w:val="none" w:sz="0" w:space="0" w:color="auto"/>
                    <w:right w:val="none" w:sz="0" w:space="0" w:color="auto"/>
                  </w:divBdr>
                </w:div>
                <w:div w:id="398524567">
                  <w:marLeft w:val="480"/>
                  <w:marRight w:val="0"/>
                  <w:marTop w:val="0"/>
                  <w:marBottom w:val="0"/>
                  <w:divBdr>
                    <w:top w:val="none" w:sz="0" w:space="0" w:color="auto"/>
                    <w:left w:val="none" w:sz="0" w:space="0" w:color="auto"/>
                    <w:bottom w:val="none" w:sz="0" w:space="0" w:color="auto"/>
                    <w:right w:val="none" w:sz="0" w:space="0" w:color="auto"/>
                  </w:divBdr>
                </w:div>
                <w:div w:id="583148294">
                  <w:marLeft w:val="480"/>
                  <w:marRight w:val="0"/>
                  <w:marTop w:val="0"/>
                  <w:marBottom w:val="0"/>
                  <w:divBdr>
                    <w:top w:val="none" w:sz="0" w:space="0" w:color="auto"/>
                    <w:left w:val="none" w:sz="0" w:space="0" w:color="auto"/>
                    <w:bottom w:val="none" w:sz="0" w:space="0" w:color="auto"/>
                    <w:right w:val="none" w:sz="0" w:space="0" w:color="auto"/>
                  </w:divBdr>
                </w:div>
                <w:div w:id="755899315">
                  <w:marLeft w:val="480"/>
                  <w:marRight w:val="0"/>
                  <w:marTop w:val="0"/>
                  <w:marBottom w:val="0"/>
                  <w:divBdr>
                    <w:top w:val="none" w:sz="0" w:space="0" w:color="auto"/>
                    <w:left w:val="none" w:sz="0" w:space="0" w:color="auto"/>
                    <w:bottom w:val="none" w:sz="0" w:space="0" w:color="auto"/>
                    <w:right w:val="none" w:sz="0" w:space="0" w:color="auto"/>
                  </w:divBdr>
                </w:div>
                <w:div w:id="682240408">
                  <w:marLeft w:val="480"/>
                  <w:marRight w:val="0"/>
                  <w:marTop w:val="0"/>
                  <w:marBottom w:val="0"/>
                  <w:divBdr>
                    <w:top w:val="none" w:sz="0" w:space="0" w:color="auto"/>
                    <w:left w:val="none" w:sz="0" w:space="0" w:color="auto"/>
                    <w:bottom w:val="none" w:sz="0" w:space="0" w:color="auto"/>
                    <w:right w:val="none" w:sz="0" w:space="0" w:color="auto"/>
                  </w:divBdr>
                </w:div>
                <w:div w:id="1051928818">
                  <w:marLeft w:val="480"/>
                  <w:marRight w:val="0"/>
                  <w:marTop w:val="0"/>
                  <w:marBottom w:val="0"/>
                  <w:divBdr>
                    <w:top w:val="none" w:sz="0" w:space="0" w:color="auto"/>
                    <w:left w:val="none" w:sz="0" w:space="0" w:color="auto"/>
                    <w:bottom w:val="none" w:sz="0" w:space="0" w:color="auto"/>
                    <w:right w:val="none" w:sz="0" w:space="0" w:color="auto"/>
                  </w:divBdr>
                </w:div>
                <w:div w:id="1730962152">
                  <w:marLeft w:val="480"/>
                  <w:marRight w:val="0"/>
                  <w:marTop w:val="0"/>
                  <w:marBottom w:val="0"/>
                  <w:divBdr>
                    <w:top w:val="none" w:sz="0" w:space="0" w:color="auto"/>
                    <w:left w:val="none" w:sz="0" w:space="0" w:color="auto"/>
                    <w:bottom w:val="none" w:sz="0" w:space="0" w:color="auto"/>
                    <w:right w:val="none" w:sz="0" w:space="0" w:color="auto"/>
                  </w:divBdr>
                </w:div>
                <w:div w:id="313871460">
                  <w:marLeft w:val="480"/>
                  <w:marRight w:val="0"/>
                  <w:marTop w:val="0"/>
                  <w:marBottom w:val="0"/>
                  <w:divBdr>
                    <w:top w:val="none" w:sz="0" w:space="0" w:color="auto"/>
                    <w:left w:val="none" w:sz="0" w:space="0" w:color="auto"/>
                    <w:bottom w:val="none" w:sz="0" w:space="0" w:color="auto"/>
                    <w:right w:val="none" w:sz="0" w:space="0" w:color="auto"/>
                  </w:divBdr>
                </w:div>
                <w:div w:id="1235821192">
                  <w:marLeft w:val="480"/>
                  <w:marRight w:val="0"/>
                  <w:marTop w:val="0"/>
                  <w:marBottom w:val="0"/>
                  <w:divBdr>
                    <w:top w:val="none" w:sz="0" w:space="0" w:color="auto"/>
                    <w:left w:val="none" w:sz="0" w:space="0" w:color="auto"/>
                    <w:bottom w:val="none" w:sz="0" w:space="0" w:color="auto"/>
                    <w:right w:val="none" w:sz="0" w:space="0" w:color="auto"/>
                  </w:divBdr>
                </w:div>
                <w:div w:id="1155806114">
                  <w:marLeft w:val="480"/>
                  <w:marRight w:val="0"/>
                  <w:marTop w:val="0"/>
                  <w:marBottom w:val="0"/>
                  <w:divBdr>
                    <w:top w:val="none" w:sz="0" w:space="0" w:color="auto"/>
                    <w:left w:val="none" w:sz="0" w:space="0" w:color="auto"/>
                    <w:bottom w:val="none" w:sz="0" w:space="0" w:color="auto"/>
                    <w:right w:val="none" w:sz="0" w:space="0" w:color="auto"/>
                  </w:divBdr>
                </w:div>
                <w:div w:id="1560706136">
                  <w:marLeft w:val="480"/>
                  <w:marRight w:val="0"/>
                  <w:marTop w:val="0"/>
                  <w:marBottom w:val="0"/>
                  <w:divBdr>
                    <w:top w:val="none" w:sz="0" w:space="0" w:color="auto"/>
                    <w:left w:val="none" w:sz="0" w:space="0" w:color="auto"/>
                    <w:bottom w:val="none" w:sz="0" w:space="0" w:color="auto"/>
                    <w:right w:val="none" w:sz="0" w:space="0" w:color="auto"/>
                  </w:divBdr>
                </w:div>
                <w:div w:id="1932854579">
                  <w:marLeft w:val="480"/>
                  <w:marRight w:val="0"/>
                  <w:marTop w:val="0"/>
                  <w:marBottom w:val="0"/>
                  <w:divBdr>
                    <w:top w:val="none" w:sz="0" w:space="0" w:color="auto"/>
                    <w:left w:val="none" w:sz="0" w:space="0" w:color="auto"/>
                    <w:bottom w:val="none" w:sz="0" w:space="0" w:color="auto"/>
                    <w:right w:val="none" w:sz="0" w:space="0" w:color="auto"/>
                  </w:divBdr>
                </w:div>
                <w:div w:id="252907251">
                  <w:marLeft w:val="480"/>
                  <w:marRight w:val="0"/>
                  <w:marTop w:val="0"/>
                  <w:marBottom w:val="0"/>
                  <w:divBdr>
                    <w:top w:val="none" w:sz="0" w:space="0" w:color="auto"/>
                    <w:left w:val="none" w:sz="0" w:space="0" w:color="auto"/>
                    <w:bottom w:val="none" w:sz="0" w:space="0" w:color="auto"/>
                    <w:right w:val="none" w:sz="0" w:space="0" w:color="auto"/>
                  </w:divBdr>
                </w:div>
                <w:div w:id="21908619">
                  <w:marLeft w:val="480"/>
                  <w:marRight w:val="0"/>
                  <w:marTop w:val="0"/>
                  <w:marBottom w:val="0"/>
                  <w:divBdr>
                    <w:top w:val="none" w:sz="0" w:space="0" w:color="auto"/>
                    <w:left w:val="none" w:sz="0" w:space="0" w:color="auto"/>
                    <w:bottom w:val="none" w:sz="0" w:space="0" w:color="auto"/>
                    <w:right w:val="none" w:sz="0" w:space="0" w:color="auto"/>
                  </w:divBdr>
                </w:div>
                <w:div w:id="397674379">
                  <w:marLeft w:val="480"/>
                  <w:marRight w:val="0"/>
                  <w:marTop w:val="0"/>
                  <w:marBottom w:val="0"/>
                  <w:divBdr>
                    <w:top w:val="none" w:sz="0" w:space="0" w:color="auto"/>
                    <w:left w:val="none" w:sz="0" w:space="0" w:color="auto"/>
                    <w:bottom w:val="none" w:sz="0" w:space="0" w:color="auto"/>
                    <w:right w:val="none" w:sz="0" w:space="0" w:color="auto"/>
                  </w:divBdr>
                </w:div>
                <w:div w:id="1911695788">
                  <w:marLeft w:val="480"/>
                  <w:marRight w:val="0"/>
                  <w:marTop w:val="0"/>
                  <w:marBottom w:val="0"/>
                  <w:divBdr>
                    <w:top w:val="none" w:sz="0" w:space="0" w:color="auto"/>
                    <w:left w:val="none" w:sz="0" w:space="0" w:color="auto"/>
                    <w:bottom w:val="none" w:sz="0" w:space="0" w:color="auto"/>
                    <w:right w:val="none" w:sz="0" w:space="0" w:color="auto"/>
                  </w:divBdr>
                </w:div>
                <w:div w:id="1249844639">
                  <w:marLeft w:val="480"/>
                  <w:marRight w:val="0"/>
                  <w:marTop w:val="0"/>
                  <w:marBottom w:val="0"/>
                  <w:divBdr>
                    <w:top w:val="none" w:sz="0" w:space="0" w:color="auto"/>
                    <w:left w:val="none" w:sz="0" w:space="0" w:color="auto"/>
                    <w:bottom w:val="none" w:sz="0" w:space="0" w:color="auto"/>
                    <w:right w:val="none" w:sz="0" w:space="0" w:color="auto"/>
                  </w:divBdr>
                </w:div>
                <w:div w:id="1755468531">
                  <w:marLeft w:val="480"/>
                  <w:marRight w:val="0"/>
                  <w:marTop w:val="0"/>
                  <w:marBottom w:val="0"/>
                  <w:divBdr>
                    <w:top w:val="none" w:sz="0" w:space="0" w:color="auto"/>
                    <w:left w:val="none" w:sz="0" w:space="0" w:color="auto"/>
                    <w:bottom w:val="none" w:sz="0" w:space="0" w:color="auto"/>
                    <w:right w:val="none" w:sz="0" w:space="0" w:color="auto"/>
                  </w:divBdr>
                </w:div>
                <w:div w:id="1320503964">
                  <w:marLeft w:val="480"/>
                  <w:marRight w:val="0"/>
                  <w:marTop w:val="0"/>
                  <w:marBottom w:val="0"/>
                  <w:divBdr>
                    <w:top w:val="none" w:sz="0" w:space="0" w:color="auto"/>
                    <w:left w:val="none" w:sz="0" w:space="0" w:color="auto"/>
                    <w:bottom w:val="none" w:sz="0" w:space="0" w:color="auto"/>
                    <w:right w:val="none" w:sz="0" w:space="0" w:color="auto"/>
                  </w:divBdr>
                </w:div>
                <w:div w:id="1698119337">
                  <w:marLeft w:val="480"/>
                  <w:marRight w:val="0"/>
                  <w:marTop w:val="0"/>
                  <w:marBottom w:val="0"/>
                  <w:divBdr>
                    <w:top w:val="none" w:sz="0" w:space="0" w:color="auto"/>
                    <w:left w:val="none" w:sz="0" w:space="0" w:color="auto"/>
                    <w:bottom w:val="none" w:sz="0" w:space="0" w:color="auto"/>
                    <w:right w:val="none" w:sz="0" w:space="0" w:color="auto"/>
                  </w:divBdr>
                </w:div>
                <w:div w:id="2137604978">
                  <w:marLeft w:val="480"/>
                  <w:marRight w:val="0"/>
                  <w:marTop w:val="0"/>
                  <w:marBottom w:val="0"/>
                  <w:divBdr>
                    <w:top w:val="none" w:sz="0" w:space="0" w:color="auto"/>
                    <w:left w:val="none" w:sz="0" w:space="0" w:color="auto"/>
                    <w:bottom w:val="none" w:sz="0" w:space="0" w:color="auto"/>
                    <w:right w:val="none" w:sz="0" w:space="0" w:color="auto"/>
                  </w:divBdr>
                </w:div>
                <w:div w:id="2078623522">
                  <w:marLeft w:val="480"/>
                  <w:marRight w:val="0"/>
                  <w:marTop w:val="0"/>
                  <w:marBottom w:val="0"/>
                  <w:divBdr>
                    <w:top w:val="none" w:sz="0" w:space="0" w:color="auto"/>
                    <w:left w:val="none" w:sz="0" w:space="0" w:color="auto"/>
                    <w:bottom w:val="none" w:sz="0" w:space="0" w:color="auto"/>
                    <w:right w:val="none" w:sz="0" w:space="0" w:color="auto"/>
                  </w:divBdr>
                </w:div>
                <w:div w:id="2143964168">
                  <w:marLeft w:val="480"/>
                  <w:marRight w:val="0"/>
                  <w:marTop w:val="0"/>
                  <w:marBottom w:val="0"/>
                  <w:divBdr>
                    <w:top w:val="none" w:sz="0" w:space="0" w:color="auto"/>
                    <w:left w:val="none" w:sz="0" w:space="0" w:color="auto"/>
                    <w:bottom w:val="none" w:sz="0" w:space="0" w:color="auto"/>
                    <w:right w:val="none" w:sz="0" w:space="0" w:color="auto"/>
                  </w:divBdr>
                </w:div>
                <w:div w:id="1853756873">
                  <w:marLeft w:val="480"/>
                  <w:marRight w:val="0"/>
                  <w:marTop w:val="0"/>
                  <w:marBottom w:val="0"/>
                  <w:divBdr>
                    <w:top w:val="none" w:sz="0" w:space="0" w:color="auto"/>
                    <w:left w:val="none" w:sz="0" w:space="0" w:color="auto"/>
                    <w:bottom w:val="none" w:sz="0" w:space="0" w:color="auto"/>
                    <w:right w:val="none" w:sz="0" w:space="0" w:color="auto"/>
                  </w:divBdr>
                </w:div>
                <w:div w:id="1630432982">
                  <w:marLeft w:val="480"/>
                  <w:marRight w:val="0"/>
                  <w:marTop w:val="0"/>
                  <w:marBottom w:val="0"/>
                  <w:divBdr>
                    <w:top w:val="none" w:sz="0" w:space="0" w:color="auto"/>
                    <w:left w:val="none" w:sz="0" w:space="0" w:color="auto"/>
                    <w:bottom w:val="none" w:sz="0" w:space="0" w:color="auto"/>
                    <w:right w:val="none" w:sz="0" w:space="0" w:color="auto"/>
                  </w:divBdr>
                </w:div>
                <w:div w:id="843277024">
                  <w:marLeft w:val="480"/>
                  <w:marRight w:val="0"/>
                  <w:marTop w:val="0"/>
                  <w:marBottom w:val="0"/>
                  <w:divBdr>
                    <w:top w:val="none" w:sz="0" w:space="0" w:color="auto"/>
                    <w:left w:val="none" w:sz="0" w:space="0" w:color="auto"/>
                    <w:bottom w:val="none" w:sz="0" w:space="0" w:color="auto"/>
                    <w:right w:val="none" w:sz="0" w:space="0" w:color="auto"/>
                  </w:divBdr>
                </w:div>
                <w:div w:id="1210532445">
                  <w:marLeft w:val="480"/>
                  <w:marRight w:val="0"/>
                  <w:marTop w:val="0"/>
                  <w:marBottom w:val="0"/>
                  <w:divBdr>
                    <w:top w:val="none" w:sz="0" w:space="0" w:color="auto"/>
                    <w:left w:val="none" w:sz="0" w:space="0" w:color="auto"/>
                    <w:bottom w:val="none" w:sz="0" w:space="0" w:color="auto"/>
                    <w:right w:val="none" w:sz="0" w:space="0" w:color="auto"/>
                  </w:divBdr>
                </w:div>
                <w:div w:id="297877740">
                  <w:marLeft w:val="480"/>
                  <w:marRight w:val="0"/>
                  <w:marTop w:val="0"/>
                  <w:marBottom w:val="0"/>
                  <w:divBdr>
                    <w:top w:val="none" w:sz="0" w:space="0" w:color="auto"/>
                    <w:left w:val="none" w:sz="0" w:space="0" w:color="auto"/>
                    <w:bottom w:val="none" w:sz="0" w:space="0" w:color="auto"/>
                    <w:right w:val="none" w:sz="0" w:space="0" w:color="auto"/>
                  </w:divBdr>
                </w:div>
                <w:div w:id="1144008807">
                  <w:marLeft w:val="480"/>
                  <w:marRight w:val="0"/>
                  <w:marTop w:val="0"/>
                  <w:marBottom w:val="0"/>
                  <w:divBdr>
                    <w:top w:val="none" w:sz="0" w:space="0" w:color="auto"/>
                    <w:left w:val="none" w:sz="0" w:space="0" w:color="auto"/>
                    <w:bottom w:val="none" w:sz="0" w:space="0" w:color="auto"/>
                    <w:right w:val="none" w:sz="0" w:space="0" w:color="auto"/>
                  </w:divBdr>
                </w:div>
                <w:div w:id="4940674">
                  <w:marLeft w:val="480"/>
                  <w:marRight w:val="0"/>
                  <w:marTop w:val="0"/>
                  <w:marBottom w:val="0"/>
                  <w:divBdr>
                    <w:top w:val="none" w:sz="0" w:space="0" w:color="auto"/>
                    <w:left w:val="none" w:sz="0" w:space="0" w:color="auto"/>
                    <w:bottom w:val="none" w:sz="0" w:space="0" w:color="auto"/>
                    <w:right w:val="none" w:sz="0" w:space="0" w:color="auto"/>
                  </w:divBdr>
                </w:div>
                <w:div w:id="399400891">
                  <w:marLeft w:val="480"/>
                  <w:marRight w:val="0"/>
                  <w:marTop w:val="0"/>
                  <w:marBottom w:val="0"/>
                  <w:divBdr>
                    <w:top w:val="none" w:sz="0" w:space="0" w:color="auto"/>
                    <w:left w:val="none" w:sz="0" w:space="0" w:color="auto"/>
                    <w:bottom w:val="none" w:sz="0" w:space="0" w:color="auto"/>
                    <w:right w:val="none" w:sz="0" w:space="0" w:color="auto"/>
                  </w:divBdr>
                </w:div>
                <w:div w:id="602957333">
                  <w:marLeft w:val="480"/>
                  <w:marRight w:val="0"/>
                  <w:marTop w:val="0"/>
                  <w:marBottom w:val="0"/>
                  <w:divBdr>
                    <w:top w:val="none" w:sz="0" w:space="0" w:color="auto"/>
                    <w:left w:val="none" w:sz="0" w:space="0" w:color="auto"/>
                    <w:bottom w:val="none" w:sz="0" w:space="0" w:color="auto"/>
                    <w:right w:val="none" w:sz="0" w:space="0" w:color="auto"/>
                  </w:divBdr>
                </w:div>
                <w:div w:id="1417896265">
                  <w:marLeft w:val="480"/>
                  <w:marRight w:val="0"/>
                  <w:marTop w:val="0"/>
                  <w:marBottom w:val="0"/>
                  <w:divBdr>
                    <w:top w:val="none" w:sz="0" w:space="0" w:color="auto"/>
                    <w:left w:val="none" w:sz="0" w:space="0" w:color="auto"/>
                    <w:bottom w:val="none" w:sz="0" w:space="0" w:color="auto"/>
                    <w:right w:val="none" w:sz="0" w:space="0" w:color="auto"/>
                  </w:divBdr>
                </w:div>
                <w:div w:id="1287083204">
                  <w:marLeft w:val="480"/>
                  <w:marRight w:val="0"/>
                  <w:marTop w:val="0"/>
                  <w:marBottom w:val="0"/>
                  <w:divBdr>
                    <w:top w:val="none" w:sz="0" w:space="0" w:color="auto"/>
                    <w:left w:val="none" w:sz="0" w:space="0" w:color="auto"/>
                    <w:bottom w:val="none" w:sz="0" w:space="0" w:color="auto"/>
                    <w:right w:val="none" w:sz="0" w:space="0" w:color="auto"/>
                  </w:divBdr>
                </w:div>
                <w:div w:id="1951933269">
                  <w:marLeft w:val="480"/>
                  <w:marRight w:val="0"/>
                  <w:marTop w:val="0"/>
                  <w:marBottom w:val="0"/>
                  <w:divBdr>
                    <w:top w:val="none" w:sz="0" w:space="0" w:color="auto"/>
                    <w:left w:val="none" w:sz="0" w:space="0" w:color="auto"/>
                    <w:bottom w:val="none" w:sz="0" w:space="0" w:color="auto"/>
                    <w:right w:val="none" w:sz="0" w:space="0" w:color="auto"/>
                  </w:divBdr>
                </w:div>
                <w:div w:id="2066101348">
                  <w:marLeft w:val="480"/>
                  <w:marRight w:val="0"/>
                  <w:marTop w:val="0"/>
                  <w:marBottom w:val="0"/>
                  <w:divBdr>
                    <w:top w:val="none" w:sz="0" w:space="0" w:color="auto"/>
                    <w:left w:val="none" w:sz="0" w:space="0" w:color="auto"/>
                    <w:bottom w:val="none" w:sz="0" w:space="0" w:color="auto"/>
                    <w:right w:val="none" w:sz="0" w:space="0" w:color="auto"/>
                  </w:divBdr>
                </w:div>
                <w:div w:id="1754282668">
                  <w:marLeft w:val="480"/>
                  <w:marRight w:val="0"/>
                  <w:marTop w:val="0"/>
                  <w:marBottom w:val="0"/>
                  <w:divBdr>
                    <w:top w:val="none" w:sz="0" w:space="0" w:color="auto"/>
                    <w:left w:val="none" w:sz="0" w:space="0" w:color="auto"/>
                    <w:bottom w:val="none" w:sz="0" w:space="0" w:color="auto"/>
                    <w:right w:val="none" w:sz="0" w:space="0" w:color="auto"/>
                  </w:divBdr>
                </w:div>
                <w:div w:id="2069573798">
                  <w:marLeft w:val="480"/>
                  <w:marRight w:val="0"/>
                  <w:marTop w:val="0"/>
                  <w:marBottom w:val="0"/>
                  <w:divBdr>
                    <w:top w:val="none" w:sz="0" w:space="0" w:color="auto"/>
                    <w:left w:val="none" w:sz="0" w:space="0" w:color="auto"/>
                    <w:bottom w:val="none" w:sz="0" w:space="0" w:color="auto"/>
                    <w:right w:val="none" w:sz="0" w:space="0" w:color="auto"/>
                  </w:divBdr>
                </w:div>
                <w:div w:id="1403138803">
                  <w:marLeft w:val="480"/>
                  <w:marRight w:val="0"/>
                  <w:marTop w:val="0"/>
                  <w:marBottom w:val="0"/>
                  <w:divBdr>
                    <w:top w:val="none" w:sz="0" w:space="0" w:color="auto"/>
                    <w:left w:val="none" w:sz="0" w:space="0" w:color="auto"/>
                    <w:bottom w:val="none" w:sz="0" w:space="0" w:color="auto"/>
                    <w:right w:val="none" w:sz="0" w:space="0" w:color="auto"/>
                  </w:divBdr>
                </w:div>
                <w:div w:id="594947416">
                  <w:marLeft w:val="480"/>
                  <w:marRight w:val="0"/>
                  <w:marTop w:val="0"/>
                  <w:marBottom w:val="0"/>
                  <w:divBdr>
                    <w:top w:val="none" w:sz="0" w:space="0" w:color="auto"/>
                    <w:left w:val="none" w:sz="0" w:space="0" w:color="auto"/>
                    <w:bottom w:val="none" w:sz="0" w:space="0" w:color="auto"/>
                    <w:right w:val="none" w:sz="0" w:space="0" w:color="auto"/>
                  </w:divBdr>
                </w:div>
                <w:div w:id="564335285">
                  <w:marLeft w:val="480"/>
                  <w:marRight w:val="0"/>
                  <w:marTop w:val="0"/>
                  <w:marBottom w:val="0"/>
                  <w:divBdr>
                    <w:top w:val="none" w:sz="0" w:space="0" w:color="auto"/>
                    <w:left w:val="none" w:sz="0" w:space="0" w:color="auto"/>
                    <w:bottom w:val="none" w:sz="0" w:space="0" w:color="auto"/>
                    <w:right w:val="none" w:sz="0" w:space="0" w:color="auto"/>
                  </w:divBdr>
                </w:div>
              </w:divsChild>
            </w:div>
            <w:div w:id="230433670">
              <w:marLeft w:val="0"/>
              <w:marRight w:val="0"/>
              <w:marTop w:val="0"/>
              <w:marBottom w:val="0"/>
              <w:divBdr>
                <w:top w:val="none" w:sz="0" w:space="0" w:color="auto"/>
                <w:left w:val="none" w:sz="0" w:space="0" w:color="auto"/>
                <w:bottom w:val="none" w:sz="0" w:space="0" w:color="auto"/>
                <w:right w:val="none" w:sz="0" w:space="0" w:color="auto"/>
              </w:divBdr>
              <w:divsChild>
                <w:div w:id="1268465628">
                  <w:marLeft w:val="480"/>
                  <w:marRight w:val="0"/>
                  <w:marTop w:val="0"/>
                  <w:marBottom w:val="0"/>
                  <w:divBdr>
                    <w:top w:val="none" w:sz="0" w:space="0" w:color="auto"/>
                    <w:left w:val="none" w:sz="0" w:space="0" w:color="auto"/>
                    <w:bottom w:val="none" w:sz="0" w:space="0" w:color="auto"/>
                    <w:right w:val="none" w:sz="0" w:space="0" w:color="auto"/>
                  </w:divBdr>
                </w:div>
                <w:div w:id="2066445084">
                  <w:marLeft w:val="480"/>
                  <w:marRight w:val="0"/>
                  <w:marTop w:val="0"/>
                  <w:marBottom w:val="0"/>
                  <w:divBdr>
                    <w:top w:val="none" w:sz="0" w:space="0" w:color="auto"/>
                    <w:left w:val="none" w:sz="0" w:space="0" w:color="auto"/>
                    <w:bottom w:val="none" w:sz="0" w:space="0" w:color="auto"/>
                    <w:right w:val="none" w:sz="0" w:space="0" w:color="auto"/>
                  </w:divBdr>
                </w:div>
                <w:div w:id="287710560">
                  <w:marLeft w:val="480"/>
                  <w:marRight w:val="0"/>
                  <w:marTop w:val="0"/>
                  <w:marBottom w:val="0"/>
                  <w:divBdr>
                    <w:top w:val="none" w:sz="0" w:space="0" w:color="auto"/>
                    <w:left w:val="none" w:sz="0" w:space="0" w:color="auto"/>
                    <w:bottom w:val="none" w:sz="0" w:space="0" w:color="auto"/>
                    <w:right w:val="none" w:sz="0" w:space="0" w:color="auto"/>
                  </w:divBdr>
                </w:div>
                <w:div w:id="1860392819">
                  <w:marLeft w:val="480"/>
                  <w:marRight w:val="0"/>
                  <w:marTop w:val="0"/>
                  <w:marBottom w:val="0"/>
                  <w:divBdr>
                    <w:top w:val="none" w:sz="0" w:space="0" w:color="auto"/>
                    <w:left w:val="none" w:sz="0" w:space="0" w:color="auto"/>
                    <w:bottom w:val="none" w:sz="0" w:space="0" w:color="auto"/>
                    <w:right w:val="none" w:sz="0" w:space="0" w:color="auto"/>
                  </w:divBdr>
                </w:div>
                <w:div w:id="113988917">
                  <w:marLeft w:val="480"/>
                  <w:marRight w:val="0"/>
                  <w:marTop w:val="0"/>
                  <w:marBottom w:val="0"/>
                  <w:divBdr>
                    <w:top w:val="none" w:sz="0" w:space="0" w:color="auto"/>
                    <w:left w:val="none" w:sz="0" w:space="0" w:color="auto"/>
                    <w:bottom w:val="none" w:sz="0" w:space="0" w:color="auto"/>
                    <w:right w:val="none" w:sz="0" w:space="0" w:color="auto"/>
                  </w:divBdr>
                </w:div>
                <w:div w:id="281113">
                  <w:marLeft w:val="480"/>
                  <w:marRight w:val="0"/>
                  <w:marTop w:val="0"/>
                  <w:marBottom w:val="0"/>
                  <w:divBdr>
                    <w:top w:val="none" w:sz="0" w:space="0" w:color="auto"/>
                    <w:left w:val="none" w:sz="0" w:space="0" w:color="auto"/>
                    <w:bottom w:val="none" w:sz="0" w:space="0" w:color="auto"/>
                    <w:right w:val="none" w:sz="0" w:space="0" w:color="auto"/>
                  </w:divBdr>
                </w:div>
                <w:div w:id="766734515">
                  <w:marLeft w:val="480"/>
                  <w:marRight w:val="0"/>
                  <w:marTop w:val="0"/>
                  <w:marBottom w:val="0"/>
                  <w:divBdr>
                    <w:top w:val="none" w:sz="0" w:space="0" w:color="auto"/>
                    <w:left w:val="none" w:sz="0" w:space="0" w:color="auto"/>
                    <w:bottom w:val="none" w:sz="0" w:space="0" w:color="auto"/>
                    <w:right w:val="none" w:sz="0" w:space="0" w:color="auto"/>
                  </w:divBdr>
                </w:div>
                <w:div w:id="888880366">
                  <w:marLeft w:val="480"/>
                  <w:marRight w:val="0"/>
                  <w:marTop w:val="0"/>
                  <w:marBottom w:val="0"/>
                  <w:divBdr>
                    <w:top w:val="none" w:sz="0" w:space="0" w:color="auto"/>
                    <w:left w:val="none" w:sz="0" w:space="0" w:color="auto"/>
                    <w:bottom w:val="none" w:sz="0" w:space="0" w:color="auto"/>
                    <w:right w:val="none" w:sz="0" w:space="0" w:color="auto"/>
                  </w:divBdr>
                </w:div>
                <w:div w:id="297879592">
                  <w:marLeft w:val="480"/>
                  <w:marRight w:val="0"/>
                  <w:marTop w:val="0"/>
                  <w:marBottom w:val="0"/>
                  <w:divBdr>
                    <w:top w:val="none" w:sz="0" w:space="0" w:color="auto"/>
                    <w:left w:val="none" w:sz="0" w:space="0" w:color="auto"/>
                    <w:bottom w:val="none" w:sz="0" w:space="0" w:color="auto"/>
                    <w:right w:val="none" w:sz="0" w:space="0" w:color="auto"/>
                  </w:divBdr>
                </w:div>
                <w:div w:id="988746175">
                  <w:marLeft w:val="480"/>
                  <w:marRight w:val="0"/>
                  <w:marTop w:val="0"/>
                  <w:marBottom w:val="0"/>
                  <w:divBdr>
                    <w:top w:val="none" w:sz="0" w:space="0" w:color="auto"/>
                    <w:left w:val="none" w:sz="0" w:space="0" w:color="auto"/>
                    <w:bottom w:val="none" w:sz="0" w:space="0" w:color="auto"/>
                    <w:right w:val="none" w:sz="0" w:space="0" w:color="auto"/>
                  </w:divBdr>
                </w:div>
                <w:div w:id="1244948030">
                  <w:marLeft w:val="480"/>
                  <w:marRight w:val="0"/>
                  <w:marTop w:val="0"/>
                  <w:marBottom w:val="0"/>
                  <w:divBdr>
                    <w:top w:val="none" w:sz="0" w:space="0" w:color="auto"/>
                    <w:left w:val="none" w:sz="0" w:space="0" w:color="auto"/>
                    <w:bottom w:val="none" w:sz="0" w:space="0" w:color="auto"/>
                    <w:right w:val="none" w:sz="0" w:space="0" w:color="auto"/>
                  </w:divBdr>
                </w:div>
                <w:div w:id="2082826599">
                  <w:marLeft w:val="480"/>
                  <w:marRight w:val="0"/>
                  <w:marTop w:val="0"/>
                  <w:marBottom w:val="0"/>
                  <w:divBdr>
                    <w:top w:val="none" w:sz="0" w:space="0" w:color="auto"/>
                    <w:left w:val="none" w:sz="0" w:space="0" w:color="auto"/>
                    <w:bottom w:val="none" w:sz="0" w:space="0" w:color="auto"/>
                    <w:right w:val="none" w:sz="0" w:space="0" w:color="auto"/>
                  </w:divBdr>
                </w:div>
                <w:div w:id="1236352519">
                  <w:marLeft w:val="480"/>
                  <w:marRight w:val="0"/>
                  <w:marTop w:val="0"/>
                  <w:marBottom w:val="0"/>
                  <w:divBdr>
                    <w:top w:val="none" w:sz="0" w:space="0" w:color="auto"/>
                    <w:left w:val="none" w:sz="0" w:space="0" w:color="auto"/>
                    <w:bottom w:val="none" w:sz="0" w:space="0" w:color="auto"/>
                    <w:right w:val="none" w:sz="0" w:space="0" w:color="auto"/>
                  </w:divBdr>
                </w:div>
                <w:div w:id="726999151">
                  <w:marLeft w:val="480"/>
                  <w:marRight w:val="0"/>
                  <w:marTop w:val="0"/>
                  <w:marBottom w:val="0"/>
                  <w:divBdr>
                    <w:top w:val="none" w:sz="0" w:space="0" w:color="auto"/>
                    <w:left w:val="none" w:sz="0" w:space="0" w:color="auto"/>
                    <w:bottom w:val="none" w:sz="0" w:space="0" w:color="auto"/>
                    <w:right w:val="none" w:sz="0" w:space="0" w:color="auto"/>
                  </w:divBdr>
                </w:div>
                <w:div w:id="1467972025">
                  <w:marLeft w:val="480"/>
                  <w:marRight w:val="0"/>
                  <w:marTop w:val="0"/>
                  <w:marBottom w:val="0"/>
                  <w:divBdr>
                    <w:top w:val="none" w:sz="0" w:space="0" w:color="auto"/>
                    <w:left w:val="none" w:sz="0" w:space="0" w:color="auto"/>
                    <w:bottom w:val="none" w:sz="0" w:space="0" w:color="auto"/>
                    <w:right w:val="none" w:sz="0" w:space="0" w:color="auto"/>
                  </w:divBdr>
                </w:div>
                <w:div w:id="1265916095">
                  <w:marLeft w:val="480"/>
                  <w:marRight w:val="0"/>
                  <w:marTop w:val="0"/>
                  <w:marBottom w:val="0"/>
                  <w:divBdr>
                    <w:top w:val="none" w:sz="0" w:space="0" w:color="auto"/>
                    <w:left w:val="none" w:sz="0" w:space="0" w:color="auto"/>
                    <w:bottom w:val="none" w:sz="0" w:space="0" w:color="auto"/>
                    <w:right w:val="none" w:sz="0" w:space="0" w:color="auto"/>
                  </w:divBdr>
                </w:div>
                <w:div w:id="1212350816">
                  <w:marLeft w:val="480"/>
                  <w:marRight w:val="0"/>
                  <w:marTop w:val="0"/>
                  <w:marBottom w:val="0"/>
                  <w:divBdr>
                    <w:top w:val="none" w:sz="0" w:space="0" w:color="auto"/>
                    <w:left w:val="none" w:sz="0" w:space="0" w:color="auto"/>
                    <w:bottom w:val="none" w:sz="0" w:space="0" w:color="auto"/>
                    <w:right w:val="none" w:sz="0" w:space="0" w:color="auto"/>
                  </w:divBdr>
                </w:div>
                <w:div w:id="1212158026">
                  <w:marLeft w:val="480"/>
                  <w:marRight w:val="0"/>
                  <w:marTop w:val="0"/>
                  <w:marBottom w:val="0"/>
                  <w:divBdr>
                    <w:top w:val="none" w:sz="0" w:space="0" w:color="auto"/>
                    <w:left w:val="none" w:sz="0" w:space="0" w:color="auto"/>
                    <w:bottom w:val="none" w:sz="0" w:space="0" w:color="auto"/>
                    <w:right w:val="none" w:sz="0" w:space="0" w:color="auto"/>
                  </w:divBdr>
                </w:div>
                <w:div w:id="1724596432">
                  <w:marLeft w:val="480"/>
                  <w:marRight w:val="0"/>
                  <w:marTop w:val="0"/>
                  <w:marBottom w:val="0"/>
                  <w:divBdr>
                    <w:top w:val="none" w:sz="0" w:space="0" w:color="auto"/>
                    <w:left w:val="none" w:sz="0" w:space="0" w:color="auto"/>
                    <w:bottom w:val="none" w:sz="0" w:space="0" w:color="auto"/>
                    <w:right w:val="none" w:sz="0" w:space="0" w:color="auto"/>
                  </w:divBdr>
                </w:div>
                <w:div w:id="1999723160">
                  <w:marLeft w:val="480"/>
                  <w:marRight w:val="0"/>
                  <w:marTop w:val="0"/>
                  <w:marBottom w:val="0"/>
                  <w:divBdr>
                    <w:top w:val="none" w:sz="0" w:space="0" w:color="auto"/>
                    <w:left w:val="none" w:sz="0" w:space="0" w:color="auto"/>
                    <w:bottom w:val="none" w:sz="0" w:space="0" w:color="auto"/>
                    <w:right w:val="none" w:sz="0" w:space="0" w:color="auto"/>
                  </w:divBdr>
                </w:div>
                <w:div w:id="552038589">
                  <w:marLeft w:val="480"/>
                  <w:marRight w:val="0"/>
                  <w:marTop w:val="0"/>
                  <w:marBottom w:val="0"/>
                  <w:divBdr>
                    <w:top w:val="none" w:sz="0" w:space="0" w:color="auto"/>
                    <w:left w:val="none" w:sz="0" w:space="0" w:color="auto"/>
                    <w:bottom w:val="none" w:sz="0" w:space="0" w:color="auto"/>
                    <w:right w:val="none" w:sz="0" w:space="0" w:color="auto"/>
                  </w:divBdr>
                </w:div>
                <w:div w:id="932519831">
                  <w:marLeft w:val="480"/>
                  <w:marRight w:val="0"/>
                  <w:marTop w:val="0"/>
                  <w:marBottom w:val="0"/>
                  <w:divBdr>
                    <w:top w:val="none" w:sz="0" w:space="0" w:color="auto"/>
                    <w:left w:val="none" w:sz="0" w:space="0" w:color="auto"/>
                    <w:bottom w:val="none" w:sz="0" w:space="0" w:color="auto"/>
                    <w:right w:val="none" w:sz="0" w:space="0" w:color="auto"/>
                  </w:divBdr>
                </w:div>
                <w:div w:id="1931624881">
                  <w:marLeft w:val="480"/>
                  <w:marRight w:val="0"/>
                  <w:marTop w:val="0"/>
                  <w:marBottom w:val="0"/>
                  <w:divBdr>
                    <w:top w:val="none" w:sz="0" w:space="0" w:color="auto"/>
                    <w:left w:val="none" w:sz="0" w:space="0" w:color="auto"/>
                    <w:bottom w:val="none" w:sz="0" w:space="0" w:color="auto"/>
                    <w:right w:val="none" w:sz="0" w:space="0" w:color="auto"/>
                  </w:divBdr>
                </w:div>
                <w:div w:id="1323006582">
                  <w:marLeft w:val="480"/>
                  <w:marRight w:val="0"/>
                  <w:marTop w:val="0"/>
                  <w:marBottom w:val="0"/>
                  <w:divBdr>
                    <w:top w:val="none" w:sz="0" w:space="0" w:color="auto"/>
                    <w:left w:val="none" w:sz="0" w:space="0" w:color="auto"/>
                    <w:bottom w:val="none" w:sz="0" w:space="0" w:color="auto"/>
                    <w:right w:val="none" w:sz="0" w:space="0" w:color="auto"/>
                  </w:divBdr>
                </w:div>
                <w:div w:id="642006983">
                  <w:marLeft w:val="480"/>
                  <w:marRight w:val="0"/>
                  <w:marTop w:val="0"/>
                  <w:marBottom w:val="0"/>
                  <w:divBdr>
                    <w:top w:val="none" w:sz="0" w:space="0" w:color="auto"/>
                    <w:left w:val="none" w:sz="0" w:space="0" w:color="auto"/>
                    <w:bottom w:val="none" w:sz="0" w:space="0" w:color="auto"/>
                    <w:right w:val="none" w:sz="0" w:space="0" w:color="auto"/>
                  </w:divBdr>
                </w:div>
                <w:div w:id="1342010124">
                  <w:marLeft w:val="480"/>
                  <w:marRight w:val="0"/>
                  <w:marTop w:val="0"/>
                  <w:marBottom w:val="0"/>
                  <w:divBdr>
                    <w:top w:val="none" w:sz="0" w:space="0" w:color="auto"/>
                    <w:left w:val="none" w:sz="0" w:space="0" w:color="auto"/>
                    <w:bottom w:val="none" w:sz="0" w:space="0" w:color="auto"/>
                    <w:right w:val="none" w:sz="0" w:space="0" w:color="auto"/>
                  </w:divBdr>
                </w:div>
                <w:div w:id="1032880055">
                  <w:marLeft w:val="480"/>
                  <w:marRight w:val="0"/>
                  <w:marTop w:val="0"/>
                  <w:marBottom w:val="0"/>
                  <w:divBdr>
                    <w:top w:val="none" w:sz="0" w:space="0" w:color="auto"/>
                    <w:left w:val="none" w:sz="0" w:space="0" w:color="auto"/>
                    <w:bottom w:val="none" w:sz="0" w:space="0" w:color="auto"/>
                    <w:right w:val="none" w:sz="0" w:space="0" w:color="auto"/>
                  </w:divBdr>
                </w:div>
                <w:div w:id="1249004546">
                  <w:marLeft w:val="480"/>
                  <w:marRight w:val="0"/>
                  <w:marTop w:val="0"/>
                  <w:marBottom w:val="0"/>
                  <w:divBdr>
                    <w:top w:val="none" w:sz="0" w:space="0" w:color="auto"/>
                    <w:left w:val="none" w:sz="0" w:space="0" w:color="auto"/>
                    <w:bottom w:val="none" w:sz="0" w:space="0" w:color="auto"/>
                    <w:right w:val="none" w:sz="0" w:space="0" w:color="auto"/>
                  </w:divBdr>
                </w:div>
                <w:div w:id="235676749">
                  <w:marLeft w:val="480"/>
                  <w:marRight w:val="0"/>
                  <w:marTop w:val="0"/>
                  <w:marBottom w:val="0"/>
                  <w:divBdr>
                    <w:top w:val="none" w:sz="0" w:space="0" w:color="auto"/>
                    <w:left w:val="none" w:sz="0" w:space="0" w:color="auto"/>
                    <w:bottom w:val="none" w:sz="0" w:space="0" w:color="auto"/>
                    <w:right w:val="none" w:sz="0" w:space="0" w:color="auto"/>
                  </w:divBdr>
                </w:div>
                <w:div w:id="536089687">
                  <w:marLeft w:val="480"/>
                  <w:marRight w:val="0"/>
                  <w:marTop w:val="0"/>
                  <w:marBottom w:val="0"/>
                  <w:divBdr>
                    <w:top w:val="none" w:sz="0" w:space="0" w:color="auto"/>
                    <w:left w:val="none" w:sz="0" w:space="0" w:color="auto"/>
                    <w:bottom w:val="none" w:sz="0" w:space="0" w:color="auto"/>
                    <w:right w:val="none" w:sz="0" w:space="0" w:color="auto"/>
                  </w:divBdr>
                </w:div>
                <w:div w:id="1261598394">
                  <w:marLeft w:val="480"/>
                  <w:marRight w:val="0"/>
                  <w:marTop w:val="0"/>
                  <w:marBottom w:val="0"/>
                  <w:divBdr>
                    <w:top w:val="none" w:sz="0" w:space="0" w:color="auto"/>
                    <w:left w:val="none" w:sz="0" w:space="0" w:color="auto"/>
                    <w:bottom w:val="none" w:sz="0" w:space="0" w:color="auto"/>
                    <w:right w:val="none" w:sz="0" w:space="0" w:color="auto"/>
                  </w:divBdr>
                </w:div>
                <w:div w:id="1693873410">
                  <w:marLeft w:val="480"/>
                  <w:marRight w:val="0"/>
                  <w:marTop w:val="0"/>
                  <w:marBottom w:val="0"/>
                  <w:divBdr>
                    <w:top w:val="none" w:sz="0" w:space="0" w:color="auto"/>
                    <w:left w:val="none" w:sz="0" w:space="0" w:color="auto"/>
                    <w:bottom w:val="none" w:sz="0" w:space="0" w:color="auto"/>
                    <w:right w:val="none" w:sz="0" w:space="0" w:color="auto"/>
                  </w:divBdr>
                </w:div>
                <w:div w:id="88166546">
                  <w:marLeft w:val="480"/>
                  <w:marRight w:val="0"/>
                  <w:marTop w:val="0"/>
                  <w:marBottom w:val="0"/>
                  <w:divBdr>
                    <w:top w:val="none" w:sz="0" w:space="0" w:color="auto"/>
                    <w:left w:val="none" w:sz="0" w:space="0" w:color="auto"/>
                    <w:bottom w:val="none" w:sz="0" w:space="0" w:color="auto"/>
                    <w:right w:val="none" w:sz="0" w:space="0" w:color="auto"/>
                  </w:divBdr>
                </w:div>
                <w:div w:id="513111668">
                  <w:marLeft w:val="480"/>
                  <w:marRight w:val="0"/>
                  <w:marTop w:val="0"/>
                  <w:marBottom w:val="0"/>
                  <w:divBdr>
                    <w:top w:val="none" w:sz="0" w:space="0" w:color="auto"/>
                    <w:left w:val="none" w:sz="0" w:space="0" w:color="auto"/>
                    <w:bottom w:val="none" w:sz="0" w:space="0" w:color="auto"/>
                    <w:right w:val="none" w:sz="0" w:space="0" w:color="auto"/>
                  </w:divBdr>
                </w:div>
                <w:div w:id="2095516341">
                  <w:marLeft w:val="480"/>
                  <w:marRight w:val="0"/>
                  <w:marTop w:val="0"/>
                  <w:marBottom w:val="0"/>
                  <w:divBdr>
                    <w:top w:val="none" w:sz="0" w:space="0" w:color="auto"/>
                    <w:left w:val="none" w:sz="0" w:space="0" w:color="auto"/>
                    <w:bottom w:val="none" w:sz="0" w:space="0" w:color="auto"/>
                    <w:right w:val="none" w:sz="0" w:space="0" w:color="auto"/>
                  </w:divBdr>
                </w:div>
                <w:div w:id="1242133400">
                  <w:marLeft w:val="480"/>
                  <w:marRight w:val="0"/>
                  <w:marTop w:val="0"/>
                  <w:marBottom w:val="0"/>
                  <w:divBdr>
                    <w:top w:val="none" w:sz="0" w:space="0" w:color="auto"/>
                    <w:left w:val="none" w:sz="0" w:space="0" w:color="auto"/>
                    <w:bottom w:val="none" w:sz="0" w:space="0" w:color="auto"/>
                    <w:right w:val="none" w:sz="0" w:space="0" w:color="auto"/>
                  </w:divBdr>
                </w:div>
                <w:div w:id="1144934366">
                  <w:marLeft w:val="480"/>
                  <w:marRight w:val="0"/>
                  <w:marTop w:val="0"/>
                  <w:marBottom w:val="0"/>
                  <w:divBdr>
                    <w:top w:val="none" w:sz="0" w:space="0" w:color="auto"/>
                    <w:left w:val="none" w:sz="0" w:space="0" w:color="auto"/>
                    <w:bottom w:val="none" w:sz="0" w:space="0" w:color="auto"/>
                    <w:right w:val="none" w:sz="0" w:space="0" w:color="auto"/>
                  </w:divBdr>
                </w:div>
                <w:div w:id="264073104">
                  <w:marLeft w:val="480"/>
                  <w:marRight w:val="0"/>
                  <w:marTop w:val="0"/>
                  <w:marBottom w:val="0"/>
                  <w:divBdr>
                    <w:top w:val="none" w:sz="0" w:space="0" w:color="auto"/>
                    <w:left w:val="none" w:sz="0" w:space="0" w:color="auto"/>
                    <w:bottom w:val="none" w:sz="0" w:space="0" w:color="auto"/>
                    <w:right w:val="none" w:sz="0" w:space="0" w:color="auto"/>
                  </w:divBdr>
                </w:div>
                <w:div w:id="119568380">
                  <w:marLeft w:val="480"/>
                  <w:marRight w:val="0"/>
                  <w:marTop w:val="0"/>
                  <w:marBottom w:val="0"/>
                  <w:divBdr>
                    <w:top w:val="none" w:sz="0" w:space="0" w:color="auto"/>
                    <w:left w:val="none" w:sz="0" w:space="0" w:color="auto"/>
                    <w:bottom w:val="none" w:sz="0" w:space="0" w:color="auto"/>
                    <w:right w:val="none" w:sz="0" w:space="0" w:color="auto"/>
                  </w:divBdr>
                </w:div>
                <w:div w:id="407772621">
                  <w:marLeft w:val="480"/>
                  <w:marRight w:val="0"/>
                  <w:marTop w:val="0"/>
                  <w:marBottom w:val="0"/>
                  <w:divBdr>
                    <w:top w:val="none" w:sz="0" w:space="0" w:color="auto"/>
                    <w:left w:val="none" w:sz="0" w:space="0" w:color="auto"/>
                    <w:bottom w:val="none" w:sz="0" w:space="0" w:color="auto"/>
                    <w:right w:val="none" w:sz="0" w:space="0" w:color="auto"/>
                  </w:divBdr>
                </w:div>
                <w:div w:id="1458639060">
                  <w:marLeft w:val="480"/>
                  <w:marRight w:val="0"/>
                  <w:marTop w:val="0"/>
                  <w:marBottom w:val="0"/>
                  <w:divBdr>
                    <w:top w:val="none" w:sz="0" w:space="0" w:color="auto"/>
                    <w:left w:val="none" w:sz="0" w:space="0" w:color="auto"/>
                    <w:bottom w:val="none" w:sz="0" w:space="0" w:color="auto"/>
                    <w:right w:val="none" w:sz="0" w:space="0" w:color="auto"/>
                  </w:divBdr>
                </w:div>
                <w:div w:id="487985654">
                  <w:marLeft w:val="480"/>
                  <w:marRight w:val="0"/>
                  <w:marTop w:val="0"/>
                  <w:marBottom w:val="0"/>
                  <w:divBdr>
                    <w:top w:val="none" w:sz="0" w:space="0" w:color="auto"/>
                    <w:left w:val="none" w:sz="0" w:space="0" w:color="auto"/>
                    <w:bottom w:val="none" w:sz="0" w:space="0" w:color="auto"/>
                    <w:right w:val="none" w:sz="0" w:space="0" w:color="auto"/>
                  </w:divBdr>
                </w:div>
                <w:div w:id="674772033">
                  <w:marLeft w:val="480"/>
                  <w:marRight w:val="0"/>
                  <w:marTop w:val="0"/>
                  <w:marBottom w:val="0"/>
                  <w:divBdr>
                    <w:top w:val="none" w:sz="0" w:space="0" w:color="auto"/>
                    <w:left w:val="none" w:sz="0" w:space="0" w:color="auto"/>
                    <w:bottom w:val="none" w:sz="0" w:space="0" w:color="auto"/>
                    <w:right w:val="none" w:sz="0" w:space="0" w:color="auto"/>
                  </w:divBdr>
                </w:div>
                <w:div w:id="1134179536">
                  <w:marLeft w:val="480"/>
                  <w:marRight w:val="0"/>
                  <w:marTop w:val="0"/>
                  <w:marBottom w:val="0"/>
                  <w:divBdr>
                    <w:top w:val="none" w:sz="0" w:space="0" w:color="auto"/>
                    <w:left w:val="none" w:sz="0" w:space="0" w:color="auto"/>
                    <w:bottom w:val="none" w:sz="0" w:space="0" w:color="auto"/>
                    <w:right w:val="none" w:sz="0" w:space="0" w:color="auto"/>
                  </w:divBdr>
                </w:div>
                <w:div w:id="723868164">
                  <w:marLeft w:val="480"/>
                  <w:marRight w:val="0"/>
                  <w:marTop w:val="0"/>
                  <w:marBottom w:val="0"/>
                  <w:divBdr>
                    <w:top w:val="none" w:sz="0" w:space="0" w:color="auto"/>
                    <w:left w:val="none" w:sz="0" w:space="0" w:color="auto"/>
                    <w:bottom w:val="none" w:sz="0" w:space="0" w:color="auto"/>
                    <w:right w:val="none" w:sz="0" w:space="0" w:color="auto"/>
                  </w:divBdr>
                </w:div>
                <w:div w:id="2092382536">
                  <w:marLeft w:val="480"/>
                  <w:marRight w:val="0"/>
                  <w:marTop w:val="0"/>
                  <w:marBottom w:val="0"/>
                  <w:divBdr>
                    <w:top w:val="none" w:sz="0" w:space="0" w:color="auto"/>
                    <w:left w:val="none" w:sz="0" w:space="0" w:color="auto"/>
                    <w:bottom w:val="none" w:sz="0" w:space="0" w:color="auto"/>
                    <w:right w:val="none" w:sz="0" w:space="0" w:color="auto"/>
                  </w:divBdr>
                </w:div>
                <w:div w:id="619917509">
                  <w:marLeft w:val="480"/>
                  <w:marRight w:val="0"/>
                  <w:marTop w:val="0"/>
                  <w:marBottom w:val="0"/>
                  <w:divBdr>
                    <w:top w:val="none" w:sz="0" w:space="0" w:color="auto"/>
                    <w:left w:val="none" w:sz="0" w:space="0" w:color="auto"/>
                    <w:bottom w:val="none" w:sz="0" w:space="0" w:color="auto"/>
                    <w:right w:val="none" w:sz="0" w:space="0" w:color="auto"/>
                  </w:divBdr>
                </w:div>
                <w:div w:id="324551175">
                  <w:marLeft w:val="480"/>
                  <w:marRight w:val="0"/>
                  <w:marTop w:val="0"/>
                  <w:marBottom w:val="0"/>
                  <w:divBdr>
                    <w:top w:val="none" w:sz="0" w:space="0" w:color="auto"/>
                    <w:left w:val="none" w:sz="0" w:space="0" w:color="auto"/>
                    <w:bottom w:val="none" w:sz="0" w:space="0" w:color="auto"/>
                    <w:right w:val="none" w:sz="0" w:space="0" w:color="auto"/>
                  </w:divBdr>
                </w:div>
                <w:div w:id="497891485">
                  <w:marLeft w:val="480"/>
                  <w:marRight w:val="0"/>
                  <w:marTop w:val="0"/>
                  <w:marBottom w:val="0"/>
                  <w:divBdr>
                    <w:top w:val="none" w:sz="0" w:space="0" w:color="auto"/>
                    <w:left w:val="none" w:sz="0" w:space="0" w:color="auto"/>
                    <w:bottom w:val="none" w:sz="0" w:space="0" w:color="auto"/>
                    <w:right w:val="none" w:sz="0" w:space="0" w:color="auto"/>
                  </w:divBdr>
                </w:div>
                <w:div w:id="1726027464">
                  <w:marLeft w:val="480"/>
                  <w:marRight w:val="0"/>
                  <w:marTop w:val="0"/>
                  <w:marBottom w:val="0"/>
                  <w:divBdr>
                    <w:top w:val="none" w:sz="0" w:space="0" w:color="auto"/>
                    <w:left w:val="none" w:sz="0" w:space="0" w:color="auto"/>
                    <w:bottom w:val="none" w:sz="0" w:space="0" w:color="auto"/>
                    <w:right w:val="none" w:sz="0" w:space="0" w:color="auto"/>
                  </w:divBdr>
                </w:div>
                <w:div w:id="395320884">
                  <w:marLeft w:val="480"/>
                  <w:marRight w:val="0"/>
                  <w:marTop w:val="0"/>
                  <w:marBottom w:val="0"/>
                  <w:divBdr>
                    <w:top w:val="none" w:sz="0" w:space="0" w:color="auto"/>
                    <w:left w:val="none" w:sz="0" w:space="0" w:color="auto"/>
                    <w:bottom w:val="none" w:sz="0" w:space="0" w:color="auto"/>
                    <w:right w:val="none" w:sz="0" w:space="0" w:color="auto"/>
                  </w:divBdr>
                </w:div>
                <w:div w:id="922223564">
                  <w:marLeft w:val="480"/>
                  <w:marRight w:val="0"/>
                  <w:marTop w:val="0"/>
                  <w:marBottom w:val="0"/>
                  <w:divBdr>
                    <w:top w:val="none" w:sz="0" w:space="0" w:color="auto"/>
                    <w:left w:val="none" w:sz="0" w:space="0" w:color="auto"/>
                    <w:bottom w:val="none" w:sz="0" w:space="0" w:color="auto"/>
                    <w:right w:val="none" w:sz="0" w:space="0" w:color="auto"/>
                  </w:divBdr>
                </w:div>
                <w:div w:id="990790125">
                  <w:marLeft w:val="480"/>
                  <w:marRight w:val="0"/>
                  <w:marTop w:val="0"/>
                  <w:marBottom w:val="0"/>
                  <w:divBdr>
                    <w:top w:val="none" w:sz="0" w:space="0" w:color="auto"/>
                    <w:left w:val="none" w:sz="0" w:space="0" w:color="auto"/>
                    <w:bottom w:val="none" w:sz="0" w:space="0" w:color="auto"/>
                    <w:right w:val="none" w:sz="0" w:space="0" w:color="auto"/>
                  </w:divBdr>
                </w:div>
                <w:div w:id="1023677274">
                  <w:marLeft w:val="480"/>
                  <w:marRight w:val="0"/>
                  <w:marTop w:val="0"/>
                  <w:marBottom w:val="0"/>
                  <w:divBdr>
                    <w:top w:val="none" w:sz="0" w:space="0" w:color="auto"/>
                    <w:left w:val="none" w:sz="0" w:space="0" w:color="auto"/>
                    <w:bottom w:val="none" w:sz="0" w:space="0" w:color="auto"/>
                    <w:right w:val="none" w:sz="0" w:space="0" w:color="auto"/>
                  </w:divBdr>
                </w:div>
                <w:div w:id="1656177713">
                  <w:marLeft w:val="480"/>
                  <w:marRight w:val="0"/>
                  <w:marTop w:val="0"/>
                  <w:marBottom w:val="0"/>
                  <w:divBdr>
                    <w:top w:val="none" w:sz="0" w:space="0" w:color="auto"/>
                    <w:left w:val="none" w:sz="0" w:space="0" w:color="auto"/>
                    <w:bottom w:val="none" w:sz="0" w:space="0" w:color="auto"/>
                    <w:right w:val="none" w:sz="0" w:space="0" w:color="auto"/>
                  </w:divBdr>
                </w:div>
                <w:div w:id="520437210">
                  <w:marLeft w:val="480"/>
                  <w:marRight w:val="0"/>
                  <w:marTop w:val="0"/>
                  <w:marBottom w:val="0"/>
                  <w:divBdr>
                    <w:top w:val="none" w:sz="0" w:space="0" w:color="auto"/>
                    <w:left w:val="none" w:sz="0" w:space="0" w:color="auto"/>
                    <w:bottom w:val="none" w:sz="0" w:space="0" w:color="auto"/>
                    <w:right w:val="none" w:sz="0" w:space="0" w:color="auto"/>
                  </w:divBdr>
                </w:div>
                <w:div w:id="1573198956">
                  <w:marLeft w:val="480"/>
                  <w:marRight w:val="0"/>
                  <w:marTop w:val="0"/>
                  <w:marBottom w:val="0"/>
                  <w:divBdr>
                    <w:top w:val="none" w:sz="0" w:space="0" w:color="auto"/>
                    <w:left w:val="none" w:sz="0" w:space="0" w:color="auto"/>
                    <w:bottom w:val="none" w:sz="0" w:space="0" w:color="auto"/>
                    <w:right w:val="none" w:sz="0" w:space="0" w:color="auto"/>
                  </w:divBdr>
                </w:div>
                <w:div w:id="1939485176">
                  <w:marLeft w:val="480"/>
                  <w:marRight w:val="0"/>
                  <w:marTop w:val="0"/>
                  <w:marBottom w:val="0"/>
                  <w:divBdr>
                    <w:top w:val="none" w:sz="0" w:space="0" w:color="auto"/>
                    <w:left w:val="none" w:sz="0" w:space="0" w:color="auto"/>
                    <w:bottom w:val="none" w:sz="0" w:space="0" w:color="auto"/>
                    <w:right w:val="none" w:sz="0" w:space="0" w:color="auto"/>
                  </w:divBdr>
                </w:div>
                <w:div w:id="255135535">
                  <w:marLeft w:val="480"/>
                  <w:marRight w:val="0"/>
                  <w:marTop w:val="0"/>
                  <w:marBottom w:val="0"/>
                  <w:divBdr>
                    <w:top w:val="none" w:sz="0" w:space="0" w:color="auto"/>
                    <w:left w:val="none" w:sz="0" w:space="0" w:color="auto"/>
                    <w:bottom w:val="none" w:sz="0" w:space="0" w:color="auto"/>
                    <w:right w:val="none" w:sz="0" w:space="0" w:color="auto"/>
                  </w:divBdr>
                </w:div>
                <w:div w:id="323046493">
                  <w:marLeft w:val="480"/>
                  <w:marRight w:val="0"/>
                  <w:marTop w:val="0"/>
                  <w:marBottom w:val="0"/>
                  <w:divBdr>
                    <w:top w:val="none" w:sz="0" w:space="0" w:color="auto"/>
                    <w:left w:val="none" w:sz="0" w:space="0" w:color="auto"/>
                    <w:bottom w:val="none" w:sz="0" w:space="0" w:color="auto"/>
                    <w:right w:val="none" w:sz="0" w:space="0" w:color="auto"/>
                  </w:divBdr>
                </w:div>
                <w:div w:id="627396361">
                  <w:marLeft w:val="480"/>
                  <w:marRight w:val="0"/>
                  <w:marTop w:val="0"/>
                  <w:marBottom w:val="0"/>
                  <w:divBdr>
                    <w:top w:val="none" w:sz="0" w:space="0" w:color="auto"/>
                    <w:left w:val="none" w:sz="0" w:space="0" w:color="auto"/>
                    <w:bottom w:val="none" w:sz="0" w:space="0" w:color="auto"/>
                    <w:right w:val="none" w:sz="0" w:space="0" w:color="auto"/>
                  </w:divBdr>
                </w:div>
                <w:div w:id="1015036725">
                  <w:marLeft w:val="480"/>
                  <w:marRight w:val="0"/>
                  <w:marTop w:val="0"/>
                  <w:marBottom w:val="0"/>
                  <w:divBdr>
                    <w:top w:val="none" w:sz="0" w:space="0" w:color="auto"/>
                    <w:left w:val="none" w:sz="0" w:space="0" w:color="auto"/>
                    <w:bottom w:val="none" w:sz="0" w:space="0" w:color="auto"/>
                    <w:right w:val="none" w:sz="0" w:space="0" w:color="auto"/>
                  </w:divBdr>
                </w:div>
                <w:div w:id="1954166121">
                  <w:marLeft w:val="480"/>
                  <w:marRight w:val="0"/>
                  <w:marTop w:val="0"/>
                  <w:marBottom w:val="0"/>
                  <w:divBdr>
                    <w:top w:val="none" w:sz="0" w:space="0" w:color="auto"/>
                    <w:left w:val="none" w:sz="0" w:space="0" w:color="auto"/>
                    <w:bottom w:val="none" w:sz="0" w:space="0" w:color="auto"/>
                    <w:right w:val="none" w:sz="0" w:space="0" w:color="auto"/>
                  </w:divBdr>
                </w:div>
                <w:div w:id="136532057">
                  <w:marLeft w:val="480"/>
                  <w:marRight w:val="0"/>
                  <w:marTop w:val="0"/>
                  <w:marBottom w:val="0"/>
                  <w:divBdr>
                    <w:top w:val="none" w:sz="0" w:space="0" w:color="auto"/>
                    <w:left w:val="none" w:sz="0" w:space="0" w:color="auto"/>
                    <w:bottom w:val="none" w:sz="0" w:space="0" w:color="auto"/>
                    <w:right w:val="none" w:sz="0" w:space="0" w:color="auto"/>
                  </w:divBdr>
                </w:div>
                <w:div w:id="38361837">
                  <w:marLeft w:val="480"/>
                  <w:marRight w:val="0"/>
                  <w:marTop w:val="0"/>
                  <w:marBottom w:val="0"/>
                  <w:divBdr>
                    <w:top w:val="none" w:sz="0" w:space="0" w:color="auto"/>
                    <w:left w:val="none" w:sz="0" w:space="0" w:color="auto"/>
                    <w:bottom w:val="none" w:sz="0" w:space="0" w:color="auto"/>
                    <w:right w:val="none" w:sz="0" w:space="0" w:color="auto"/>
                  </w:divBdr>
                </w:div>
                <w:div w:id="1488281140">
                  <w:marLeft w:val="480"/>
                  <w:marRight w:val="0"/>
                  <w:marTop w:val="0"/>
                  <w:marBottom w:val="0"/>
                  <w:divBdr>
                    <w:top w:val="none" w:sz="0" w:space="0" w:color="auto"/>
                    <w:left w:val="none" w:sz="0" w:space="0" w:color="auto"/>
                    <w:bottom w:val="none" w:sz="0" w:space="0" w:color="auto"/>
                    <w:right w:val="none" w:sz="0" w:space="0" w:color="auto"/>
                  </w:divBdr>
                </w:div>
                <w:div w:id="167713831">
                  <w:marLeft w:val="480"/>
                  <w:marRight w:val="0"/>
                  <w:marTop w:val="0"/>
                  <w:marBottom w:val="0"/>
                  <w:divBdr>
                    <w:top w:val="none" w:sz="0" w:space="0" w:color="auto"/>
                    <w:left w:val="none" w:sz="0" w:space="0" w:color="auto"/>
                    <w:bottom w:val="none" w:sz="0" w:space="0" w:color="auto"/>
                    <w:right w:val="none" w:sz="0" w:space="0" w:color="auto"/>
                  </w:divBdr>
                </w:div>
                <w:div w:id="387144426">
                  <w:marLeft w:val="480"/>
                  <w:marRight w:val="0"/>
                  <w:marTop w:val="0"/>
                  <w:marBottom w:val="0"/>
                  <w:divBdr>
                    <w:top w:val="none" w:sz="0" w:space="0" w:color="auto"/>
                    <w:left w:val="none" w:sz="0" w:space="0" w:color="auto"/>
                    <w:bottom w:val="none" w:sz="0" w:space="0" w:color="auto"/>
                    <w:right w:val="none" w:sz="0" w:space="0" w:color="auto"/>
                  </w:divBdr>
                </w:div>
                <w:div w:id="1835341568">
                  <w:marLeft w:val="480"/>
                  <w:marRight w:val="0"/>
                  <w:marTop w:val="0"/>
                  <w:marBottom w:val="0"/>
                  <w:divBdr>
                    <w:top w:val="none" w:sz="0" w:space="0" w:color="auto"/>
                    <w:left w:val="none" w:sz="0" w:space="0" w:color="auto"/>
                    <w:bottom w:val="none" w:sz="0" w:space="0" w:color="auto"/>
                    <w:right w:val="none" w:sz="0" w:space="0" w:color="auto"/>
                  </w:divBdr>
                </w:div>
                <w:div w:id="1877043609">
                  <w:marLeft w:val="480"/>
                  <w:marRight w:val="0"/>
                  <w:marTop w:val="0"/>
                  <w:marBottom w:val="0"/>
                  <w:divBdr>
                    <w:top w:val="none" w:sz="0" w:space="0" w:color="auto"/>
                    <w:left w:val="none" w:sz="0" w:space="0" w:color="auto"/>
                    <w:bottom w:val="none" w:sz="0" w:space="0" w:color="auto"/>
                    <w:right w:val="none" w:sz="0" w:space="0" w:color="auto"/>
                  </w:divBdr>
                </w:div>
                <w:div w:id="1174026630">
                  <w:marLeft w:val="480"/>
                  <w:marRight w:val="0"/>
                  <w:marTop w:val="0"/>
                  <w:marBottom w:val="0"/>
                  <w:divBdr>
                    <w:top w:val="none" w:sz="0" w:space="0" w:color="auto"/>
                    <w:left w:val="none" w:sz="0" w:space="0" w:color="auto"/>
                    <w:bottom w:val="none" w:sz="0" w:space="0" w:color="auto"/>
                    <w:right w:val="none" w:sz="0" w:space="0" w:color="auto"/>
                  </w:divBdr>
                </w:div>
                <w:div w:id="1491021065">
                  <w:marLeft w:val="480"/>
                  <w:marRight w:val="0"/>
                  <w:marTop w:val="0"/>
                  <w:marBottom w:val="0"/>
                  <w:divBdr>
                    <w:top w:val="none" w:sz="0" w:space="0" w:color="auto"/>
                    <w:left w:val="none" w:sz="0" w:space="0" w:color="auto"/>
                    <w:bottom w:val="none" w:sz="0" w:space="0" w:color="auto"/>
                    <w:right w:val="none" w:sz="0" w:space="0" w:color="auto"/>
                  </w:divBdr>
                </w:div>
                <w:div w:id="1214384716">
                  <w:marLeft w:val="480"/>
                  <w:marRight w:val="0"/>
                  <w:marTop w:val="0"/>
                  <w:marBottom w:val="0"/>
                  <w:divBdr>
                    <w:top w:val="none" w:sz="0" w:space="0" w:color="auto"/>
                    <w:left w:val="none" w:sz="0" w:space="0" w:color="auto"/>
                    <w:bottom w:val="none" w:sz="0" w:space="0" w:color="auto"/>
                    <w:right w:val="none" w:sz="0" w:space="0" w:color="auto"/>
                  </w:divBdr>
                </w:div>
                <w:div w:id="37777997">
                  <w:marLeft w:val="480"/>
                  <w:marRight w:val="0"/>
                  <w:marTop w:val="0"/>
                  <w:marBottom w:val="0"/>
                  <w:divBdr>
                    <w:top w:val="none" w:sz="0" w:space="0" w:color="auto"/>
                    <w:left w:val="none" w:sz="0" w:space="0" w:color="auto"/>
                    <w:bottom w:val="none" w:sz="0" w:space="0" w:color="auto"/>
                    <w:right w:val="none" w:sz="0" w:space="0" w:color="auto"/>
                  </w:divBdr>
                </w:div>
              </w:divsChild>
            </w:div>
            <w:div w:id="332949710">
              <w:marLeft w:val="0"/>
              <w:marRight w:val="0"/>
              <w:marTop w:val="0"/>
              <w:marBottom w:val="0"/>
              <w:divBdr>
                <w:top w:val="none" w:sz="0" w:space="0" w:color="auto"/>
                <w:left w:val="none" w:sz="0" w:space="0" w:color="auto"/>
                <w:bottom w:val="none" w:sz="0" w:space="0" w:color="auto"/>
                <w:right w:val="none" w:sz="0" w:space="0" w:color="auto"/>
              </w:divBdr>
              <w:divsChild>
                <w:div w:id="242032300">
                  <w:marLeft w:val="480"/>
                  <w:marRight w:val="0"/>
                  <w:marTop w:val="0"/>
                  <w:marBottom w:val="0"/>
                  <w:divBdr>
                    <w:top w:val="none" w:sz="0" w:space="0" w:color="auto"/>
                    <w:left w:val="none" w:sz="0" w:space="0" w:color="auto"/>
                    <w:bottom w:val="none" w:sz="0" w:space="0" w:color="auto"/>
                    <w:right w:val="none" w:sz="0" w:space="0" w:color="auto"/>
                  </w:divBdr>
                </w:div>
                <w:div w:id="726419783">
                  <w:marLeft w:val="480"/>
                  <w:marRight w:val="0"/>
                  <w:marTop w:val="0"/>
                  <w:marBottom w:val="0"/>
                  <w:divBdr>
                    <w:top w:val="none" w:sz="0" w:space="0" w:color="auto"/>
                    <w:left w:val="none" w:sz="0" w:space="0" w:color="auto"/>
                    <w:bottom w:val="none" w:sz="0" w:space="0" w:color="auto"/>
                    <w:right w:val="none" w:sz="0" w:space="0" w:color="auto"/>
                  </w:divBdr>
                </w:div>
                <w:div w:id="1215847922">
                  <w:marLeft w:val="480"/>
                  <w:marRight w:val="0"/>
                  <w:marTop w:val="0"/>
                  <w:marBottom w:val="0"/>
                  <w:divBdr>
                    <w:top w:val="none" w:sz="0" w:space="0" w:color="auto"/>
                    <w:left w:val="none" w:sz="0" w:space="0" w:color="auto"/>
                    <w:bottom w:val="none" w:sz="0" w:space="0" w:color="auto"/>
                    <w:right w:val="none" w:sz="0" w:space="0" w:color="auto"/>
                  </w:divBdr>
                </w:div>
                <w:div w:id="1073428549">
                  <w:marLeft w:val="480"/>
                  <w:marRight w:val="0"/>
                  <w:marTop w:val="0"/>
                  <w:marBottom w:val="0"/>
                  <w:divBdr>
                    <w:top w:val="none" w:sz="0" w:space="0" w:color="auto"/>
                    <w:left w:val="none" w:sz="0" w:space="0" w:color="auto"/>
                    <w:bottom w:val="none" w:sz="0" w:space="0" w:color="auto"/>
                    <w:right w:val="none" w:sz="0" w:space="0" w:color="auto"/>
                  </w:divBdr>
                </w:div>
                <w:div w:id="1010066291">
                  <w:marLeft w:val="480"/>
                  <w:marRight w:val="0"/>
                  <w:marTop w:val="0"/>
                  <w:marBottom w:val="0"/>
                  <w:divBdr>
                    <w:top w:val="none" w:sz="0" w:space="0" w:color="auto"/>
                    <w:left w:val="none" w:sz="0" w:space="0" w:color="auto"/>
                    <w:bottom w:val="none" w:sz="0" w:space="0" w:color="auto"/>
                    <w:right w:val="none" w:sz="0" w:space="0" w:color="auto"/>
                  </w:divBdr>
                </w:div>
                <w:div w:id="1229027253">
                  <w:marLeft w:val="480"/>
                  <w:marRight w:val="0"/>
                  <w:marTop w:val="0"/>
                  <w:marBottom w:val="0"/>
                  <w:divBdr>
                    <w:top w:val="none" w:sz="0" w:space="0" w:color="auto"/>
                    <w:left w:val="none" w:sz="0" w:space="0" w:color="auto"/>
                    <w:bottom w:val="none" w:sz="0" w:space="0" w:color="auto"/>
                    <w:right w:val="none" w:sz="0" w:space="0" w:color="auto"/>
                  </w:divBdr>
                </w:div>
                <w:div w:id="364139965">
                  <w:marLeft w:val="480"/>
                  <w:marRight w:val="0"/>
                  <w:marTop w:val="0"/>
                  <w:marBottom w:val="0"/>
                  <w:divBdr>
                    <w:top w:val="none" w:sz="0" w:space="0" w:color="auto"/>
                    <w:left w:val="none" w:sz="0" w:space="0" w:color="auto"/>
                    <w:bottom w:val="none" w:sz="0" w:space="0" w:color="auto"/>
                    <w:right w:val="none" w:sz="0" w:space="0" w:color="auto"/>
                  </w:divBdr>
                </w:div>
                <w:div w:id="1116099878">
                  <w:marLeft w:val="480"/>
                  <w:marRight w:val="0"/>
                  <w:marTop w:val="0"/>
                  <w:marBottom w:val="0"/>
                  <w:divBdr>
                    <w:top w:val="none" w:sz="0" w:space="0" w:color="auto"/>
                    <w:left w:val="none" w:sz="0" w:space="0" w:color="auto"/>
                    <w:bottom w:val="none" w:sz="0" w:space="0" w:color="auto"/>
                    <w:right w:val="none" w:sz="0" w:space="0" w:color="auto"/>
                  </w:divBdr>
                </w:div>
                <w:div w:id="698431522">
                  <w:marLeft w:val="480"/>
                  <w:marRight w:val="0"/>
                  <w:marTop w:val="0"/>
                  <w:marBottom w:val="0"/>
                  <w:divBdr>
                    <w:top w:val="none" w:sz="0" w:space="0" w:color="auto"/>
                    <w:left w:val="none" w:sz="0" w:space="0" w:color="auto"/>
                    <w:bottom w:val="none" w:sz="0" w:space="0" w:color="auto"/>
                    <w:right w:val="none" w:sz="0" w:space="0" w:color="auto"/>
                  </w:divBdr>
                </w:div>
                <w:div w:id="161241824">
                  <w:marLeft w:val="480"/>
                  <w:marRight w:val="0"/>
                  <w:marTop w:val="0"/>
                  <w:marBottom w:val="0"/>
                  <w:divBdr>
                    <w:top w:val="none" w:sz="0" w:space="0" w:color="auto"/>
                    <w:left w:val="none" w:sz="0" w:space="0" w:color="auto"/>
                    <w:bottom w:val="none" w:sz="0" w:space="0" w:color="auto"/>
                    <w:right w:val="none" w:sz="0" w:space="0" w:color="auto"/>
                  </w:divBdr>
                </w:div>
                <w:div w:id="1772776547">
                  <w:marLeft w:val="480"/>
                  <w:marRight w:val="0"/>
                  <w:marTop w:val="0"/>
                  <w:marBottom w:val="0"/>
                  <w:divBdr>
                    <w:top w:val="none" w:sz="0" w:space="0" w:color="auto"/>
                    <w:left w:val="none" w:sz="0" w:space="0" w:color="auto"/>
                    <w:bottom w:val="none" w:sz="0" w:space="0" w:color="auto"/>
                    <w:right w:val="none" w:sz="0" w:space="0" w:color="auto"/>
                  </w:divBdr>
                </w:div>
                <w:div w:id="770513428">
                  <w:marLeft w:val="480"/>
                  <w:marRight w:val="0"/>
                  <w:marTop w:val="0"/>
                  <w:marBottom w:val="0"/>
                  <w:divBdr>
                    <w:top w:val="none" w:sz="0" w:space="0" w:color="auto"/>
                    <w:left w:val="none" w:sz="0" w:space="0" w:color="auto"/>
                    <w:bottom w:val="none" w:sz="0" w:space="0" w:color="auto"/>
                    <w:right w:val="none" w:sz="0" w:space="0" w:color="auto"/>
                  </w:divBdr>
                </w:div>
                <w:div w:id="242031283">
                  <w:marLeft w:val="480"/>
                  <w:marRight w:val="0"/>
                  <w:marTop w:val="0"/>
                  <w:marBottom w:val="0"/>
                  <w:divBdr>
                    <w:top w:val="none" w:sz="0" w:space="0" w:color="auto"/>
                    <w:left w:val="none" w:sz="0" w:space="0" w:color="auto"/>
                    <w:bottom w:val="none" w:sz="0" w:space="0" w:color="auto"/>
                    <w:right w:val="none" w:sz="0" w:space="0" w:color="auto"/>
                  </w:divBdr>
                </w:div>
                <w:div w:id="1160345814">
                  <w:marLeft w:val="480"/>
                  <w:marRight w:val="0"/>
                  <w:marTop w:val="0"/>
                  <w:marBottom w:val="0"/>
                  <w:divBdr>
                    <w:top w:val="none" w:sz="0" w:space="0" w:color="auto"/>
                    <w:left w:val="none" w:sz="0" w:space="0" w:color="auto"/>
                    <w:bottom w:val="none" w:sz="0" w:space="0" w:color="auto"/>
                    <w:right w:val="none" w:sz="0" w:space="0" w:color="auto"/>
                  </w:divBdr>
                </w:div>
                <w:div w:id="1171411575">
                  <w:marLeft w:val="480"/>
                  <w:marRight w:val="0"/>
                  <w:marTop w:val="0"/>
                  <w:marBottom w:val="0"/>
                  <w:divBdr>
                    <w:top w:val="none" w:sz="0" w:space="0" w:color="auto"/>
                    <w:left w:val="none" w:sz="0" w:space="0" w:color="auto"/>
                    <w:bottom w:val="none" w:sz="0" w:space="0" w:color="auto"/>
                    <w:right w:val="none" w:sz="0" w:space="0" w:color="auto"/>
                  </w:divBdr>
                </w:div>
                <w:div w:id="801769434">
                  <w:marLeft w:val="480"/>
                  <w:marRight w:val="0"/>
                  <w:marTop w:val="0"/>
                  <w:marBottom w:val="0"/>
                  <w:divBdr>
                    <w:top w:val="none" w:sz="0" w:space="0" w:color="auto"/>
                    <w:left w:val="none" w:sz="0" w:space="0" w:color="auto"/>
                    <w:bottom w:val="none" w:sz="0" w:space="0" w:color="auto"/>
                    <w:right w:val="none" w:sz="0" w:space="0" w:color="auto"/>
                  </w:divBdr>
                </w:div>
                <w:div w:id="940065169">
                  <w:marLeft w:val="480"/>
                  <w:marRight w:val="0"/>
                  <w:marTop w:val="0"/>
                  <w:marBottom w:val="0"/>
                  <w:divBdr>
                    <w:top w:val="none" w:sz="0" w:space="0" w:color="auto"/>
                    <w:left w:val="none" w:sz="0" w:space="0" w:color="auto"/>
                    <w:bottom w:val="none" w:sz="0" w:space="0" w:color="auto"/>
                    <w:right w:val="none" w:sz="0" w:space="0" w:color="auto"/>
                  </w:divBdr>
                </w:div>
                <w:div w:id="1953977723">
                  <w:marLeft w:val="480"/>
                  <w:marRight w:val="0"/>
                  <w:marTop w:val="0"/>
                  <w:marBottom w:val="0"/>
                  <w:divBdr>
                    <w:top w:val="none" w:sz="0" w:space="0" w:color="auto"/>
                    <w:left w:val="none" w:sz="0" w:space="0" w:color="auto"/>
                    <w:bottom w:val="none" w:sz="0" w:space="0" w:color="auto"/>
                    <w:right w:val="none" w:sz="0" w:space="0" w:color="auto"/>
                  </w:divBdr>
                </w:div>
                <w:div w:id="1621112714">
                  <w:marLeft w:val="480"/>
                  <w:marRight w:val="0"/>
                  <w:marTop w:val="0"/>
                  <w:marBottom w:val="0"/>
                  <w:divBdr>
                    <w:top w:val="none" w:sz="0" w:space="0" w:color="auto"/>
                    <w:left w:val="none" w:sz="0" w:space="0" w:color="auto"/>
                    <w:bottom w:val="none" w:sz="0" w:space="0" w:color="auto"/>
                    <w:right w:val="none" w:sz="0" w:space="0" w:color="auto"/>
                  </w:divBdr>
                </w:div>
                <w:div w:id="1306734638">
                  <w:marLeft w:val="480"/>
                  <w:marRight w:val="0"/>
                  <w:marTop w:val="0"/>
                  <w:marBottom w:val="0"/>
                  <w:divBdr>
                    <w:top w:val="none" w:sz="0" w:space="0" w:color="auto"/>
                    <w:left w:val="none" w:sz="0" w:space="0" w:color="auto"/>
                    <w:bottom w:val="none" w:sz="0" w:space="0" w:color="auto"/>
                    <w:right w:val="none" w:sz="0" w:space="0" w:color="auto"/>
                  </w:divBdr>
                </w:div>
                <w:div w:id="1666396394">
                  <w:marLeft w:val="480"/>
                  <w:marRight w:val="0"/>
                  <w:marTop w:val="0"/>
                  <w:marBottom w:val="0"/>
                  <w:divBdr>
                    <w:top w:val="none" w:sz="0" w:space="0" w:color="auto"/>
                    <w:left w:val="none" w:sz="0" w:space="0" w:color="auto"/>
                    <w:bottom w:val="none" w:sz="0" w:space="0" w:color="auto"/>
                    <w:right w:val="none" w:sz="0" w:space="0" w:color="auto"/>
                  </w:divBdr>
                </w:div>
                <w:div w:id="683358938">
                  <w:marLeft w:val="480"/>
                  <w:marRight w:val="0"/>
                  <w:marTop w:val="0"/>
                  <w:marBottom w:val="0"/>
                  <w:divBdr>
                    <w:top w:val="none" w:sz="0" w:space="0" w:color="auto"/>
                    <w:left w:val="none" w:sz="0" w:space="0" w:color="auto"/>
                    <w:bottom w:val="none" w:sz="0" w:space="0" w:color="auto"/>
                    <w:right w:val="none" w:sz="0" w:space="0" w:color="auto"/>
                  </w:divBdr>
                </w:div>
                <w:div w:id="1274706579">
                  <w:marLeft w:val="480"/>
                  <w:marRight w:val="0"/>
                  <w:marTop w:val="0"/>
                  <w:marBottom w:val="0"/>
                  <w:divBdr>
                    <w:top w:val="none" w:sz="0" w:space="0" w:color="auto"/>
                    <w:left w:val="none" w:sz="0" w:space="0" w:color="auto"/>
                    <w:bottom w:val="none" w:sz="0" w:space="0" w:color="auto"/>
                    <w:right w:val="none" w:sz="0" w:space="0" w:color="auto"/>
                  </w:divBdr>
                </w:div>
                <w:div w:id="345448245">
                  <w:marLeft w:val="480"/>
                  <w:marRight w:val="0"/>
                  <w:marTop w:val="0"/>
                  <w:marBottom w:val="0"/>
                  <w:divBdr>
                    <w:top w:val="none" w:sz="0" w:space="0" w:color="auto"/>
                    <w:left w:val="none" w:sz="0" w:space="0" w:color="auto"/>
                    <w:bottom w:val="none" w:sz="0" w:space="0" w:color="auto"/>
                    <w:right w:val="none" w:sz="0" w:space="0" w:color="auto"/>
                  </w:divBdr>
                </w:div>
                <w:div w:id="1292787590">
                  <w:marLeft w:val="480"/>
                  <w:marRight w:val="0"/>
                  <w:marTop w:val="0"/>
                  <w:marBottom w:val="0"/>
                  <w:divBdr>
                    <w:top w:val="none" w:sz="0" w:space="0" w:color="auto"/>
                    <w:left w:val="none" w:sz="0" w:space="0" w:color="auto"/>
                    <w:bottom w:val="none" w:sz="0" w:space="0" w:color="auto"/>
                    <w:right w:val="none" w:sz="0" w:space="0" w:color="auto"/>
                  </w:divBdr>
                </w:div>
                <w:div w:id="943919254">
                  <w:marLeft w:val="480"/>
                  <w:marRight w:val="0"/>
                  <w:marTop w:val="0"/>
                  <w:marBottom w:val="0"/>
                  <w:divBdr>
                    <w:top w:val="none" w:sz="0" w:space="0" w:color="auto"/>
                    <w:left w:val="none" w:sz="0" w:space="0" w:color="auto"/>
                    <w:bottom w:val="none" w:sz="0" w:space="0" w:color="auto"/>
                    <w:right w:val="none" w:sz="0" w:space="0" w:color="auto"/>
                  </w:divBdr>
                </w:div>
                <w:div w:id="1777481897">
                  <w:marLeft w:val="480"/>
                  <w:marRight w:val="0"/>
                  <w:marTop w:val="0"/>
                  <w:marBottom w:val="0"/>
                  <w:divBdr>
                    <w:top w:val="none" w:sz="0" w:space="0" w:color="auto"/>
                    <w:left w:val="none" w:sz="0" w:space="0" w:color="auto"/>
                    <w:bottom w:val="none" w:sz="0" w:space="0" w:color="auto"/>
                    <w:right w:val="none" w:sz="0" w:space="0" w:color="auto"/>
                  </w:divBdr>
                </w:div>
                <w:div w:id="1291472920">
                  <w:marLeft w:val="480"/>
                  <w:marRight w:val="0"/>
                  <w:marTop w:val="0"/>
                  <w:marBottom w:val="0"/>
                  <w:divBdr>
                    <w:top w:val="none" w:sz="0" w:space="0" w:color="auto"/>
                    <w:left w:val="none" w:sz="0" w:space="0" w:color="auto"/>
                    <w:bottom w:val="none" w:sz="0" w:space="0" w:color="auto"/>
                    <w:right w:val="none" w:sz="0" w:space="0" w:color="auto"/>
                  </w:divBdr>
                </w:div>
                <w:div w:id="1190992437">
                  <w:marLeft w:val="480"/>
                  <w:marRight w:val="0"/>
                  <w:marTop w:val="0"/>
                  <w:marBottom w:val="0"/>
                  <w:divBdr>
                    <w:top w:val="none" w:sz="0" w:space="0" w:color="auto"/>
                    <w:left w:val="none" w:sz="0" w:space="0" w:color="auto"/>
                    <w:bottom w:val="none" w:sz="0" w:space="0" w:color="auto"/>
                    <w:right w:val="none" w:sz="0" w:space="0" w:color="auto"/>
                  </w:divBdr>
                </w:div>
                <w:div w:id="1637643593">
                  <w:marLeft w:val="480"/>
                  <w:marRight w:val="0"/>
                  <w:marTop w:val="0"/>
                  <w:marBottom w:val="0"/>
                  <w:divBdr>
                    <w:top w:val="none" w:sz="0" w:space="0" w:color="auto"/>
                    <w:left w:val="none" w:sz="0" w:space="0" w:color="auto"/>
                    <w:bottom w:val="none" w:sz="0" w:space="0" w:color="auto"/>
                    <w:right w:val="none" w:sz="0" w:space="0" w:color="auto"/>
                  </w:divBdr>
                </w:div>
                <w:div w:id="484201476">
                  <w:marLeft w:val="480"/>
                  <w:marRight w:val="0"/>
                  <w:marTop w:val="0"/>
                  <w:marBottom w:val="0"/>
                  <w:divBdr>
                    <w:top w:val="none" w:sz="0" w:space="0" w:color="auto"/>
                    <w:left w:val="none" w:sz="0" w:space="0" w:color="auto"/>
                    <w:bottom w:val="none" w:sz="0" w:space="0" w:color="auto"/>
                    <w:right w:val="none" w:sz="0" w:space="0" w:color="auto"/>
                  </w:divBdr>
                </w:div>
                <w:div w:id="1199703981">
                  <w:marLeft w:val="480"/>
                  <w:marRight w:val="0"/>
                  <w:marTop w:val="0"/>
                  <w:marBottom w:val="0"/>
                  <w:divBdr>
                    <w:top w:val="none" w:sz="0" w:space="0" w:color="auto"/>
                    <w:left w:val="none" w:sz="0" w:space="0" w:color="auto"/>
                    <w:bottom w:val="none" w:sz="0" w:space="0" w:color="auto"/>
                    <w:right w:val="none" w:sz="0" w:space="0" w:color="auto"/>
                  </w:divBdr>
                </w:div>
                <w:div w:id="292759072">
                  <w:marLeft w:val="480"/>
                  <w:marRight w:val="0"/>
                  <w:marTop w:val="0"/>
                  <w:marBottom w:val="0"/>
                  <w:divBdr>
                    <w:top w:val="none" w:sz="0" w:space="0" w:color="auto"/>
                    <w:left w:val="none" w:sz="0" w:space="0" w:color="auto"/>
                    <w:bottom w:val="none" w:sz="0" w:space="0" w:color="auto"/>
                    <w:right w:val="none" w:sz="0" w:space="0" w:color="auto"/>
                  </w:divBdr>
                </w:div>
                <w:div w:id="747969196">
                  <w:marLeft w:val="480"/>
                  <w:marRight w:val="0"/>
                  <w:marTop w:val="0"/>
                  <w:marBottom w:val="0"/>
                  <w:divBdr>
                    <w:top w:val="none" w:sz="0" w:space="0" w:color="auto"/>
                    <w:left w:val="none" w:sz="0" w:space="0" w:color="auto"/>
                    <w:bottom w:val="none" w:sz="0" w:space="0" w:color="auto"/>
                    <w:right w:val="none" w:sz="0" w:space="0" w:color="auto"/>
                  </w:divBdr>
                </w:div>
                <w:div w:id="1313564115">
                  <w:marLeft w:val="480"/>
                  <w:marRight w:val="0"/>
                  <w:marTop w:val="0"/>
                  <w:marBottom w:val="0"/>
                  <w:divBdr>
                    <w:top w:val="none" w:sz="0" w:space="0" w:color="auto"/>
                    <w:left w:val="none" w:sz="0" w:space="0" w:color="auto"/>
                    <w:bottom w:val="none" w:sz="0" w:space="0" w:color="auto"/>
                    <w:right w:val="none" w:sz="0" w:space="0" w:color="auto"/>
                  </w:divBdr>
                </w:div>
                <w:div w:id="1967345955">
                  <w:marLeft w:val="480"/>
                  <w:marRight w:val="0"/>
                  <w:marTop w:val="0"/>
                  <w:marBottom w:val="0"/>
                  <w:divBdr>
                    <w:top w:val="none" w:sz="0" w:space="0" w:color="auto"/>
                    <w:left w:val="none" w:sz="0" w:space="0" w:color="auto"/>
                    <w:bottom w:val="none" w:sz="0" w:space="0" w:color="auto"/>
                    <w:right w:val="none" w:sz="0" w:space="0" w:color="auto"/>
                  </w:divBdr>
                </w:div>
                <w:div w:id="1154640191">
                  <w:marLeft w:val="480"/>
                  <w:marRight w:val="0"/>
                  <w:marTop w:val="0"/>
                  <w:marBottom w:val="0"/>
                  <w:divBdr>
                    <w:top w:val="none" w:sz="0" w:space="0" w:color="auto"/>
                    <w:left w:val="none" w:sz="0" w:space="0" w:color="auto"/>
                    <w:bottom w:val="none" w:sz="0" w:space="0" w:color="auto"/>
                    <w:right w:val="none" w:sz="0" w:space="0" w:color="auto"/>
                  </w:divBdr>
                </w:div>
                <w:div w:id="745765663">
                  <w:marLeft w:val="480"/>
                  <w:marRight w:val="0"/>
                  <w:marTop w:val="0"/>
                  <w:marBottom w:val="0"/>
                  <w:divBdr>
                    <w:top w:val="none" w:sz="0" w:space="0" w:color="auto"/>
                    <w:left w:val="none" w:sz="0" w:space="0" w:color="auto"/>
                    <w:bottom w:val="none" w:sz="0" w:space="0" w:color="auto"/>
                    <w:right w:val="none" w:sz="0" w:space="0" w:color="auto"/>
                  </w:divBdr>
                </w:div>
                <w:div w:id="1847286827">
                  <w:marLeft w:val="480"/>
                  <w:marRight w:val="0"/>
                  <w:marTop w:val="0"/>
                  <w:marBottom w:val="0"/>
                  <w:divBdr>
                    <w:top w:val="none" w:sz="0" w:space="0" w:color="auto"/>
                    <w:left w:val="none" w:sz="0" w:space="0" w:color="auto"/>
                    <w:bottom w:val="none" w:sz="0" w:space="0" w:color="auto"/>
                    <w:right w:val="none" w:sz="0" w:space="0" w:color="auto"/>
                  </w:divBdr>
                </w:div>
                <w:div w:id="1926330953">
                  <w:marLeft w:val="480"/>
                  <w:marRight w:val="0"/>
                  <w:marTop w:val="0"/>
                  <w:marBottom w:val="0"/>
                  <w:divBdr>
                    <w:top w:val="none" w:sz="0" w:space="0" w:color="auto"/>
                    <w:left w:val="none" w:sz="0" w:space="0" w:color="auto"/>
                    <w:bottom w:val="none" w:sz="0" w:space="0" w:color="auto"/>
                    <w:right w:val="none" w:sz="0" w:space="0" w:color="auto"/>
                  </w:divBdr>
                </w:div>
                <w:div w:id="1596329718">
                  <w:marLeft w:val="480"/>
                  <w:marRight w:val="0"/>
                  <w:marTop w:val="0"/>
                  <w:marBottom w:val="0"/>
                  <w:divBdr>
                    <w:top w:val="none" w:sz="0" w:space="0" w:color="auto"/>
                    <w:left w:val="none" w:sz="0" w:space="0" w:color="auto"/>
                    <w:bottom w:val="none" w:sz="0" w:space="0" w:color="auto"/>
                    <w:right w:val="none" w:sz="0" w:space="0" w:color="auto"/>
                  </w:divBdr>
                </w:div>
                <w:div w:id="223831449">
                  <w:marLeft w:val="480"/>
                  <w:marRight w:val="0"/>
                  <w:marTop w:val="0"/>
                  <w:marBottom w:val="0"/>
                  <w:divBdr>
                    <w:top w:val="none" w:sz="0" w:space="0" w:color="auto"/>
                    <w:left w:val="none" w:sz="0" w:space="0" w:color="auto"/>
                    <w:bottom w:val="none" w:sz="0" w:space="0" w:color="auto"/>
                    <w:right w:val="none" w:sz="0" w:space="0" w:color="auto"/>
                  </w:divBdr>
                </w:div>
                <w:div w:id="1131169445">
                  <w:marLeft w:val="480"/>
                  <w:marRight w:val="0"/>
                  <w:marTop w:val="0"/>
                  <w:marBottom w:val="0"/>
                  <w:divBdr>
                    <w:top w:val="none" w:sz="0" w:space="0" w:color="auto"/>
                    <w:left w:val="none" w:sz="0" w:space="0" w:color="auto"/>
                    <w:bottom w:val="none" w:sz="0" w:space="0" w:color="auto"/>
                    <w:right w:val="none" w:sz="0" w:space="0" w:color="auto"/>
                  </w:divBdr>
                </w:div>
                <w:div w:id="1099983216">
                  <w:marLeft w:val="480"/>
                  <w:marRight w:val="0"/>
                  <w:marTop w:val="0"/>
                  <w:marBottom w:val="0"/>
                  <w:divBdr>
                    <w:top w:val="none" w:sz="0" w:space="0" w:color="auto"/>
                    <w:left w:val="none" w:sz="0" w:space="0" w:color="auto"/>
                    <w:bottom w:val="none" w:sz="0" w:space="0" w:color="auto"/>
                    <w:right w:val="none" w:sz="0" w:space="0" w:color="auto"/>
                  </w:divBdr>
                </w:div>
                <w:div w:id="239297266">
                  <w:marLeft w:val="480"/>
                  <w:marRight w:val="0"/>
                  <w:marTop w:val="0"/>
                  <w:marBottom w:val="0"/>
                  <w:divBdr>
                    <w:top w:val="none" w:sz="0" w:space="0" w:color="auto"/>
                    <w:left w:val="none" w:sz="0" w:space="0" w:color="auto"/>
                    <w:bottom w:val="none" w:sz="0" w:space="0" w:color="auto"/>
                    <w:right w:val="none" w:sz="0" w:space="0" w:color="auto"/>
                  </w:divBdr>
                </w:div>
                <w:div w:id="2126465598">
                  <w:marLeft w:val="480"/>
                  <w:marRight w:val="0"/>
                  <w:marTop w:val="0"/>
                  <w:marBottom w:val="0"/>
                  <w:divBdr>
                    <w:top w:val="none" w:sz="0" w:space="0" w:color="auto"/>
                    <w:left w:val="none" w:sz="0" w:space="0" w:color="auto"/>
                    <w:bottom w:val="none" w:sz="0" w:space="0" w:color="auto"/>
                    <w:right w:val="none" w:sz="0" w:space="0" w:color="auto"/>
                  </w:divBdr>
                </w:div>
                <w:div w:id="1486631597">
                  <w:marLeft w:val="480"/>
                  <w:marRight w:val="0"/>
                  <w:marTop w:val="0"/>
                  <w:marBottom w:val="0"/>
                  <w:divBdr>
                    <w:top w:val="none" w:sz="0" w:space="0" w:color="auto"/>
                    <w:left w:val="none" w:sz="0" w:space="0" w:color="auto"/>
                    <w:bottom w:val="none" w:sz="0" w:space="0" w:color="auto"/>
                    <w:right w:val="none" w:sz="0" w:space="0" w:color="auto"/>
                  </w:divBdr>
                </w:div>
                <w:div w:id="814637639">
                  <w:marLeft w:val="480"/>
                  <w:marRight w:val="0"/>
                  <w:marTop w:val="0"/>
                  <w:marBottom w:val="0"/>
                  <w:divBdr>
                    <w:top w:val="none" w:sz="0" w:space="0" w:color="auto"/>
                    <w:left w:val="none" w:sz="0" w:space="0" w:color="auto"/>
                    <w:bottom w:val="none" w:sz="0" w:space="0" w:color="auto"/>
                    <w:right w:val="none" w:sz="0" w:space="0" w:color="auto"/>
                  </w:divBdr>
                </w:div>
                <w:div w:id="1909801612">
                  <w:marLeft w:val="480"/>
                  <w:marRight w:val="0"/>
                  <w:marTop w:val="0"/>
                  <w:marBottom w:val="0"/>
                  <w:divBdr>
                    <w:top w:val="none" w:sz="0" w:space="0" w:color="auto"/>
                    <w:left w:val="none" w:sz="0" w:space="0" w:color="auto"/>
                    <w:bottom w:val="none" w:sz="0" w:space="0" w:color="auto"/>
                    <w:right w:val="none" w:sz="0" w:space="0" w:color="auto"/>
                  </w:divBdr>
                </w:div>
                <w:div w:id="299698833">
                  <w:marLeft w:val="480"/>
                  <w:marRight w:val="0"/>
                  <w:marTop w:val="0"/>
                  <w:marBottom w:val="0"/>
                  <w:divBdr>
                    <w:top w:val="none" w:sz="0" w:space="0" w:color="auto"/>
                    <w:left w:val="none" w:sz="0" w:space="0" w:color="auto"/>
                    <w:bottom w:val="none" w:sz="0" w:space="0" w:color="auto"/>
                    <w:right w:val="none" w:sz="0" w:space="0" w:color="auto"/>
                  </w:divBdr>
                </w:div>
                <w:div w:id="1677340670">
                  <w:marLeft w:val="480"/>
                  <w:marRight w:val="0"/>
                  <w:marTop w:val="0"/>
                  <w:marBottom w:val="0"/>
                  <w:divBdr>
                    <w:top w:val="none" w:sz="0" w:space="0" w:color="auto"/>
                    <w:left w:val="none" w:sz="0" w:space="0" w:color="auto"/>
                    <w:bottom w:val="none" w:sz="0" w:space="0" w:color="auto"/>
                    <w:right w:val="none" w:sz="0" w:space="0" w:color="auto"/>
                  </w:divBdr>
                </w:div>
                <w:div w:id="875122232">
                  <w:marLeft w:val="480"/>
                  <w:marRight w:val="0"/>
                  <w:marTop w:val="0"/>
                  <w:marBottom w:val="0"/>
                  <w:divBdr>
                    <w:top w:val="none" w:sz="0" w:space="0" w:color="auto"/>
                    <w:left w:val="none" w:sz="0" w:space="0" w:color="auto"/>
                    <w:bottom w:val="none" w:sz="0" w:space="0" w:color="auto"/>
                    <w:right w:val="none" w:sz="0" w:space="0" w:color="auto"/>
                  </w:divBdr>
                </w:div>
                <w:div w:id="1272277439">
                  <w:marLeft w:val="480"/>
                  <w:marRight w:val="0"/>
                  <w:marTop w:val="0"/>
                  <w:marBottom w:val="0"/>
                  <w:divBdr>
                    <w:top w:val="none" w:sz="0" w:space="0" w:color="auto"/>
                    <w:left w:val="none" w:sz="0" w:space="0" w:color="auto"/>
                    <w:bottom w:val="none" w:sz="0" w:space="0" w:color="auto"/>
                    <w:right w:val="none" w:sz="0" w:space="0" w:color="auto"/>
                  </w:divBdr>
                </w:div>
                <w:div w:id="1578904468">
                  <w:marLeft w:val="480"/>
                  <w:marRight w:val="0"/>
                  <w:marTop w:val="0"/>
                  <w:marBottom w:val="0"/>
                  <w:divBdr>
                    <w:top w:val="none" w:sz="0" w:space="0" w:color="auto"/>
                    <w:left w:val="none" w:sz="0" w:space="0" w:color="auto"/>
                    <w:bottom w:val="none" w:sz="0" w:space="0" w:color="auto"/>
                    <w:right w:val="none" w:sz="0" w:space="0" w:color="auto"/>
                  </w:divBdr>
                </w:div>
                <w:div w:id="1365785848">
                  <w:marLeft w:val="480"/>
                  <w:marRight w:val="0"/>
                  <w:marTop w:val="0"/>
                  <w:marBottom w:val="0"/>
                  <w:divBdr>
                    <w:top w:val="none" w:sz="0" w:space="0" w:color="auto"/>
                    <w:left w:val="none" w:sz="0" w:space="0" w:color="auto"/>
                    <w:bottom w:val="none" w:sz="0" w:space="0" w:color="auto"/>
                    <w:right w:val="none" w:sz="0" w:space="0" w:color="auto"/>
                  </w:divBdr>
                </w:div>
                <w:div w:id="2111465154">
                  <w:marLeft w:val="480"/>
                  <w:marRight w:val="0"/>
                  <w:marTop w:val="0"/>
                  <w:marBottom w:val="0"/>
                  <w:divBdr>
                    <w:top w:val="none" w:sz="0" w:space="0" w:color="auto"/>
                    <w:left w:val="none" w:sz="0" w:space="0" w:color="auto"/>
                    <w:bottom w:val="none" w:sz="0" w:space="0" w:color="auto"/>
                    <w:right w:val="none" w:sz="0" w:space="0" w:color="auto"/>
                  </w:divBdr>
                </w:div>
                <w:div w:id="873998634">
                  <w:marLeft w:val="480"/>
                  <w:marRight w:val="0"/>
                  <w:marTop w:val="0"/>
                  <w:marBottom w:val="0"/>
                  <w:divBdr>
                    <w:top w:val="none" w:sz="0" w:space="0" w:color="auto"/>
                    <w:left w:val="none" w:sz="0" w:space="0" w:color="auto"/>
                    <w:bottom w:val="none" w:sz="0" w:space="0" w:color="auto"/>
                    <w:right w:val="none" w:sz="0" w:space="0" w:color="auto"/>
                  </w:divBdr>
                </w:div>
                <w:div w:id="1198662634">
                  <w:marLeft w:val="480"/>
                  <w:marRight w:val="0"/>
                  <w:marTop w:val="0"/>
                  <w:marBottom w:val="0"/>
                  <w:divBdr>
                    <w:top w:val="none" w:sz="0" w:space="0" w:color="auto"/>
                    <w:left w:val="none" w:sz="0" w:space="0" w:color="auto"/>
                    <w:bottom w:val="none" w:sz="0" w:space="0" w:color="auto"/>
                    <w:right w:val="none" w:sz="0" w:space="0" w:color="auto"/>
                  </w:divBdr>
                </w:div>
                <w:div w:id="1695577009">
                  <w:marLeft w:val="480"/>
                  <w:marRight w:val="0"/>
                  <w:marTop w:val="0"/>
                  <w:marBottom w:val="0"/>
                  <w:divBdr>
                    <w:top w:val="none" w:sz="0" w:space="0" w:color="auto"/>
                    <w:left w:val="none" w:sz="0" w:space="0" w:color="auto"/>
                    <w:bottom w:val="none" w:sz="0" w:space="0" w:color="auto"/>
                    <w:right w:val="none" w:sz="0" w:space="0" w:color="auto"/>
                  </w:divBdr>
                </w:div>
                <w:div w:id="1889414625">
                  <w:marLeft w:val="480"/>
                  <w:marRight w:val="0"/>
                  <w:marTop w:val="0"/>
                  <w:marBottom w:val="0"/>
                  <w:divBdr>
                    <w:top w:val="none" w:sz="0" w:space="0" w:color="auto"/>
                    <w:left w:val="none" w:sz="0" w:space="0" w:color="auto"/>
                    <w:bottom w:val="none" w:sz="0" w:space="0" w:color="auto"/>
                    <w:right w:val="none" w:sz="0" w:space="0" w:color="auto"/>
                  </w:divBdr>
                </w:div>
                <w:div w:id="575826432">
                  <w:marLeft w:val="480"/>
                  <w:marRight w:val="0"/>
                  <w:marTop w:val="0"/>
                  <w:marBottom w:val="0"/>
                  <w:divBdr>
                    <w:top w:val="none" w:sz="0" w:space="0" w:color="auto"/>
                    <w:left w:val="none" w:sz="0" w:space="0" w:color="auto"/>
                    <w:bottom w:val="none" w:sz="0" w:space="0" w:color="auto"/>
                    <w:right w:val="none" w:sz="0" w:space="0" w:color="auto"/>
                  </w:divBdr>
                </w:div>
                <w:div w:id="637732069">
                  <w:marLeft w:val="480"/>
                  <w:marRight w:val="0"/>
                  <w:marTop w:val="0"/>
                  <w:marBottom w:val="0"/>
                  <w:divBdr>
                    <w:top w:val="none" w:sz="0" w:space="0" w:color="auto"/>
                    <w:left w:val="none" w:sz="0" w:space="0" w:color="auto"/>
                    <w:bottom w:val="none" w:sz="0" w:space="0" w:color="auto"/>
                    <w:right w:val="none" w:sz="0" w:space="0" w:color="auto"/>
                  </w:divBdr>
                </w:div>
                <w:div w:id="1515539182">
                  <w:marLeft w:val="480"/>
                  <w:marRight w:val="0"/>
                  <w:marTop w:val="0"/>
                  <w:marBottom w:val="0"/>
                  <w:divBdr>
                    <w:top w:val="none" w:sz="0" w:space="0" w:color="auto"/>
                    <w:left w:val="none" w:sz="0" w:space="0" w:color="auto"/>
                    <w:bottom w:val="none" w:sz="0" w:space="0" w:color="auto"/>
                    <w:right w:val="none" w:sz="0" w:space="0" w:color="auto"/>
                  </w:divBdr>
                </w:div>
                <w:div w:id="900561490">
                  <w:marLeft w:val="480"/>
                  <w:marRight w:val="0"/>
                  <w:marTop w:val="0"/>
                  <w:marBottom w:val="0"/>
                  <w:divBdr>
                    <w:top w:val="none" w:sz="0" w:space="0" w:color="auto"/>
                    <w:left w:val="none" w:sz="0" w:space="0" w:color="auto"/>
                    <w:bottom w:val="none" w:sz="0" w:space="0" w:color="auto"/>
                    <w:right w:val="none" w:sz="0" w:space="0" w:color="auto"/>
                  </w:divBdr>
                </w:div>
                <w:div w:id="1518694082">
                  <w:marLeft w:val="480"/>
                  <w:marRight w:val="0"/>
                  <w:marTop w:val="0"/>
                  <w:marBottom w:val="0"/>
                  <w:divBdr>
                    <w:top w:val="none" w:sz="0" w:space="0" w:color="auto"/>
                    <w:left w:val="none" w:sz="0" w:space="0" w:color="auto"/>
                    <w:bottom w:val="none" w:sz="0" w:space="0" w:color="auto"/>
                    <w:right w:val="none" w:sz="0" w:space="0" w:color="auto"/>
                  </w:divBdr>
                </w:div>
                <w:div w:id="1117143117">
                  <w:marLeft w:val="480"/>
                  <w:marRight w:val="0"/>
                  <w:marTop w:val="0"/>
                  <w:marBottom w:val="0"/>
                  <w:divBdr>
                    <w:top w:val="none" w:sz="0" w:space="0" w:color="auto"/>
                    <w:left w:val="none" w:sz="0" w:space="0" w:color="auto"/>
                    <w:bottom w:val="none" w:sz="0" w:space="0" w:color="auto"/>
                    <w:right w:val="none" w:sz="0" w:space="0" w:color="auto"/>
                  </w:divBdr>
                </w:div>
                <w:div w:id="1634016605">
                  <w:marLeft w:val="480"/>
                  <w:marRight w:val="0"/>
                  <w:marTop w:val="0"/>
                  <w:marBottom w:val="0"/>
                  <w:divBdr>
                    <w:top w:val="none" w:sz="0" w:space="0" w:color="auto"/>
                    <w:left w:val="none" w:sz="0" w:space="0" w:color="auto"/>
                    <w:bottom w:val="none" w:sz="0" w:space="0" w:color="auto"/>
                    <w:right w:val="none" w:sz="0" w:space="0" w:color="auto"/>
                  </w:divBdr>
                </w:div>
                <w:div w:id="416365981">
                  <w:marLeft w:val="480"/>
                  <w:marRight w:val="0"/>
                  <w:marTop w:val="0"/>
                  <w:marBottom w:val="0"/>
                  <w:divBdr>
                    <w:top w:val="none" w:sz="0" w:space="0" w:color="auto"/>
                    <w:left w:val="none" w:sz="0" w:space="0" w:color="auto"/>
                    <w:bottom w:val="none" w:sz="0" w:space="0" w:color="auto"/>
                    <w:right w:val="none" w:sz="0" w:space="0" w:color="auto"/>
                  </w:divBdr>
                </w:div>
                <w:div w:id="1411192923">
                  <w:marLeft w:val="480"/>
                  <w:marRight w:val="0"/>
                  <w:marTop w:val="0"/>
                  <w:marBottom w:val="0"/>
                  <w:divBdr>
                    <w:top w:val="none" w:sz="0" w:space="0" w:color="auto"/>
                    <w:left w:val="none" w:sz="0" w:space="0" w:color="auto"/>
                    <w:bottom w:val="none" w:sz="0" w:space="0" w:color="auto"/>
                    <w:right w:val="none" w:sz="0" w:space="0" w:color="auto"/>
                  </w:divBdr>
                </w:div>
                <w:div w:id="1652250709">
                  <w:marLeft w:val="480"/>
                  <w:marRight w:val="0"/>
                  <w:marTop w:val="0"/>
                  <w:marBottom w:val="0"/>
                  <w:divBdr>
                    <w:top w:val="none" w:sz="0" w:space="0" w:color="auto"/>
                    <w:left w:val="none" w:sz="0" w:space="0" w:color="auto"/>
                    <w:bottom w:val="none" w:sz="0" w:space="0" w:color="auto"/>
                    <w:right w:val="none" w:sz="0" w:space="0" w:color="auto"/>
                  </w:divBdr>
                </w:div>
                <w:div w:id="1500467708">
                  <w:marLeft w:val="480"/>
                  <w:marRight w:val="0"/>
                  <w:marTop w:val="0"/>
                  <w:marBottom w:val="0"/>
                  <w:divBdr>
                    <w:top w:val="none" w:sz="0" w:space="0" w:color="auto"/>
                    <w:left w:val="none" w:sz="0" w:space="0" w:color="auto"/>
                    <w:bottom w:val="none" w:sz="0" w:space="0" w:color="auto"/>
                    <w:right w:val="none" w:sz="0" w:space="0" w:color="auto"/>
                  </w:divBdr>
                </w:div>
                <w:div w:id="1287200374">
                  <w:marLeft w:val="480"/>
                  <w:marRight w:val="0"/>
                  <w:marTop w:val="0"/>
                  <w:marBottom w:val="0"/>
                  <w:divBdr>
                    <w:top w:val="none" w:sz="0" w:space="0" w:color="auto"/>
                    <w:left w:val="none" w:sz="0" w:space="0" w:color="auto"/>
                    <w:bottom w:val="none" w:sz="0" w:space="0" w:color="auto"/>
                    <w:right w:val="none" w:sz="0" w:space="0" w:color="auto"/>
                  </w:divBdr>
                </w:div>
                <w:div w:id="689717125">
                  <w:marLeft w:val="480"/>
                  <w:marRight w:val="0"/>
                  <w:marTop w:val="0"/>
                  <w:marBottom w:val="0"/>
                  <w:divBdr>
                    <w:top w:val="none" w:sz="0" w:space="0" w:color="auto"/>
                    <w:left w:val="none" w:sz="0" w:space="0" w:color="auto"/>
                    <w:bottom w:val="none" w:sz="0" w:space="0" w:color="auto"/>
                    <w:right w:val="none" w:sz="0" w:space="0" w:color="auto"/>
                  </w:divBdr>
                </w:div>
                <w:div w:id="1528103823">
                  <w:marLeft w:val="480"/>
                  <w:marRight w:val="0"/>
                  <w:marTop w:val="0"/>
                  <w:marBottom w:val="0"/>
                  <w:divBdr>
                    <w:top w:val="none" w:sz="0" w:space="0" w:color="auto"/>
                    <w:left w:val="none" w:sz="0" w:space="0" w:color="auto"/>
                    <w:bottom w:val="none" w:sz="0" w:space="0" w:color="auto"/>
                    <w:right w:val="none" w:sz="0" w:space="0" w:color="auto"/>
                  </w:divBdr>
                </w:div>
              </w:divsChild>
            </w:div>
            <w:div w:id="726606425">
              <w:marLeft w:val="0"/>
              <w:marRight w:val="0"/>
              <w:marTop w:val="0"/>
              <w:marBottom w:val="0"/>
              <w:divBdr>
                <w:top w:val="none" w:sz="0" w:space="0" w:color="auto"/>
                <w:left w:val="none" w:sz="0" w:space="0" w:color="auto"/>
                <w:bottom w:val="none" w:sz="0" w:space="0" w:color="auto"/>
                <w:right w:val="none" w:sz="0" w:space="0" w:color="auto"/>
              </w:divBdr>
              <w:divsChild>
                <w:div w:id="384107161">
                  <w:marLeft w:val="480"/>
                  <w:marRight w:val="0"/>
                  <w:marTop w:val="0"/>
                  <w:marBottom w:val="0"/>
                  <w:divBdr>
                    <w:top w:val="none" w:sz="0" w:space="0" w:color="auto"/>
                    <w:left w:val="none" w:sz="0" w:space="0" w:color="auto"/>
                    <w:bottom w:val="none" w:sz="0" w:space="0" w:color="auto"/>
                    <w:right w:val="none" w:sz="0" w:space="0" w:color="auto"/>
                  </w:divBdr>
                </w:div>
                <w:div w:id="649797726">
                  <w:marLeft w:val="480"/>
                  <w:marRight w:val="0"/>
                  <w:marTop w:val="0"/>
                  <w:marBottom w:val="0"/>
                  <w:divBdr>
                    <w:top w:val="none" w:sz="0" w:space="0" w:color="auto"/>
                    <w:left w:val="none" w:sz="0" w:space="0" w:color="auto"/>
                    <w:bottom w:val="none" w:sz="0" w:space="0" w:color="auto"/>
                    <w:right w:val="none" w:sz="0" w:space="0" w:color="auto"/>
                  </w:divBdr>
                </w:div>
                <w:div w:id="1234001557">
                  <w:marLeft w:val="480"/>
                  <w:marRight w:val="0"/>
                  <w:marTop w:val="0"/>
                  <w:marBottom w:val="0"/>
                  <w:divBdr>
                    <w:top w:val="none" w:sz="0" w:space="0" w:color="auto"/>
                    <w:left w:val="none" w:sz="0" w:space="0" w:color="auto"/>
                    <w:bottom w:val="none" w:sz="0" w:space="0" w:color="auto"/>
                    <w:right w:val="none" w:sz="0" w:space="0" w:color="auto"/>
                  </w:divBdr>
                </w:div>
                <w:div w:id="222179307">
                  <w:marLeft w:val="480"/>
                  <w:marRight w:val="0"/>
                  <w:marTop w:val="0"/>
                  <w:marBottom w:val="0"/>
                  <w:divBdr>
                    <w:top w:val="none" w:sz="0" w:space="0" w:color="auto"/>
                    <w:left w:val="none" w:sz="0" w:space="0" w:color="auto"/>
                    <w:bottom w:val="none" w:sz="0" w:space="0" w:color="auto"/>
                    <w:right w:val="none" w:sz="0" w:space="0" w:color="auto"/>
                  </w:divBdr>
                </w:div>
                <w:div w:id="1576084563">
                  <w:marLeft w:val="480"/>
                  <w:marRight w:val="0"/>
                  <w:marTop w:val="0"/>
                  <w:marBottom w:val="0"/>
                  <w:divBdr>
                    <w:top w:val="none" w:sz="0" w:space="0" w:color="auto"/>
                    <w:left w:val="none" w:sz="0" w:space="0" w:color="auto"/>
                    <w:bottom w:val="none" w:sz="0" w:space="0" w:color="auto"/>
                    <w:right w:val="none" w:sz="0" w:space="0" w:color="auto"/>
                  </w:divBdr>
                </w:div>
                <w:div w:id="415173530">
                  <w:marLeft w:val="480"/>
                  <w:marRight w:val="0"/>
                  <w:marTop w:val="0"/>
                  <w:marBottom w:val="0"/>
                  <w:divBdr>
                    <w:top w:val="none" w:sz="0" w:space="0" w:color="auto"/>
                    <w:left w:val="none" w:sz="0" w:space="0" w:color="auto"/>
                    <w:bottom w:val="none" w:sz="0" w:space="0" w:color="auto"/>
                    <w:right w:val="none" w:sz="0" w:space="0" w:color="auto"/>
                  </w:divBdr>
                </w:div>
                <w:div w:id="643585962">
                  <w:marLeft w:val="480"/>
                  <w:marRight w:val="0"/>
                  <w:marTop w:val="0"/>
                  <w:marBottom w:val="0"/>
                  <w:divBdr>
                    <w:top w:val="none" w:sz="0" w:space="0" w:color="auto"/>
                    <w:left w:val="none" w:sz="0" w:space="0" w:color="auto"/>
                    <w:bottom w:val="none" w:sz="0" w:space="0" w:color="auto"/>
                    <w:right w:val="none" w:sz="0" w:space="0" w:color="auto"/>
                  </w:divBdr>
                </w:div>
                <w:div w:id="969701550">
                  <w:marLeft w:val="480"/>
                  <w:marRight w:val="0"/>
                  <w:marTop w:val="0"/>
                  <w:marBottom w:val="0"/>
                  <w:divBdr>
                    <w:top w:val="none" w:sz="0" w:space="0" w:color="auto"/>
                    <w:left w:val="none" w:sz="0" w:space="0" w:color="auto"/>
                    <w:bottom w:val="none" w:sz="0" w:space="0" w:color="auto"/>
                    <w:right w:val="none" w:sz="0" w:space="0" w:color="auto"/>
                  </w:divBdr>
                </w:div>
                <w:div w:id="1165702157">
                  <w:marLeft w:val="480"/>
                  <w:marRight w:val="0"/>
                  <w:marTop w:val="0"/>
                  <w:marBottom w:val="0"/>
                  <w:divBdr>
                    <w:top w:val="none" w:sz="0" w:space="0" w:color="auto"/>
                    <w:left w:val="none" w:sz="0" w:space="0" w:color="auto"/>
                    <w:bottom w:val="none" w:sz="0" w:space="0" w:color="auto"/>
                    <w:right w:val="none" w:sz="0" w:space="0" w:color="auto"/>
                  </w:divBdr>
                </w:div>
                <w:div w:id="2020229434">
                  <w:marLeft w:val="480"/>
                  <w:marRight w:val="0"/>
                  <w:marTop w:val="0"/>
                  <w:marBottom w:val="0"/>
                  <w:divBdr>
                    <w:top w:val="none" w:sz="0" w:space="0" w:color="auto"/>
                    <w:left w:val="none" w:sz="0" w:space="0" w:color="auto"/>
                    <w:bottom w:val="none" w:sz="0" w:space="0" w:color="auto"/>
                    <w:right w:val="none" w:sz="0" w:space="0" w:color="auto"/>
                  </w:divBdr>
                </w:div>
                <w:div w:id="1815830829">
                  <w:marLeft w:val="480"/>
                  <w:marRight w:val="0"/>
                  <w:marTop w:val="0"/>
                  <w:marBottom w:val="0"/>
                  <w:divBdr>
                    <w:top w:val="none" w:sz="0" w:space="0" w:color="auto"/>
                    <w:left w:val="none" w:sz="0" w:space="0" w:color="auto"/>
                    <w:bottom w:val="none" w:sz="0" w:space="0" w:color="auto"/>
                    <w:right w:val="none" w:sz="0" w:space="0" w:color="auto"/>
                  </w:divBdr>
                </w:div>
                <w:div w:id="819735420">
                  <w:marLeft w:val="480"/>
                  <w:marRight w:val="0"/>
                  <w:marTop w:val="0"/>
                  <w:marBottom w:val="0"/>
                  <w:divBdr>
                    <w:top w:val="none" w:sz="0" w:space="0" w:color="auto"/>
                    <w:left w:val="none" w:sz="0" w:space="0" w:color="auto"/>
                    <w:bottom w:val="none" w:sz="0" w:space="0" w:color="auto"/>
                    <w:right w:val="none" w:sz="0" w:space="0" w:color="auto"/>
                  </w:divBdr>
                </w:div>
                <w:div w:id="1261332888">
                  <w:marLeft w:val="480"/>
                  <w:marRight w:val="0"/>
                  <w:marTop w:val="0"/>
                  <w:marBottom w:val="0"/>
                  <w:divBdr>
                    <w:top w:val="none" w:sz="0" w:space="0" w:color="auto"/>
                    <w:left w:val="none" w:sz="0" w:space="0" w:color="auto"/>
                    <w:bottom w:val="none" w:sz="0" w:space="0" w:color="auto"/>
                    <w:right w:val="none" w:sz="0" w:space="0" w:color="auto"/>
                  </w:divBdr>
                </w:div>
                <w:div w:id="513955628">
                  <w:marLeft w:val="480"/>
                  <w:marRight w:val="0"/>
                  <w:marTop w:val="0"/>
                  <w:marBottom w:val="0"/>
                  <w:divBdr>
                    <w:top w:val="none" w:sz="0" w:space="0" w:color="auto"/>
                    <w:left w:val="none" w:sz="0" w:space="0" w:color="auto"/>
                    <w:bottom w:val="none" w:sz="0" w:space="0" w:color="auto"/>
                    <w:right w:val="none" w:sz="0" w:space="0" w:color="auto"/>
                  </w:divBdr>
                </w:div>
                <w:div w:id="1468668333">
                  <w:marLeft w:val="480"/>
                  <w:marRight w:val="0"/>
                  <w:marTop w:val="0"/>
                  <w:marBottom w:val="0"/>
                  <w:divBdr>
                    <w:top w:val="none" w:sz="0" w:space="0" w:color="auto"/>
                    <w:left w:val="none" w:sz="0" w:space="0" w:color="auto"/>
                    <w:bottom w:val="none" w:sz="0" w:space="0" w:color="auto"/>
                    <w:right w:val="none" w:sz="0" w:space="0" w:color="auto"/>
                  </w:divBdr>
                </w:div>
                <w:div w:id="555356519">
                  <w:marLeft w:val="480"/>
                  <w:marRight w:val="0"/>
                  <w:marTop w:val="0"/>
                  <w:marBottom w:val="0"/>
                  <w:divBdr>
                    <w:top w:val="none" w:sz="0" w:space="0" w:color="auto"/>
                    <w:left w:val="none" w:sz="0" w:space="0" w:color="auto"/>
                    <w:bottom w:val="none" w:sz="0" w:space="0" w:color="auto"/>
                    <w:right w:val="none" w:sz="0" w:space="0" w:color="auto"/>
                  </w:divBdr>
                </w:div>
                <w:div w:id="638648987">
                  <w:marLeft w:val="480"/>
                  <w:marRight w:val="0"/>
                  <w:marTop w:val="0"/>
                  <w:marBottom w:val="0"/>
                  <w:divBdr>
                    <w:top w:val="none" w:sz="0" w:space="0" w:color="auto"/>
                    <w:left w:val="none" w:sz="0" w:space="0" w:color="auto"/>
                    <w:bottom w:val="none" w:sz="0" w:space="0" w:color="auto"/>
                    <w:right w:val="none" w:sz="0" w:space="0" w:color="auto"/>
                  </w:divBdr>
                </w:div>
                <w:div w:id="1806697115">
                  <w:marLeft w:val="480"/>
                  <w:marRight w:val="0"/>
                  <w:marTop w:val="0"/>
                  <w:marBottom w:val="0"/>
                  <w:divBdr>
                    <w:top w:val="none" w:sz="0" w:space="0" w:color="auto"/>
                    <w:left w:val="none" w:sz="0" w:space="0" w:color="auto"/>
                    <w:bottom w:val="none" w:sz="0" w:space="0" w:color="auto"/>
                    <w:right w:val="none" w:sz="0" w:space="0" w:color="auto"/>
                  </w:divBdr>
                </w:div>
                <w:div w:id="1809666780">
                  <w:marLeft w:val="480"/>
                  <w:marRight w:val="0"/>
                  <w:marTop w:val="0"/>
                  <w:marBottom w:val="0"/>
                  <w:divBdr>
                    <w:top w:val="none" w:sz="0" w:space="0" w:color="auto"/>
                    <w:left w:val="none" w:sz="0" w:space="0" w:color="auto"/>
                    <w:bottom w:val="none" w:sz="0" w:space="0" w:color="auto"/>
                    <w:right w:val="none" w:sz="0" w:space="0" w:color="auto"/>
                  </w:divBdr>
                </w:div>
                <w:div w:id="1462771744">
                  <w:marLeft w:val="480"/>
                  <w:marRight w:val="0"/>
                  <w:marTop w:val="0"/>
                  <w:marBottom w:val="0"/>
                  <w:divBdr>
                    <w:top w:val="none" w:sz="0" w:space="0" w:color="auto"/>
                    <w:left w:val="none" w:sz="0" w:space="0" w:color="auto"/>
                    <w:bottom w:val="none" w:sz="0" w:space="0" w:color="auto"/>
                    <w:right w:val="none" w:sz="0" w:space="0" w:color="auto"/>
                  </w:divBdr>
                </w:div>
                <w:div w:id="1785688405">
                  <w:marLeft w:val="480"/>
                  <w:marRight w:val="0"/>
                  <w:marTop w:val="0"/>
                  <w:marBottom w:val="0"/>
                  <w:divBdr>
                    <w:top w:val="none" w:sz="0" w:space="0" w:color="auto"/>
                    <w:left w:val="none" w:sz="0" w:space="0" w:color="auto"/>
                    <w:bottom w:val="none" w:sz="0" w:space="0" w:color="auto"/>
                    <w:right w:val="none" w:sz="0" w:space="0" w:color="auto"/>
                  </w:divBdr>
                </w:div>
                <w:div w:id="1732803449">
                  <w:marLeft w:val="480"/>
                  <w:marRight w:val="0"/>
                  <w:marTop w:val="0"/>
                  <w:marBottom w:val="0"/>
                  <w:divBdr>
                    <w:top w:val="none" w:sz="0" w:space="0" w:color="auto"/>
                    <w:left w:val="none" w:sz="0" w:space="0" w:color="auto"/>
                    <w:bottom w:val="none" w:sz="0" w:space="0" w:color="auto"/>
                    <w:right w:val="none" w:sz="0" w:space="0" w:color="auto"/>
                  </w:divBdr>
                </w:div>
                <w:div w:id="1887598493">
                  <w:marLeft w:val="480"/>
                  <w:marRight w:val="0"/>
                  <w:marTop w:val="0"/>
                  <w:marBottom w:val="0"/>
                  <w:divBdr>
                    <w:top w:val="none" w:sz="0" w:space="0" w:color="auto"/>
                    <w:left w:val="none" w:sz="0" w:space="0" w:color="auto"/>
                    <w:bottom w:val="none" w:sz="0" w:space="0" w:color="auto"/>
                    <w:right w:val="none" w:sz="0" w:space="0" w:color="auto"/>
                  </w:divBdr>
                </w:div>
                <w:div w:id="1994216949">
                  <w:marLeft w:val="480"/>
                  <w:marRight w:val="0"/>
                  <w:marTop w:val="0"/>
                  <w:marBottom w:val="0"/>
                  <w:divBdr>
                    <w:top w:val="none" w:sz="0" w:space="0" w:color="auto"/>
                    <w:left w:val="none" w:sz="0" w:space="0" w:color="auto"/>
                    <w:bottom w:val="none" w:sz="0" w:space="0" w:color="auto"/>
                    <w:right w:val="none" w:sz="0" w:space="0" w:color="auto"/>
                  </w:divBdr>
                </w:div>
                <w:div w:id="826091908">
                  <w:marLeft w:val="480"/>
                  <w:marRight w:val="0"/>
                  <w:marTop w:val="0"/>
                  <w:marBottom w:val="0"/>
                  <w:divBdr>
                    <w:top w:val="none" w:sz="0" w:space="0" w:color="auto"/>
                    <w:left w:val="none" w:sz="0" w:space="0" w:color="auto"/>
                    <w:bottom w:val="none" w:sz="0" w:space="0" w:color="auto"/>
                    <w:right w:val="none" w:sz="0" w:space="0" w:color="auto"/>
                  </w:divBdr>
                </w:div>
                <w:div w:id="1132211812">
                  <w:marLeft w:val="480"/>
                  <w:marRight w:val="0"/>
                  <w:marTop w:val="0"/>
                  <w:marBottom w:val="0"/>
                  <w:divBdr>
                    <w:top w:val="none" w:sz="0" w:space="0" w:color="auto"/>
                    <w:left w:val="none" w:sz="0" w:space="0" w:color="auto"/>
                    <w:bottom w:val="none" w:sz="0" w:space="0" w:color="auto"/>
                    <w:right w:val="none" w:sz="0" w:space="0" w:color="auto"/>
                  </w:divBdr>
                </w:div>
                <w:div w:id="1022512905">
                  <w:marLeft w:val="480"/>
                  <w:marRight w:val="0"/>
                  <w:marTop w:val="0"/>
                  <w:marBottom w:val="0"/>
                  <w:divBdr>
                    <w:top w:val="none" w:sz="0" w:space="0" w:color="auto"/>
                    <w:left w:val="none" w:sz="0" w:space="0" w:color="auto"/>
                    <w:bottom w:val="none" w:sz="0" w:space="0" w:color="auto"/>
                    <w:right w:val="none" w:sz="0" w:space="0" w:color="auto"/>
                  </w:divBdr>
                </w:div>
                <w:div w:id="500312266">
                  <w:marLeft w:val="480"/>
                  <w:marRight w:val="0"/>
                  <w:marTop w:val="0"/>
                  <w:marBottom w:val="0"/>
                  <w:divBdr>
                    <w:top w:val="none" w:sz="0" w:space="0" w:color="auto"/>
                    <w:left w:val="none" w:sz="0" w:space="0" w:color="auto"/>
                    <w:bottom w:val="none" w:sz="0" w:space="0" w:color="auto"/>
                    <w:right w:val="none" w:sz="0" w:space="0" w:color="auto"/>
                  </w:divBdr>
                </w:div>
                <w:div w:id="1702776657">
                  <w:marLeft w:val="480"/>
                  <w:marRight w:val="0"/>
                  <w:marTop w:val="0"/>
                  <w:marBottom w:val="0"/>
                  <w:divBdr>
                    <w:top w:val="none" w:sz="0" w:space="0" w:color="auto"/>
                    <w:left w:val="none" w:sz="0" w:space="0" w:color="auto"/>
                    <w:bottom w:val="none" w:sz="0" w:space="0" w:color="auto"/>
                    <w:right w:val="none" w:sz="0" w:space="0" w:color="auto"/>
                  </w:divBdr>
                </w:div>
                <w:div w:id="1762557164">
                  <w:marLeft w:val="480"/>
                  <w:marRight w:val="0"/>
                  <w:marTop w:val="0"/>
                  <w:marBottom w:val="0"/>
                  <w:divBdr>
                    <w:top w:val="none" w:sz="0" w:space="0" w:color="auto"/>
                    <w:left w:val="none" w:sz="0" w:space="0" w:color="auto"/>
                    <w:bottom w:val="none" w:sz="0" w:space="0" w:color="auto"/>
                    <w:right w:val="none" w:sz="0" w:space="0" w:color="auto"/>
                  </w:divBdr>
                </w:div>
                <w:div w:id="79521624">
                  <w:marLeft w:val="480"/>
                  <w:marRight w:val="0"/>
                  <w:marTop w:val="0"/>
                  <w:marBottom w:val="0"/>
                  <w:divBdr>
                    <w:top w:val="none" w:sz="0" w:space="0" w:color="auto"/>
                    <w:left w:val="none" w:sz="0" w:space="0" w:color="auto"/>
                    <w:bottom w:val="none" w:sz="0" w:space="0" w:color="auto"/>
                    <w:right w:val="none" w:sz="0" w:space="0" w:color="auto"/>
                  </w:divBdr>
                </w:div>
                <w:div w:id="1274165861">
                  <w:marLeft w:val="480"/>
                  <w:marRight w:val="0"/>
                  <w:marTop w:val="0"/>
                  <w:marBottom w:val="0"/>
                  <w:divBdr>
                    <w:top w:val="none" w:sz="0" w:space="0" w:color="auto"/>
                    <w:left w:val="none" w:sz="0" w:space="0" w:color="auto"/>
                    <w:bottom w:val="none" w:sz="0" w:space="0" w:color="auto"/>
                    <w:right w:val="none" w:sz="0" w:space="0" w:color="auto"/>
                  </w:divBdr>
                </w:div>
                <w:div w:id="1303802751">
                  <w:marLeft w:val="480"/>
                  <w:marRight w:val="0"/>
                  <w:marTop w:val="0"/>
                  <w:marBottom w:val="0"/>
                  <w:divBdr>
                    <w:top w:val="none" w:sz="0" w:space="0" w:color="auto"/>
                    <w:left w:val="none" w:sz="0" w:space="0" w:color="auto"/>
                    <w:bottom w:val="none" w:sz="0" w:space="0" w:color="auto"/>
                    <w:right w:val="none" w:sz="0" w:space="0" w:color="auto"/>
                  </w:divBdr>
                </w:div>
                <w:div w:id="2016953001">
                  <w:marLeft w:val="480"/>
                  <w:marRight w:val="0"/>
                  <w:marTop w:val="0"/>
                  <w:marBottom w:val="0"/>
                  <w:divBdr>
                    <w:top w:val="none" w:sz="0" w:space="0" w:color="auto"/>
                    <w:left w:val="none" w:sz="0" w:space="0" w:color="auto"/>
                    <w:bottom w:val="none" w:sz="0" w:space="0" w:color="auto"/>
                    <w:right w:val="none" w:sz="0" w:space="0" w:color="auto"/>
                  </w:divBdr>
                </w:div>
                <w:div w:id="1762991539">
                  <w:marLeft w:val="480"/>
                  <w:marRight w:val="0"/>
                  <w:marTop w:val="0"/>
                  <w:marBottom w:val="0"/>
                  <w:divBdr>
                    <w:top w:val="none" w:sz="0" w:space="0" w:color="auto"/>
                    <w:left w:val="none" w:sz="0" w:space="0" w:color="auto"/>
                    <w:bottom w:val="none" w:sz="0" w:space="0" w:color="auto"/>
                    <w:right w:val="none" w:sz="0" w:space="0" w:color="auto"/>
                  </w:divBdr>
                </w:div>
                <w:div w:id="1518469825">
                  <w:marLeft w:val="480"/>
                  <w:marRight w:val="0"/>
                  <w:marTop w:val="0"/>
                  <w:marBottom w:val="0"/>
                  <w:divBdr>
                    <w:top w:val="none" w:sz="0" w:space="0" w:color="auto"/>
                    <w:left w:val="none" w:sz="0" w:space="0" w:color="auto"/>
                    <w:bottom w:val="none" w:sz="0" w:space="0" w:color="auto"/>
                    <w:right w:val="none" w:sz="0" w:space="0" w:color="auto"/>
                  </w:divBdr>
                </w:div>
                <w:div w:id="553779937">
                  <w:marLeft w:val="480"/>
                  <w:marRight w:val="0"/>
                  <w:marTop w:val="0"/>
                  <w:marBottom w:val="0"/>
                  <w:divBdr>
                    <w:top w:val="none" w:sz="0" w:space="0" w:color="auto"/>
                    <w:left w:val="none" w:sz="0" w:space="0" w:color="auto"/>
                    <w:bottom w:val="none" w:sz="0" w:space="0" w:color="auto"/>
                    <w:right w:val="none" w:sz="0" w:space="0" w:color="auto"/>
                  </w:divBdr>
                </w:div>
                <w:div w:id="2138062020">
                  <w:marLeft w:val="480"/>
                  <w:marRight w:val="0"/>
                  <w:marTop w:val="0"/>
                  <w:marBottom w:val="0"/>
                  <w:divBdr>
                    <w:top w:val="none" w:sz="0" w:space="0" w:color="auto"/>
                    <w:left w:val="none" w:sz="0" w:space="0" w:color="auto"/>
                    <w:bottom w:val="none" w:sz="0" w:space="0" w:color="auto"/>
                    <w:right w:val="none" w:sz="0" w:space="0" w:color="auto"/>
                  </w:divBdr>
                </w:div>
                <w:div w:id="1184514375">
                  <w:marLeft w:val="480"/>
                  <w:marRight w:val="0"/>
                  <w:marTop w:val="0"/>
                  <w:marBottom w:val="0"/>
                  <w:divBdr>
                    <w:top w:val="none" w:sz="0" w:space="0" w:color="auto"/>
                    <w:left w:val="none" w:sz="0" w:space="0" w:color="auto"/>
                    <w:bottom w:val="none" w:sz="0" w:space="0" w:color="auto"/>
                    <w:right w:val="none" w:sz="0" w:space="0" w:color="auto"/>
                  </w:divBdr>
                </w:div>
                <w:div w:id="1616064004">
                  <w:marLeft w:val="480"/>
                  <w:marRight w:val="0"/>
                  <w:marTop w:val="0"/>
                  <w:marBottom w:val="0"/>
                  <w:divBdr>
                    <w:top w:val="none" w:sz="0" w:space="0" w:color="auto"/>
                    <w:left w:val="none" w:sz="0" w:space="0" w:color="auto"/>
                    <w:bottom w:val="none" w:sz="0" w:space="0" w:color="auto"/>
                    <w:right w:val="none" w:sz="0" w:space="0" w:color="auto"/>
                  </w:divBdr>
                </w:div>
                <w:div w:id="1394429695">
                  <w:marLeft w:val="480"/>
                  <w:marRight w:val="0"/>
                  <w:marTop w:val="0"/>
                  <w:marBottom w:val="0"/>
                  <w:divBdr>
                    <w:top w:val="none" w:sz="0" w:space="0" w:color="auto"/>
                    <w:left w:val="none" w:sz="0" w:space="0" w:color="auto"/>
                    <w:bottom w:val="none" w:sz="0" w:space="0" w:color="auto"/>
                    <w:right w:val="none" w:sz="0" w:space="0" w:color="auto"/>
                  </w:divBdr>
                </w:div>
                <w:div w:id="514468199">
                  <w:marLeft w:val="480"/>
                  <w:marRight w:val="0"/>
                  <w:marTop w:val="0"/>
                  <w:marBottom w:val="0"/>
                  <w:divBdr>
                    <w:top w:val="none" w:sz="0" w:space="0" w:color="auto"/>
                    <w:left w:val="none" w:sz="0" w:space="0" w:color="auto"/>
                    <w:bottom w:val="none" w:sz="0" w:space="0" w:color="auto"/>
                    <w:right w:val="none" w:sz="0" w:space="0" w:color="auto"/>
                  </w:divBdr>
                </w:div>
                <w:div w:id="1590655155">
                  <w:marLeft w:val="480"/>
                  <w:marRight w:val="0"/>
                  <w:marTop w:val="0"/>
                  <w:marBottom w:val="0"/>
                  <w:divBdr>
                    <w:top w:val="none" w:sz="0" w:space="0" w:color="auto"/>
                    <w:left w:val="none" w:sz="0" w:space="0" w:color="auto"/>
                    <w:bottom w:val="none" w:sz="0" w:space="0" w:color="auto"/>
                    <w:right w:val="none" w:sz="0" w:space="0" w:color="auto"/>
                  </w:divBdr>
                </w:div>
                <w:div w:id="399987443">
                  <w:marLeft w:val="480"/>
                  <w:marRight w:val="0"/>
                  <w:marTop w:val="0"/>
                  <w:marBottom w:val="0"/>
                  <w:divBdr>
                    <w:top w:val="none" w:sz="0" w:space="0" w:color="auto"/>
                    <w:left w:val="none" w:sz="0" w:space="0" w:color="auto"/>
                    <w:bottom w:val="none" w:sz="0" w:space="0" w:color="auto"/>
                    <w:right w:val="none" w:sz="0" w:space="0" w:color="auto"/>
                  </w:divBdr>
                </w:div>
                <w:div w:id="1560701622">
                  <w:marLeft w:val="480"/>
                  <w:marRight w:val="0"/>
                  <w:marTop w:val="0"/>
                  <w:marBottom w:val="0"/>
                  <w:divBdr>
                    <w:top w:val="none" w:sz="0" w:space="0" w:color="auto"/>
                    <w:left w:val="none" w:sz="0" w:space="0" w:color="auto"/>
                    <w:bottom w:val="none" w:sz="0" w:space="0" w:color="auto"/>
                    <w:right w:val="none" w:sz="0" w:space="0" w:color="auto"/>
                  </w:divBdr>
                </w:div>
                <w:div w:id="1944914660">
                  <w:marLeft w:val="480"/>
                  <w:marRight w:val="0"/>
                  <w:marTop w:val="0"/>
                  <w:marBottom w:val="0"/>
                  <w:divBdr>
                    <w:top w:val="none" w:sz="0" w:space="0" w:color="auto"/>
                    <w:left w:val="none" w:sz="0" w:space="0" w:color="auto"/>
                    <w:bottom w:val="none" w:sz="0" w:space="0" w:color="auto"/>
                    <w:right w:val="none" w:sz="0" w:space="0" w:color="auto"/>
                  </w:divBdr>
                </w:div>
                <w:div w:id="1623615741">
                  <w:marLeft w:val="480"/>
                  <w:marRight w:val="0"/>
                  <w:marTop w:val="0"/>
                  <w:marBottom w:val="0"/>
                  <w:divBdr>
                    <w:top w:val="none" w:sz="0" w:space="0" w:color="auto"/>
                    <w:left w:val="none" w:sz="0" w:space="0" w:color="auto"/>
                    <w:bottom w:val="none" w:sz="0" w:space="0" w:color="auto"/>
                    <w:right w:val="none" w:sz="0" w:space="0" w:color="auto"/>
                  </w:divBdr>
                </w:div>
                <w:div w:id="1438253314">
                  <w:marLeft w:val="480"/>
                  <w:marRight w:val="0"/>
                  <w:marTop w:val="0"/>
                  <w:marBottom w:val="0"/>
                  <w:divBdr>
                    <w:top w:val="none" w:sz="0" w:space="0" w:color="auto"/>
                    <w:left w:val="none" w:sz="0" w:space="0" w:color="auto"/>
                    <w:bottom w:val="none" w:sz="0" w:space="0" w:color="auto"/>
                    <w:right w:val="none" w:sz="0" w:space="0" w:color="auto"/>
                  </w:divBdr>
                </w:div>
                <w:div w:id="862523094">
                  <w:marLeft w:val="480"/>
                  <w:marRight w:val="0"/>
                  <w:marTop w:val="0"/>
                  <w:marBottom w:val="0"/>
                  <w:divBdr>
                    <w:top w:val="none" w:sz="0" w:space="0" w:color="auto"/>
                    <w:left w:val="none" w:sz="0" w:space="0" w:color="auto"/>
                    <w:bottom w:val="none" w:sz="0" w:space="0" w:color="auto"/>
                    <w:right w:val="none" w:sz="0" w:space="0" w:color="auto"/>
                  </w:divBdr>
                </w:div>
                <w:div w:id="927275888">
                  <w:marLeft w:val="480"/>
                  <w:marRight w:val="0"/>
                  <w:marTop w:val="0"/>
                  <w:marBottom w:val="0"/>
                  <w:divBdr>
                    <w:top w:val="none" w:sz="0" w:space="0" w:color="auto"/>
                    <w:left w:val="none" w:sz="0" w:space="0" w:color="auto"/>
                    <w:bottom w:val="none" w:sz="0" w:space="0" w:color="auto"/>
                    <w:right w:val="none" w:sz="0" w:space="0" w:color="auto"/>
                  </w:divBdr>
                </w:div>
                <w:div w:id="708071791">
                  <w:marLeft w:val="480"/>
                  <w:marRight w:val="0"/>
                  <w:marTop w:val="0"/>
                  <w:marBottom w:val="0"/>
                  <w:divBdr>
                    <w:top w:val="none" w:sz="0" w:space="0" w:color="auto"/>
                    <w:left w:val="none" w:sz="0" w:space="0" w:color="auto"/>
                    <w:bottom w:val="none" w:sz="0" w:space="0" w:color="auto"/>
                    <w:right w:val="none" w:sz="0" w:space="0" w:color="auto"/>
                  </w:divBdr>
                </w:div>
                <w:div w:id="981734954">
                  <w:marLeft w:val="480"/>
                  <w:marRight w:val="0"/>
                  <w:marTop w:val="0"/>
                  <w:marBottom w:val="0"/>
                  <w:divBdr>
                    <w:top w:val="none" w:sz="0" w:space="0" w:color="auto"/>
                    <w:left w:val="none" w:sz="0" w:space="0" w:color="auto"/>
                    <w:bottom w:val="none" w:sz="0" w:space="0" w:color="auto"/>
                    <w:right w:val="none" w:sz="0" w:space="0" w:color="auto"/>
                  </w:divBdr>
                </w:div>
                <w:div w:id="1318220629">
                  <w:marLeft w:val="480"/>
                  <w:marRight w:val="0"/>
                  <w:marTop w:val="0"/>
                  <w:marBottom w:val="0"/>
                  <w:divBdr>
                    <w:top w:val="none" w:sz="0" w:space="0" w:color="auto"/>
                    <w:left w:val="none" w:sz="0" w:space="0" w:color="auto"/>
                    <w:bottom w:val="none" w:sz="0" w:space="0" w:color="auto"/>
                    <w:right w:val="none" w:sz="0" w:space="0" w:color="auto"/>
                  </w:divBdr>
                </w:div>
                <w:div w:id="619385219">
                  <w:marLeft w:val="480"/>
                  <w:marRight w:val="0"/>
                  <w:marTop w:val="0"/>
                  <w:marBottom w:val="0"/>
                  <w:divBdr>
                    <w:top w:val="none" w:sz="0" w:space="0" w:color="auto"/>
                    <w:left w:val="none" w:sz="0" w:space="0" w:color="auto"/>
                    <w:bottom w:val="none" w:sz="0" w:space="0" w:color="auto"/>
                    <w:right w:val="none" w:sz="0" w:space="0" w:color="auto"/>
                  </w:divBdr>
                </w:div>
                <w:div w:id="1353410859">
                  <w:marLeft w:val="480"/>
                  <w:marRight w:val="0"/>
                  <w:marTop w:val="0"/>
                  <w:marBottom w:val="0"/>
                  <w:divBdr>
                    <w:top w:val="none" w:sz="0" w:space="0" w:color="auto"/>
                    <w:left w:val="none" w:sz="0" w:space="0" w:color="auto"/>
                    <w:bottom w:val="none" w:sz="0" w:space="0" w:color="auto"/>
                    <w:right w:val="none" w:sz="0" w:space="0" w:color="auto"/>
                  </w:divBdr>
                </w:div>
                <w:div w:id="1268612842">
                  <w:marLeft w:val="480"/>
                  <w:marRight w:val="0"/>
                  <w:marTop w:val="0"/>
                  <w:marBottom w:val="0"/>
                  <w:divBdr>
                    <w:top w:val="none" w:sz="0" w:space="0" w:color="auto"/>
                    <w:left w:val="none" w:sz="0" w:space="0" w:color="auto"/>
                    <w:bottom w:val="none" w:sz="0" w:space="0" w:color="auto"/>
                    <w:right w:val="none" w:sz="0" w:space="0" w:color="auto"/>
                  </w:divBdr>
                </w:div>
                <w:div w:id="287975166">
                  <w:marLeft w:val="480"/>
                  <w:marRight w:val="0"/>
                  <w:marTop w:val="0"/>
                  <w:marBottom w:val="0"/>
                  <w:divBdr>
                    <w:top w:val="none" w:sz="0" w:space="0" w:color="auto"/>
                    <w:left w:val="none" w:sz="0" w:space="0" w:color="auto"/>
                    <w:bottom w:val="none" w:sz="0" w:space="0" w:color="auto"/>
                    <w:right w:val="none" w:sz="0" w:space="0" w:color="auto"/>
                  </w:divBdr>
                </w:div>
                <w:div w:id="50272908">
                  <w:marLeft w:val="480"/>
                  <w:marRight w:val="0"/>
                  <w:marTop w:val="0"/>
                  <w:marBottom w:val="0"/>
                  <w:divBdr>
                    <w:top w:val="none" w:sz="0" w:space="0" w:color="auto"/>
                    <w:left w:val="none" w:sz="0" w:space="0" w:color="auto"/>
                    <w:bottom w:val="none" w:sz="0" w:space="0" w:color="auto"/>
                    <w:right w:val="none" w:sz="0" w:space="0" w:color="auto"/>
                  </w:divBdr>
                </w:div>
                <w:div w:id="1961565690">
                  <w:marLeft w:val="480"/>
                  <w:marRight w:val="0"/>
                  <w:marTop w:val="0"/>
                  <w:marBottom w:val="0"/>
                  <w:divBdr>
                    <w:top w:val="none" w:sz="0" w:space="0" w:color="auto"/>
                    <w:left w:val="none" w:sz="0" w:space="0" w:color="auto"/>
                    <w:bottom w:val="none" w:sz="0" w:space="0" w:color="auto"/>
                    <w:right w:val="none" w:sz="0" w:space="0" w:color="auto"/>
                  </w:divBdr>
                </w:div>
                <w:div w:id="185291794">
                  <w:marLeft w:val="480"/>
                  <w:marRight w:val="0"/>
                  <w:marTop w:val="0"/>
                  <w:marBottom w:val="0"/>
                  <w:divBdr>
                    <w:top w:val="none" w:sz="0" w:space="0" w:color="auto"/>
                    <w:left w:val="none" w:sz="0" w:space="0" w:color="auto"/>
                    <w:bottom w:val="none" w:sz="0" w:space="0" w:color="auto"/>
                    <w:right w:val="none" w:sz="0" w:space="0" w:color="auto"/>
                  </w:divBdr>
                </w:div>
                <w:div w:id="1333414743">
                  <w:marLeft w:val="480"/>
                  <w:marRight w:val="0"/>
                  <w:marTop w:val="0"/>
                  <w:marBottom w:val="0"/>
                  <w:divBdr>
                    <w:top w:val="none" w:sz="0" w:space="0" w:color="auto"/>
                    <w:left w:val="none" w:sz="0" w:space="0" w:color="auto"/>
                    <w:bottom w:val="none" w:sz="0" w:space="0" w:color="auto"/>
                    <w:right w:val="none" w:sz="0" w:space="0" w:color="auto"/>
                  </w:divBdr>
                </w:div>
                <w:div w:id="1828401287">
                  <w:marLeft w:val="480"/>
                  <w:marRight w:val="0"/>
                  <w:marTop w:val="0"/>
                  <w:marBottom w:val="0"/>
                  <w:divBdr>
                    <w:top w:val="none" w:sz="0" w:space="0" w:color="auto"/>
                    <w:left w:val="none" w:sz="0" w:space="0" w:color="auto"/>
                    <w:bottom w:val="none" w:sz="0" w:space="0" w:color="auto"/>
                    <w:right w:val="none" w:sz="0" w:space="0" w:color="auto"/>
                  </w:divBdr>
                </w:div>
                <w:div w:id="1143422407">
                  <w:marLeft w:val="480"/>
                  <w:marRight w:val="0"/>
                  <w:marTop w:val="0"/>
                  <w:marBottom w:val="0"/>
                  <w:divBdr>
                    <w:top w:val="none" w:sz="0" w:space="0" w:color="auto"/>
                    <w:left w:val="none" w:sz="0" w:space="0" w:color="auto"/>
                    <w:bottom w:val="none" w:sz="0" w:space="0" w:color="auto"/>
                    <w:right w:val="none" w:sz="0" w:space="0" w:color="auto"/>
                  </w:divBdr>
                </w:div>
                <w:div w:id="321853181">
                  <w:marLeft w:val="480"/>
                  <w:marRight w:val="0"/>
                  <w:marTop w:val="0"/>
                  <w:marBottom w:val="0"/>
                  <w:divBdr>
                    <w:top w:val="none" w:sz="0" w:space="0" w:color="auto"/>
                    <w:left w:val="none" w:sz="0" w:space="0" w:color="auto"/>
                    <w:bottom w:val="none" w:sz="0" w:space="0" w:color="auto"/>
                    <w:right w:val="none" w:sz="0" w:space="0" w:color="auto"/>
                  </w:divBdr>
                </w:div>
                <w:div w:id="2035768839">
                  <w:marLeft w:val="480"/>
                  <w:marRight w:val="0"/>
                  <w:marTop w:val="0"/>
                  <w:marBottom w:val="0"/>
                  <w:divBdr>
                    <w:top w:val="none" w:sz="0" w:space="0" w:color="auto"/>
                    <w:left w:val="none" w:sz="0" w:space="0" w:color="auto"/>
                    <w:bottom w:val="none" w:sz="0" w:space="0" w:color="auto"/>
                    <w:right w:val="none" w:sz="0" w:space="0" w:color="auto"/>
                  </w:divBdr>
                </w:div>
                <w:div w:id="1728601916">
                  <w:marLeft w:val="480"/>
                  <w:marRight w:val="0"/>
                  <w:marTop w:val="0"/>
                  <w:marBottom w:val="0"/>
                  <w:divBdr>
                    <w:top w:val="none" w:sz="0" w:space="0" w:color="auto"/>
                    <w:left w:val="none" w:sz="0" w:space="0" w:color="auto"/>
                    <w:bottom w:val="none" w:sz="0" w:space="0" w:color="auto"/>
                    <w:right w:val="none" w:sz="0" w:space="0" w:color="auto"/>
                  </w:divBdr>
                </w:div>
                <w:div w:id="923605865">
                  <w:marLeft w:val="480"/>
                  <w:marRight w:val="0"/>
                  <w:marTop w:val="0"/>
                  <w:marBottom w:val="0"/>
                  <w:divBdr>
                    <w:top w:val="none" w:sz="0" w:space="0" w:color="auto"/>
                    <w:left w:val="none" w:sz="0" w:space="0" w:color="auto"/>
                    <w:bottom w:val="none" w:sz="0" w:space="0" w:color="auto"/>
                    <w:right w:val="none" w:sz="0" w:space="0" w:color="auto"/>
                  </w:divBdr>
                </w:div>
                <w:div w:id="765030956">
                  <w:marLeft w:val="480"/>
                  <w:marRight w:val="0"/>
                  <w:marTop w:val="0"/>
                  <w:marBottom w:val="0"/>
                  <w:divBdr>
                    <w:top w:val="none" w:sz="0" w:space="0" w:color="auto"/>
                    <w:left w:val="none" w:sz="0" w:space="0" w:color="auto"/>
                    <w:bottom w:val="none" w:sz="0" w:space="0" w:color="auto"/>
                    <w:right w:val="none" w:sz="0" w:space="0" w:color="auto"/>
                  </w:divBdr>
                </w:div>
                <w:div w:id="556362372">
                  <w:marLeft w:val="480"/>
                  <w:marRight w:val="0"/>
                  <w:marTop w:val="0"/>
                  <w:marBottom w:val="0"/>
                  <w:divBdr>
                    <w:top w:val="none" w:sz="0" w:space="0" w:color="auto"/>
                    <w:left w:val="none" w:sz="0" w:space="0" w:color="auto"/>
                    <w:bottom w:val="none" w:sz="0" w:space="0" w:color="auto"/>
                    <w:right w:val="none" w:sz="0" w:space="0" w:color="auto"/>
                  </w:divBdr>
                </w:div>
                <w:div w:id="2120443731">
                  <w:marLeft w:val="480"/>
                  <w:marRight w:val="0"/>
                  <w:marTop w:val="0"/>
                  <w:marBottom w:val="0"/>
                  <w:divBdr>
                    <w:top w:val="none" w:sz="0" w:space="0" w:color="auto"/>
                    <w:left w:val="none" w:sz="0" w:space="0" w:color="auto"/>
                    <w:bottom w:val="none" w:sz="0" w:space="0" w:color="auto"/>
                    <w:right w:val="none" w:sz="0" w:space="0" w:color="auto"/>
                  </w:divBdr>
                </w:div>
                <w:div w:id="348413699">
                  <w:marLeft w:val="480"/>
                  <w:marRight w:val="0"/>
                  <w:marTop w:val="0"/>
                  <w:marBottom w:val="0"/>
                  <w:divBdr>
                    <w:top w:val="none" w:sz="0" w:space="0" w:color="auto"/>
                    <w:left w:val="none" w:sz="0" w:space="0" w:color="auto"/>
                    <w:bottom w:val="none" w:sz="0" w:space="0" w:color="auto"/>
                    <w:right w:val="none" w:sz="0" w:space="0" w:color="auto"/>
                  </w:divBdr>
                </w:div>
                <w:div w:id="578250623">
                  <w:marLeft w:val="480"/>
                  <w:marRight w:val="0"/>
                  <w:marTop w:val="0"/>
                  <w:marBottom w:val="0"/>
                  <w:divBdr>
                    <w:top w:val="none" w:sz="0" w:space="0" w:color="auto"/>
                    <w:left w:val="none" w:sz="0" w:space="0" w:color="auto"/>
                    <w:bottom w:val="none" w:sz="0" w:space="0" w:color="auto"/>
                    <w:right w:val="none" w:sz="0" w:space="0" w:color="auto"/>
                  </w:divBdr>
                </w:div>
              </w:divsChild>
            </w:div>
            <w:div w:id="931209543">
              <w:marLeft w:val="0"/>
              <w:marRight w:val="0"/>
              <w:marTop w:val="0"/>
              <w:marBottom w:val="0"/>
              <w:divBdr>
                <w:top w:val="none" w:sz="0" w:space="0" w:color="auto"/>
                <w:left w:val="none" w:sz="0" w:space="0" w:color="auto"/>
                <w:bottom w:val="none" w:sz="0" w:space="0" w:color="auto"/>
                <w:right w:val="none" w:sz="0" w:space="0" w:color="auto"/>
              </w:divBdr>
              <w:divsChild>
                <w:div w:id="192425797">
                  <w:marLeft w:val="480"/>
                  <w:marRight w:val="0"/>
                  <w:marTop w:val="0"/>
                  <w:marBottom w:val="0"/>
                  <w:divBdr>
                    <w:top w:val="none" w:sz="0" w:space="0" w:color="auto"/>
                    <w:left w:val="none" w:sz="0" w:space="0" w:color="auto"/>
                    <w:bottom w:val="none" w:sz="0" w:space="0" w:color="auto"/>
                    <w:right w:val="none" w:sz="0" w:space="0" w:color="auto"/>
                  </w:divBdr>
                </w:div>
                <w:div w:id="269362282">
                  <w:marLeft w:val="480"/>
                  <w:marRight w:val="0"/>
                  <w:marTop w:val="0"/>
                  <w:marBottom w:val="0"/>
                  <w:divBdr>
                    <w:top w:val="none" w:sz="0" w:space="0" w:color="auto"/>
                    <w:left w:val="none" w:sz="0" w:space="0" w:color="auto"/>
                    <w:bottom w:val="none" w:sz="0" w:space="0" w:color="auto"/>
                    <w:right w:val="none" w:sz="0" w:space="0" w:color="auto"/>
                  </w:divBdr>
                </w:div>
                <w:div w:id="454711910">
                  <w:marLeft w:val="480"/>
                  <w:marRight w:val="0"/>
                  <w:marTop w:val="0"/>
                  <w:marBottom w:val="0"/>
                  <w:divBdr>
                    <w:top w:val="none" w:sz="0" w:space="0" w:color="auto"/>
                    <w:left w:val="none" w:sz="0" w:space="0" w:color="auto"/>
                    <w:bottom w:val="none" w:sz="0" w:space="0" w:color="auto"/>
                    <w:right w:val="none" w:sz="0" w:space="0" w:color="auto"/>
                  </w:divBdr>
                </w:div>
                <w:div w:id="461463596">
                  <w:marLeft w:val="480"/>
                  <w:marRight w:val="0"/>
                  <w:marTop w:val="0"/>
                  <w:marBottom w:val="0"/>
                  <w:divBdr>
                    <w:top w:val="none" w:sz="0" w:space="0" w:color="auto"/>
                    <w:left w:val="none" w:sz="0" w:space="0" w:color="auto"/>
                    <w:bottom w:val="none" w:sz="0" w:space="0" w:color="auto"/>
                    <w:right w:val="none" w:sz="0" w:space="0" w:color="auto"/>
                  </w:divBdr>
                </w:div>
                <w:div w:id="426195560">
                  <w:marLeft w:val="480"/>
                  <w:marRight w:val="0"/>
                  <w:marTop w:val="0"/>
                  <w:marBottom w:val="0"/>
                  <w:divBdr>
                    <w:top w:val="none" w:sz="0" w:space="0" w:color="auto"/>
                    <w:left w:val="none" w:sz="0" w:space="0" w:color="auto"/>
                    <w:bottom w:val="none" w:sz="0" w:space="0" w:color="auto"/>
                    <w:right w:val="none" w:sz="0" w:space="0" w:color="auto"/>
                  </w:divBdr>
                </w:div>
                <w:div w:id="1220018536">
                  <w:marLeft w:val="480"/>
                  <w:marRight w:val="0"/>
                  <w:marTop w:val="0"/>
                  <w:marBottom w:val="0"/>
                  <w:divBdr>
                    <w:top w:val="none" w:sz="0" w:space="0" w:color="auto"/>
                    <w:left w:val="none" w:sz="0" w:space="0" w:color="auto"/>
                    <w:bottom w:val="none" w:sz="0" w:space="0" w:color="auto"/>
                    <w:right w:val="none" w:sz="0" w:space="0" w:color="auto"/>
                  </w:divBdr>
                </w:div>
                <w:div w:id="2028946623">
                  <w:marLeft w:val="480"/>
                  <w:marRight w:val="0"/>
                  <w:marTop w:val="0"/>
                  <w:marBottom w:val="0"/>
                  <w:divBdr>
                    <w:top w:val="none" w:sz="0" w:space="0" w:color="auto"/>
                    <w:left w:val="none" w:sz="0" w:space="0" w:color="auto"/>
                    <w:bottom w:val="none" w:sz="0" w:space="0" w:color="auto"/>
                    <w:right w:val="none" w:sz="0" w:space="0" w:color="auto"/>
                  </w:divBdr>
                </w:div>
                <w:div w:id="2106488511">
                  <w:marLeft w:val="480"/>
                  <w:marRight w:val="0"/>
                  <w:marTop w:val="0"/>
                  <w:marBottom w:val="0"/>
                  <w:divBdr>
                    <w:top w:val="none" w:sz="0" w:space="0" w:color="auto"/>
                    <w:left w:val="none" w:sz="0" w:space="0" w:color="auto"/>
                    <w:bottom w:val="none" w:sz="0" w:space="0" w:color="auto"/>
                    <w:right w:val="none" w:sz="0" w:space="0" w:color="auto"/>
                  </w:divBdr>
                </w:div>
                <w:div w:id="455954417">
                  <w:marLeft w:val="480"/>
                  <w:marRight w:val="0"/>
                  <w:marTop w:val="0"/>
                  <w:marBottom w:val="0"/>
                  <w:divBdr>
                    <w:top w:val="none" w:sz="0" w:space="0" w:color="auto"/>
                    <w:left w:val="none" w:sz="0" w:space="0" w:color="auto"/>
                    <w:bottom w:val="none" w:sz="0" w:space="0" w:color="auto"/>
                    <w:right w:val="none" w:sz="0" w:space="0" w:color="auto"/>
                  </w:divBdr>
                </w:div>
                <w:div w:id="2069916752">
                  <w:marLeft w:val="480"/>
                  <w:marRight w:val="0"/>
                  <w:marTop w:val="0"/>
                  <w:marBottom w:val="0"/>
                  <w:divBdr>
                    <w:top w:val="none" w:sz="0" w:space="0" w:color="auto"/>
                    <w:left w:val="none" w:sz="0" w:space="0" w:color="auto"/>
                    <w:bottom w:val="none" w:sz="0" w:space="0" w:color="auto"/>
                    <w:right w:val="none" w:sz="0" w:space="0" w:color="auto"/>
                  </w:divBdr>
                </w:div>
                <w:div w:id="1936860813">
                  <w:marLeft w:val="480"/>
                  <w:marRight w:val="0"/>
                  <w:marTop w:val="0"/>
                  <w:marBottom w:val="0"/>
                  <w:divBdr>
                    <w:top w:val="none" w:sz="0" w:space="0" w:color="auto"/>
                    <w:left w:val="none" w:sz="0" w:space="0" w:color="auto"/>
                    <w:bottom w:val="none" w:sz="0" w:space="0" w:color="auto"/>
                    <w:right w:val="none" w:sz="0" w:space="0" w:color="auto"/>
                  </w:divBdr>
                </w:div>
                <w:div w:id="2021420817">
                  <w:marLeft w:val="480"/>
                  <w:marRight w:val="0"/>
                  <w:marTop w:val="0"/>
                  <w:marBottom w:val="0"/>
                  <w:divBdr>
                    <w:top w:val="none" w:sz="0" w:space="0" w:color="auto"/>
                    <w:left w:val="none" w:sz="0" w:space="0" w:color="auto"/>
                    <w:bottom w:val="none" w:sz="0" w:space="0" w:color="auto"/>
                    <w:right w:val="none" w:sz="0" w:space="0" w:color="auto"/>
                  </w:divBdr>
                </w:div>
                <w:div w:id="91244073">
                  <w:marLeft w:val="480"/>
                  <w:marRight w:val="0"/>
                  <w:marTop w:val="0"/>
                  <w:marBottom w:val="0"/>
                  <w:divBdr>
                    <w:top w:val="none" w:sz="0" w:space="0" w:color="auto"/>
                    <w:left w:val="none" w:sz="0" w:space="0" w:color="auto"/>
                    <w:bottom w:val="none" w:sz="0" w:space="0" w:color="auto"/>
                    <w:right w:val="none" w:sz="0" w:space="0" w:color="auto"/>
                  </w:divBdr>
                </w:div>
                <w:div w:id="914166462">
                  <w:marLeft w:val="480"/>
                  <w:marRight w:val="0"/>
                  <w:marTop w:val="0"/>
                  <w:marBottom w:val="0"/>
                  <w:divBdr>
                    <w:top w:val="none" w:sz="0" w:space="0" w:color="auto"/>
                    <w:left w:val="none" w:sz="0" w:space="0" w:color="auto"/>
                    <w:bottom w:val="none" w:sz="0" w:space="0" w:color="auto"/>
                    <w:right w:val="none" w:sz="0" w:space="0" w:color="auto"/>
                  </w:divBdr>
                </w:div>
                <w:div w:id="262420611">
                  <w:marLeft w:val="480"/>
                  <w:marRight w:val="0"/>
                  <w:marTop w:val="0"/>
                  <w:marBottom w:val="0"/>
                  <w:divBdr>
                    <w:top w:val="none" w:sz="0" w:space="0" w:color="auto"/>
                    <w:left w:val="none" w:sz="0" w:space="0" w:color="auto"/>
                    <w:bottom w:val="none" w:sz="0" w:space="0" w:color="auto"/>
                    <w:right w:val="none" w:sz="0" w:space="0" w:color="auto"/>
                  </w:divBdr>
                </w:div>
                <w:div w:id="353385786">
                  <w:marLeft w:val="480"/>
                  <w:marRight w:val="0"/>
                  <w:marTop w:val="0"/>
                  <w:marBottom w:val="0"/>
                  <w:divBdr>
                    <w:top w:val="none" w:sz="0" w:space="0" w:color="auto"/>
                    <w:left w:val="none" w:sz="0" w:space="0" w:color="auto"/>
                    <w:bottom w:val="none" w:sz="0" w:space="0" w:color="auto"/>
                    <w:right w:val="none" w:sz="0" w:space="0" w:color="auto"/>
                  </w:divBdr>
                </w:div>
                <w:div w:id="1707025239">
                  <w:marLeft w:val="480"/>
                  <w:marRight w:val="0"/>
                  <w:marTop w:val="0"/>
                  <w:marBottom w:val="0"/>
                  <w:divBdr>
                    <w:top w:val="none" w:sz="0" w:space="0" w:color="auto"/>
                    <w:left w:val="none" w:sz="0" w:space="0" w:color="auto"/>
                    <w:bottom w:val="none" w:sz="0" w:space="0" w:color="auto"/>
                    <w:right w:val="none" w:sz="0" w:space="0" w:color="auto"/>
                  </w:divBdr>
                </w:div>
                <w:div w:id="1531456082">
                  <w:marLeft w:val="480"/>
                  <w:marRight w:val="0"/>
                  <w:marTop w:val="0"/>
                  <w:marBottom w:val="0"/>
                  <w:divBdr>
                    <w:top w:val="none" w:sz="0" w:space="0" w:color="auto"/>
                    <w:left w:val="none" w:sz="0" w:space="0" w:color="auto"/>
                    <w:bottom w:val="none" w:sz="0" w:space="0" w:color="auto"/>
                    <w:right w:val="none" w:sz="0" w:space="0" w:color="auto"/>
                  </w:divBdr>
                </w:div>
                <w:div w:id="650866125">
                  <w:marLeft w:val="480"/>
                  <w:marRight w:val="0"/>
                  <w:marTop w:val="0"/>
                  <w:marBottom w:val="0"/>
                  <w:divBdr>
                    <w:top w:val="none" w:sz="0" w:space="0" w:color="auto"/>
                    <w:left w:val="none" w:sz="0" w:space="0" w:color="auto"/>
                    <w:bottom w:val="none" w:sz="0" w:space="0" w:color="auto"/>
                    <w:right w:val="none" w:sz="0" w:space="0" w:color="auto"/>
                  </w:divBdr>
                </w:div>
                <w:div w:id="1868832669">
                  <w:marLeft w:val="480"/>
                  <w:marRight w:val="0"/>
                  <w:marTop w:val="0"/>
                  <w:marBottom w:val="0"/>
                  <w:divBdr>
                    <w:top w:val="none" w:sz="0" w:space="0" w:color="auto"/>
                    <w:left w:val="none" w:sz="0" w:space="0" w:color="auto"/>
                    <w:bottom w:val="none" w:sz="0" w:space="0" w:color="auto"/>
                    <w:right w:val="none" w:sz="0" w:space="0" w:color="auto"/>
                  </w:divBdr>
                </w:div>
                <w:div w:id="1671983477">
                  <w:marLeft w:val="480"/>
                  <w:marRight w:val="0"/>
                  <w:marTop w:val="0"/>
                  <w:marBottom w:val="0"/>
                  <w:divBdr>
                    <w:top w:val="none" w:sz="0" w:space="0" w:color="auto"/>
                    <w:left w:val="none" w:sz="0" w:space="0" w:color="auto"/>
                    <w:bottom w:val="none" w:sz="0" w:space="0" w:color="auto"/>
                    <w:right w:val="none" w:sz="0" w:space="0" w:color="auto"/>
                  </w:divBdr>
                </w:div>
                <w:div w:id="853687784">
                  <w:marLeft w:val="480"/>
                  <w:marRight w:val="0"/>
                  <w:marTop w:val="0"/>
                  <w:marBottom w:val="0"/>
                  <w:divBdr>
                    <w:top w:val="none" w:sz="0" w:space="0" w:color="auto"/>
                    <w:left w:val="none" w:sz="0" w:space="0" w:color="auto"/>
                    <w:bottom w:val="none" w:sz="0" w:space="0" w:color="auto"/>
                    <w:right w:val="none" w:sz="0" w:space="0" w:color="auto"/>
                  </w:divBdr>
                </w:div>
                <w:div w:id="439838338">
                  <w:marLeft w:val="480"/>
                  <w:marRight w:val="0"/>
                  <w:marTop w:val="0"/>
                  <w:marBottom w:val="0"/>
                  <w:divBdr>
                    <w:top w:val="none" w:sz="0" w:space="0" w:color="auto"/>
                    <w:left w:val="none" w:sz="0" w:space="0" w:color="auto"/>
                    <w:bottom w:val="none" w:sz="0" w:space="0" w:color="auto"/>
                    <w:right w:val="none" w:sz="0" w:space="0" w:color="auto"/>
                  </w:divBdr>
                </w:div>
                <w:div w:id="1023747180">
                  <w:marLeft w:val="480"/>
                  <w:marRight w:val="0"/>
                  <w:marTop w:val="0"/>
                  <w:marBottom w:val="0"/>
                  <w:divBdr>
                    <w:top w:val="none" w:sz="0" w:space="0" w:color="auto"/>
                    <w:left w:val="none" w:sz="0" w:space="0" w:color="auto"/>
                    <w:bottom w:val="none" w:sz="0" w:space="0" w:color="auto"/>
                    <w:right w:val="none" w:sz="0" w:space="0" w:color="auto"/>
                  </w:divBdr>
                </w:div>
                <w:div w:id="1143502726">
                  <w:marLeft w:val="480"/>
                  <w:marRight w:val="0"/>
                  <w:marTop w:val="0"/>
                  <w:marBottom w:val="0"/>
                  <w:divBdr>
                    <w:top w:val="none" w:sz="0" w:space="0" w:color="auto"/>
                    <w:left w:val="none" w:sz="0" w:space="0" w:color="auto"/>
                    <w:bottom w:val="none" w:sz="0" w:space="0" w:color="auto"/>
                    <w:right w:val="none" w:sz="0" w:space="0" w:color="auto"/>
                  </w:divBdr>
                </w:div>
                <w:div w:id="1973054932">
                  <w:marLeft w:val="480"/>
                  <w:marRight w:val="0"/>
                  <w:marTop w:val="0"/>
                  <w:marBottom w:val="0"/>
                  <w:divBdr>
                    <w:top w:val="none" w:sz="0" w:space="0" w:color="auto"/>
                    <w:left w:val="none" w:sz="0" w:space="0" w:color="auto"/>
                    <w:bottom w:val="none" w:sz="0" w:space="0" w:color="auto"/>
                    <w:right w:val="none" w:sz="0" w:space="0" w:color="auto"/>
                  </w:divBdr>
                </w:div>
                <w:div w:id="212892530">
                  <w:marLeft w:val="480"/>
                  <w:marRight w:val="0"/>
                  <w:marTop w:val="0"/>
                  <w:marBottom w:val="0"/>
                  <w:divBdr>
                    <w:top w:val="none" w:sz="0" w:space="0" w:color="auto"/>
                    <w:left w:val="none" w:sz="0" w:space="0" w:color="auto"/>
                    <w:bottom w:val="none" w:sz="0" w:space="0" w:color="auto"/>
                    <w:right w:val="none" w:sz="0" w:space="0" w:color="auto"/>
                  </w:divBdr>
                </w:div>
                <w:div w:id="2115397473">
                  <w:marLeft w:val="480"/>
                  <w:marRight w:val="0"/>
                  <w:marTop w:val="0"/>
                  <w:marBottom w:val="0"/>
                  <w:divBdr>
                    <w:top w:val="none" w:sz="0" w:space="0" w:color="auto"/>
                    <w:left w:val="none" w:sz="0" w:space="0" w:color="auto"/>
                    <w:bottom w:val="none" w:sz="0" w:space="0" w:color="auto"/>
                    <w:right w:val="none" w:sz="0" w:space="0" w:color="auto"/>
                  </w:divBdr>
                </w:div>
                <w:div w:id="601768884">
                  <w:marLeft w:val="480"/>
                  <w:marRight w:val="0"/>
                  <w:marTop w:val="0"/>
                  <w:marBottom w:val="0"/>
                  <w:divBdr>
                    <w:top w:val="none" w:sz="0" w:space="0" w:color="auto"/>
                    <w:left w:val="none" w:sz="0" w:space="0" w:color="auto"/>
                    <w:bottom w:val="none" w:sz="0" w:space="0" w:color="auto"/>
                    <w:right w:val="none" w:sz="0" w:space="0" w:color="auto"/>
                  </w:divBdr>
                </w:div>
                <w:div w:id="1831360445">
                  <w:marLeft w:val="480"/>
                  <w:marRight w:val="0"/>
                  <w:marTop w:val="0"/>
                  <w:marBottom w:val="0"/>
                  <w:divBdr>
                    <w:top w:val="none" w:sz="0" w:space="0" w:color="auto"/>
                    <w:left w:val="none" w:sz="0" w:space="0" w:color="auto"/>
                    <w:bottom w:val="none" w:sz="0" w:space="0" w:color="auto"/>
                    <w:right w:val="none" w:sz="0" w:space="0" w:color="auto"/>
                  </w:divBdr>
                </w:div>
                <w:div w:id="132793530">
                  <w:marLeft w:val="480"/>
                  <w:marRight w:val="0"/>
                  <w:marTop w:val="0"/>
                  <w:marBottom w:val="0"/>
                  <w:divBdr>
                    <w:top w:val="none" w:sz="0" w:space="0" w:color="auto"/>
                    <w:left w:val="none" w:sz="0" w:space="0" w:color="auto"/>
                    <w:bottom w:val="none" w:sz="0" w:space="0" w:color="auto"/>
                    <w:right w:val="none" w:sz="0" w:space="0" w:color="auto"/>
                  </w:divBdr>
                </w:div>
                <w:div w:id="525338612">
                  <w:marLeft w:val="480"/>
                  <w:marRight w:val="0"/>
                  <w:marTop w:val="0"/>
                  <w:marBottom w:val="0"/>
                  <w:divBdr>
                    <w:top w:val="none" w:sz="0" w:space="0" w:color="auto"/>
                    <w:left w:val="none" w:sz="0" w:space="0" w:color="auto"/>
                    <w:bottom w:val="none" w:sz="0" w:space="0" w:color="auto"/>
                    <w:right w:val="none" w:sz="0" w:space="0" w:color="auto"/>
                  </w:divBdr>
                </w:div>
                <w:div w:id="931160414">
                  <w:marLeft w:val="480"/>
                  <w:marRight w:val="0"/>
                  <w:marTop w:val="0"/>
                  <w:marBottom w:val="0"/>
                  <w:divBdr>
                    <w:top w:val="none" w:sz="0" w:space="0" w:color="auto"/>
                    <w:left w:val="none" w:sz="0" w:space="0" w:color="auto"/>
                    <w:bottom w:val="none" w:sz="0" w:space="0" w:color="auto"/>
                    <w:right w:val="none" w:sz="0" w:space="0" w:color="auto"/>
                  </w:divBdr>
                </w:div>
                <w:div w:id="1871530285">
                  <w:marLeft w:val="480"/>
                  <w:marRight w:val="0"/>
                  <w:marTop w:val="0"/>
                  <w:marBottom w:val="0"/>
                  <w:divBdr>
                    <w:top w:val="none" w:sz="0" w:space="0" w:color="auto"/>
                    <w:left w:val="none" w:sz="0" w:space="0" w:color="auto"/>
                    <w:bottom w:val="none" w:sz="0" w:space="0" w:color="auto"/>
                    <w:right w:val="none" w:sz="0" w:space="0" w:color="auto"/>
                  </w:divBdr>
                </w:div>
                <w:div w:id="1946231372">
                  <w:marLeft w:val="480"/>
                  <w:marRight w:val="0"/>
                  <w:marTop w:val="0"/>
                  <w:marBottom w:val="0"/>
                  <w:divBdr>
                    <w:top w:val="none" w:sz="0" w:space="0" w:color="auto"/>
                    <w:left w:val="none" w:sz="0" w:space="0" w:color="auto"/>
                    <w:bottom w:val="none" w:sz="0" w:space="0" w:color="auto"/>
                    <w:right w:val="none" w:sz="0" w:space="0" w:color="auto"/>
                  </w:divBdr>
                </w:div>
                <w:div w:id="1418945091">
                  <w:marLeft w:val="480"/>
                  <w:marRight w:val="0"/>
                  <w:marTop w:val="0"/>
                  <w:marBottom w:val="0"/>
                  <w:divBdr>
                    <w:top w:val="none" w:sz="0" w:space="0" w:color="auto"/>
                    <w:left w:val="none" w:sz="0" w:space="0" w:color="auto"/>
                    <w:bottom w:val="none" w:sz="0" w:space="0" w:color="auto"/>
                    <w:right w:val="none" w:sz="0" w:space="0" w:color="auto"/>
                  </w:divBdr>
                </w:div>
                <w:div w:id="1264994515">
                  <w:marLeft w:val="480"/>
                  <w:marRight w:val="0"/>
                  <w:marTop w:val="0"/>
                  <w:marBottom w:val="0"/>
                  <w:divBdr>
                    <w:top w:val="none" w:sz="0" w:space="0" w:color="auto"/>
                    <w:left w:val="none" w:sz="0" w:space="0" w:color="auto"/>
                    <w:bottom w:val="none" w:sz="0" w:space="0" w:color="auto"/>
                    <w:right w:val="none" w:sz="0" w:space="0" w:color="auto"/>
                  </w:divBdr>
                </w:div>
                <w:div w:id="1611006448">
                  <w:marLeft w:val="480"/>
                  <w:marRight w:val="0"/>
                  <w:marTop w:val="0"/>
                  <w:marBottom w:val="0"/>
                  <w:divBdr>
                    <w:top w:val="none" w:sz="0" w:space="0" w:color="auto"/>
                    <w:left w:val="none" w:sz="0" w:space="0" w:color="auto"/>
                    <w:bottom w:val="none" w:sz="0" w:space="0" w:color="auto"/>
                    <w:right w:val="none" w:sz="0" w:space="0" w:color="auto"/>
                  </w:divBdr>
                </w:div>
                <w:div w:id="1749959912">
                  <w:marLeft w:val="480"/>
                  <w:marRight w:val="0"/>
                  <w:marTop w:val="0"/>
                  <w:marBottom w:val="0"/>
                  <w:divBdr>
                    <w:top w:val="none" w:sz="0" w:space="0" w:color="auto"/>
                    <w:left w:val="none" w:sz="0" w:space="0" w:color="auto"/>
                    <w:bottom w:val="none" w:sz="0" w:space="0" w:color="auto"/>
                    <w:right w:val="none" w:sz="0" w:space="0" w:color="auto"/>
                  </w:divBdr>
                </w:div>
                <w:div w:id="502356693">
                  <w:marLeft w:val="480"/>
                  <w:marRight w:val="0"/>
                  <w:marTop w:val="0"/>
                  <w:marBottom w:val="0"/>
                  <w:divBdr>
                    <w:top w:val="none" w:sz="0" w:space="0" w:color="auto"/>
                    <w:left w:val="none" w:sz="0" w:space="0" w:color="auto"/>
                    <w:bottom w:val="none" w:sz="0" w:space="0" w:color="auto"/>
                    <w:right w:val="none" w:sz="0" w:space="0" w:color="auto"/>
                  </w:divBdr>
                </w:div>
                <w:div w:id="1139415988">
                  <w:marLeft w:val="480"/>
                  <w:marRight w:val="0"/>
                  <w:marTop w:val="0"/>
                  <w:marBottom w:val="0"/>
                  <w:divBdr>
                    <w:top w:val="none" w:sz="0" w:space="0" w:color="auto"/>
                    <w:left w:val="none" w:sz="0" w:space="0" w:color="auto"/>
                    <w:bottom w:val="none" w:sz="0" w:space="0" w:color="auto"/>
                    <w:right w:val="none" w:sz="0" w:space="0" w:color="auto"/>
                  </w:divBdr>
                </w:div>
                <w:div w:id="1316253712">
                  <w:marLeft w:val="480"/>
                  <w:marRight w:val="0"/>
                  <w:marTop w:val="0"/>
                  <w:marBottom w:val="0"/>
                  <w:divBdr>
                    <w:top w:val="none" w:sz="0" w:space="0" w:color="auto"/>
                    <w:left w:val="none" w:sz="0" w:space="0" w:color="auto"/>
                    <w:bottom w:val="none" w:sz="0" w:space="0" w:color="auto"/>
                    <w:right w:val="none" w:sz="0" w:space="0" w:color="auto"/>
                  </w:divBdr>
                </w:div>
                <w:div w:id="956059686">
                  <w:marLeft w:val="480"/>
                  <w:marRight w:val="0"/>
                  <w:marTop w:val="0"/>
                  <w:marBottom w:val="0"/>
                  <w:divBdr>
                    <w:top w:val="none" w:sz="0" w:space="0" w:color="auto"/>
                    <w:left w:val="none" w:sz="0" w:space="0" w:color="auto"/>
                    <w:bottom w:val="none" w:sz="0" w:space="0" w:color="auto"/>
                    <w:right w:val="none" w:sz="0" w:space="0" w:color="auto"/>
                  </w:divBdr>
                </w:div>
                <w:div w:id="1553998652">
                  <w:marLeft w:val="480"/>
                  <w:marRight w:val="0"/>
                  <w:marTop w:val="0"/>
                  <w:marBottom w:val="0"/>
                  <w:divBdr>
                    <w:top w:val="none" w:sz="0" w:space="0" w:color="auto"/>
                    <w:left w:val="none" w:sz="0" w:space="0" w:color="auto"/>
                    <w:bottom w:val="none" w:sz="0" w:space="0" w:color="auto"/>
                    <w:right w:val="none" w:sz="0" w:space="0" w:color="auto"/>
                  </w:divBdr>
                </w:div>
                <w:div w:id="1043097409">
                  <w:marLeft w:val="480"/>
                  <w:marRight w:val="0"/>
                  <w:marTop w:val="0"/>
                  <w:marBottom w:val="0"/>
                  <w:divBdr>
                    <w:top w:val="none" w:sz="0" w:space="0" w:color="auto"/>
                    <w:left w:val="none" w:sz="0" w:space="0" w:color="auto"/>
                    <w:bottom w:val="none" w:sz="0" w:space="0" w:color="auto"/>
                    <w:right w:val="none" w:sz="0" w:space="0" w:color="auto"/>
                  </w:divBdr>
                </w:div>
                <w:div w:id="1159153544">
                  <w:marLeft w:val="480"/>
                  <w:marRight w:val="0"/>
                  <w:marTop w:val="0"/>
                  <w:marBottom w:val="0"/>
                  <w:divBdr>
                    <w:top w:val="none" w:sz="0" w:space="0" w:color="auto"/>
                    <w:left w:val="none" w:sz="0" w:space="0" w:color="auto"/>
                    <w:bottom w:val="none" w:sz="0" w:space="0" w:color="auto"/>
                    <w:right w:val="none" w:sz="0" w:space="0" w:color="auto"/>
                  </w:divBdr>
                </w:div>
                <w:div w:id="1134057048">
                  <w:marLeft w:val="480"/>
                  <w:marRight w:val="0"/>
                  <w:marTop w:val="0"/>
                  <w:marBottom w:val="0"/>
                  <w:divBdr>
                    <w:top w:val="none" w:sz="0" w:space="0" w:color="auto"/>
                    <w:left w:val="none" w:sz="0" w:space="0" w:color="auto"/>
                    <w:bottom w:val="none" w:sz="0" w:space="0" w:color="auto"/>
                    <w:right w:val="none" w:sz="0" w:space="0" w:color="auto"/>
                  </w:divBdr>
                </w:div>
                <w:div w:id="273023862">
                  <w:marLeft w:val="480"/>
                  <w:marRight w:val="0"/>
                  <w:marTop w:val="0"/>
                  <w:marBottom w:val="0"/>
                  <w:divBdr>
                    <w:top w:val="none" w:sz="0" w:space="0" w:color="auto"/>
                    <w:left w:val="none" w:sz="0" w:space="0" w:color="auto"/>
                    <w:bottom w:val="none" w:sz="0" w:space="0" w:color="auto"/>
                    <w:right w:val="none" w:sz="0" w:space="0" w:color="auto"/>
                  </w:divBdr>
                </w:div>
                <w:div w:id="1529874536">
                  <w:marLeft w:val="480"/>
                  <w:marRight w:val="0"/>
                  <w:marTop w:val="0"/>
                  <w:marBottom w:val="0"/>
                  <w:divBdr>
                    <w:top w:val="none" w:sz="0" w:space="0" w:color="auto"/>
                    <w:left w:val="none" w:sz="0" w:space="0" w:color="auto"/>
                    <w:bottom w:val="none" w:sz="0" w:space="0" w:color="auto"/>
                    <w:right w:val="none" w:sz="0" w:space="0" w:color="auto"/>
                  </w:divBdr>
                </w:div>
                <w:div w:id="417947597">
                  <w:marLeft w:val="480"/>
                  <w:marRight w:val="0"/>
                  <w:marTop w:val="0"/>
                  <w:marBottom w:val="0"/>
                  <w:divBdr>
                    <w:top w:val="none" w:sz="0" w:space="0" w:color="auto"/>
                    <w:left w:val="none" w:sz="0" w:space="0" w:color="auto"/>
                    <w:bottom w:val="none" w:sz="0" w:space="0" w:color="auto"/>
                    <w:right w:val="none" w:sz="0" w:space="0" w:color="auto"/>
                  </w:divBdr>
                </w:div>
                <w:div w:id="1891452102">
                  <w:marLeft w:val="480"/>
                  <w:marRight w:val="0"/>
                  <w:marTop w:val="0"/>
                  <w:marBottom w:val="0"/>
                  <w:divBdr>
                    <w:top w:val="none" w:sz="0" w:space="0" w:color="auto"/>
                    <w:left w:val="none" w:sz="0" w:space="0" w:color="auto"/>
                    <w:bottom w:val="none" w:sz="0" w:space="0" w:color="auto"/>
                    <w:right w:val="none" w:sz="0" w:space="0" w:color="auto"/>
                  </w:divBdr>
                </w:div>
                <w:div w:id="1790276148">
                  <w:marLeft w:val="480"/>
                  <w:marRight w:val="0"/>
                  <w:marTop w:val="0"/>
                  <w:marBottom w:val="0"/>
                  <w:divBdr>
                    <w:top w:val="none" w:sz="0" w:space="0" w:color="auto"/>
                    <w:left w:val="none" w:sz="0" w:space="0" w:color="auto"/>
                    <w:bottom w:val="none" w:sz="0" w:space="0" w:color="auto"/>
                    <w:right w:val="none" w:sz="0" w:space="0" w:color="auto"/>
                  </w:divBdr>
                </w:div>
                <w:div w:id="1474326205">
                  <w:marLeft w:val="480"/>
                  <w:marRight w:val="0"/>
                  <w:marTop w:val="0"/>
                  <w:marBottom w:val="0"/>
                  <w:divBdr>
                    <w:top w:val="none" w:sz="0" w:space="0" w:color="auto"/>
                    <w:left w:val="none" w:sz="0" w:space="0" w:color="auto"/>
                    <w:bottom w:val="none" w:sz="0" w:space="0" w:color="auto"/>
                    <w:right w:val="none" w:sz="0" w:space="0" w:color="auto"/>
                  </w:divBdr>
                </w:div>
                <w:div w:id="2057587215">
                  <w:marLeft w:val="480"/>
                  <w:marRight w:val="0"/>
                  <w:marTop w:val="0"/>
                  <w:marBottom w:val="0"/>
                  <w:divBdr>
                    <w:top w:val="none" w:sz="0" w:space="0" w:color="auto"/>
                    <w:left w:val="none" w:sz="0" w:space="0" w:color="auto"/>
                    <w:bottom w:val="none" w:sz="0" w:space="0" w:color="auto"/>
                    <w:right w:val="none" w:sz="0" w:space="0" w:color="auto"/>
                  </w:divBdr>
                </w:div>
                <w:div w:id="1074007850">
                  <w:marLeft w:val="480"/>
                  <w:marRight w:val="0"/>
                  <w:marTop w:val="0"/>
                  <w:marBottom w:val="0"/>
                  <w:divBdr>
                    <w:top w:val="none" w:sz="0" w:space="0" w:color="auto"/>
                    <w:left w:val="none" w:sz="0" w:space="0" w:color="auto"/>
                    <w:bottom w:val="none" w:sz="0" w:space="0" w:color="auto"/>
                    <w:right w:val="none" w:sz="0" w:space="0" w:color="auto"/>
                  </w:divBdr>
                </w:div>
                <w:div w:id="1509637811">
                  <w:marLeft w:val="480"/>
                  <w:marRight w:val="0"/>
                  <w:marTop w:val="0"/>
                  <w:marBottom w:val="0"/>
                  <w:divBdr>
                    <w:top w:val="none" w:sz="0" w:space="0" w:color="auto"/>
                    <w:left w:val="none" w:sz="0" w:space="0" w:color="auto"/>
                    <w:bottom w:val="none" w:sz="0" w:space="0" w:color="auto"/>
                    <w:right w:val="none" w:sz="0" w:space="0" w:color="auto"/>
                  </w:divBdr>
                </w:div>
                <w:div w:id="2118713732">
                  <w:marLeft w:val="480"/>
                  <w:marRight w:val="0"/>
                  <w:marTop w:val="0"/>
                  <w:marBottom w:val="0"/>
                  <w:divBdr>
                    <w:top w:val="none" w:sz="0" w:space="0" w:color="auto"/>
                    <w:left w:val="none" w:sz="0" w:space="0" w:color="auto"/>
                    <w:bottom w:val="none" w:sz="0" w:space="0" w:color="auto"/>
                    <w:right w:val="none" w:sz="0" w:space="0" w:color="auto"/>
                  </w:divBdr>
                </w:div>
                <w:div w:id="1028722064">
                  <w:marLeft w:val="480"/>
                  <w:marRight w:val="0"/>
                  <w:marTop w:val="0"/>
                  <w:marBottom w:val="0"/>
                  <w:divBdr>
                    <w:top w:val="none" w:sz="0" w:space="0" w:color="auto"/>
                    <w:left w:val="none" w:sz="0" w:space="0" w:color="auto"/>
                    <w:bottom w:val="none" w:sz="0" w:space="0" w:color="auto"/>
                    <w:right w:val="none" w:sz="0" w:space="0" w:color="auto"/>
                  </w:divBdr>
                </w:div>
                <w:div w:id="1354571750">
                  <w:marLeft w:val="480"/>
                  <w:marRight w:val="0"/>
                  <w:marTop w:val="0"/>
                  <w:marBottom w:val="0"/>
                  <w:divBdr>
                    <w:top w:val="none" w:sz="0" w:space="0" w:color="auto"/>
                    <w:left w:val="none" w:sz="0" w:space="0" w:color="auto"/>
                    <w:bottom w:val="none" w:sz="0" w:space="0" w:color="auto"/>
                    <w:right w:val="none" w:sz="0" w:space="0" w:color="auto"/>
                  </w:divBdr>
                </w:div>
                <w:div w:id="1126896851">
                  <w:marLeft w:val="480"/>
                  <w:marRight w:val="0"/>
                  <w:marTop w:val="0"/>
                  <w:marBottom w:val="0"/>
                  <w:divBdr>
                    <w:top w:val="none" w:sz="0" w:space="0" w:color="auto"/>
                    <w:left w:val="none" w:sz="0" w:space="0" w:color="auto"/>
                    <w:bottom w:val="none" w:sz="0" w:space="0" w:color="auto"/>
                    <w:right w:val="none" w:sz="0" w:space="0" w:color="auto"/>
                  </w:divBdr>
                </w:div>
                <w:div w:id="1770589613">
                  <w:marLeft w:val="480"/>
                  <w:marRight w:val="0"/>
                  <w:marTop w:val="0"/>
                  <w:marBottom w:val="0"/>
                  <w:divBdr>
                    <w:top w:val="none" w:sz="0" w:space="0" w:color="auto"/>
                    <w:left w:val="none" w:sz="0" w:space="0" w:color="auto"/>
                    <w:bottom w:val="none" w:sz="0" w:space="0" w:color="auto"/>
                    <w:right w:val="none" w:sz="0" w:space="0" w:color="auto"/>
                  </w:divBdr>
                </w:div>
                <w:div w:id="1030108475">
                  <w:marLeft w:val="480"/>
                  <w:marRight w:val="0"/>
                  <w:marTop w:val="0"/>
                  <w:marBottom w:val="0"/>
                  <w:divBdr>
                    <w:top w:val="none" w:sz="0" w:space="0" w:color="auto"/>
                    <w:left w:val="none" w:sz="0" w:space="0" w:color="auto"/>
                    <w:bottom w:val="none" w:sz="0" w:space="0" w:color="auto"/>
                    <w:right w:val="none" w:sz="0" w:space="0" w:color="auto"/>
                  </w:divBdr>
                </w:div>
                <w:div w:id="975988505">
                  <w:marLeft w:val="480"/>
                  <w:marRight w:val="0"/>
                  <w:marTop w:val="0"/>
                  <w:marBottom w:val="0"/>
                  <w:divBdr>
                    <w:top w:val="none" w:sz="0" w:space="0" w:color="auto"/>
                    <w:left w:val="none" w:sz="0" w:space="0" w:color="auto"/>
                    <w:bottom w:val="none" w:sz="0" w:space="0" w:color="auto"/>
                    <w:right w:val="none" w:sz="0" w:space="0" w:color="auto"/>
                  </w:divBdr>
                </w:div>
                <w:div w:id="1675495578">
                  <w:marLeft w:val="480"/>
                  <w:marRight w:val="0"/>
                  <w:marTop w:val="0"/>
                  <w:marBottom w:val="0"/>
                  <w:divBdr>
                    <w:top w:val="none" w:sz="0" w:space="0" w:color="auto"/>
                    <w:left w:val="none" w:sz="0" w:space="0" w:color="auto"/>
                    <w:bottom w:val="none" w:sz="0" w:space="0" w:color="auto"/>
                    <w:right w:val="none" w:sz="0" w:space="0" w:color="auto"/>
                  </w:divBdr>
                </w:div>
                <w:div w:id="135874953">
                  <w:marLeft w:val="480"/>
                  <w:marRight w:val="0"/>
                  <w:marTop w:val="0"/>
                  <w:marBottom w:val="0"/>
                  <w:divBdr>
                    <w:top w:val="none" w:sz="0" w:space="0" w:color="auto"/>
                    <w:left w:val="none" w:sz="0" w:space="0" w:color="auto"/>
                    <w:bottom w:val="none" w:sz="0" w:space="0" w:color="auto"/>
                    <w:right w:val="none" w:sz="0" w:space="0" w:color="auto"/>
                  </w:divBdr>
                </w:div>
                <w:div w:id="893925693">
                  <w:marLeft w:val="480"/>
                  <w:marRight w:val="0"/>
                  <w:marTop w:val="0"/>
                  <w:marBottom w:val="0"/>
                  <w:divBdr>
                    <w:top w:val="none" w:sz="0" w:space="0" w:color="auto"/>
                    <w:left w:val="none" w:sz="0" w:space="0" w:color="auto"/>
                    <w:bottom w:val="none" w:sz="0" w:space="0" w:color="auto"/>
                    <w:right w:val="none" w:sz="0" w:space="0" w:color="auto"/>
                  </w:divBdr>
                </w:div>
                <w:div w:id="1854227755">
                  <w:marLeft w:val="480"/>
                  <w:marRight w:val="0"/>
                  <w:marTop w:val="0"/>
                  <w:marBottom w:val="0"/>
                  <w:divBdr>
                    <w:top w:val="none" w:sz="0" w:space="0" w:color="auto"/>
                    <w:left w:val="none" w:sz="0" w:space="0" w:color="auto"/>
                    <w:bottom w:val="none" w:sz="0" w:space="0" w:color="auto"/>
                    <w:right w:val="none" w:sz="0" w:space="0" w:color="auto"/>
                  </w:divBdr>
                </w:div>
                <w:div w:id="415829942">
                  <w:marLeft w:val="480"/>
                  <w:marRight w:val="0"/>
                  <w:marTop w:val="0"/>
                  <w:marBottom w:val="0"/>
                  <w:divBdr>
                    <w:top w:val="none" w:sz="0" w:space="0" w:color="auto"/>
                    <w:left w:val="none" w:sz="0" w:space="0" w:color="auto"/>
                    <w:bottom w:val="none" w:sz="0" w:space="0" w:color="auto"/>
                    <w:right w:val="none" w:sz="0" w:space="0" w:color="auto"/>
                  </w:divBdr>
                </w:div>
                <w:div w:id="1250848153">
                  <w:marLeft w:val="480"/>
                  <w:marRight w:val="0"/>
                  <w:marTop w:val="0"/>
                  <w:marBottom w:val="0"/>
                  <w:divBdr>
                    <w:top w:val="none" w:sz="0" w:space="0" w:color="auto"/>
                    <w:left w:val="none" w:sz="0" w:space="0" w:color="auto"/>
                    <w:bottom w:val="none" w:sz="0" w:space="0" w:color="auto"/>
                    <w:right w:val="none" w:sz="0" w:space="0" w:color="auto"/>
                  </w:divBdr>
                </w:div>
                <w:div w:id="850293376">
                  <w:marLeft w:val="480"/>
                  <w:marRight w:val="0"/>
                  <w:marTop w:val="0"/>
                  <w:marBottom w:val="0"/>
                  <w:divBdr>
                    <w:top w:val="none" w:sz="0" w:space="0" w:color="auto"/>
                    <w:left w:val="none" w:sz="0" w:space="0" w:color="auto"/>
                    <w:bottom w:val="none" w:sz="0" w:space="0" w:color="auto"/>
                    <w:right w:val="none" w:sz="0" w:space="0" w:color="auto"/>
                  </w:divBdr>
                </w:div>
                <w:div w:id="825702292">
                  <w:marLeft w:val="480"/>
                  <w:marRight w:val="0"/>
                  <w:marTop w:val="0"/>
                  <w:marBottom w:val="0"/>
                  <w:divBdr>
                    <w:top w:val="none" w:sz="0" w:space="0" w:color="auto"/>
                    <w:left w:val="none" w:sz="0" w:space="0" w:color="auto"/>
                    <w:bottom w:val="none" w:sz="0" w:space="0" w:color="auto"/>
                    <w:right w:val="none" w:sz="0" w:space="0" w:color="auto"/>
                  </w:divBdr>
                </w:div>
                <w:div w:id="1037119816">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865213762">
          <w:marLeft w:val="480"/>
          <w:marRight w:val="0"/>
          <w:marTop w:val="0"/>
          <w:marBottom w:val="0"/>
          <w:divBdr>
            <w:top w:val="none" w:sz="0" w:space="0" w:color="auto"/>
            <w:left w:val="none" w:sz="0" w:space="0" w:color="auto"/>
            <w:bottom w:val="none" w:sz="0" w:space="0" w:color="auto"/>
            <w:right w:val="none" w:sz="0" w:space="0" w:color="auto"/>
          </w:divBdr>
        </w:div>
      </w:divsChild>
    </w:div>
    <w:div w:id="58479896">
      <w:bodyDiv w:val="1"/>
      <w:marLeft w:val="0"/>
      <w:marRight w:val="0"/>
      <w:marTop w:val="0"/>
      <w:marBottom w:val="0"/>
      <w:divBdr>
        <w:top w:val="none" w:sz="0" w:space="0" w:color="auto"/>
        <w:left w:val="none" w:sz="0" w:space="0" w:color="auto"/>
        <w:bottom w:val="none" w:sz="0" w:space="0" w:color="auto"/>
        <w:right w:val="none" w:sz="0" w:space="0" w:color="auto"/>
      </w:divBdr>
    </w:div>
    <w:div w:id="63794202">
      <w:bodyDiv w:val="1"/>
      <w:marLeft w:val="0"/>
      <w:marRight w:val="0"/>
      <w:marTop w:val="0"/>
      <w:marBottom w:val="0"/>
      <w:divBdr>
        <w:top w:val="none" w:sz="0" w:space="0" w:color="auto"/>
        <w:left w:val="none" w:sz="0" w:space="0" w:color="auto"/>
        <w:bottom w:val="none" w:sz="0" w:space="0" w:color="auto"/>
        <w:right w:val="none" w:sz="0" w:space="0" w:color="auto"/>
      </w:divBdr>
    </w:div>
    <w:div w:id="72625827">
      <w:bodyDiv w:val="1"/>
      <w:marLeft w:val="0"/>
      <w:marRight w:val="0"/>
      <w:marTop w:val="0"/>
      <w:marBottom w:val="0"/>
      <w:divBdr>
        <w:top w:val="none" w:sz="0" w:space="0" w:color="auto"/>
        <w:left w:val="none" w:sz="0" w:space="0" w:color="auto"/>
        <w:bottom w:val="none" w:sz="0" w:space="0" w:color="auto"/>
        <w:right w:val="none" w:sz="0" w:space="0" w:color="auto"/>
      </w:divBdr>
    </w:div>
    <w:div w:id="76824789">
      <w:bodyDiv w:val="1"/>
      <w:marLeft w:val="0"/>
      <w:marRight w:val="0"/>
      <w:marTop w:val="0"/>
      <w:marBottom w:val="0"/>
      <w:divBdr>
        <w:top w:val="none" w:sz="0" w:space="0" w:color="auto"/>
        <w:left w:val="none" w:sz="0" w:space="0" w:color="auto"/>
        <w:bottom w:val="none" w:sz="0" w:space="0" w:color="auto"/>
        <w:right w:val="none" w:sz="0" w:space="0" w:color="auto"/>
      </w:divBdr>
    </w:div>
    <w:div w:id="77950026">
      <w:bodyDiv w:val="1"/>
      <w:marLeft w:val="0"/>
      <w:marRight w:val="0"/>
      <w:marTop w:val="0"/>
      <w:marBottom w:val="0"/>
      <w:divBdr>
        <w:top w:val="none" w:sz="0" w:space="0" w:color="auto"/>
        <w:left w:val="none" w:sz="0" w:space="0" w:color="auto"/>
        <w:bottom w:val="none" w:sz="0" w:space="0" w:color="auto"/>
        <w:right w:val="none" w:sz="0" w:space="0" w:color="auto"/>
      </w:divBdr>
    </w:div>
    <w:div w:id="107745648">
      <w:bodyDiv w:val="1"/>
      <w:marLeft w:val="0"/>
      <w:marRight w:val="0"/>
      <w:marTop w:val="0"/>
      <w:marBottom w:val="0"/>
      <w:divBdr>
        <w:top w:val="none" w:sz="0" w:space="0" w:color="auto"/>
        <w:left w:val="none" w:sz="0" w:space="0" w:color="auto"/>
        <w:bottom w:val="none" w:sz="0" w:space="0" w:color="auto"/>
        <w:right w:val="none" w:sz="0" w:space="0" w:color="auto"/>
      </w:divBdr>
      <w:divsChild>
        <w:div w:id="611984217">
          <w:marLeft w:val="480"/>
          <w:marRight w:val="0"/>
          <w:marTop w:val="0"/>
          <w:marBottom w:val="0"/>
          <w:divBdr>
            <w:top w:val="none" w:sz="0" w:space="0" w:color="auto"/>
            <w:left w:val="none" w:sz="0" w:space="0" w:color="auto"/>
            <w:bottom w:val="none" w:sz="0" w:space="0" w:color="auto"/>
            <w:right w:val="none" w:sz="0" w:space="0" w:color="auto"/>
          </w:divBdr>
        </w:div>
        <w:div w:id="262493504">
          <w:marLeft w:val="480"/>
          <w:marRight w:val="0"/>
          <w:marTop w:val="0"/>
          <w:marBottom w:val="0"/>
          <w:divBdr>
            <w:top w:val="none" w:sz="0" w:space="0" w:color="auto"/>
            <w:left w:val="none" w:sz="0" w:space="0" w:color="auto"/>
            <w:bottom w:val="none" w:sz="0" w:space="0" w:color="auto"/>
            <w:right w:val="none" w:sz="0" w:space="0" w:color="auto"/>
          </w:divBdr>
        </w:div>
        <w:div w:id="159544377">
          <w:marLeft w:val="480"/>
          <w:marRight w:val="0"/>
          <w:marTop w:val="0"/>
          <w:marBottom w:val="0"/>
          <w:divBdr>
            <w:top w:val="none" w:sz="0" w:space="0" w:color="auto"/>
            <w:left w:val="none" w:sz="0" w:space="0" w:color="auto"/>
            <w:bottom w:val="none" w:sz="0" w:space="0" w:color="auto"/>
            <w:right w:val="none" w:sz="0" w:space="0" w:color="auto"/>
          </w:divBdr>
        </w:div>
        <w:div w:id="1437407405">
          <w:marLeft w:val="480"/>
          <w:marRight w:val="0"/>
          <w:marTop w:val="0"/>
          <w:marBottom w:val="0"/>
          <w:divBdr>
            <w:top w:val="none" w:sz="0" w:space="0" w:color="auto"/>
            <w:left w:val="none" w:sz="0" w:space="0" w:color="auto"/>
            <w:bottom w:val="none" w:sz="0" w:space="0" w:color="auto"/>
            <w:right w:val="none" w:sz="0" w:space="0" w:color="auto"/>
          </w:divBdr>
        </w:div>
        <w:div w:id="1041054706">
          <w:marLeft w:val="480"/>
          <w:marRight w:val="0"/>
          <w:marTop w:val="0"/>
          <w:marBottom w:val="0"/>
          <w:divBdr>
            <w:top w:val="none" w:sz="0" w:space="0" w:color="auto"/>
            <w:left w:val="none" w:sz="0" w:space="0" w:color="auto"/>
            <w:bottom w:val="none" w:sz="0" w:space="0" w:color="auto"/>
            <w:right w:val="none" w:sz="0" w:space="0" w:color="auto"/>
          </w:divBdr>
        </w:div>
        <w:div w:id="1196164156">
          <w:marLeft w:val="480"/>
          <w:marRight w:val="0"/>
          <w:marTop w:val="0"/>
          <w:marBottom w:val="0"/>
          <w:divBdr>
            <w:top w:val="none" w:sz="0" w:space="0" w:color="auto"/>
            <w:left w:val="none" w:sz="0" w:space="0" w:color="auto"/>
            <w:bottom w:val="none" w:sz="0" w:space="0" w:color="auto"/>
            <w:right w:val="none" w:sz="0" w:space="0" w:color="auto"/>
          </w:divBdr>
        </w:div>
        <w:div w:id="2122647369">
          <w:marLeft w:val="480"/>
          <w:marRight w:val="0"/>
          <w:marTop w:val="0"/>
          <w:marBottom w:val="0"/>
          <w:divBdr>
            <w:top w:val="none" w:sz="0" w:space="0" w:color="auto"/>
            <w:left w:val="none" w:sz="0" w:space="0" w:color="auto"/>
            <w:bottom w:val="none" w:sz="0" w:space="0" w:color="auto"/>
            <w:right w:val="none" w:sz="0" w:space="0" w:color="auto"/>
          </w:divBdr>
        </w:div>
        <w:div w:id="1993830688">
          <w:marLeft w:val="480"/>
          <w:marRight w:val="0"/>
          <w:marTop w:val="0"/>
          <w:marBottom w:val="0"/>
          <w:divBdr>
            <w:top w:val="none" w:sz="0" w:space="0" w:color="auto"/>
            <w:left w:val="none" w:sz="0" w:space="0" w:color="auto"/>
            <w:bottom w:val="none" w:sz="0" w:space="0" w:color="auto"/>
            <w:right w:val="none" w:sz="0" w:space="0" w:color="auto"/>
          </w:divBdr>
        </w:div>
        <w:div w:id="272520291">
          <w:marLeft w:val="480"/>
          <w:marRight w:val="0"/>
          <w:marTop w:val="0"/>
          <w:marBottom w:val="0"/>
          <w:divBdr>
            <w:top w:val="none" w:sz="0" w:space="0" w:color="auto"/>
            <w:left w:val="none" w:sz="0" w:space="0" w:color="auto"/>
            <w:bottom w:val="none" w:sz="0" w:space="0" w:color="auto"/>
            <w:right w:val="none" w:sz="0" w:space="0" w:color="auto"/>
          </w:divBdr>
        </w:div>
        <w:div w:id="152307698">
          <w:marLeft w:val="480"/>
          <w:marRight w:val="0"/>
          <w:marTop w:val="0"/>
          <w:marBottom w:val="0"/>
          <w:divBdr>
            <w:top w:val="none" w:sz="0" w:space="0" w:color="auto"/>
            <w:left w:val="none" w:sz="0" w:space="0" w:color="auto"/>
            <w:bottom w:val="none" w:sz="0" w:space="0" w:color="auto"/>
            <w:right w:val="none" w:sz="0" w:space="0" w:color="auto"/>
          </w:divBdr>
        </w:div>
        <w:div w:id="1583442237">
          <w:marLeft w:val="480"/>
          <w:marRight w:val="0"/>
          <w:marTop w:val="0"/>
          <w:marBottom w:val="0"/>
          <w:divBdr>
            <w:top w:val="none" w:sz="0" w:space="0" w:color="auto"/>
            <w:left w:val="none" w:sz="0" w:space="0" w:color="auto"/>
            <w:bottom w:val="none" w:sz="0" w:space="0" w:color="auto"/>
            <w:right w:val="none" w:sz="0" w:space="0" w:color="auto"/>
          </w:divBdr>
        </w:div>
        <w:div w:id="1615285756">
          <w:marLeft w:val="480"/>
          <w:marRight w:val="0"/>
          <w:marTop w:val="0"/>
          <w:marBottom w:val="0"/>
          <w:divBdr>
            <w:top w:val="none" w:sz="0" w:space="0" w:color="auto"/>
            <w:left w:val="none" w:sz="0" w:space="0" w:color="auto"/>
            <w:bottom w:val="none" w:sz="0" w:space="0" w:color="auto"/>
            <w:right w:val="none" w:sz="0" w:space="0" w:color="auto"/>
          </w:divBdr>
        </w:div>
        <w:div w:id="1272858648">
          <w:marLeft w:val="480"/>
          <w:marRight w:val="0"/>
          <w:marTop w:val="0"/>
          <w:marBottom w:val="0"/>
          <w:divBdr>
            <w:top w:val="none" w:sz="0" w:space="0" w:color="auto"/>
            <w:left w:val="none" w:sz="0" w:space="0" w:color="auto"/>
            <w:bottom w:val="none" w:sz="0" w:space="0" w:color="auto"/>
            <w:right w:val="none" w:sz="0" w:space="0" w:color="auto"/>
          </w:divBdr>
        </w:div>
        <w:div w:id="1404067716">
          <w:marLeft w:val="480"/>
          <w:marRight w:val="0"/>
          <w:marTop w:val="0"/>
          <w:marBottom w:val="0"/>
          <w:divBdr>
            <w:top w:val="none" w:sz="0" w:space="0" w:color="auto"/>
            <w:left w:val="none" w:sz="0" w:space="0" w:color="auto"/>
            <w:bottom w:val="none" w:sz="0" w:space="0" w:color="auto"/>
            <w:right w:val="none" w:sz="0" w:space="0" w:color="auto"/>
          </w:divBdr>
        </w:div>
        <w:div w:id="2067796334">
          <w:marLeft w:val="480"/>
          <w:marRight w:val="0"/>
          <w:marTop w:val="0"/>
          <w:marBottom w:val="0"/>
          <w:divBdr>
            <w:top w:val="none" w:sz="0" w:space="0" w:color="auto"/>
            <w:left w:val="none" w:sz="0" w:space="0" w:color="auto"/>
            <w:bottom w:val="none" w:sz="0" w:space="0" w:color="auto"/>
            <w:right w:val="none" w:sz="0" w:space="0" w:color="auto"/>
          </w:divBdr>
        </w:div>
        <w:div w:id="1227256867">
          <w:marLeft w:val="480"/>
          <w:marRight w:val="0"/>
          <w:marTop w:val="0"/>
          <w:marBottom w:val="0"/>
          <w:divBdr>
            <w:top w:val="none" w:sz="0" w:space="0" w:color="auto"/>
            <w:left w:val="none" w:sz="0" w:space="0" w:color="auto"/>
            <w:bottom w:val="none" w:sz="0" w:space="0" w:color="auto"/>
            <w:right w:val="none" w:sz="0" w:space="0" w:color="auto"/>
          </w:divBdr>
        </w:div>
        <w:div w:id="211381676">
          <w:marLeft w:val="480"/>
          <w:marRight w:val="0"/>
          <w:marTop w:val="0"/>
          <w:marBottom w:val="0"/>
          <w:divBdr>
            <w:top w:val="none" w:sz="0" w:space="0" w:color="auto"/>
            <w:left w:val="none" w:sz="0" w:space="0" w:color="auto"/>
            <w:bottom w:val="none" w:sz="0" w:space="0" w:color="auto"/>
            <w:right w:val="none" w:sz="0" w:space="0" w:color="auto"/>
          </w:divBdr>
        </w:div>
        <w:div w:id="135027453">
          <w:marLeft w:val="480"/>
          <w:marRight w:val="0"/>
          <w:marTop w:val="0"/>
          <w:marBottom w:val="0"/>
          <w:divBdr>
            <w:top w:val="none" w:sz="0" w:space="0" w:color="auto"/>
            <w:left w:val="none" w:sz="0" w:space="0" w:color="auto"/>
            <w:bottom w:val="none" w:sz="0" w:space="0" w:color="auto"/>
            <w:right w:val="none" w:sz="0" w:space="0" w:color="auto"/>
          </w:divBdr>
        </w:div>
        <w:div w:id="760612137">
          <w:marLeft w:val="480"/>
          <w:marRight w:val="0"/>
          <w:marTop w:val="0"/>
          <w:marBottom w:val="0"/>
          <w:divBdr>
            <w:top w:val="none" w:sz="0" w:space="0" w:color="auto"/>
            <w:left w:val="none" w:sz="0" w:space="0" w:color="auto"/>
            <w:bottom w:val="none" w:sz="0" w:space="0" w:color="auto"/>
            <w:right w:val="none" w:sz="0" w:space="0" w:color="auto"/>
          </w:divBdr>
        </w:div>
        <w:div w:id="301468729">
          <w:marLeft w:val="480"/>
          <w:marRight w:val="0"/>
          <w:marTop w:val="0"/>
          <w:marBottom w:val="0"/>
          <w:divBdr>
            <w:top w:val="none" w:sz="0" w:space="0" w:color="auto"/>
            <w:left w:val="none" w:sz="0" w:space="0" w:color="auto"/>
            <w:bottom w:val="none" w:sz="0" w:space="0" w:color="auto"/>
            <w:right w:val="none" w:sz="0" w:space="0" w:color="auto"/>
          </w:divBdr>
        </w:div>
        <w:div w:id="1921981274">
          <w:marLeft w:val="480"/>
          <w:marRight w:val="0"/>
          <w:marTop w:val="0"/>
          <w:marBottom w:val="0"/>
          <w:divBdr>
            <w:top w:val="none" w:sz="0" w:space="0" w:color="auto"/>
            <w:left w:val="none" w:sz="0" w:space="0" w:color="auto"/>
            <w:bottom w:val="none" w:sz="0" w:space="0" w:color="auto"/>
            <w:right w:val="none" w:sz="0" w:space="0" w:color="auto"/>
          </w:divBdr>
        </w:div>
        <w:div w:id="1575823986">
          <w:marLeft w:val="480"/>
          <w:marRight w:val="0"/>
          <w:marTop w:val="0"/>
          <w:marBottom w:val="0"/>
          <w:divBdr>
            <w:top w:val="none" w:sz="0" w:space="0" w:color="auto"/>
            <w:left w:val="none" w:sz="0" w:space="0" w:color="auto"/>
            <w:bottom w:val="none" w:sz="0" w:space="0" w:color="auto"/>
            <w:right w:val="none" w:sz="0" w:space="0" w:color="auto"/>
          </w:divBdr>
        </w:div>
        <w:div w:id="1712875080">
          <w:marLeft w:val="480"/>
          <w:marRight w:val="0"/>
          <w:marTop w:val="0"/>
          <w:marBottom w:val="0"/>
          <w:divBdr>
            <w:top w:val="none" w:sz="0" w:space="0" w:color="auto"/>
            <w:left w:val="none" w:sz="0" w:space="0" w:color="auto"/>
            <w:bottom w:val="none" w:sz="0" w:space="0" w:color="auto"/>
            <w:right w:val="none" w:sz="0" w:space="0" w:color="auto"/>
          </w:divBdr>
        </w:div>
        <w:div w:id="234126813">
          <w:marLeft w:val="480"/>
          <w:marRight w:val="0"/>
          <w:marTop w:val="0"/>
          <w:marBottom w:val="0"/>
          <w:divBdr>
            <w:top w:val="none" w:sz="0" w:space="0" w:color="auto"/>
            <w:left w:val="none" w:sz="0" w:space="0" w:color="auto"/>
            <w:bottom w:val="none" w:sz="0" w:space="0" w:color="auto"/>
            <w:right w:val="none" w:sz="0" w:space="0" w:color="auto"/>
          </w:divBdr>
        </w:div>
        <w:div w:id="1116869083">
          <w:marLeft w:val="480"/>
          <w:marRight w:val="0"/>
          <w:marTop w:val="0"/>
          <w:marBottom w:val="0"/>
          <w:divBdr>
            <w:top w:val="none" w:sz="0" w:space="0" w:color="auto"/>
            <w:left w:val="none" w:sz="0" w:space="0" w:color="auto"/>
            <w:bottom w:val="none" w:sz="0" w:space="0" w:color="auto"/>
            <w:right w:val="none" w:sz="0" w:space="0" w:color="auto"/>
          </w:divBdr>
        </w:div>
        <w:div w:id="76099877">
          <w:marLeft w:val="480"/>
          <w:marRight w:val="0"/>
          <w:marTop w:val="0"/>
          <w:marBottom w:val="0"/>
          <w:divBdr>
            <w:top w:val="none" w:sz="0" w:space="0" w:color="auto"/>
            <w:left w:val="none" w:sz="0" w:space="0" w:color="auto"/>
            <w:bottom w:val="none" w:sz="0" w:space="0" w:color="auto"/>
            <w:right w:val="none" w:sz="0" w:space="0" w:color="auto"/>
          </w:divBdr>
        </w:div>
        <w:div w:id="2129472697">
          <w:marLeft w:val="480"/>
          <w:marRight w:val="0"/>
          <w:marTop w:val="0"/>
          <w:marBottom w:val="0"/>
          <w:divBdr>
            <w:top w:val="none" w:sz="0" w:space="0" w:color="auto"/>
            <w:left w:val="none" w:sz="0" w:space="0" w:color="auto"/>
            <w:bottom w:val="none" w:sz="0" w:space="0" w:color="auto"/>
            <w:right w:val="none" w:sz="0" w:space="0" w:color="auto"/>
          </w:divBdr>
        </w:div>
        <w:div w:id="1526282518">
          <w:marLeft w:val="480"/>
          <w:marRight w:val="0"/>
          <w:marTop w:val="0"/>
          <w:marBottom w:val="0"/>
          <w:divBdr>
            <w:top w:val="none" w:sz="0" w:space="0" w:color="auto"/>
            <w:left w:val="none" w:sz="0" w:space="0" w:color="auto"/>
            <w:bottom w:val="none" w:sz="0" w:space="0" w:color="auto"/>
            <w:right w:val="none" w:sz="0" w:space="0" w:color="auto"/>
          </w:divBdr>
        </w:div>
        <w:div w:id="127473831">
          <w:marLeft w:val="480"/>
          <w:marRight w:val="0"/>
          <w:marTop w:val="0"/>
          <w:marBottom w:val="0"/>
          <w:divBdr>
            <w:top w:val="none" w:sz="0" w:space="0" w:color="auto"/>
            <w:left w:val="none" w:sz="0" w:space="0" w:color="auto"/>
            <w:bottom w:val="none" w:sz="0" w:space="0" w:color="auto"/>
            <w:right w:val="none" w:sz="0" w:space="0" w:color="auto"/>
          </w:divBdr>
        </w:div>
        <w:div w:id="1181167667">
          <w:marLeft w:val="480"/>
          <w:marRight w:val="0"/>
          <w:marTop w:val="0"/>
          <w:marBottom w:val="0"/>
          <w:divBdr>
            <w:top w:val="none" w:sz="0" w:space="0" w:color="auto"/>
            <w:left w:val="none" w:sz="0" w:space="0" w:color="auto"/>
            <w:bottom w:val="none" w:sz="0" w:space="0" w:color="auto"/>
            <w:right w:val="none" w:sz="0" w:space="0" w:color="auto"/>
          </w:divBdr>
        </w:div>
        <w:div w:id="896209651">
          <w:marLeft w:val="480"/>
          <w:marRight w:val="0"/>
          <w:marTop w:val="0"/>
          <w:marBottom w:val="0"/>
          <w:divBdr>
            <w:top w:val="none" w:sz="0" w:space="0" w:color="auto"/>
            <w:left w:val="none" w:sz="0" w:space="0" w:color="auto"/>
            <w:bottom w:val="none" w:sz="0" w:space="0" w:color="auto"/>
            <w:right w:val="none" w:sz="0" w:space="0" w:color="auto"/>
          </w:divBdr>
        </w:div>
        <w:div w:id="211504256">
          <w:marLeft w:val="480"/>
          <w:marRight w:val="0"/>
          <w:marTop w:val="0"/>
          <w:marBottom w:val="0"/>
          <w:divBdr>
            <w:top w:val="none" w:sz="0" w:space="0" w:color="auto"/>
            <w:left w:val="none" w:sz="0" w:space="0" w:color="auto"/>
            <w:bottom w:val="none" w:sz="0" w:space="0" w:color="auto"/>
            <w:right w:val="none" w:sz="0" w:space="0" w:color="auto"/>
          </w:divBdr>
        </w:div>
        <w:div w:id="1646087658">
          <w:marLeft w:val="480"/>
          <w:marRight w:val="0"/>
          <w:marTop w:val="0"/>
          <w:marBottom w:val="0"/>
          <w:divBdr>
            <w:top w:val="none" w:sz="0" w:space="0" w:color="auto"/>
            <w:left w:val="none" w:sz="0" w:space="0" w:color="auto"/>
            <w:bottom w:val="none" w:sz="0" w:space="0" w:color="auto"/>
            <w:right w:val="none" w:sz="0" w:space="0" w:color="auto"/>
          </w:divBdr>
        </w:div>
        <w:div w:id="521674659">
          <w:marLeft w:val="480"/>
          <w:marRight w:val="0"/>
          <w:marTop w:val="0"/>
          <w:marBottom w:val="0"/>
          <w:divBdr>
            <w:top w:val="none" w:sz="0" w:space="0" w:color="auto"/>
            <w:left w:val="none" w:sz="0" w:space="0" w:color="auto"/>
            <w:bottom w:val="none" w:sz="0" w:space="0" w:color="auto"/>
            <w:right w:val="none" w:sz="0" w:space="0" w:color="auto"/>
          </w:divBdr>
        </w:div>
        <w:div w:id="856698069">
          <w:marLeft w:val="480"/>
          <w:marRight w:val="0"/>
          <w:marTop w:val="0"/>
          <w:marBottom w:val="0"/>
          <w:divBdr>
            <w:top w:val="none" w:sz="0" w:space="0" w:color="auto"/>
            <w:left w:val="none" w:sz="0" w:space="0" w:color="auto"/>
            <w:bottom w:val="none" w:sz="0" w:space="0" w:color="auto"/>
            <w:right w:val="none" w:sz="0" w:space="0" w:color="auto"/>
          </w:divBdr>
        </w:div>
        <w:div w:id="19280517">
          <w:marLeft w:val="480"/>
          <w:marRight w:val="0"/>
          <w:marTop w:val="0"/>
          <w:marBottom w:val="0"/>
          <w:divBdr>
            <w:top w:val="none" w:sz="0" w:space="0" w:color="auto"/>
            <w:left w:val="none" w:sz="0" w:space="0" w:color="auto"/>
            <w:bottom w:val="none" w:sz="0" w:space="0" w:color="auto"/>
            <w:right w:val="none" w:sz="0" w:space="0" w:color="auto"/>
          </w:divBdr>
        </w:div>
        <w:div w:id="764958631">
          <w:marLeft w:val="480"/>
          <w:marRight w:val="0"/>
          <w:marTop w:val="0"/>
          <w:marBottom w:val="0"/>
          <w:divBdr>
            <w:top w:val="none" w:sz="0" w:space="0" w:color="auto"/>
            <w:left w:val="none" w:sz="0" w:space="0" w:color="auto"/>
            <w:bottom w:val="none" w:sz="0" w:space="0" w:color="auto"/>
            <w:right w:val="none" w:sz="0" w:space="0" w:color="auto"/>
          </w:divBdr>
        </w:div>
        <w:div w:id="1438141445">
          <w:marLeft w:val="480"/>
          <w:marRight w:val="0"/>
          <w:marTop w:val="0"/>
          <w:marBottom w:val="0"/>
          <w:divBdr>
            <w:top w:val="none" w:sz="0" w:space="0" w:color="auto"/>
            <w:left w:val="none" w:sz="0" w:space="0" w:color="auto"/>
            <w:bottom w:val="none" w:sz="0" w:space="0" w:color="auto"/>
            <w:right w:val="none" w:sz="0" w:space="0" w:color="auto"/>
          </w:divBdr>
        </w:div>
        <w:div w:id="204215544">
          <w:marLeft w:val="480"/>
          <w:marRight w:val="0"/>
          <w:marTop w:val="0"/>
          <w:marBottom w:val="0"/>
          <w:divBdr>
            <w:top w:val="none" w:sz="0" w:space="0" w:color="auto"/>
            <w:left w:val="none" w:sz="0" w:space="0" w:color="auto"/>
            <w:bottom w:val="none" w:sz="0" w:space="0" w:color="auto"/>
            <w:right w:val="none" w:sz="0" w:space="0" w:color="auto"/>
          </w:divBdr>
        </w:div>
        <w:div w:id="3753588">
          <w:marLeft w:val="480"/>
          <w:marRight w:val="0"/>
          <w:marTop w:val="0"/>
          <w:marBottom w:val="0"/>
          <w:divBdr>
            <w:top w:val="none" w:sz="0" w:space="0" w:color="auto"/>
            <w:left w:val="none" w:sz="0" w:space="0" w:color="auto"/>
            <w:bottom w:val="none" w:sz="0" w:space="0" w:color="auto"/>
            <w:right w:val="none" w:sz="0" w:space="0" w:color="auto"/>
          </w:divBdr>
        </w:div>
        <w:div w:id="1840268711">
          <w:marLeft w:val="480"/>
          <w:marRight w:val="0"/>
          <w:marTop w:val="0"/>
          <w:marBottom w:val="0"/>
          <w:divBdr>
            <w:top w:val="none" w:sz="0" w:space="0" w:color="auto"/>
            <w:left w:val="none" w:sz="0" w:space="0" w:color="auto"/>
            <w:bottom w:val="none" w:sz="0" w:space="0" w:color="auto"/>
            <w:right w:val="none" w:sz="0" w:space="0" w:color="auto"/>
          </w:divBdr>
        </w:div>
        <w:div w:id="866069315">
          <w:marLeft w:val="480"/>
          <w:marRight w:val="0"/>
          <w:marTop w:val="0"/>
          <w:marBottom w:val="0"/>
          <w:divBdr>
            <w:top w:val="none" w:sz="0" w:space="0" w:color="auto"/>
            <w:left w:val="none" w:sz="0" w:space="0" w:color="auto"/>
            <w:bottom w:val="none" w:sz="0" w:space="0" w:color="auto"/>
            <w:right w:val="none" w:sz="0" w:space="0" w:color="auto"/>
          </w:divBdr>
        </w:div>
        <w:div w:id="827676377">
          <w:marLeft w:val="480"/>
          <w:marRight w:val="0"/>
          <w:marTop w:val="0"/>
          <w:marBottom w:val="0"/>
          <w:divBdr>
            <w:top w:val="none" w:sz="0" w:space="0" w:color="auto"/>
            <w:left w:val="none" w:sz="0" w:space="0" w:color="auto"/>
            <w:bottom w:val="none" w:sz="0" w:space="0" w:color="auto"/>
            <w:right w:val="none" w:sz="0" w:space="0" w:color="auto"/>
          </w:divBdr>
        </w:div>
        <w:div w:id="1734768634">
          <w:marLeft w:val="480"/>
          <w:marRight w:val="0"/>
          <w:marTop w:val="0"/>
          <w:marBottom w:val="0"/>
          <w:divBdr>
            <w:top w:val="none" w:sz="0" w:space="0" w:color="auto"/>
            <w:left w:val="none" w:sz="0" w:space="0" w:color="auto"/>
            <w:bottom w:val="none" w:sz="0" w:space="0" w:color="auto"/>
            <w:right w:val="none" w:sz="0" w:space="0" w:color="auto"/>
          </w:divBdr>
        </w:div>
        <w:div w:id="1771928342">
          <w:marLeft w:val="480"/>
          <w:marRight w:val="0"/>
          <w:marTop w:val="0"/>
          <w:marBottom w:val="0"/>
          <w:divBdr>
            <w:top w:val="none" w:sz="0" w:space="0" w:color="auto"/>
            <w:left w:val="none" w:sz="0" w:space="0" w:color="auto"/>
            <w:bottom w:val="none" w:sz="0" w:space="0" w:color="auto"/>
            <w:right w:val="none" w:sz="0" w:space="0" w:color="auto"/>
          </w:divBdr>
        </w:div>
        <w:div w:id="788162106">
          <w:marLeft w:val="480"/>
          <w:marRight w:val="0"/>
          <w:marTop w:val="0"/>
          <w:marBottom w:val="0"/>
          <w:divBdr>
            <w:top w:val="none" w:sz="0" w:space="0" w:color="auto"/>
            <w:left w:val="none" w:sz="0" w:space="0" w:color="auto"/>
            <w:bottom w:val="none" w:sz="0" w:space="0" w:color="auto"/>
            <w:right w:val="none" w:sz="0" w:space="0" w:color="auto"/>
          </w:divBdr>
        </w:div>
        <w:div w:id="1894194647">
          <w:marLeft w:val="480"/>
          <w:marRight w:val="0"/>
          <w:marTop w:val="0"/>
          <w:marBottom w:val="0"/>
          <w:divBdr>
            <w:top w:val="none" w:sz="0" w:space="0" w:color="auto"/>
            <w:left w:val="none" w:sz="0" w:space="0" w:color="auto"/>
            <w:bottom w:val="none" w:sz="0" w:space="0" w:color="auto"/>
            <w:right w:val="none" w:sz="0" w:space="0" w:color="auto"/>
          </w:divBdr>
        </w:div>
        <w:div w:id="1130704111">
          <w:marLeft w:val="480"/>
          <w:marRight w:val="0"/>
          <w:marTop w:val="0"/>
          <w:marBottom w:val="0"/>
          <w:divBdr>
            <w:top w:val="none" w:sz="0" w:space="0" w:color="auto"/>
            <w:left w:val="none" w:sz="0" w:space="0" w:color="auto"/>
            <w:bottom w:val="none" w:sz="0" w:space="0" w:color="auto"/>
            <w:right w:val="none" w:sz="0" w:space="0" w:color="auto"/>
          </w:divBdr>
        </w:div>
        <w:div w:id="1330059370">
          <w:marLeft w:val="480"/>
          <w:marRight w:val="0"/>
          <w:marTop w:val="0"/>
          <w:marBottom w:val="0"/>
          <w:divBdr>
            <w:top w:val="none" w:sz="0" w:space="0" w:color="auto"/>
            <w:left w:val="none" w:sz="0" w:space="0" w:color="auto"/>
            <w:bottom w:val="none" w:sz="0" w:space="0" w:color="auto"/>
            <w:right w:val="none" w:sz="0" w:space="0" w:color="auto"/>
          </w:divBdr>
        </w:div>
        <w:div w:id="879249192">
          <w:marLeft w:val="480"/>
          <w:marRight w:val="0"/>
          <w:marTop w:val="0"/>
          <w:marBottom w:val="0"/>
          <w:divBdr>
            <w:top w:val="none" w:sz="0" w:space="0" w:color="auto"/>
            <w:left w:val="none" w:sz="0" w:space="0" w:color="auto"/>
            <w:bottom w:val="none" w:sz="0" w:space="0" w:color="auto"/>
            <w:right w:val="none" w:sz="0" w:space="0" w:color="auto"/>
          </w:divBdr>
        </w:div>
        <w:div w:id="1537767754">
          <w:marLeft w:val="480"/>
          <w:marRight w:val="0"/>
          <w:marTop w:val="0"/>
          <w:marBottom w:val="0"/>
          <w:divBdr>
            <w:top w:val="none" w:sz="0" w:space="0" w:color="auto"/>
            <w:left w:val="none" w:sz="0" w:space="0" w:color="auto"/>
            <w:bottom w:val="none" w:sz="0" w:space="0" w:color="auto"/>
            <w:right w:val="none" w:sz="0" w:space="0" w:color="auto"/>
          </w:divBdr>
        </w:div>
        <w:div w:id="635913851">
          <w:marLeft w:val="480"/>
          <w:marRight w:val="0"/>
          <w:marTop w:val="0"/>
          <w:marBottom w:val="0"/>
          <w:divBdr>
            <w:top w:val="none" w:sz="0" w:space="0" w:color="auto"/>
            <w:left w:val="none" w:sz="0" w:space="0" w:color="auto"/>
            <w:bottom w:val="none" w:sz="0" w:space="0" w:color="auto"/>
            <w:right w:val="none" w:sz="0" w:space="0" w:color="auto"/>
          </w:divBdr>
        </w:div>
        <w:div w:id="1843469406">
          <w:marLeft w:val="480"/>
          <w:marRight w:val="0"/>
          <w:marTop w:val="0"/>
          <w:marBottom w:val="0"/>
          <w:divBdr>
            <w:top w:val="none" w:sz="0" w:space="0" w:color="auto"/>
            <w:left w:val="none" w:sz="0" w:space="0" w:color="auto"/>
            <w:bottom w:val="none" w:sz="0" w:space="0" w:color="auto"/>
            <w:right w:val="none" w:sz="0" w:space="0" w:color="auto"/>
          </w:divBdr>
        </w:div>
        <w:div w:id="1556160380">
          <w:marLeft w:val="480"/>
          <w:marRight w:val="0"/>
          <w:marTop w:val="0"/>
          <w:marBottom w:val="0"/>
          <w:divBdr>
            <w:top w:val="none" w:sz="0" w:space="0" w:color="auto"/>
            <w:left w:val="none" w:sz="0" w:space="0" w:color="auto"/>
            <w:bottom w:val="none" w:sz="0" w:space="0" w:color="auto"/>
            <w:right w:val="none" w:sz="0" w:space="0" w:color="auto"/>
          </w:divBdr>
        </w:div>
        <w:div w:id="1855194060">
          <w:marLeft w:val="480"/>
          <w:marRight w:val="0"/>
          <w:marTop w:val="0"/>
          <w:marBottom w:val="0"/>
          <w:divBdr>
            <w:top w:val="none" w:sz="0" w:space="0" w:color="auto"/>
            <w:left w:val="none" w:sz="0" w:space="0" w:color="auto"/>
            <w:bottom w:val="none" w:sz="0" w:space="0" w:color="auto"/>
            <w:right w:val="none" w:sz="0" w:space="0" w:color="auto"/>
          </w:divBdr>
        </w:div>
        <w:div w:id="973633197">
          <w:marLeft w:val="480"/>
          <w:marRight w:val="0"/>
          <w:marTop w:val="0"/>
          <w:marBottom w:val="0"/>
          <w:divBdr>
            <w:top w:val="none" w:sz="0" w:space="0" w:color="auto"/>
            <w:left w:val="none" w:sz="0" w:space="0" w:color="auto"/>
            <w:bottom w:val="none" w:sz="0" w:space="0" w:color="auto"/>
            <w:right w:val="none" w:sz="0" w:space="0" w:color="auto"/>
          </w:divBdr>
        </w:div>
        <w:div w:id="1771662893">
          <w:marLeft w:val="480"/>
          <w:marRight w:val="0"/>
          <w:marTop w:val="0"/>
          <w:marBottom w:val="0"/>
          <w:divBdr>
            <w:top w:val="none" w:sz="0" w:space="0" w:color="auto"/>
            <w:left w:val="none" w:sz="0" w:space="0" w:color="auto"/>
            <w:bottom w:val="none" w:sz="0" w:space="0" w:color="auto"/>
            <w:right w:val="none" w:sz="0" w:space="0" w:color="auto"/>
          </w:divBdr>
        </w:div>
        <w:div w:id="1294560373">
          <w:marLeft w:val="480"/>
          <w:marRight w:val="0"/>
          <w:marTop w:val="0"/>
          <w:marBottom w:val="0"/>
          <w:divBdr>
            <w:top w:val="none" w:sz="0" w:space="0" w:color="auto"/>
            <w:left w:val="none" w:sz="0" w:space="0" w:color="auto"/>
            <w:bottom w:val="none" w:sz="0" w:space="0" w:color="auto"/>
            <w:right w:val="none" w:sz="0" w:space="0" w:color="auto"/>
          </w:divBdr>
        </w:div>
        <w:div w:id="1709647969">
          <w:marLeft w:val="480"/>
          <w:marRight w:val="0"/>
          <w:marTop w:val="0"/>
          <w:marBottom w:val="0"/>
          <w:divBdr>
            <w:top w:val="none" w:sz="0" w:space="0" w:color="auto"/>
            <w:left w:val="none" w:sz="0" w:space="0" w:color="auto"/>
            <w:bottom w:val="none" w:sz="0" w:space="0" w:color="auto"/>
            <w:right w:val="none" w:sz="0" w:space="0" w:color="auto"/>
          </w:divBdr>
        </w:div>
        <w:div w:id="542400979">
          <w:marLeft w:val="480"/>
          <w:marRight w:val="0"/>
          <w:marTop w:val="0"/>
          <w:marBottom w:val="0"/>
          <w:divBdr>
            <w:top w:val="none" w:sz="0" w:space="0" w:color="auto"/>
            <w:left w:val="none" w:sz="0" w:space="0" w:color="auto"/>
            <w:bottom w:val="none" w:sz="0" w:space="0" w:color="auto"/>
            <w:right w:val="none" w:sz="0" w:space="0" w:color="auto"/>
          </w:divBdr>
        </w:div>
        <w:div w:id="1994095379">
          <w:marLeft w:val="480"/>
          <w:marRight w:val="0"/>
          <w:marTop w:val="0"/>
          <w:marBottom w:val="0"/>
          <w:divBdr>
            <w:top w:val="none" w:sz="0" w:space="0" w:color="auto"/>
            <w:left w:val="none" w:sz="0" w:space="0" w:color="auto"/>
            <w:bottom w:val="none" w:sz="0" w:space="0" w:color="auto"/>
            <w:right w:val="none" w:sz="0" w:space="0" w:color="auto"/>
          </w:divBdr>
        </w:div>
        <w:div w:id="582229118">
          <w:marLeft w:val="480"/>
          <w:marRight w:val="0"/>
          <w:marTop w:val="0"/>
          <w:marBottom w:val="0"/>
          <w:divBdr>
            <w:top w:val="none" w:sz="0" w:space="0" w:color="auto"/>
            <w:left w:val="none" w:sz="0" w:space="0" w:color="auto"/>
            <w:bottom w:val="none" w:sz="0" w:space="0" w:color="auto"/>
            <w:right w:val="none" w:sz="0" w:space="0" w:color="auto"/>
          </w:divBdr>
        </w:div>
        <w:div w:id="366373111">
          <w:marLeft w:val="480"/>
          <w:marRight w:val="0"/>
          <w:marTop w:val="0"/>
          <w:marBottom w:val="0"/>
          <w:divBdr>
            <w:top w:val="none" w:sz="0" w:space="0" w:color="auto"/>
            <w:left w:val="none" w:sz="0" w:space="0" w:color="auto"/>
            <w:bottom w:val="none" w:sz="0" w:space="0" w:color="auto"/>
            <w:right w:val="none" w:sz="0" w:space="0" w:color="auto"/>
          </w:divBdr>
        </w:div>
        <w:div w:id="1774934522">
          <w:marLeft w:val="480"/>
          <w:marRight w:val="0"/>
          <w:marTop w:val="0"/>
          <w:marBottom w:val="0"/>
          <w:divBdr>
            <w:top w:val="none" w:sz="0" w:space="0" w:color="auto"/>
            <w:left w:val="none" w:sz="0" w:space="0" w:color="auto"/>
            <w:bottom w:val="none" w:sz="0" w:space="0" w:color="auto"/>
            <w:right w:val="none" w:sz="0" w:space="0" w:color="auto"/>
          </w:divBdr>
        </w:div>
        <w:div w:id="1833832151">
          <w:marLeft w:val="480"/>
          <w:marRight w:val="0"/>
          <w:marTop w:val="0"/>
          <w:marBottom w:val="0"/>
          <w:divBdr>
            <w:top w:val="none" w:sz="0" w:space="0" w:color="auto"/>
            <w:left w:val="none" w:sz="0" w:space="0" w:color="auto"/>
            <w:bottom w:val="none" w:sz="0" w:space="0" w:color="auto"/>
            <w:right w:val="none" w:sz="0" w:space="0" w:color="auto"/>
          </w:divBdr>
        </w:div>
        <w:div w:id="1837263550">
          <w:marLeft w:val="480"/>
          <w:marRight w:val="0"/>
          <w:marTop w:val="0"/>
          <w:marBottom w:val="0"/>
          <w:divBdr>
            <w:top w:val="none" w:sz="0" w:space="0" w:color="auto"/>
            <w:left w:val="none" w:sz="0" w:space="0" w:color="auto"/>
            <w:bottom w:val="none" w:sz="0" w:space="0" w:color="auto"/>
            <w:right w:val="none" w:sz="0" w:space="0" w:color="auto"/>
          </w:divBdr>
        </w:div>
        <w:div w:id="324474511">
          <w:marLeft w:val="480"/>
          <w:marRight w:val="0"/>
          <w:marTop w:val="0"/>
          <w:marBottom w:val="0"/>
          <w:divBdr>
            <w:top w:val="none" w:sz="0" w:space="0" w:color="auto"/>
            <w:left w:val="none" w:sz="0" w:space="0" w:color="auto"/>
            <w:bottom w:val="none" w:sz="0" w:space="0" w:color="auto"/>
            <w:right w:val="none" w:sz="0" w:space="0" w:color="auto"/>
          </w:divBdr>
        </w:div>
        <w:div w:id="1014036">
          <w:marLeft w:val="480"/>
          <w:marRight w:val="0"/>
          <w:marTop w:val="0"/>
          <w:marBottom w:val="0"/>
          <w:divBdr>
            <w:top w:val="none" w:sz="0" w:space="0" w:color="auto"/>
            <w:left w:val="none" w:sz="0" w:space="0" w:color="auto"/>
            <w:bottom w:val="none" w:sz="0" w:space="0" w:color="auto"/>
            <w:right w:val="none" w:sz="0" w:space="0" w:color="auto"/>
          </w:divBdr>
        </w:div>
        <w:div w:id="630743652">
          <w:marLeft w:val="480"/>
          <w:marRight w:val="0"/>
          <w:marTop w:val="0"/>
          <w:marBottom w:val="0"/>
          <w:divBdr>
            <w:top w:val="none" w:sz="0" w:space="0" w:color="auto"/>
            <w:left w:val="none" w:sz="0" w:space="0" w:color="auto"/>
            <w:bottom w:val="none" w:sz="0" w:space="0" w:color="auto"/>
            <w:right w:val="none" w:sz="0" w:space="0" w:color="auto"/>
          </w:divBdr>
        </w:div>
        <w:div w:id="1236935593">
          <w:marLeft w:val="480"/>
          <w:marRight w:val="0"/>
          <w:marTop w:val="0"/>
          <w:marBottom w:val="0"/>
          <w:divBdr>
            <w:top w:val="none" w:sz="0" w:space="0" w:color="auto"/>
            <w:left w:val="none" w:sz="0" w:space="0" w:color="auto"/>
            <w:bottom w:val="none" w:sz="0" w:space="0" w:color="auto"/>
            <w:right w:val="none" w:sz="0" w:space="0" w:color="auto"/>
          </w:divBdr>
        </w:div>
        <w:div w:id="781146292">
          <w:marLeft w:val="480"/>
          <w:marRight w:val="0"/>
          <w:marTop w:val="0"/>
          <w:marBottom w:val="0"/>
          <w:divBdr>
            <w:top w:val="none" w:sz="0" w:space="0" w:color="auto"/>
            <w:left w:val="none" w:sz="0" w:space="0" w:color="auto"/>
            <w:bottom w:val="none" w:sz="0" w:space="0" w:color="auto"/>
            <w:right w:val="none" w:sz="0" w:space="0" w:color="auto"/>
          </w:divBdr>
        </w:div>
        <w:div w:id="102186809">
          <w:marLeft w:val="480"/>
          <w:marRight w:val="0"/>
          <w:marTop w:val="0"/>
          <w:marBottom w:val="0"/>
          <w:divBdr>
            <w:top w:val="none" w:sz="0" w:space="0" w:color="auto"/>
            <w:left w:val="none" w:sz="0" w:space="0" w:color="auto"/>
            <w:bottom w:val="none" w:sz="0" w:space="0" w:color="auto"/>
            <w:right w:val="none" w:sz="0" w:space="0" w:color="auto"/>
          </w:divBdr>
        </w:div>
        <w:div w:id="8263473">
          <w:marLeft w:val="480"/>
          <w:marRight w:val="0"/>
          <w:marTop w:val="0"/>
          <w:marBottom w:val="0"/>
          <w:divBdr>
            <w:top w:val="none" w:sz="0" w:space="0" w:color="auto"/>
            <w:left w:val="none" w:sz="0" w:space="0" w:color="auto"/>
            <w:bottom w:val="none" w:sz="0" w:space="0" w:color="auto"/>
            <w:right w:val="none" w:sz="0" w:space="0" w:color="auto"/>
          </w:divBdr>
        </w:div>
        <w:div w:id="828405765">
          <w:marLeft w:val="480"/>
          <w:marRight w:val="0"/>
          <w:marTop w:val="0"/>
          <w:marBottom w:val="0"/>
          <w:divBdr>
            <w:top w:val="none" w:sz="0" w:space="0" w:color="auto"/>
            <w:left w:val="none" w:sz="0" w:space="0" w:color="auto"/>
            <w:bottom w:val="none" w:sz="0" w:space="0" w:color="auto"/>
            <w:right w:val="none" w:sz="0" w:space="0" w:color="auto"/>
          </w:divBdr>
        </w:div>
      </w:divsChild>
    </w:div>
    <w:div w:id="108093056">
      <w:bodyDiv w:val="1"/>
      <w:marLeft w:val="0"/>
      <w:marRight w:val="0"/>
      <w:marTop w:val="0"/>
      <w:marBottom w:val="0"/>
      <w:divBdr>
        <w:top w:val="none" w:sz="0" w:space="0" w:color="auto"/>
        <w:left w:val="none" w:sz="0" w:space="0" w:color="auto"/>
        <w:bottom w:val="none" w:sz="0" w:space="0" w:color="auto"/>
        <w:right w:val="none" w:sz="0" w:space="0" w:color="auto"/>
      </w:divBdr>
    </w:div>
    <w:div w:id="109127852">
      <w:bodyDiv w:val="1"/>
      <w:marLeft w:val="0"/>
      <w:marRight w:val="0"/>
      <w:marTop w:val="0"/>
      <w:marBottom w:val="0"/>
      <w:divBdr>
        <w:top w:val="none" w:sz="0" w:space="0" w:color="auto"/>
        <w:left w:val="none" w:sz="0" w:space="0" w:color="auto"/>
        <w:bottom w:val="none" w:sz="0" w:space="0" w:color="auto"/>
        <w:right w:val="none" w:sz="0" w:space="0" w:color="auto"/>
      </w:divBdr>
    </w:div>
    <w:div w:id="116218435">
      <w:bodyDiv w:val="1"/>
      <w:marLeft w:val="0"/>
      <w:marRight w:val="0"/>
      <w:marTop w:val="0"/>
      <w:marBottom w:val="0"/>
      <w:divBdr>
        <w:top w:val="none" w:sz="0" w:space="0" w:color="auto"/>
        <w:left w:val="none" w:sz="0" w:space="0" w:color="auto"/>
        <w:bottom w:val="none" w:sz="0" w:space="0" w:color="auto"/>
        <w:right w:val="none" w:sz="0" w:space="0" w:color="auto"/>
      </w:divBdr>
    </w:div>
    <w:div w:id="146939863">
      <w:bodyDiv w:val="1"/>
      <w:marLeft w:val="0"/>
      <w:marRight w:val="0"/>
      <w:marTop w:val="0"/>
      <w:marBottom w:val="0"/>
      <w:divBdr>
        <w:top w:val="none" w:sz="0" w:space="0" w:color="auto"/>
        <w:left w:val="none" w:sz="0" w:space="0" w:color="auto"/>
        <w:bottom w:val="none" w:sz="0" w:space="0" w:color="auto"/>
        <w:right w:val="none" w:sz="0" w:space="0" w:color="auto"/>
      </w:divBdr>
    </w:div>
    <w:div w:id="149828965">
      <w:bodyDiv w:val="1"/>
      <w:marLeft w:val="0"/>
      <w:marRight w:val="0"/>
      <w:marTop w:val="0"/>
      <w:marBottom w:val="0"/>
      <w:divBdr>
        <w:top w:val="none" w:sz="0" w:space="0" w:color="auto"/>
        <w:left w:val="none" w:sz="0" w:space="0" w:color="auto"/>
        <w:bottom w:val="none" w:sz="0" w:space="0" w:color="auto"/>
        <w:right w:val="none" w:sz="0" w:space="0" w:color="auto"/>
      </w:divBdr>
    </w:div>
    <w:div w:id="154302587">
      <w:bodyDiv w:val="1"/>
      <w:marLeft w:val="0"/>
      <w:marRight w:val="0"/>
      <w:marTop w:val="0"/>
      <w:marBottom w:val="0"/>
      <w:divBdr>
        <w:top w:val="none" w:sz="0" w:space="0" w:color="auto"/>
        <w:left w:val="none" w:sz="0" w:space="0" w:color="auto"/>
        <w:bottom w:val="none" w:sz="0" w:space="0" w:color="auto"/>
        <w:right w:val="none" w:sz="0" w:space="0" w:color="auto"/>
      </w:divBdr>
    </w:div>
    <w:div w:id="158694892">
      <w:bodyDiv w:val="1"/>
      <w:marLeft w:val="0"/>
      <w:marRight w:val="0"/>
      <w:marTop w:val="0"/>
      <w:marBottom w:val="0"/>
      <w:divBdr>
        <w:top w:val="none" w:sz="0" w:space="0" w:color="auto"/>
        <w:left w:val="none" w:sz="0" w:space="0" w:color="auto"/>
        <w:bottom w:val="none" w:sz="0" w:space="0" w:color="auto"/>
        <w:right w:val="none" w:sz="0" w:space="0" w:color="auto"/>
      </w:divBdr>
    </w:div>
    <w:div w:id="161241978">
      <w:bodyDiv w:val="1"/>
      <w:marLeft w:val="0"/>
      <w:marRight w:val="0"/>
      <w:marTop w:val="0"/>
      <w:marBottom w:val="0"/>
      <w:divBdr>
        <w:top w:val="none" w:sz="0" w:space="0" w:color="auto"/>
        <w:left w:val="none" w:sz="0" w:space="0" w:color="auto"/>
        <w:bottom w:val="none" w:sz="0" w:space="0" w:color="auto"/>
        <w:right w:val="none" w:sz="0" w:space="0" w:color="auto"/>
      </w:divBdr>
    </w:div>
    <w:div w:id="171067851">
      <w:bodyDiv w:val="1"/>
      <w:marLeft w:val="0"/>
      <w:marRight w:val="0"/>
      <w:marTop w:val="0"/>
      <w:marBottom w:val="0"/>
      <w:divBdr>
        <w:top w:val="none" w:sz="0" w:space="0" w:color="auto"/>
        <w:left w:val="none" w:sz="0" w:space="0" w:color="auto"/>
        <w:bottom w:val="none" w:sz="0" w:space="0" w:color="auto"/>
        <w:right w:val="none" w:sz="0" w:space="0" w:color="auto"/>
      </w:divBdr>
    </w:div>
    <w:div w:id="224948772">
      <w:bodyDiv w:val="1"/>
      <w:marLeft w:val="0"/>
      <w:marRight w:val="0"/>
      <w:marTop w:val="0"/>
      <w:marBottom w:val="0"/>
      <w:divBdr>
        <w:top w:val="none" w:sz="0" w:space="0" w:color="auto"/>
        <w:left w:val="none" w:sz="0" w:space="0" w:color="auto"/>
        <w:bottom w:val="none" w:sz="0" w:space="0" w:color="auto"/>
        <w:right w:val="none" w:sz="0" w:space="0" w:color="auto"/>
      </w:divBdr>
    </w:div>
    <w:div w:id="230505864">
      <w:bodyDiv w:val="1"/>
      <w:marLeft w:val="0"/>
      <w:marRight w:val="0"/>
      <w:marTop w:val="0"/>
      <w:marBottom w:val="0"/>
      <w:divBdr>
        <w:top w:val="none" w:sz="0" w:space="0" w:color="auto"/>
        <w:left w:val="none" w:sz="0" w:space="0" w:color="auto"/>
        <w:bottom w:val="none" w:sz="0" w:space="0" w:color="auto"/>
        <w:right w:val="none" w:sz="0" w:space="0" w:color="auto"/>
      </w:divBdr>
    </w:div>
    <w:div w:id="235630669">
      <w:bodyDiv w:val="1"/>
      <w:marLeft w:val="0"/>
      <w:marRight w:val="0"/>
      <w:marTop w:val="0"/>
      <w:marBottom w:val="0"/>
      <w:divBdr>
        <w:top w:val="none" w:sz="0" w:space="0" w:color="auto"/>
        <w:left w:val="none" w:sz="0" w:space="0" w:color="auto"/>
        <w:bottom w:val="none" w:sz="0" w:space="0" w:color="auto"/>
        <w:right w:val="none" w:sz="0" w:space="0" w:color="auto"/>
      </w:divBdr>
    </w:div>
    <w:div w:id="237709959">
      <w:bodyDiv w:val="1"/>
      <w:marLeft w:val="0"/>
      <w:marRight w:val="0"/>
      <w:marTop w:val="0"/>
      <w:marBottom w:val="0"/>
      <w:divBdr>
        <w:top w:val="none" w:sz="0" w:space="0" w:color="auto"/>
        <w:left w:val="none" w:sz="0" w:space="0" w:color="auto"/>
        <w:bottom w:val="none" w:sz="0" w:space="0" w:color="auto"/>
        <w:right w:val="none" w:sz="0" w:space="0" w:color="auto"/>
      </w:divBdr>
    </w:div>
    <w:div w:id="237787134">
      <w:bodyDiv w:val="1"/>
      <w:marLeft w:val="0"/>
      <w:marRight w:val="0"/>
      <w:marTop w:val="0"/>
      <w:marBottom w:val="0"/>
      <w:divBdr>
        <w:top w:val="none" w:sz="0" w:space="0" w:color="auto"/>
        <w:left w:val="none" w:sz="0" w:space="0" w:color="auto"/>
        <w:bottom w:val="none" w:sz="0" w:space="0" w:color="auto"/>
        <w:right w:val="none" w:sz="0" w:space="0" w:color="auto"/>
      </w:divBdr>
      <w:divsChild>
        <w:div w:id="578028458">
          <w:marLeft w:val="480"/>
          <w:marRight w:val="0"/>
          <w:marTop w:val="0"/>
          <w:marBottom w:val="0"/>
          <w:divBdr>
            <w:top w:val="none" w:sz="0" w:space="0" w:color="auto"/>
            <w:left w:val="none" w:sz="0" w:space="0" w:color="auto"/>
            <w:bottom w:val="none" w:sz="0" w:space="0" w:color="auto"/>
            <w:right w:val="none" w:sz="0" w:space="0" w:color="auto"/>
          </w:divBdr>
        </w:div>
        <w:div w:id="369455432">
          <w:marLeft w:val="480"/>
          <w:marRight w:val="0"/>
          <w:marTop w:val="0"/>
          <w:marBottom w:val="0"/>
          <w:divBdr>
            <w:top w:val="none" w:sz="0" w:space="0" w:color="auto"/>
            <w:left w:val="none" w:sz="0" w:space="0" w:color="auto"/>
            <w:bottom w:val="none" w:sz="0" w:space="0" w:color="auto"/>
            <w:right w:val="none" w:sz="0" w:space="0" w:color="auto"/>
          </w:divBdr>
        </w:div>
        <w:div w:id="2071338585">
          <w:marLeft w:val="480"/>
          <w:marRight w:val="0"/>
          <w:marTop w:val="0"/>
          <w:marBottom w:val="0"/>
          <w:divBdr>
            <w:top w:val="none" w:sz="0" w:space="0" w:color="auto"/>
            <w:left w:val="none" w:sz="0" w:space="0" w:color="auto"/>
            <w:bottom w:val="none" w:sz="0" w:space="0" w:color="auto"/>
            <w:right w:val="none" w:sz="0" w:space="0" w:color="auto"/>
          </w:divBdr>
        </w:div>
        <w:div w:id="1415128528">
          <w:marLeft w:val="480"/>
          <w:marRight w:val="0"/>
          <w:marTop w:val="0"/>
          <w:marBottom w:val="0"/>
          <w:divBdr>
            <w:top w:val="none" w:sz="0" w:space="0" w:color="auto"/>
            <w:left w:val="none" w:sz="0" w:space="0" w:color="auto"/>
            <w:bottom w:val="none" w:sz="0" w:space="0" w:color="auto"/>
            <w:right w:val="none" w:sz="0" w:space="0" w:color="auto"/>
          </w:divBdr>
        </w:div>
        <w:div w:id="953826466">
          <w:marLeft w:val="480"/>
          <w:marRight w:val="0"/>
          <w:marTop w:val="0"/>
          <w:marBottom w:val="0"/>
          <w:divBdr>
            <w:top w:val="none" w:sz="0" w:space="0" w:color="auto"/>
            <w:left w:val="none" w:sz="0" w:space="0" w:color="auto"/>
            <w:bottom w:val="none" w:sz="0" w:space="0" w:color="auto"/>
            <w:right w:val="none" w:sz="0" w:space="0" w:color="auto"/>
          </w:divBdr>
        </w:div>
        <w:div w:id="998658765">
          <w:marLeft w:val="480"/>
          <w:marRight w:val="0"/>
          <w:marTop w:val="0"/>
          <w:marBottom w:val="0"/>
          <w:divBdr>
            <w:top w:val="none" w:sz="0" w:space="0" w:color="auto"/>
            <w:left w:val="none" w:sz="0" w:space="0" w:color="auto"/>
            <w:bottom w:val="none" w:sz="0" w:space="0" w:color="auto"/>
            <w:right w:val="none" w:sz="0" w:space="0" w:color="auto"/>
          </w:divBdr>
        </w:div>
        <w:div w:id="318071696">
          <w:marLeft w:val="480"/>
          <w:marRight w:val="0"/>
          <w:marTop w:val="0"/>
          <w:marBottom w:val="0"/>
          <w:divBdr>
            <w:top w:val="none" w:sz="0" w:space="0" w:color="auto"/>
            <w:left w:val="none" w:sz="0" w:space="0" w:color="auto"/>
            <w:bottom w:val="none" w:sz="0" w:space="0" w:color="auto"/>
            <w:right w:val="none" w:sz="0" w:space="0" w:color="auto"/>
          </w:divBdr>
        </w:div>
        <w:div w:id="542179554">
          <w:marLeft w:val="480"/>
          <w:marRight w:val="0"/>
          <w:marTop w:val="0"/>
          <w:marBottom w:val="0"/>
          <w:divBdr>
            <w:top w:val="none" w:sz="0" w:space="0" w:color="auto"/>
            <w:left w:val="none" w:sz="0" w:space="0" w:color="auto"/>
            <w:bottom w:val="none" w:sz="0" w:space="0" w:color="auto"/>
            <w:right w:val="none" w:sz="0" w:space="0" w:color="auto"/>
          </w:divBdr>
        </w:div>
        <w:div w:id="1650089896">
          <w:marLeft w:val="480"/>
          <w:marRight w:val="0"/>
          <w:marTop w:val="0"/>
          <w:marBottom w:val="0"/>
          <w:divBdr>
            <w:top w:val="none" w:sz="0" w:space="0" w:color="auto"/>
            <w:left w:val="none" w:sz="0" w:space="0" w:color="auto"/>
            <w:bottom w:val="none" w:sz="0" w:space="0" w:color="auto"/>
            <w:right w:val="none" w:sz="0" w:space="0" w:color="auto"/>
          </w:divBdr>
        </w:div>
        <w:div w:id="1537619717">
          <w:marLeft w:val="480"/>
          <w:marRight w:val="0"/>
          <w:marTop w:val="0"/>
          <w:marBottom w:val="0"/>
          <w:divBdr>
            <w:top w:val="none" w:sz="0" w:space="0" w:color="auto"/>
            <w:left w:val="none" w:sz="0" w:space="0" w:color="auto"/>
            <w:bottom w:val="none" w:sz="0" w:space="0" w:color="auto"/>
            <w:right w:val="none" w:sz="0" w:space="0" w:color="auto"/>
          </w:divBdr>
        </w:div>
        <w:div w:id="1139541273">
          <w:marLeft w:val="480"/>
          <w:marRight w:val="0"/>
          <w:marTop w:val="0"/>
          <w:marBottom w:val="0"/>
          <w:divBdr>
            <w:top w:val="none" w:sz="0" w:space="0" w:color="auto"/>
            <w:left w:val="none" w:sz="0" w:space="0" w:color="auto"/>
            <w:bottom w:val="none" w:sz="0" w:space="0" w:color="auto"/>
            <w:right w:val="none" w:sz="0" w:space="0" w:color="auto"/>
          </w:divBdr>
        </w:div>
        <w:div w:id="119883885">
          <w:marLeft w:val="480"/>
          <w:marRight w:val="0"/>
          <w:marTop w:val="0"/>
          <w:marBottom w:val="0"/>
          <w:divBdr>
            <w:top w:val="none" w:sz="0" w:space="0" w:color="auto"/>
            <w:left w:val="none" w:sz="0" w:space="0" w:color="auto"/>
            <w:bottom w:val="none" w:sz="0" w:space="0" w:color="auto"/>
            <w:right w:val="none" w:sz="0" w:space="0" w:color="auto"/>
          </w:divBdr>
        </w:div>
        <w:div w:id="768042677">
          <w:marLeft w:val="480"/>
          <w:marRight w:val="0"/>
          <w:marTop w:val="0"/>
          <w:marBottom w:val="0"/>
          <w:divBdr>
            <w:top w:val="none" w:sz="0" w:space="0" w:color="auto"/>
            <w:left w:val="none" w:sz="0" w:space="0" w:color="auto"/>
            <w:bottom w:val="none" w:sz="0" w:space="0" w:color="auto"/>
            <w:right w:val="none" w:sz="0" w:space="0" w:color="auto"/>
          </w:divBdr>
        </w:div>
        <w:div w:id="1461535306">
          <w:marLeft w:val="480"/>
          <w:marRight w:val="0"/>
          <w:marTop w:val="0"/>
          <w:marBottom w:val="0"/>
          <w:divBdr>
            <w:top w:val="none" w:sz="0" w:space="0" w:color="auto"/>
            <w:left w:val="none" w:sz="0" w:space="0" w:color="auto"/>
            <w:bottom w:val="none" w:sz="0" w:space="0" w:color="auto"/>
            <w:right w:val="none" w:sz="0" w:space="0" w:color="auto"/>
          </w:divBdr>
        </w:div>
        <w:div w:id="634677402">
          <w:marLeft w:val="480"/>
          <w:marRight w:val="0"/>
          <w:marTop w:val="0"/>
          <w:marBottom w:val="0"/>
          <w:divBdr>
            <w:top w:val="none" w:sz="0" w:space="0" w:color="auto"/>
            <w:left w:val="none" w:sz="0" w:space="0" w:color="auto"/>
            <w:bottom w:val="none" w:sz="0" w:space="0" w:color="auto"/>
            <w:right w:val="none" w:sz="0" w:space="0" w:color="auto"/>
          </w:divBdr>
        </w:div>
        <w:div w:id="1938248367">
          <w:marLeft w:val="480"/>
          <w:marRight w:val="0"/>
          <w:marTop w:val="0"/>
          <w:marBottom w:val="0"/>
          <w:divBdr>
            <w:top w:val="none" w:sz="0" w:space="0" w:color="auto"/>
            <w:left w:val="none" w:sz="0" w:space="0" w:color="auto"/>
            <w:bottom w:val="none" w:sz="0" w:space="0" w:color="auto"/>
            <w:right w:val="none" w:sz="0" w:space="0" w:color="auto"/>
          </w:divBdr>
        </w:div>
        <w:div w:id="681513717">
          <w:marLeft w:val="480"/>
          <w:marRight w:val="0"/>
          <w:marTop w:val="0"/>
          <w:marBottom w:val="0"/>
          <w:divBdr>
            <w:top w:val="none" w:sz="0" w:space="0" w:color="auto"/>
            <w:left w:val="none" w:sz="0" w:space="0" w:color="auto"/>
            <w:bottom w:val="none" w:sz="0" w:space="0" w:color="auto"/>
            <w:right w:val="none" w:sz="0" w:space="0" w:color="auto"/>
          </w:divBdr>
        </w:div>
        <w:div w:id="1238442596">
          <w:marLeft w:val="480"/>
          <w:marRight w:val="0"/>
          <w:marTop w:val="0"/>
          <w:marBottom w:val="0"/>
          <w:divBdr>
            <w:top w:val="none" w:sz="0" w:space="0" w:color="auto"/>
            <w:left w:val="none" w:sz="0" w:space="0" w:color="auto"/>
            <w:bottom w:val="none" w:sz="0" w:space="0" w:color="auto"/>
            <w:right w:val="none" w:sz="0" w:space="0" w:color="auto"/>
          </w:divBdr>
        </w:div>
        <w:div w:id="1809975314">
          <w:marLeft w:val="480"/>
          <w:marRight w:val="0"/>
          <w:marTop w:val="0"/>
          <w:marBottom w:val="0"/>
          <w:divBdr>
            <w:top w:val="none" w:sz="0" w:space="0" w:color="auto"/>
            <w:left w:val="none" w:sz="0" w:space="0" w:color="auto"/>
            <w:bottom w:val="none" w:sz="0" w:space="0" w:color="auto"/>
            <w:right w:val="none" w:sz="0" w:space="0" w:color="auto"/>
          </w:divBdr>
        </w:div>
        <w:div w:id="533812169">
          <w:marLeft w:val="480"/>
          <w:marRight w:val="0"/>
          <w:marTop w:val="0"/>
          <w:marBottom w:val="0"/>
          <w:divBdr>
            <w:top w:val="none" w:sz="0" w:space="0" w:color="auto"/>
            <w:left w:val="none" w:sz="0" w:space="0" w:color="auto"/>
            <w:bottom w:val="none" w:sz="0" w:space="0" w:color="auto"/>
            <w:right w:val="none" w:sz="0" w:space="0" w:color="auto"/>
          </w:divBdr>
        </w:div>
        <w:div w:id="1435251364">
          <w:marLeft w:val="480"/>
          <w:marRight w:val="0"/>
          <w:marTop w:val="0"/>
          <w:marBottom w:val="0"/>
          <w:divBdr>
            <w:top w:val="none" w:sz="0" w:space="0" w:color="auto"/>
            <w:left w:val="none" w:sz="0" w:space="0" w:color="auto"/>
            <w:bottom w:val="none" w:sz="0" w:space="0" w:color="auto"/>
            <w:right w:val="none" w:sz="0" w:space="0" w:color="auto"/>
          </w:divBdr>
        </w:div>
        <w:div w:id="1719665769">
          <w:marLeft w:val="480"/>
          <w:marRight w:val="0"/>
          <w:marTop w:val="0"/>
          <w:marBottom w:val="0"/>
          <w:divBdr>
            <w:top w:val="none" w:sz="0" w:space="0" w:color="auto"/>
            <w:left w:val="none" w:sz="0" w:space="0" w:color="auto"/>
            <w:bottom w:val="none" w:sz="0" w:space="0" w:color="auto"/>
            <w:right w:val="none" w:sz="0" w:space="0" w:color="auto"/>
          </w:divBdr>
        </w:div>
        <w:div w:id="672879794">
          <w:marLeft w:val="480"/>
          <w:marRight w:val="0"/>
          <w:marTop w:val="0"/>
          <w:marBottom w:val="0"/>
          <w:divBdr>
            <w:top w:val="none" w:sz="0" w:space="0" w:color="auto"/>
            <w:left w:val="none" w:sz="0" w:space="0" w:color="auto"/>
            <w:bottom w:val="none" w:sz="0" w:space="0" w:color="auto"/>
            <w:right w:val="none" w:sz="0" w:space="0" w:color="auto"/>
          </w:divBdr>
        </w:div>
        <w:div w:id="1126463743">
          <w:marLeft w:val="480"/>
          <w:marRight w:val="0"/>
          <w:marTop w:val="0"/>
          <w:marBottom w:val="0"/>
          <w:divBdr>
            <w:top w:val="none" w:sz="0" w:space="0" w:color="auto"/>
            <w:left w:val="none" w:sz="0" w:space="0" w:color="auto"/>
            <w:bottom w:val="none" w:sz="0" w:space="0" w:color="auto"/>
            <w:right w:val="none" w:sz="0" w:space="0" w:color="auto"/>
          </w:divBdr>
        </w:div>
        <w:div w:id="43219146">
          <w:marLeft w:val="480"/>
          <w:marRight w:val="0"/>
          <w:marTop w:val="0"/>
          <w:marBottom w:val="0"/>
          <w:divBdr>
            <w:top w:val="none" w:sz="0" w:space="0" w:color="auto"/>
            <w:left w:val="none" w:sz="0" w:space="0" w:color="auto"/>
            <w:bottom w:val="none" w:sz="0" w:space="0" w:color="auto"/>
            <w:right w:val="none" w:sz="0" w:space="0" w:color="auto"/>
          </w:divBdr>
        </w:div>
        <w:div w:id="369889773">
          <w:marLeft w:val="480"/>
          <w:marRight w:val="0"/>
          <w:marTop w:val="0"/>
          <w:marBottom w:val="0"/>
          <w:divBdr>
            <w:top w:val="none" w:sz="0" w:space="0" w:color="auto"/>
            <w:left w:val="none" w:sz="0" w:space="0" w:color="auto"/>
            <w:bottom w:val="none" w:sz="0" w:space="0" w:color="auto"/>
            <w:right w:val="none" w:sz="0" w:space="0" w:color="auto"/>
          </w:divBdr>
        </w:div>
        <w:div w:id="1151869625">
          <w:marLeft w:val="480"/>
          <w:marRight w:val="0"/>
          <w:marTop w:val="0"/>
          <w:marBottom w:val="0"/>
          <w:divBdr>
            <w:top w:val="none" w:sz="0" w:space="0" w:color="auto"/>
            <w:left w:val="none" w:sz="0" w:space="0" w:color="auto"/>
            <w:bottom w:val="none" w:sz="0" w:space="0" w:color="auto"/>
            <w:right w:val="none" w:sz="0" w:space="0" w:color="auto"/>
          </w:divBdr>
        </w:div>
        <w:div w:id="427577026">
          <w:marLeft w:val="480"/>
          <w:marRight w:val="0"/>
          <w:marTop w:val="0"/>
          <w:marBottom w:val="0"/>
          <w:divBdr>
            <w:top w:val="none" w:sz="0" w:space="0" w:color="auto"/>
            <w:left w:val="none" w:sz="0" w:space="0" w:color="auto"/>
            <w:bottom w:val="none" w:sz="0" w:space="0" w:color="auto"/>
            <w:right w:val="none" w:sz="0" w:space="0" w:color="auto"/>
          </w:divBdr>
        </w:div>
        <w:div w:id="2139909842">
          <w:marLeft w:val="480"/>
          <w:marRight w:val="0"/>
          <w:marTop w:val="0"/>
          <w:marBottom w:val="0"/>
          <w:divBdr>
            <w:top w:val="none" w:sz="0" w:space="0" w:color="auto"/>
            <w:left w:val="none" w:sz="0" w:space="0" w:color="auto"/>
            <w:bottom w:val="none" w:sz="0" w:space="0" w:color="auto"/>
            <w:right w:val="none" w:sz="0" w:space="0" w:color="auto"/>
          </w:divBdr>
        </w:div>
        <w:div w:id="543833776">
          <w:marLeft w:val="480"/>
          <w:marRight w:val="0"/>
          <w:marTop w:val="0"/>
          <w:marBottom w:val="0"/>
          <w:divBdr>
            <w:top w:val="none" w:sz="0" w:space="0" w:color="auto"/>
            <w:left w:val="none" w:sz="0" w:space="0" w:color="auto"/>
            <w:bottom w:val="none" w:sz="0" w:space="0" w:color="auto"/>
            <w:right w:val="none" w:sz="0" w:space="0" w:color="auto"/>
          </w:divBdr>
        </w:div>
        <w:div w:id="2111464078">
          <w:marLeft w:val="480"/>
          <w:marRight w:val="0"/>
          <w:marTop w:val="0"/>
          <w:marBottom w:val="0"/>
          <w:divBdr>
            <w:top w:val="none" w:sz="0" w:space="0" w:color="auto"/>
            <w:left w:val="none" w:sz="0" w:space="0" w:color="auto"/>
            <w:bottom w:val="none" w:sz="0" w:space="0" w:color="auto"/>
            <w:right w:val="none" w:sz="0" w:space="0" w:color="auto"/>
          </w:divBdr>
        </w:div>
        <w:div w:id="364184467">
          <w:marLeft w:val="480"/>
          <w:marRight w:val="0"/>
          <w:marTop w:val="0"/>
          <w:marBottom w:val="0"/>
          <w:divBdr>
            <w:top w:val="none" w:sz="0" w:space="0" w:color="auto"/>
            <w:left w:val="none" w:sz="0" w:space="0" w:color="auto"/>
            <w:bottom w:val="none" w:sz="0" w:space="0" w:color="auto"/>
            <w:right w:val="none" w:sz="0" w:space="0" w:color="auto"/>
          </w:divBdr>
        </w:div>
        <w:div w:id="568541329">
          <w:marLeft w:val="480"/>
          <w:marRight w:val="0"/>
          <w:marTop w:val="0"/>
          <w:marBottom w:val="0"/>
          <w:divBdr>
            <w:top w:val="none" w:sz="0" w:space="0" w:color="auto"/>
            <w:left w:val="none" w:sz="0" w:space="0" w:color="auto"/>
            <w:bottom w:val="none" w:sz="0" w:space="0" w:color="auto"/>
            <w:right w:val="none" w:sz="0" w:space="0" w:color="auto"/>
          </w:divBdr>
        </w:div>
        <w:div w:id="152569350">
          <w:marLeft w:val="480"/>
          <w:marRight w:val="0"/>
          <w:marTop w:val="0"/>
          <w:marBottom w:val="0"/>
          <w:divBdr>
            <w:top w:val="none" w:sz="0" w:space="0" w:color="auto"/>
            <w:left w:val="none" w:sz="0" w:space="0" w:color="auto"/>
            <w:bottom w:val="none" w:sz="0" w:space="0" w:color="auto"/>
            <w:right w:val="none" w:sz="0" w:space="0" w:color="auto"/>
          </w:divBdr>
        </w:div>
        <w:div w:id="396899871">
          <w:marLeft w:val="480"/>
          <w:marRight w:val="0"/>
          <w:marTop w:val="0"/>
          <w:marBottom w:val="0"/>
          <w:divBdr>
            <w:top w:val="none" w:sz="0" w:space="0" w:color="auto"/>
            <w:left w:val="none" w:sz="0" w:space="0" w:color="auto"/>
            <w:bottom w:val="none" w:sz="0" w:space="0" w:color="auto"/>
            <w:right w:val="none" w:sz="0" w:space="0" w:color="auto"/>
          </w:divBdr>
        </w:div>
        <w:div w:id="1831943777">
          <w:marLeft w:val="480"/>
          <w:marRight w:val="0"/>
          <w:marTop w:val="0"/>
          <w:marBottom w:val="0"/>
          <w:divBdr>
            <w:top w:val="none" w:sz="0" w:space="0" w:color="auto"/>
            <w:left w:val="none" w:sz="0" w:space="0" w:color="auto"/>
            <w:bottom w:val="none" w:sz="0" w:space="0" w:color="auto"/>
            <w:right w:val="none" w:sz="0" w:space="0" w:color="auto"/>
          </w:divBdr>
        </w:div>
        <w:div w:id="724597938">
          <w:marLeft w:val="480"/>
          <w:marRight w:val="0"/>
          <w:marTop w:val="0"/>
          <w:marBottom w:val="0"/>
          <w:divBdr>
            <w:top w:val="none" w:sz="0" w:space="0" w:color="auto"/>
            <w:left w:val="none" w:sz="0" w:space="0" w:color="auto"/>
            <w:bottom w:val="none" w:sz="0" w:space="0" w:color="auto"/>
            <w:right w:val="none" w:sz="0" w:space="0" w:color="auto"/>
          </w:divBdr>
        </w:div>
        <w:div w:id="1635984418">
          <w:marLeft w:val="480"/>
          <w:marRight w:val="0"/>
          <w:marTop w:val="0"/>
          <w:marBottom w:val="0"/>
          <w:divBdr>
            <w:top w:val="none" w:sz="0" w:space="0" w:color="auto"/>
            <w:left w:val="none" w:sz="0" w:space="0" w:color="auto"/>
            <w:bottom w:val="none" w:sz="0" w:space="0" w:color="auto"/>
            <w:right w:val="none" w:sz="0" w:space="0" w:color="auto"/>
          </w:divBdr>
        </w:div>
        <w:div w:id="1027953259">
          <w:marLeft w:val="480"/>
          <w:marRight w:val="0"/>
          <w:marTop w:val="0"/>
          <w:marBottom w:val="0"/>
          <w:divBdr>
            <w:top w:val="none" w:sz="0" w:space="0" w:color="auto"/>
            <w:left w:val="none" w:sz="0" w:space="0" w:color="auto"/>
            <w:bottom w:val="none" w:sz="0" w:space="0" w:color="auto"/>
            <w:right w:val="none" w:sz="0" w:space="0" w:color="auto"/>
          </w:divBdr>
        </w:div>
        <w:div w:id="1671449566">
          <w:marLeft w:val="480"/>
          <w:marRight w:val="0"/>
          <w:marTop w:val="0"/>
          <w:marBottom w:val="0"/>
          <w:divBdr>
            <w:top w:val="none" w:sz="0" w:space="0" w:color="auto"/>
            <w:left w:val="none" w:sz="0" w:space="0" w:color="auto"/>
            <w:bottom w:val="none" w:sz="0" w:space="0" w:color="auto"/>
            <w:right w:val="none" w:sz="0" w:space="0" w:color="auto"/>
          </w:divBdr>
        </w:div>
        <w:div w:id="255090908">
          <w:marLeft w:val="480"/>
          <w:marRight w:val="0"/>
          <w:marTop w:val="0"/>
          <w:marBottom w:val="0"/>
          <w:divBdr>
            <w:top w:val="none" w:sz="0" w:space="0" w:color="auto"/>
            <w:left w:val="none" w:sz="0" w:space="0" w:color="auto"/>
            <w:bottom w:val="none" w:sz="0" w:space="0" w:color="auto"/>
            <w:right w:val="none" w:sz="0" w:space="0" w:color="auto"/>
          </w:divBdr>
        </w:div>
        <w:div w:id="2028603213">
          <w:marLeft w:val="480"/>
          <w:marRight w:val="0"/>
          <w:marTop w:val="0"/>
          <w:marBottom w:val="0"/>
          <w:divBdr>
            <w:top w:val="none" w:sz="0" w:space="0" w:color="auto"/>
            <w:left w:val="none" w:sz="0" w:space="0" w:color="auto"/>
            <w:bottom w:val="none" w:sz="0" w:space="0" w:color="auto"/>
            <w:right w:val="none" w:sz="0" w:space="0" w:color="auto"/>
          </w:divBdr>
        </w:div>
        <w:div w:id="788745294">
          <w:marLeft w:val="480"/>
          <w:marRight w:val="0"/>
          <w:marTop w:val="0"/>
          <w:marBottom w:val="0"/>
          <w:divBdr>
            <w:top w:val="none" w:sz="0" w:space="0" w:color="auto"/>
            <w:left w:val="none" w:sz="0" w:space="0" w:color="auto"/>
            <w:bottom w:val="none" w:sz="0" w:space="0" w:color="auto"/>
            <w:right w:val="none" w:sz="0" w:space="0" w:color="auto"/>
          </w:divBdr>
        </w:div>
        <w:div w:id="1704671483">
          <w:marLeft w:val="480"/>
          <w:marRight w:val="0"/>
          <w:marTop w:val="0"/>
          <w:marBottom w:val="0"/>
          <w:divBdr>
            <w:top w:val="none" w:sz="0" w:space="0" w:color="auto"/>
            <w:left w:val="none" w:sz="0" w:space="0" w:color="auto"/>
            <w:bottom w:val="none" w:sz="0" w:space="0" w:color="auto"/>
            <w:right w:val="none" w:sz="0" w:space="0" w:color="auto"/>
          </w:divBdr>
        </w:div>
        <w:div w:id="522860641">
          <w:marLeft w:val="480"/>
          <w:marRight w:val="0"/>
          <w:marTop w:val="0"/>
          <w:marBottom w:val="0"/>
          <w:divBdr>
            <w:top w:val="none" w:sz="0" w:space="0" w:color="auto"/>
            <w:left w:val="none" w:sz="0" w:space="0" w:color="auto"/>
            <w:bottom w:val="none" w:sz="0" w:space="0" w:color="auto"/>
            <w:right w:val="none" w:sz="0" w:space="0" w:color="auto"/>
          </w:divBdr>
        </w:div>
        <w:div w:id="2040618814">
          <w:marLeft w:val="480"/>
          <w:marRight w:val="0"/>
          <w:marTop w:val="0"/>
          <w:marBottom w:val="0"/>
          <w:divBdr>
            <w:top w:val="none" w:sz="0" w:space="0" w:color="auto"/>
            <w:left w:val="none" w:sz="0" w:space="0" w:color="auto"/>
            <w:bottom w:val="none" w:sz="0" w:space="0" w:color="auto"/>
            <w:right w:val="none" w:sz="0" w:space="0" w:color="auto"/>
          </w:divBdr>
        </w:div>
        <w:div w:id="2021152230">
          <w:marLeft w:val="480"/>
          <w:marRight w:val="0"/>
          <w:marTop w:val="0"/>
          <w:marBottom w:val="0"/>
          <w:divBdr>
            <w:top w:val="none" w:sz="0" w:space="0" w:color="auto"/>
            <w:left w:val="none" w:sz="0" w:space="0" w:color="auto"/>
            <w:bottom w:val="none" w:sz="0" w:space="0" w:color="auto"/>
            <w:right w:val="none" w:sz="0" w:space="0" w:color="auto"/>
          </w:divBdr>
        </w:div>
        <w:div w:id="1792701093">
          <w:marLeft w:val="480"/>
          <w:marRight w:val="0"/>
          <w:marTop w:val="0"/>
          <w:marBottom w:val="0"/>
          <w:divBdr>
            <w:top w:val="none" w:sz="0" w:space="0" w:color="auto"/>
            <w:left w:val="none" w:sz="0" w:space="0" w:color="auto"/>
            <w:bottom w:val="none" w:sz="0" w:space="0" w:color="auto"/>
            <w:right w:val="none" w:sz="0" w:space="0" w:color="auto"/>
          </w:divBdr>
        </w:div>
        <w:div w:id="1160275052">
          <w:marLeft w:val="480"/>
          <w:marRight w:val="0"/>
          <w:marTop w:val="0"/>
          <w:marBottom w:val="0"/>
          <w:divBdr>
            <w:top w:val="none" w:sz="0" w:space="0" w:color="auto"/>
            <w:left w:val="none" w:sz="0" w:space="0" w:color="auto"/>
            <w:bottom w:val="none" w:sz="0" w:space="0" w:color="auto"/>
            <w:right w:val="none" w:sz="0" w:space="0" w:color="auto"/>
          </w:divBdr>
        </w:div>
        <w:div w:id="759253429">
          <w:marLeft w:val="480"/>
          <w:marRight w:val="0"/>
          <w:marTop w:val="0"/>
          <w:marBottom w:val="0"/>
          <w:divBdr>
            <w:top w:val="none" w:sz="0" w:space="0" w:color="auto"/>
            <w:left w:val="none" w:sz="0" w:space="0" w:color="auto"/>
            <w:bottom w:val="none" w:sz="0" w:space="0" w:color="auto"/>
            <w:right w:val="none" w:sz="0" w:space="0" w:color="auto"/>
          </w:divBdr>
        </w:div>
        <w:div w:id="840123270">
          <w:marLeft w:val="480"/>
          <w:marRight w:val="0"/>
          <w:marTop w:val="0"/>
          <w:marBottom w:val="0"/>
          <w:divBdr>
            <w:top w:val="none" w:sz="0" w:space="0" w:color="auto"/>
            <w:left w:val="none" w:sz="0" w:space="0" w:color="auto"/>
            <w:bottom w:val="none" w:sz="0" w:space="0" w:color="auto"/>
            <w:right w:val="none" w:sz="0" w:space="0" w:color="auto"/>
          </w:divBdr>
        </w:div>
        <w:div w:id="2048678649">
          <w:marLeft w:val="480"/>
          <w:marRight w:val="0"/>
          <w:marTop w:val="0"/>
          <w:marBottom w:val="0"/>
          <w:divBdr>
            <w:top w:val="none" w:sz="0" w:space="0" w:color="auto"/>
            <w:left w:val="none" w:sz="0" w:space="0" w:color="auto"/>
            <w:bottom w:val="none" w:sz="0" w:space="0" w:color="auto"/>
            <w:right w:val="none" w:sz="0" w:space="0" w:color="auto"/>
          </w:divBdr>
        </w:div>
        <w:div w:id="649796120">
          <w:marLeft w:val="480"/>
          <w:marRight w:val="0"/>
          <w:marTop w:val="0"/>
          <w:marBottom w:val="0"/>
          <w:divBdr>
            <w:top w:val="none" w:sz="0" w:space="0" w:color="auto"/>
            <w:left w:val="none" w:sz="0" w:space="0" w:color="auto"/>
            <w:bottom w:val="none" w:sz="0" w:space="0" w:color="auto"/>
            <w:right w:val="none" w:sz="0" w:space="0" w:color="auto"/>
          </w:divBdr>
        </w:div>
        <w:div w:id="536086582">
          <w:marLeft w:val="480"/>
          <w:marRight w:val="0"/>
          <w:marTop w:val="0"/>
          <w:marBottom w:val="0"/>
          <w:divBdr>
            <w:top w:val="none" w:sz="0" w:space="0" w:color="auto"/>
            <w:left w:val="none" w:sz="0" w:space="0" w:color="auto"/>
            <w:bottom w:val="none" w:sz="0" w:space="0" w:color="auto"/>
            <w:right w:val="none" w:sz="0" w:space="0" w:color="auto"/>
          </w:divBdr>
        </w:div>
        <w:div w:id="107505497">
          <w:marLeft w:val="480"/>
          <w:marRight w:val="0"/>
          <w:marTop w:val="0"/>
          <w:marBottom w:val="0"/>
          <w:divBdr>
            <w:top w:val="none" w:sz="0" w:space="0" w:color="auto"/>
            <w:left w:val="none" w:sz="0" w:space="0" w:color="auto"/>
            <w:bottom w:val="none" w:sz="0" w:space="0" w:color="auto"/>
            <w:right w:val="none" w:sz="0" w:space="0" w:color="auto"/>
          </w:divBdr>
        </w:div>
        <w:div w:id="2011592457">
          <w:marLeft w:val="480"/>
          <w:marRight w:val="0"/>
          <w:marTop w:val="0"/>
          <w:marBottom w:val="0"/>
          <w:divBdr>
            <w:top w:val="none" w:sz="0" w:space="0" w:color="auto"/>
            <w:left w:val="none" w:sz="0" w:space="0" w:color="auto"/>
            <w:bottom w:val="none" w:sz="0" w:space="0" w:color="auto"/>
            <w:right w:val="none" w:sz="0" w:space="0" w:color="auto"/>
          </w:divBdr>
        </w:div>
        <w:div w:id="1011301058">
          <w:marLeft w:val="480"/>
          <w:marRight w:val="0"/>
          <w:marTop w:val="0"/>
          <w:marBottom w:val="0"/>
          <w:divBdr>
            <w:top w:val="none" w:sz="0" w:space="0" w:color="auto"/>
            <w:left w:val="none" w:sz="0" w:space="0" w:color="auto"/>
            <w:bottom w:val="none" w:sz="0" w:space="0" w:color="auto"/>
            <w:right w:val="none" w:sz="0" w:space="0" w:color="auto"/>
          </w:divBdr>
        </w:div>
        <w:div w:id="1278760010">
          <w:marLeft w:val="480"/>
          <w:marRight w:val="0"/>
          <w:marTop w:val="0"/>
          <w:marBottom w:val="0"/>
          <w:divBdr>
            <w:top w:val="none" w:sz="0" w:space="0" w:color="auto"/>
            <w:left w:val="none" w:sz="0" w:space="0" w:color="auto"/>
            <w:bottom w:val="none" w:sz="0" w:space="0" w:color="auto"/>
            <w:right w:val="none" w:sz="0" w:space="0" w:color="auto"/>
          </w:divBdr>
        </w:div>
        <w:div w:id="1174686089">
          <w:marLeft w:val="480"/>
          <w:marRight w:val="0"/>
          <w:marTop w:val="0"/>
          <w:marBottom w:val="0"/>
          <w:divBdr>
            <w:top w:val="none" w:sz="0" w:space="0" w:color="auto"/>
            <w:left w:val="none" w:sz="0" w:space="0" w:color="auto"/>
            <w:bottom w:val="none" w:sz="0" w:space="0" w:color="auto"/>
            <w:right w:val="none" w:sz="0" w:space="0" w:color="auto"/>
          </w:divBdr>
        </w:div>
        <w:div w:id="545219012">
          <w:marLeft w:val="480"/>
          <w:marRight w:val="0"/>
          <w:marTop w:val="0"/>
          <w:marBottom w:val="0"/>
          <w:divBdr>
            <w:top w:val="none" w:sz="0" w:space="0" w:color="auto"/>
            <w:left w:val="none" w:sz="0" w:space="0" w:color="auto"/>
            <w:bottom w:val="none" w:sz="0" w:space="0" w:color="auto"/>
            <w:right w:val="none" w:sz="0" w:space="0" w:color="auto"/>
          </w:divBdr>
        </w:div>
        <w:div w:id="993489400">
          <w:marLeft w:val="480"/>
          <w:marRight w:val="0"/>
          <w:marTop w:val="0"/>
          <w:marBottom w:val="0"/>
          <w:divBdr>
            <w:top w:val="none" w:sz="0" w:space="0" w:color="auto"/>
            <w:left w:val="none" w:sz="0" w:space="0" w:color="auto"/>
            <w:bottom w:val="none" w:sz="0" w:space="0" w:color="auto"/>
            <w:right w:val="none" w:sz="0" w:space="0" w:color="auto"/>
          </w:divBdr>
        </w:div>
        <w:div w:id="1340693575">
          <w:marLeft w:val="480"/>
          <w:marRight w:val="0"/>
          <w:marTop w:val="0"/>
          <w:marBottom w:val="0"/>
          <w:divBdr>
            <w:top w:val="none" w:sz="0" w:space="0" w:color="auto"/>
            <w:left w:val="none" w:sz="0" w:space="0" w:color="auto"/>
            <w:bottom w:val="none" w:sz="0" w:space="0" w:color="auto"/>
            <w:right w:val="none" w:sz="0" w:space="0" w:color="auto"/>
          </w:divBdr>
        </w:div>
        <w:div w:id="980617283">
          <w:marLeft w:val="480"/>
          <w:marRight w:val="0"/>
          <w:marTop w:val="0"/>
          <w:marBottom w:val="0"/>
          <w:divBdr>
            <w:top w:val="none" w:sz="0" w:space="0" w:color="auto"/>
            <w:left w:val="none" w:sz="0" w:space="0" w:color="auto"/>
            <w:bottom w:val="none" w:sz="0" w:space="0" w:color="auto"/>
            <w:right w:val="none" w:sz="0" w:space="0" w:color="auto"/>
          </w:divBdr>
        </w:div>
        <w:div w:id="2032562041">
          <w:marLeft w:val="480"/>
          <w:marRight w:val="0"/>
          <w:marTop w:val="0"/>
          <w:marBottom w:val="0"/>
          <w:divBdr>
            <w:top w:val="none" w:sz="0" w:space="0" w:color="auto"/>
            <w:left w:val="none" w:sz="0" w:space="0" w:color="auto"/>
            <w:bottom w:val="none" w:sz="0" w:space="0" w:color="auto"/>
            <w:right w:val="none" w:sz="0" w:space="0" w:color="auto"/>
          </w:divBdr>
        </w:div>
        <w:div w:id="296379136">
          <w:marLeft w:val="480"/>
          <w:marRight w:val="0"/>
          <w:marTop w:val="0"/>
          <w:marBottom w:val="0"/>
          <w:divBdr>
            <w:top w:val="none" w:sz="0" w:space="0" w:color="auto"/>
            <w:left w:val="none" w:sz="0" w:space="0" w:color="auto"/>
            <w:bottom w:val="none" w:sz="0" w:space="0" w:color="auto"/>
            <w:right w:val="none" w:sz="0" w:space="0" w:color="auto"/>
          </w:divBdr>
        </w:div>
        <w:div w:id="494495062">
          <w:marLeft w:val="480"/>
          <w:marRight w:val="0"/>
          <w:marTop w:val="0"/>
          <w:marBottom w:val="0"/>
          <w:divBdr>
            <w:top w:val="none" w:sz="0" w:space="0" w:color="auto"/>
            <w:left w:val="none" w:sz="0" w:space="0" w:color="auto"/>
            <w:bottom w:val="none" w:sz="0" w:space="0" w:color="auto"/>
            <w:right w:val="none" w:sz="0" w:space="0" w:color="auto"/>
          </w:divBdr>
        </w:div>
        <w:div w:id="1126780919">
          <w:marLeft w:val="480"/>
          <w:marRight w:val="0"/>
          <w:marTop w:val="0"/>
          <w:marBottom w:val="0"/>
          <w:divBdr>
            <w:top w:val="none" w:sz="0" w:space="0" w:color="auto"/>
            <w:left w:val="none" w:sz="0" w:space="0" w:color="auto"/>
            <w:bottom w:val="none" w:sz="0" w:space="0" w:color="auto"/>
            <w:right w:val="none" w:sz="0" w:space="0" w:color="auto"/>
          </w:divBdr>
        </w:div>
        <w:div w:id="1700429217">
          <w:marLeft w:val="480"/>
          <w:marRight w:val="0"/>
          <w:marTop w:val="0"/>
          <w:marBottom w:val="0"/>
          <w:divBdr>
            <w:top w:val="none" w:sz="0" w:space="0" w:color="auto"/>
            <w:left w:val="none" w:sz="0" w:space="0" w:color="auto"/>
            <w:bottom w:val="none" w:sz="0" w:space="0" w:color="auto"/>
            <w:right w:val="none" w:sz="0" w:space="0" w:color="auto"/>
          </w:divBdr>
        </w:div>
        <w:div w:id="1013337457">
          <w:marLeft w:val="480"/>
          <w:marRight w:val="0"/>
          <w:marTop w:val="0"/>
          <w:marBottom w:val="0"/>
          <w:divBdr>
            <w:top w:val="none" w:sz="0" w:space="0" w:color="auto"/>
            <w:left w:val="none" w:sz="0" w:space="0" w:color="auto"/>
            <w:bottom w:val="none" w:sz="0" w:space="0" w:color="auto"/>
            <w:right w:val="none" w:sz="0" w:space="0" w:color="auto"/>
          </w:divBdr>
        </w:div>
      </w:divsChild>
    </w:div>
    <w:div w:id="247154103">
      <w:bodyDiv w:val="1"/>
      <w:marLeft w:val="0"/>
      <w:marRight w:val="0"/>
      <w:marTop w:val="0"/>
      <w:marBottom w:val="0"/>
      <w:divBdr>
        <w:top w:val="none" w:sz="0" w:space="0" w:color="auto"/>
        <w:left w:val="none" w:sz="0" w:space="0" w:color="auto"/>
        <w:bottom w:val="none" w:sz="0" w:space="0" w:color="auto"/>
        <w:right w:val="none" w:sz="0" w:space="0" w:color="auto"/>
      </w:divBdr>
    </w:div>
    <w:div w:id="248395775">
      <w:bodyDiv w:val="1"/>
      <w:marLeft w:val="0"/>
      <w:marRight w:val="0"/>
      <w:marTop w:val="0"/>
      <w:marBottom w:val="0"/>
      <w:divBdr>
        <w:top w:val="none" w:sz="0" w:space="0" w:color="auto"/>
        <w:left w:val="none" w:sz="0" w:space="0" w:color="auto"/>
        <w:bottom w:val="none" w:sz="0" w:space="0" w:color="auto"/>
        <w:right w:val="none" w:sz="0" w:space="0" w:color="auto"/>
      </w:divBdr>
    </w:div>
    <w:div w:id="269432326">
      <w:bodyDiv w:val="1"/>
      <w:marLeft w:val="0"/>
      <w:marRight w:val="0"/>
      <w:marTop w:val="0"/>
      <w:marBottom w:val="0"/>
      <w:divBdr>
        <w:top w:val="none" w:sz="0" w:space="0" w:color="auto"/>
        <w:left w:val="none" w:sz="0" w:space="0" w:color="auto"/>
        <w:bottom w:val="none" w:sz="0" w:space="0" w:color="auto"/>
        <w:right w:val="none" w:sz="0" w:space="0" w:color="auto"/>
      </w:divBdr>
    </w:div>
    <w:div w:id="270169338">
      <w:bodyDiv w:val="1"/>
      <w:marLeft w:val="0"/>
      <w:marRight w:val="0"/>
      <w:marTop w:val="0"/>
      <w:marBottom w:val="0"/>
      <w:divBdr>
        <w:top w:val="none" w:sz="0" w:space="0" w:color="auto"/>
        <w:left w:val="none" w:sz="0" w:space="0" w:color="auto"/>
        <w:bottom w:val="none" w:sz="0" w:space="0" w:color="auto"/>
        <w:right w:val="none" w:sz="0" w:space="0" w:color="auto"/>
      </w:divBdr>
    </w:div>
    <w:div w:id="271594928">
      <w:bodyDiv w:val="1"/>
      <w:marLeft w:val="0"/>
      <w:marRight w:val="0"/>
      <w:marTop w:val="0"/>
      <w:marBottom w:val="0"/>
      <w:divBdr>
        <w:top w:val="none" w:sz="0" w:space="0" w:color="auto"/>
        <w:left w:val="none" w:sz="0" w:space="0" w:color="auto"/>
        <w:bottom w:val="none" w:sz="0" w:space="0" w:color="auto"/>
        <w:right w:val="none" w:sz="0" w:space="0" w:color="auto"/>
      </w:divBdr>
    </w:div>
    <w:div w:id="284045843">
      <w:bodyDiv w:val="1"/>
      <w:marLeft w:val="0"/>
      <w:marRight w:val="0"/>
      <w:marTop w:val="0"/>
      <w:marBottom w:val="0"/>
      <w:divBdr>
        <w:top w:val="none" w:sz="0" w:space="0" w:color="auto"/>
        <w:left w:val="none" w:sz="0" w:space="0" w:color="auto"/>
        <w:bottom w:val="none" w:sz="0" w:space="0" w:color="auto"/>
        <w:right w:val="none" w:sz="0" w:space="0" w:color="auto"/>
      </w:divBdr>
    </w:div>
    <w:div w:id="317614402">
      <w:bodyDiv w:val="1"/>
      <w:marLeft w:val="0"/>
      <w:marRight w:val="0"/>
      <w:marTop w:val="0"/>
      <w:marBottom w:val="0"/>
      <w:divBdr>
        <w:top w:val="none" w:sz="0" w:space="0" w:color="auto"/>
        <w:left w:val="none" w:sz="0" w:space="0" w:color="auto"/>
        <w:bottom w:val="none" w:sz="0" w:space="0" w:color="auto"/>
        <w:right w:val="none" w:sz="0" w:space="0" w:color="auto"/>
      </w:divBdr>
    </w:div>
    <w:div w:id="321465756">
      <w:bodyDiv w:val="1"/>
      <w:marLeft w:val="0"/>
      <w:marRight w:val="0"/>
      <w:marTop w:val="0"/>
      <w:marBottom w:val="0"/>
      <w:divBdr>
        <w:top w:val="none" w:sz="0" w:space="0" w:color="auto"/>
        <w:left w:val="none" w:sz="0" w:space="0" w:color="auto"/>
        <w:bottom w:val="none" w:sz="0" w:space="0" w:color="auto"/>
        <w:right w:val="none" w:sz="0" w:space="0" w:color="auto"/>
      </w:divBdr>
    </w:div>
    <w:div w:id="345638065">
      <w:bodyDiv w:val="1"/>
      <w:marLeft w:val="0"/>
      <w:marRight w:val="0"/>
      <w:marTop w:val="0"/>
      <w:marBottom w:val="0"/>
      <w:divBdr>
        <w:top w:val="none" w:sz="0" w:space="0" w:color="auto"/>
        <w:left w:val="none" w:sz="0" w:space="0" w:color="auto"/>
        <w:bottom w:val="none" w:sz="0" w:space="0" w:color="auto"/>
        <w:right w:val="none" w:sz="0" w:space="0" w:color="auto"/>
      </w:divBdr>
    </w:div>
    <w:div w:id="346909644">
      <w:bodyDiv w:val="1"/>
      <w:marLeft w:val="0"/>
      <w:marRight w:val="0"/>
      <w:marTop w:val="0"/>
      <w:marBottom w:val="0"/>
      <w:divBdr>
        <w:top w:val="none" w:sz="0" w:space="0" w:color="auto"/>
        <w:left w:val="none" w:sz="0" w:space="0" w:color="auto"/>
        <w:bottom w:val="none" w:sz="0" w:space="0" w:color="auto"/>
        <w:right w:val="none" w:sz="0" w:space="0" w:color="auto"/>
      </w:divBdr>
    </w:div>
    <w:div w:id="357588508">
      <w:bodyDiv w:val="1"/>
      <w:marLeft w:val="0"/>
      <w:marRight w:val="0"/>
      <w:marTop w:val="0"/>
      <w:marBottom w:val="0"/>
      <w:divBdr>
        <w:top w:val="none" w:sz="0" w:space="0" w:color="auto"/>
        <w:left w:val="none" w:sz="0" w:space="0" w:color="auto"/>
        <w:bottom w:val="none" w:sz="0" w:space="0" w:color="auto"/>
        <w:right w:val="none" w:sz="0" w:space="0" w:color="auto"/>
      </w:divBdr>
    </w:div>
    <w:div w:id="364135709">
      <w:bodyDiv w:val="1"/>
      <w:marLeft w:val="0"/>
      <w:marRight w:val="0"/>
      <w:marTop w:val="0"/>
      <w:marBottom w:val="0"/>
      <w:divBdr>
        <w:top w:val="none" w:sz="0" w:space="0" w:color="auto"/>
        <w:left w:val="none" w:sz="0" w:space="0" w:color="auto"/>
        <w:bottom w:val="none" w:sz="0" w:space="0" w:color="auto"/>
        <w:right w:val="none" w:sz="0" w:space="0" w:color="auto"/>
      </w:divBdr>
    </w:div>
    <w:div w:id="382409324">
      <w:bodyDiv w:val="1"/>
      <w:marLeft w:val="0"/>
      <w:marRight w:val="0"/>
      <w:marTop w:val="0"/>
      <w:marBottom w:val="0"/>
      <w:divBdr>
        <w:top w:val="none" w:sz="0" w:space="0" w:color="auto"/>
        <w:left w:val="none" w:sz="0" w:space="0" w:color="auto"/>
        <w:bottom w:val="none" w:sz="0" w:space="0" w:color="auto"/>
        <w:right w:val="none" w:sz="0" w:space="0" w:color="auto"/>
      </w:divBdr>
    </w:div>
    <w:div w:id="404375949">
      <w:bodyDiv w:val="1"/>
      <w:marLeft w:val="0"/>
      <w:marRight w:val="0"/>
      <w:marTop w:val="0"/>
      <w:marBottom w:val="0"/>
      <w:divBdr>
        <w:top w:val="none" w:sz="0" w:space="0" w:color="auto"/>
        <w:left w:val="none" w:sz="0" w:space="0" w:color="auto"/>
        <w:bottom w:val="none" w:sz="0" w:space="0" w:color="auto"/>
        <w:right w:val="none" w:sz="0" w:space="0" w:color="auto"/>
      </w:divBdr>
    </w:div>
    <w:div w:id="404381396">
      <w:bodyDiv w:val="1"/>
      <w:marLeft w:val="0"/>
      <w:marRight w:val="0"/>
      <w:marTop w:val="0"/>
      <w:marBottom w:val="0"/>
      <w:divBdr>
        <w:top w:val="none" w:sz="0" w:space="0" w:color="auto"/>
        <w:left w:val="none" w:sz="0" w:space="0" w:color="auto"/>
        <w:bottom w:val="none" w:sz="0" w:space="0" w:color="auto"/>
        <w:right w:val="none" w:sz="0" w:space="0" w:color="auto"/>
      </w:divBdr>
    </w:div>
    <w:div w:id="419448369">
      <w:bodyDiv w:val="1"/>
      <w:marLeft w:val="0"/>
      <w:marRight w:val="0"/>
      <w:marTop w:val="0"/>
      <w:marBottom w:val="0"/>
      <w:divBdr>
        <w:top w:val="none" w:sz="0" w:space="0" w:color="auto"/>
        <w:left w:val="none" w:sz="0" w:space="0" w:color="auto"/>
        <w:bottom w:val="none" w:sz="0" w:space="0" w:color="auto"/>
        <w:right w:val="none" w:sz="0" w:space="0" w:color="auto"/>
      </w:divBdr>
    </w:div>
    <w:div w:id="427772512">
      <w:bodyDiv w:val="1"/>
      <w:marLeft w:val="0"/>
      <w:marRight w:val="0"/>
      <w:marTop w:val="0"/>
      <w:marBottom w:val="0"/>
      <w:divBdr>
        <w:top w:val="none" w:sz="0" w:space="0" w:color="auto"/>
        <w:left w:val="none" w:sz="0" w:space="0" w:color="auto"/>
        <w:bottom w:val="none" w:sz="0" w:space="0" w:color="auto"/>
        <w:right w:val="none" w:sz="0" w:space="0" w:color="auto"/>
      </w:divBdr>
    </w:div>
    <w:div w:id="475414591">
      <w:bodyDiv w:val="1"/>
      <w:marLeft w:val="0"/>
      <w:marRight w:val="0"/>
      <w:marTop w:val="0"/>
      <w:marBottom w:val="0"/>
      <w:divBdr>
        <w:top w:val="none" w:sz="0" w:space="0" w:color="auto"/>
        <w:left w:val="none" w:sz="0" w:space="0" w:color="auto"/>
        <w:bottom w:val="none" w:sz="0" w:space="0" w:color="auto"/>
        <w:right w:val="none" w:sz="0" w:space="0" w:color="auto"/>
      </w:divBdr>
    </w:div>
    <w:div w:id="489297805">
      <w:bodyDiv w:val="1"/>
      <w:marLeft w:val="0"/>
      <w:marRight w:val="0"/>
      <w:marTop w:val="0"/>
      <w:marBottom w:val="0"/>
      <w:divBdr>
        <w:top w:val="none" w:sz="0" w:space="0" w:color="auto"/>
        <w:left w:val="none" w:sz="0" w:space="0" w:color="auto"/>
        <w:bottom w:val="none" w:sz="0" w:space="0" w:color="auto"/>
        <w:right w:val="none" w:sz="0" w:space="0" w:color="auto"/>
      </w:divBdr>
    </w:div>
    <w:div w:id="494806252">
      <w:bodyDiv w:val="1"/>
      <w:marLeft w:val="0"/>
      <w:marRight w:val="0"/>
      <w:marTop w:val="0"/>
      <w:marBottom w:val="0"/>
      <w:divBdr>
        <w:top w:val="none" w:sz="0" w:space="0" w:color="auto"/>
        <w:left w:val="none" w:sz="0" w:space="0" w:color="auto"/>
        <w:bottom w:val="none" w:sz="0" w:space="0" w:color="auto"/>
        <w:right w:val="none" w:sz="0" w:space="0" w:color="auto"/>
      </w:divBdr>
    </w:div>
    <w:div w:id="501286424">
      <w:bodyDiv w:val="1"/>
      <w:marLeft w:val="0"/>
      <w:marRight w:val="0"/>
      <w:marTop w:val="0"/>
      <w:marBottom w:val="0"/>
      <w:divBdr>
        <w:top w:val="none" w:sz="0" w:space="0" w:color="auto"/>
        <w:left w:val="none" w:sz="0" w:space="0" w:color="auto"/>
        <w:bottom w:val="none" w:sz="0" w:space="0" w:color="auto"/>
        <w:right w:val="none" w:sz="0" w:space="0" w:color="auto"/>
      </w:divBdr>
    </w:div>
    <w:div w:id="518809815">
      <w:bodyDiv w:val="1"/>
      <w:marLeft w:val="0"/>
      <w:marRight w:val="0"/>
      <w:marTop w:val="0"/>
      <w:marBottom w:val="0"/>
      <w:divBdr>
        <w:top w:val="none" w:sz="0" w:space="0" w:color="auto"/>
        <w:left w:val="none" w:sz="0" w:space="0" w:color="auto"/>
        <w:bottom w:val="none" w:sz="0" w:space="0" w:color="auto"/>
        <w:right w:val="none" w:sz="0" w:space="0" w:color="auto"/>
      </w:divBdr>
    </w:div>
    <w:div w:id="533035819">
      <w:bodyDiv w:val="1"/>
      <w:marLeft w:val="0"/>
      <w:marRight w:val="0"/>
      <w:marTop w:val="0"/>
      <w:marBottom w:val="0"/>
      <w:divBdr>
        <w:top w:val="none" w:sz="0" w:space="0" w:color="auto"/>
        <w:left w:val="none" w:sz="0" w:space="0" w:color="auto"/>
        <w:bottom w:val="none" w:sz="0" w:space="0" w:color="auto"/>
        <w:right w:val="none" w:sz="0" w:space="0" w:color="auto"/>
      </w:divBdr>
    </w:div>
    <w:div w:id="539364593">
      <w:bodyDiv w:val="1"/>
      <w:marLeft w:val="0"/>
      <w:marRight w:val="0"/>
      <w:marTop w:val="0"/>
      <w:marBottom w:val="0"/>
      <w:divBdr>
        <w:top w:val="none" w:sz="0" w:space="0" w:color="auto"/>
        <w:left w:val="none" w:sz="0" w:space="0" w:color="auto"/>
        <w:bottom w:val="none" w:sz="0" w:space="0" w:color="auto"/>
        <w:right w:val="none" w:sz="0" w:space="0" w:color="auto"/>
      </w:divBdr>
    </w:div>
    <w:div w:id="540285032">
      <w:bodyDiv w:val="1"/>
      <w:marLeft w:val="0"/>
      <w:marRight w:val="0"/>
      <w:marTop w:val="0"/>
      <w:marBottom w:val="0"/>
      <w:divBdr>
        <w:top w:val="none" w:sz="0" w:space="0" w:color="auto"/>
        <w:left w:val="none" w:sz="0" w:space="0" w:color="auto"/>
        <w:bottom w:val="none" w:sz="0" w:space="0" w:color="auto"/>
        <w:right w:val="none" w:sz="0" w:space="0" w:color="auto"/>
      </w:divBdr>
    </w:div>
    <w:div w:id="554390492">
      <w:bodyDiv w:val="1"/>
      <w:marLeft w:val="0"/>
      <w:marRight w:val="0"/>
      <w:marTop w:val="0"/>
      <w:marBottom w:val="0"/>
      <w:divBdr>
        <w:top w:val="none" w:sz="0" w:space="0" w:color="auto"/>
        <w:left w:val="none" w:sz="0" w:space="0" w:color="auto"/>
        <w:bottom w:val="none" w:sz="0" w:space="0" w:color="auto"/>
        <w:right w:val="none" w:sz="0" w:space="0" w:color="auto"/>
      </w:divBdr>
    </w:div>
    <w:div w:id="567692167">
      <w:bodyDiv w:val="1"/>
      <w:marLeft w:val="0"/>
      <w:marRight w:val="0"/>
      <w:marTop w:val="0"/>
      <w:marBottom w:val="0"/>
      <w:divBdr>
        <w:top w:val="none" w:sz="0" w:space="0" w:color="auto"/>
        <w:left w:val="none" w:sz="0" w:space="0" w:color="auto"/>
        <w:bottom w:val="none" w:sz="0" w:space="0" w:color="auto"/>
        <w:right w:val="none" w:sz="0" w:space="0" w:color="auto"/>
      </w:divBdr>
    </w:div>
    <w:div w:id="569736120">
      <w:bodyDiv w:val="1"/>
      <w:marLeft w:val="0"/>
      <w:marRight w:val="0"/>
      <w:marTop w:val="0"/>
      <w:marBottom w:val="0"/>
      <w:divBdr>
        <w:top w:val="none" w:sz="0" w:space="0" w:color="auto"/>
        <w:left w:val="none" w:sz="0" w:space="0" w:color="auto"/>
        <w:bottom w:val="none" w:sz="0" w:space="0" w:color="auto"/>
        <w:right w:val="none" w:sz="0" w:space="0" w:color="auto"/>
      </w:divBdr>
    </w:div>
    <w:div w:id="576207326">
      <w:bodyDiv w:val="1"/>
      <w:marLeft w:val="0"/>
      <w:marRight w:val="0"/>
      <w:marTop w:val="0"/>
      <w:marBottom w:val="0"/>
      <w:divBdr>
        <w:top w:val="none" w:sz="0" w:space="0" w:color="auto"/>
        <w:left w:val="none" w:sz="0" w:space="0" w:color="auto"/>
        <w:bottom w:val="none" w:sz="0" w:space="0" w:color="auto"/>
        <w:right w:val="none" w:sz="0" w:space="0" w:color="auto"/>
      </w:divBdr>
    </w:div>
    <w:div w:id="585892697">
      <w:bodyDiv w:val="1"/>
      <w:marLeft w:val="0"/>
      <w:marRight w:val="0"/>
      <w:marTop w:val="0"/>
      <w:marBottom w:val="0"/>
      <w:divBdr>
        <w:top w:val="none" w:sz="0" w:space="0" w:color="auto"/>
        <w:left w:val="none" w:sz="0" w:space="0" w:color="auto"/>
        <w:bottom w:val="none" w:sz="0" w:space="0" w:color="auto"/>
        <w:right w:val="none" w:sz="0" w:space="0" w:color="auto"/>
      </w:divBdr>
    </w:div>
    <w:div w:id="592400002">
      <w:bodyDiv w:val="1"/>
      <w:marLeft w:val="0"/>
      <w:marRight w:val="0"/>
      <w:marTop w:val="0"/>
      <w:marBottom w:val="0"/>
      <w:divBdr>
        <w:top w:val="none" w:sz="0" w:space="0" w:color="auto"/>
        <w:left w:val="none" w:sz="0" w:space="0" w:color="auto"/>
        <w:bottom w:val="none" w:sz="0" w:space="0" w:color="auto"/>
        <w:right w:val="none" w:sz="0" w:space="0" w:color="auto"/>
      </w:divBdr>
    </w:div>
    <w:div w:id="598686202">
      <w:bodyDiv w:val="1"/>
      <w:marLeft w:val="0"/>
      <w:marRight w:val="0"/>
      <w:marTop w:val="0"/>
      <w:marBottom w:val="0"/>
      <w:divBdr>
        <w:top w:val="none" w:sz="0" w:space="0" w:color="auto"/>
        <w:left w:val="none" w:sz="0" w:space="0" w:color="auto"/>
        <w:bottom w:val="none" w:sz="0" w:space="0" w:color="auto"/>
        <w:right w:val="none" w:sz="0" w:space="0" w:color="auto"/>
      </w:divBdr>
    </w:div>
    <w:div w:id="599335193">
      <w:bodyDiv w:val="1"/>
      <w:marLeft w:val="0"/>
      <w:marRight w:val="0"/>
      <w:marTop w:val="0"/>
      <w:marBottom w:val="0"/>
      <w:divBdr>
        <w:top w:val="none" w:sz="0" w:space="0" w:color="auto"/>
        <w:left w:val="none" w:sz="0" w:space="0" w:color="auto"/>
        <w:bottom w:val="none" w:sz="0" w:space="0" w:color="auto"/>
        <w:right w:val="none" w:sz="0" w:space="0" w:color="auto"/>
      </w:divBdr>
    </w:div>
    <w:div w:id="600914884">
      <w:bodyDiv w:val="1"/>
      <w:marLeft w:val="0"/>
      <w:marRight w:val="0"/>
      <w:marTop w:val="0"/>
      <w:marBottom w:val="0"/>
      <w:divBdr>
        <w:top w:val="none" w:sz="0" w:space="0" w:color="auto"/>
        <w:left w:val="none" w:sz="0" w:space="0" w:color="auto"/>
        <w:bottom w:val="none" w:sz="0" w:space="0" w:color="auto"/>
        <w:right w:val="none" w:sz="0" w:space="0" w:color="auto"/>
      </w:divBdr>
    </w:div>
    <w:div w:id="606424207">
      <w:bodyDiv w:val="1"/>
      <w:marLeft w:val="0"/>
      <w:marRight w:val="0"/>
      <w:marTop w:val="0"/>
      <w:marBottom w:val="0"/>
      <w:divBdr>
        <w:top w:val="none" w:sz="0" w:space="0" w:color="auto"/>
        <w:left w:val="none" w:sz="0" w:space="0" w:color="auto"/>
        <w:bottom w:val="none" w:sz="0" w:space="0" w:color="auto"/>
        <w:right w:val="none" w:sz="0" w:space="0" w:color="auto"/>
      </w:divBdr>
    </w:div>
    <w:div w:id="616061746">
      <w:bodyDiv w:val="1"/>
      <w:marLeft w:val="0"/>
      <w:marRight w:val="0"/>
      <w:marTop w:val="0"/>
      <w:marBottom w:val="0"/>
      <w:divBdr>
        <w:top w:val="none" w:sz="0" w:space="0" w:color="auto"/>
        <w:left w:val="none" w:sz="0" w:space="0" w:color="auto"/>
        <w:bottom w:val="none" w:sz="0" w:space="0" w:color="auto"/>
        <w:right w:val="none" w:sz="0" w:space="0" w:color="auto"/>
      </w:divBdr>
    </w:div>
    <w:div w:id="624233774">
      <w:bodyDiv w:val="1"/>
      <w:marLeft w:val="0"/>
      <w:marRight w:val="0"/>
      <w:marTop w:val="0"/>
      <w:marBottom w:val="0"/>
      <w:divBdr>
        <w:top w:val="none" w:sz="0" w:space="0" w:color="auto"/>
        <w:left w:val="none" w:sz="0" w:space="0" w:color="auto"/>
        <w:bottom w:val="none" w:sz="0" w:space="0" w:color="auto"/>
        <w:right w:val="none" w:sz="0" w:space="0" w:color="auto"/>
      </w:divBdr>
    </w:div>
    <w:div w:id="627127115">
      <w:bodyDiv w:val="1"/>
      <w:marLeft w:val="0"/>
      <w:marRight w:val="0"/>
      <w:marTop w:val="0"/>
      <w:marBottom w:val="0"/>
      <w:divBdr>
        <w:top w:val="none" w:sz="0" w:space="0" w:color="auto"/>
        <w:left w:val="none" w:sz="0" w:space="0" w:color="auto"/>
        <w:bottom w:val="none" w:sz="0" w:space="0" w:color="auto"/>
        <w:right w:val="none" w:sz="0" w:space="0" w:color="auto"/>
      </w:divBdr>
    </w:div>
    <w:div w:id="637032718">
      <w:bodyDiv w:val="1"/>
      <w:marLeft w:val="0"/>
      <w:marRight w:val="0"/>
      <w:marTop w:val="0"/>
      <w:marBottom w:val="0"/>
      <w:divBdr>
        <w:top w:val="none" w:sz="0" w:space="0" w:color="auto"/>
        <w:left w:val="none" w:sz="0" w:space="0" w:color="auto"/>
        <w:bottom w:val="none" w:sz="0" w:space="0" w:color="auto"/>
        <w:right w:val="none" w:sz="0" w:space="0" w:color="auto"/>
      </w:divBdr>
      <w:divsChild>
        <w:div w:id="1017392068">
          <w:marLeft w:val="480"/>
          <w:marRight w:val="0"/>
          <w:marTop w:val="0"/>
          <w:marBottom w:val="0"/>
          <w:divBdr>
            <w:top w:val="none" w:sz="0" w:space="0" w:color="auto"/>
            <w:left w:val="none" w:sz="0" w:space="0" w:color="auto"/>
            <w:bottom w:val="none" w:sz="0" w:space="0" w:color="auto"/>
            <w:right w:val="none" w:sz="0" w:space="0" w:color="auto"/>
          </w:divBdr>
        </w:div>
        <w:div w:id="304362950">
          <w:marLeft w:val="480"/>
          <w:marRight w:val="0"/>
          <w:marTop w:val="0"/>
          <w:marBottom w:val="0"/>
          <w:divBdr>
            <w:top w:val="none" w:sz="0" w:space="0" w:color="auto"/>
            <w:left w:val="none" w:sz="0" w:space="0" w:color="auto"/>
            <w:bottom w:val="none" w:sz="0" w:space="0" w:color="auto"/>
            <w:right w:val="none" w:sz="0" w:space="0" w:color="auto"/>
          </w:divBdr>
        </w:div>
        <w:div w:id="12731945">
          <w:marLeft w:val="480"/>
          <w:marRight w:val="0"/>
          <w:marTop w:val="0"/>
          <w:marBottom w:val="0"/>
          <w:divBdr>
            <w:top w:val="none" w:sz="0" w:space="0" w:color="auto"/>
            <w:left w:val="none" w:sz="0" w:space="0" w:color="auto"/>
            <w:bottom w:val="none" w:sz="0" w:space="0" w:color="auto"/>
            <w:right w:val="none" w:sz="0" w:space="0" w:color="auto"/>
          </w:divBdr>
        </w:div>
        <w:div w:id="606697341">
          <w:marLeft w:val="480"/>
          <w:marRight w:val="0"/>
          <w:marTop w:val="0"/>
          <w:marBottom w:val="0"/>
          <w:divBdr>
            <w:top w:val="none" w:sz="0" w:space="0" w:color="auto"/>
            <w:left w:val="none" w:sz="0" w:space="0" w:color="auto"/>
            <w:bottom w:val="none" w:sz="0" w:space="0" w:color="auto"/>
            <w:right w:val="none" w:sz="0" w:space="0" w:color="auto"/>
          </w:divBdr>
        </w:div>
        <w:div w:id="487137100">
          <w:marLeft w:val="480"/>
          <w:marRight w:val="0"/>
          <w:marTop w:val="0"/>
          <w:marBottom w:val="0"/>
          <w:divBdr>
            <w:top w:val="none" w:sz="0" w:space="0" w:color="auto"/>
            <w:left w:val="none" w:sz="0" w:space="0" w:color="auto"/>
            <w:bottom w:val="none" w:sz="0" w:space="0" w:color="auto"/>
            <w:right w:val="none" w:sz="0" w:space="0" w:color="auto"/>
          </w:divBdr>
        </w:div>
        <w:div w:id="915239786">
          <w:marLeft w:val="480"/>
          <w:marRight w:val="0"/>
          <w:marTop w:val="0"/>
          <w:marBottom w:val="0"/>
          <w:divBdr>
            <w:top w:val="none" w:sz="0" w:space="0" w:color="auto"/>
            <w:left w:val="none" w:sz="0" w:space="0" w:color="auto"/>
            <w:bottom w:val="none" w:sz="0" w:space="0" w:color="auto"/>
            <w:right w:val="none" w:sz="0" w:space="0" w:color="auto"/>
          </w:divBdr>
        </w:div>
        <w:div w:id="1206482271">
          <w:marLeft w:val="480"/>
          <w:marRight w:val="0"/>
          <w:marTop w:val="0"/>
          <w:marBottom w:val="0"/>
          <w:divBdr>
            <w:top w:val="none" w:sz="0" w:space="0" w:color="auto"/>
            <w:left w:val="none" w:sz="0" w:space="0" w:color="auto"/>
            <w:bottom w:val="none" w:sz="0" w:space="0" w:color="auto"/>
            <w:right w:val="none" w:sz="0" w:space="0" w:color="auto"/>
          </w:divBdr>
        </w:div>
        <w:div w:id="1926186538">
          <w:marLeft w:val="480"/>
          <w:marRight w:val="0"/>
          <w:marTop w:val="0"/>
          <w:marBottom w:val="0"/>
          <w:divBdr>
            <w:top w:val="none" w:sz="0" w:space="0" w:color="auto"/>
            <w:left w:val="none" w:sz="0" w:space="0" w:color="auto"/>
            <w:bottom w:val="none" w:sz="0" w:space="0" w:color="auto"/>
            <w:right w:val="none" w:sz="0" w:space="0" w:color="auto"/>
          </w:divBdr>
        </w:div>
        <w:div w:id="1466120308">
          <w:marLeft w:val="480"/>
          <w:marRight w:val="0"/>
          <w:marTop w:val="0"/>
          <w:marBottom w:val="0"/>
          <w:divBdr>
            <w:top w:val="none" w:sz="0" w:space="0" w:color="auto"/>
            <w:left w:val="none" w:sz="0" w:space="0" w:color="auto"/>
            <w:bottom w:val="none" w:sz="0" w:space="0" w:color="auto"/>
            <w:right w:val="none" w:sz="0" w:space="0" w:color="auto"/>
          </w:divBdr>
        </w:div>
        <w:div w:id="1448113010">
          <w:marLeft w:val="480"/>
          <w:marRight w:val="0"/>
          <w:marTop w:val="0"/>
          <w:marBottom w:val="0"/>
          <w:divBdr>
            <w:top w:val="none" w:sz="0" w:space="0" w:color="auto"/>
            <w:left w:val="none" w:sz="0" w:space="0" w:color="auto"/>
            <w:bottom w:val="none" w:sz="0" w:space="0" w:color="auto"/>
            <w:right w:val="none" w:sz="0" w:space="0" w:color="auto"/>
          </w:divBdr>
        </w:div>
        <w:div w:id="2121682979">
          <w:marLeft w:val="480"/>
          <w:marRight w:val="0"/>
          <w:marTop w:val="0"/>
          <w:marBottom w:val="0"/>
          <w:divBdr>
            <w:top w:val="none" w:sz="0" w:space="0" w:color="auto"/>
            <w:left w:val="none" w:sz="0" w:space="0" w:color="auto"/>
            <w:bottom w:val="none" w:sz="0" w:space="0" w:color="auto"/>
            <w:right w:val="none" w:sz="0" w:space="0" w:color="auto"/>
          </w:divBdr>
        </w:div>
        <w:div w:id="2074431136">
          <w:marLeft w:val="480"/>
          <w:marRight w:val="0"/>
          <w:marTop w:val="0"/>
          <w:marBottom w:val="0"/>
          <w:divBdr>
            <w:top w:val="none" w:sz="0" w:space="0" w:color="auto"/>
            <w:left w:val="none" w:sz="0" w:space="0" w:color="auto"/>
            <w:bottom w:val="none" w:sz="0" w:space="0" w:color="auto"/>
            <w:right w:val="none" w:sz="0" w:space="0" w:color="auto"/>
          </w:divBdr>
        </w:div>
        <w:div w:id="2039044613">
          <w:marLeft w:val="480"/>
          <w:marRight w:val="0"/>
          <w:marTop w:val="0"/>
          <w:marBottom w:val="0"/>
          <w:divBdr>
            <w:top w:val="none" w:sz="0" w:space="0" w:color="auto"/>
            <w:left w:val="none" w:sz="0" w:space="0" w:color="auto"/>
            <w:bottom w:val="none" w:sz="0" w:space="0" w:color="auto"/>
            <w:right w:val="none" w:sz="0" w:space="0" w:color="auto"/>
          </w:divBdr>
        </w:div>
        <w:div w:id="457647790">
          <w:marLeft w:val="480"/>
          <w:marRight w:val="0"/>
          <w:marTop w:val="0"/>
          <w:marBottom w:val="0"/>
          <w:divBdr>
            <w:top w:val="none" w:sz="0" w:space="0" w:color="auto"/>
            <w:left w:val="none" w:sz="0" w:space="0" w:color="auto"/>
            <w:bottom w:val="none" w:sz="0" w:space="0" w:color="auto"/>
            <w:right w:val="none" w:sz="0" w:space="0" w:color="auto"/>
          </w:divBdr>
        </w:div>
        <w:div w:id="129521990">
          <w:marLeft w:val="480"/>
          <w:marRight w:val="0"/>
          <w:marTop w:val="0"/>
          <w:marBottom w:val="0"/>
          <w:divBdr>
            <w:top w:val="none" w:sz="0" w:space="0" w:color="auto"/>
            <w:left w:val="none" w:sz="0" w:space="0" w:color="auto"/>
            <w:bottom w:val="none" w:sz="0" w:space="0" w:color="auto"/>
            <w:right w:val="none" w:sz="0" w:space="0" w:color="auto"/>
          </w:divBdr>
        </w:div>
        <w:div w:id="50884168">
          <w:marLeft w:val="480"/>
          <w:marRight w:val="0"/>
          <w:marTop w:val="0"/>
          <w:marBottom w:val="0"/>
          <w:divBdr>
            <w:top w:val="none" w:sz="0" w:space="0" w:color="auto"/>
            <w:left w:val="none" w:sz="0" w:space="0" w:color="auto"/>
            <w:bottom w:val="none" w:sz="0" w:space="0" w:color="auto"/>
            <w:right w:val="none" w:sz="0" w:space="0" w:color="auto"/>
          </w:divBdr>
        </w:div>
        <w:div w:id="1772892703">
          <w:marLeft w:val="480"/>
          <w:marRight w:val="0"/>
          <w:marTop w:val="0"/>
          <w:marBottom w:val="0"/>
          <w:divBdr>
            <w:top w:val="none" w:sz="0" w:space="0" w:color="auto"/>
            <w:left w:val="none" w:sz="0" w:space="0" w:color="auto"/>
            <w:bottom w:val="none" w:sz="0" w:space="0" w:color="auto"/>
            <w:right w:val="none" w:sz="0" w:space="0" w:color="auto"/>
          </w:divBdr>
        </w:div>
        <w:div w:id="1546212839">
          <w:marLeft w:val="480"/>
          <w:marRight w:val="0"/>
          <w:marTop w:val="0"/>
          <w:marBottom w:val="0"/>
          <w:divBdr>
            <w:top w:val="none" w:sz="0" w:space="0" w:color="auto"/>
            <w:left w:val="none" w:sz="0" w:space="0" w:color="auto"/>
            <w:bottom w:val="none" w:sz="0" w:space="0" w:color="auto"/>
            <w:right w:val="none" w:sz="0" w:space="0" w:color="auto"/>
          </w:divBdr>
        </w:div>
        <w:div w:id="520124851">
          <w:marLeft w:val="480"/>
          <w:marRight w:val="0"/>
          <w:marTop w:val="0"/>
          <w:marBottom w:val="0"/>
          <w:divBdr>
            <w:top w:val="none" w:sz="0" w:space="0" w:color="auto"/>
            <w:left w:val="none" w:sz="0" w:space="0" w:color="auto"/>
            <w:bottom w:val="none" w:sz="0" w:space="0" w:color="auto"/>
            <w:right w:val="none" w:sz="0" w:space="0" w:color="auto"/>
          </w:divBdr>
        </w:div>
        <w:div w:id="1766421315">
          <w:marLeft w:val="480"/>
          <w:marRight w:val="0"/>
          <w:marTop w:val="0"/>
          <w:marBottom w:val="0"/>
          <w:divBdr>
            <w:top w:val="none" w:sz="0" w:space="0" w:color="auto"/>
            <w:left w:val="none" w:sz="0" w:space="0" w:color="auto"/>
            <w:bottom w:val="none" w:sz="0" w:space="0" w:color="auto"/>
            <w:right w:val="none" w:sz="0" w:space="0" w:color="auto"/>
          </w:divBdr>
        </w:div>
        <w:div w:id="77362114">
          <w:marLeft w:val="480"/>
          <w:marRight w:val="0"/>
          <w:marTop w:val="0"/>
          <w:marBottom w:val="0"/>
          <w:divBdr>
            <w:top w:val="none" w:sz="0" w:space="0" w:color="auto"/>
            <w:left w:val="none" w:sz="0" w:space="0" w:color="auto"/>
            <w:bottom w:val="none" w:sz="0" w:space="0" w:color="auto"/>
            <w:right w:val="none" w:sz="0" w:space="0" w:color="auto"/>
          </w:divBdr>
        </w:div>
        <w:div w:id="55865007">
          <w:marLeft w:val="480"/>
          <w:marRight w:val="0"/>
          <w:marTop w:val="0"/>
          <w:marBottom w:val="0"/>
          <w:divBdr>
            <w:top w:val="none" w:sz="0" w:space="0" w:color="auto"/>
            <w:left w:val="none" w:sz="0" w:space="0" w:color="auto"/>
            <w:bottom w:val="none" w:sz="0" w:space="0" w:color="auto"/>
            <w:right w:val="none" w:sz="0" w:space="0" w:color="auto"/>
          </w:divBdr>
        </w:div>
        <w:div w:id="1719938615">
          <w:marLeft w:val="480"/>
          <w:marRight w:val="0"/>
          <w:marTop w:val="0"/>
          <w:marBottom w:val="0"/>
          <w:divBdr>
            <w:top w:val="none" w:sz="0" w:space="0" w:color="auto"/>
            <w:left w:val="none" w:sz="0" w:space="0" w:color="auto"/>
            <w:bottom w:val="none" w:sz="0" w:space="0" w:color="auto"/>
            <w:right w:val="none" w:sz="0" w:space="0" w:color="auto"/>
          </w:divBdr>
        </w:div>
        <w:div w:id="2056932156">
          <w:marLeft w:val="480"/>
          <w:marRight w:val="0"/>
          <w:marTop w:val="0"/>
          <w:marBottom w:val="0"/>
          <w:divBdr>
            <w:top w:val="none" w:sz="0" w:space="0" w:color="auto"/>
            <w:left w:val="none" w:sz="0" w:space="0" w:color="auto"/>
            <w:bottom w:val="none" w:sz="0" w:space="0" w:color="auto"/>
            <w:right w:val="none" w:sz="0" w:space="0" w:color="auto"/>
          </w:divBdr>
        </w:div>
        <w:div w:id="1218515904">
          <w:marLeft w:val="480"/>
          <w:marRight w:val="0"/>
          <w:marTop w:val="0"/>
          <w:marBottom w:val="0"/>
          <w:divBdr>
            <w:top w:val="none" w:sz="0" w:space="0" w:color="auto"/>
            <w:left w:val="none" w:sz="0" w:space="0" w:color="auto"/>
            <w:bottom w:val="none" w:sz="0" w:space="0" w:color="auto"/>
            <w:right w:val="none" w:sz="0" w:space="0" w:color="auto"/>
          </w:divBdr>
        </w:div>
        <w:div w:id="1154105377">
          <w:marLeft w:val="480"/>
          <w:marRight w:val="0"/>
          <w:marTop w:val="0"/>
          <w:marBottom w:val="0"/>
          <w:divBdr>
            <w:top w:val="none" w:sz="0" w:space="0" w:color="auto"/>
            <w:left w:val="none" w:sz="0" w:space="0" w:color="auto"/>
            <w:bottom w:val="none" w:sz="0" w:space="0" w:color="auto"/>
            <w:right w:val="none" w:sz="0" w:space="0" w:color="auto"/>
          </w:divBdr>
        </w:div>
        <w:div w:id="1382167028">
          <w:marLeft w:val="480"/>
          <w:marRight w:val="0"/>
          <w:marTop w:val="0"/>
          <w:marBottom w:val="0"/>
          <w:divBdr>
            <w:top w:val="none" w:sz="0" w:space="0" w:color="auto"/>
            <w:left w:val="none" w:sz="0" w:space="0" w:color="auto"/>
            <w:bottom w:val="none" w:sz="0" w:space="0" w:color="auto"/>
            <w:right w:val="none" w:sz="0" w:space="0" w:color="auto"/>
          </w:divBdr>
        </w:div>
        <w:div w:id="1788624431">
          <w:marLeft w:val="480"/>
          <w:marRight w:val="0"/>
          <w:marTop w:val="0"/>
          <w:marBottom w:val="0"/>
          <w:divBdr>
            <w:top w:val="none" w:sz="0" w:space="0" w:color="auto"/>
            <w:left w:val="none" w:sz="0" w:space="0" w:color="auto"/>
            <w:bottom w:val="none" w:sz="0" w:space="0" w:color="auto"/>
            <w:right w:val="none" w:sz="0" w:space="0" w:color="auto"/>
          </w:divBdr>
        </w:div>
        <w:div w:id="853420227">
          <w:marLeft w:val="480"/>
          <w:marRight w:val="0"/>
          <w:marTop w:val="0"/>
          <w:marBottom w:val="0"/>
          <w:divBdr>
            <w:top w:val="none" w:sz="0" w:space="0" w:color="auto"/>
            <w:left w:val="none" w:sz="0" w:space="0" w:color="auto"/>
            <w:bottom w:val="none" w:sz="0" w:space="0" w:color="auto"/>
            <w:right w:val="none" w:sz="0" w:space="0" w:color="auto"/>
          </w:divBdr>
        </w:div>
        <w:div w:id="1636519391">
          <w:marLeft w:val="480"/>
          <w:marRight w:val="0"/>
          <w:marTop w:val="0"/>
          <w:marBottom w:val="0"/>
          <w:divBdr>
            <w:top w:val="none" w:sz="0" w:space="0" w:color="auto"/>
            <w:left w:val="none" w:sz="0" w:space="0" w:color="auto"/>
            <w:bottom w:val="none" w:sz="0" w:space="0" w:color="auto"/>
            <w:right w:val="none" w:sz="0" w:space="0" w:color="auto"/>
          </w:divBdr>
        </w:div>
        <w:div w:id="208423323">
          <w:marLeft w:val="480"/>
          <w:marRight w:val="0"/>
          <w:marTop w:val="0"/>
          <w:marBottom w:val="0"/>
          <w:divBdr>
            <w:top w:val="none" w:sz="0" w:space="0" w:color="auto"/>
            <w:left w:val="none" w:sz="0" w:space="0" w:color="auto"/>
            <w:bottom w:val="none" w:sz="0" w:space="0" w:color="auto"/>
            <w:right w:val="none" w:sz="0" w:space="0" w:color="auto"/>
          </w:divBdr>
        </w:div>
        <w:div w:id="1271278133">
          <w:marLeft w:val="480"/>
          <w:marRight w:val="0"/>
          <w:marTop w:val="0"/>
          <w:marBottom w:val="0"/>
          <w:divBdr>
            <w:top w:val="none" w:sz="0" w:space="0" w:color="auto"/>
            <w:left w:val="none" w:sz="0" w:space="0" w:color="auto"/>
            <w:bottom w:val="none" w:sz="0" w:space="0" w:color="auto"/>
            <w:right w:val="none" w:sz="0" w:space="0" w:color="auto"/>
          </w:divBdr>
        </w:div>
        <w:div w:id="1377704710">
          <w:marLeft w:val="480"/>
          <w:marRight w:val="0"/>
          <w:marTop w:val="0"/>
          <w:marBottom w:val="0"/>
          <w:divBdr>
            <w:top w:val="none" w:sz="0" w:space="0" w:color="auto"/>
            <w:left w:val="none" w:sz="0" w:space="0" w:color="auto"/>
            <w:bottom w:val="none" w:sz="0" w:space="0" w:color="auto"/>
            <w:right w:val="none" w:sz="0" w:space="0" w:color="auto"/>
          </w:divBdr>
        </w:div>
        <w:div w:id="1065182936">
          <w:marLeft w:val="480"/>
          <w:marRight w:val="0"/>
          <w:marTop w:val="0"/>
          <w:marBottom w:val="0"/>
          <w:divBdr>
            <w:top w:val="none" w:sz="0" w:space="0" w:color="auto"/>
            <w:left w:val="none" w:sz="0" w:space="0" w:color="auto"/>
            <w:bottom w:val="none" w:sz="0" w:space="0" w:color="auto"/>
            <w:right w:val="none" w:sz="0" w:space="0" w:color="auto"/>
          </w:divBdr>
        </w:div>
        <w:div w:id="85615622">
          <w:marLeft w:val="480"/>
          <w:marRight w:val="0"/>
          <w:marTop w:val="0"/>
          <w:marBottom w:val="0"/>
          <w:divBdr>
            <w:top w:val="none" w:sz="0" w:space="0" w:color="auto"/>
            <w:left w:val="none" w:sz="0" w:space="0" w:color="auto"/>
            <w:bottom w:val="none" w:sz="0" w:space="0" w:color="auto"/>
            <w:right w:val="none" w:sz="0" w:space="0" w:color="auto"/>
          </w:divBdr>
        </w:div>
        <w:div w:id="1861311505">
          <w:marLeft w:val="480"/>
          <w:marRight w:val="0"/>
          <w:marTop w:val="0"/>
          <w:marBottom w:val="0"/>
          <w:divBdr>
            <w:top w:val="none" w:sz="0" w:space="0" w:color="auto"/>
            <w:left w:val="none" w:sz="0" w:space="0" w:color="auto"/>
            <w:bottom w:val="none" w:sz="0" w:space="0" w:color="auto"/>
            <w:right w:val="none" w:sz="0" w:space="0" w:color="auto"/>
          </w:divBdr>
        </w:div>
        <w:div w:id="525993033">
          <w:marLeft w:val="480"/>
          <w:marRight w:val="0"/>
          <w:marTop w:val="0"/>
          <w:marBottom w:val="0"/>
          <w:divBdr>
            <w:top w:val="none" w:sz="0" w:space="0" w:color="auto"/>
            <w:left w:val="none" w:sz="0" w:space="0" w:color="auto"/>
            <w:bottom w:val="none" w:sz="0" w:space="0" w:color="auto"/>
            <w:right w:val="none" w:sz="0" w:space="0" w:color="auto"/>
          </w:divBdr>
        </w:div>
        <w:div w:id="1660499712">
          <w:marLeft w:val="480"/>
          <w:marRight w:val="0"/>
          <w:marTop w:val="0"/>
          <w:marBottom w:val="0"/>
          <w:divBdr>
            <w:top w:val="none" w:sz="0" w:space="0" w:color="auto"/>
            <w:left w:val="none" w:sz="0" w:space="0" w:color="auto"/>
            <w:bottom w:val="none" w:sz="0" w:space="0" w:color="auto"/>
            <w:right w:val="none" w:sz="0" w:space="0" w:color="auto"/>
          </w:divBdr>
        </w:div>
        <w:div w:id="465121671">
          <w:marLeft w:val="480"/>
          <w:marRight w:val="0"/>
          <w:marTop w:val="0"/>
          <w:marBottom w:val="0"/>
          <w:divBdr>
            <w:top w:val="none" w:sz="0" w:space="0" w:color="auto"/>
            <w:left w:val="none" w:sz="0" w:space="0" w:color="auto"/>
            <w:bottom w:val="none" w:sz="0" w:space="0" w:color="auto"/>
            <w:right w:val="none" w:sz="0" w:space="0" w:color="auto"/>
          </w:divBdr>
        </w:div>
        <w:div w:id="798305524">
          <w:marLeft w:val="480"/>
          <w:marRight w:val="0"/>
          <w:marTop w:val="0"/>
          <w:marBottom w:val="0"/>
          <w:divBdr>
            <w:top w:val="none" w:sz="0" w:space="0" w:color="auto"/>
            <w:left w:val="none" w:sz="0" w:space="0" w:color="auto"/>
            <w:bottom w:val="none" w:sz="0" w:space="0" w:color="auto"/>
            <w:right w:val="none" w:sz="0" w:space="0" w:color="auto"/>
          </w:divBdr>
        </w:div>
        <w:div w:id="621768763">
          <w:marLeft w:val="480"/>
          <w:marRight w:val="0"/>
          <w:marTop w:val="0"/>
          <w:marBottom w:val="0"/>
          <w:divBdr>
            <w:top w:val="none" w:sz="0" w:space="0" w:color="auto"/>
            <w:left w:val="none" w:sz="0" w:space="0" w:color="auto"/>
            <w:bottom w:val="none" w:sz="0" w:space="0" w:color="auto"/>
            <w:right w:val="none" w:sz="0" w:space="0" w:color="auto"/>
          </w:divBdr>
        </w:div>
        <w:div w:id="759452545">
          <w:marLeft w:val="480"/>
          <w:marRight w:val="0"/>
          <w:marTop w:val="0"/>
          <w:marBottom w:val="0"/>
          <w:divBdr>
            <w:top w:val="none" w:sz="0" w:space="0" w:color="auto"/>
            <w:left w:val="none" w:sz="0" w:space="0" w:color="auto"/>
            <w:bottom w:val="none" w:sz="0" w:space="0" w:color="auto"/>
            <w:right w:val="none" w:sz="0" w:space="0" w:color="auto"/>
          </w:divBdr>
        </w:div>
        <w:div w:id="714357603">
          <w:marLeft w:val="480"/>
          <w:marRight w:val="0"/>
          <w:marTop w:val="0"/>
          <w:marBottom w:val="0"/>
          <w:divBdr>
            <w:top w:val="none" w:sz="0" w:space="0" w:color="auto"/>
            <w:left w:val="none" w:sz="0" w:space="0" w:color="auto"/>
            <w:bottom w:val="none" w:sz="0" w:space="0" w:color="auto"/>
            <w:right w:val="none" w:sz="0" w:space="0" w:color="auto"/>
          </w:divBdr>
        </w:div>
        <w:div w:id="1380592164">
          <w:marLeft w:val="480"/>
          <w:marRight w:val="0"/>
          <w:marTop w:val="0"/>
          <w:marBottom w:val="0"/>
          <w:divBdr>
            <w:top w:val="none" w:sz="0" w:space="0" w:color="auto"/>
            <w:left w:val="none" w:sz="0" w:space="0" w:color="auto"/>
            <w:bottom w:val="none" w:sz="0" w:space="0" w:color="auto"/>
            <w:right w:val="none" w:sz="0" w:space="0" w:color="auto"/>
          </w:divBdr>
        </w:div>
        <w:div w:id="1306663391">
          <w:marLeft w:val="480"/>
          <w:marRight w:val="0"/>
          <w:marTop w:val="0"/>
          <w:marBottom w:val="0"/>
          <w:divBdr>
            <w:top w:val="none" w:sz="0" w:space="0" w:color="auto"/>
            <w:left w:val="none" w:sz="0" w:space="0" w:color="auto"/>
            <w:bottom w:val="none" w:sz="0" w:space="0" w:color="auto"/>
            <w:right w:val="none" w:sz="0" w:space="0" w:color="auto"/>
          </w:divBdr>
        </w:div>
        <w:div w:id="248736821">
          <w:marLeft w:val="480"/>
          <w:marRight w:val="0"/>
          <w:marTop w:val="0"/>
          <w:marBottom w:val="0"/>
          <w:divBdr>
            <w:top w:val="none" w:sz="0" w:space="0" w:color="auto"/>
            <w:left w:val="none" w:sz="0" w:space="0" w:color="auto"/>
            <w:bottom w:val="none" w:sz="0" w:space="0" w:color="auto"/>
            <w:right w:val="none" w:sz="0" w:space="0" w:color="auto"/>
          </w:divBdr>
        </w:div>
        <w:div w:id="1212232105">
          <w:marLeft w:val="480"/>
          <w:marRight w:val="0"/>
          <w:marTop w:val="0"/>
          <w:marBottom w:val="0"/>
          <w:divBdr>
            <w:top w:val="none" w:sz="0" w:space="0" w:color="auto"/>
            <w:left w:val="none" w:sz="0" w:space="0" w:color="auto"/>
            <w:bottom w:val="none" w:sz="0" w:space="0" w:color="auto"/>
            <w:right w:val="none" w:sz="0" w:space="0" w:color="auto"/>
          </w:divBdr>
        </w:div>
        <w:div w:id="818037087">
          <w:marLeft w:val="480"/>
          <w:marRight w:val="0"/>
          <w:marTop w:val="0"/>
          <w:marBottom w:val="0"/>
          <w:divBdr>
            <w:top w:val="none" w:sz="0" w:space="0" w:color="auto"/>
            <w:left w:val="none" w:sz="0" w:space="0" w:color="auto"/>
            <w:bottom w:val="none" w:sz="0" w:space="0" w:color="auto"/>
            <w:right w:val="none" w:sz="0" w:space="0" w:color="auto"/>
          </w:divBdr>
        </w:div>
        <w:div w:id="1922331841">
          <w:marLeft w:val="480"/>
          <w:marRight w:val="0"/>
          <w:marTop w:val="0"/>
          <w:marBottom w:val="0"/>
          <w:divBdr>
            <w:top w:val="none" w:sz="0" w:space="0" w:color="auto"/>
            <w:left w:val="none" w:sz="0" w:space="0" w:color="auto"/>
            <w:bottom w:val="none" w:sz="0" w:space="0" w:color="auto"/>
            <w:right w:val="none" w:sz="0" w:space="0" w:color="auto"/>
          </w:divBdr>
        </w:div>
        <w:div w:id="1256281792">
          <w:marLeft w:val="480"/>
          <w:marRight w:val="0"/>
          <w:marTop w:val="0"/>
          <w:marBottom w:val="0"/>
          <w:divBdr>
            <w:top w:val="none" w:sz="0" w:space="0" w:color="auto"/>
            <w:left w:val="none" w:sz="0" w:space="0" w:color="auto"/>
            <w:bottom w:val="none" w:sz="0" w:space="0" w:color="auto"/>
            <w:right w:val="none" w:sz="0" w:space="0" w:color="auto"/>
          </w:divBdr>
        </w:div>
        <w:div w:id="342515548">
          <w:marLeft w:val="480"/>
          <w:marRight w:val="0"/>
          <w:marTop w:val="0"/>
          <w:marBottom w:val="0"/>
          <w:divBdr>
            <w:top w:val="none" w:sz="0" w:space="0" w:color="auto"/>
            <w:left w:val="none" w:sz="0" w:space="0" w:color="auto"/>
            <w:bottom w:val="none" w:sz="0" w:space="0" w:color="auto"/>
            <w:right w:val="none" w:sz="0" w:space="0" w:color="auto"/>
          </w:divBdr>
        </w:div>
        <w:div w:id="1619220580">
          <w:marLeft w:val="480"/>
          <w:marRight w:val="0"/>
          <w:marTop w:val="0"/>
          <w:marBottom w:val="0"/>
          <w:divBdr>
            <w:top w:val="none" w:sz="0" w:space="0" w:color="auto"/>
            <w:left w:val="none" w:sz="0" w:space="0" w:color="auto"/>
            <w:bottom w:val="none" w:sz="0" w:space="0" w:color="auto"/>
            <w:right w:val="none" w:sz="0" w:space="0" w:color="auto"/>
          </w:divBdr>
        </w:div>
        <w:div w:id="594751436">
          <w:marLeft w:val="480"/>
          <w:marRight w:val="0"/>
          <w:marTop w:val="0"/>
          <w:marBottom w:val="0"/>
          <w:divBdr>
            <w:top w:val="none" w:sz="0" w:space="0" w:color="auto"/>
            <w:left w:val="none" w:sz="0" w:space="0" w:color="auto"/>
            <w:bottom w:val="none" w:sz="0" w:space="0" w:color="auto"/>
            <w:right w:val="none" w:sz="0" w:space="0" w:color="auto"/>
          </w:divBdr>
        </w:div>
        <w:div w:id="784038192">
          <w:marLeft w:val="480"/>
          <w:marRight w:val="0"/>
          <w:marTop w:val="0"/>
          <w:marBottom w:val="0"/>
          <w:divBdr>
            <w:top w:val="none" w:sz="0" w:space="0" w:color="auto"/>
            <w:left w:val="none" w:sz="0" w:space="0" w:color="auto"/>
            <w:bottom w:val="none" w:sz="0" w:space="0" w:color="auto"/>
            <w:right w:val="none" w:sz="0" w:space="0" w:color="auto"/>
          </w:divBdr>
        </w:div>
        <w:div w:id="1639333556">
          <w:marLeft w:val="480"/>
          <w:marRight w:val="0"/>
          <w:marTop w:val="0"/>
          <w:marBottom w:val="0"/>
          <w:divBdr>
            <w:top w:val="none" w:sz="0" w:space="0" w:color="auto"/>
            <w:left w:val="none" w:sz="0" w:space="0" w:color="auto"/>
            <w:bottom w:val="none" w:sz="0" w:space="0" w:color="auto"/>
            <w:right w:val="none" w:sz="0" w:space="0" w:color="auto"/>
          </w:divBdr>
        </w:div>
        <w:div w:id="147136349">
          <w:marLeft w:val="480"/>
          <w:marRight w:val="0"/>
          <w:marTop w:val="0"/>
          <w:marBottom w:val="0"/>
          <w:divBdr>
            <w:top w:val="none" w:sz="0" w:space="0" w:color="auto"/>
            <w:left w:val="none" w:sz="0" w:space="0" w:color="auto"/>
            <w:bottom w:val="none" w:sz="0" w:space="0" w:color="auto"/>
            <w:right w:val="none" w:sz="0" w:space="0" w:color="auto"/>
          </w:divBdr>
        </w:div>
        <w:div w:id="1059590600">
          <w:marLeft w:val="480"/>
          <w:marRight w:val="0"/>
          <w:marTop w:val="0"/>
          <w:marBottom w:val="0"/>
          <w:divBdr>
            <w:top w:val="none" w:sz="0" w:space="0" w:color="auto"/>
            <w:left w:val="none" w:sz="0" w:space="0" w:color="auto"/>
            <w:bottom w:val="none" w:sz="0" w:space="0" w:color="auto"/>
            <w:right w:val="none" w:sz="0" w:space="0" w:color="auto"/>
          </w:divBdr>
        </w:div>
        <w:div w:id="650839743">
          <w:marLeft w:val="480"/>
          <w:marRight w:val="0"/>
          <w:marTop w:val="0"/>
          <w:marBottom w:val="0"/>
          <w:divBdr>
            <w:top w:val="none" w:sz="0" w:space="0" w:color="auto"/>
            <w:left w:val="none" w:sz="0" w:space="0" w:color="auto"/>
            <w:bottom w:val="none" w:sz="0" w:space="0" w:color="auto"/>
            <w:right w:val="none" w:sz="0" w:space="0" w:color="auto"/>
          </w:divBdr>
        </w:div>
        <w:div w:id="1587107103">
          <w:marLeft w:val="480"/>
          <w:marRight w:val="0"/>
          <w:marTop w:val="0"/>
          <w:marBottom w:val="0"/>
          <w:divBdr>
            <w:top w:val="none" w:sz="0" w:space="0" w:color="auto"/>
            <w:left w:val="none" w:sz="0" w:space="0" w:color="auto"/>
            <w:bottom w:val="none" w:sz="0" w:space="0" w:color="auto"/>
            <w:right w:val="none" w:sz="0" w:space="0" w:color="auto"/>
          </w:divBdr>
        </w:div>
        <w:div w:id="905408797">
          <w:marLeft w:val="480"/>
          <w:marRight w:val="0"/>
          <w:marTop w:val="0"/>
          <w:marBottom w:val="0"/>
          <w:divBdr>
            <w:top w:val="none" w:sz="0" w:space="0" w:color="auto"/>
            <w:left w:val="none" w:sz="0" w:space="0" w:color="auto"/>
            <w:bottom w:val="none" w:sz="0" w:space="0" w:color="auto"/>
            <w:right w:val="none" w:sz="0" w:space="0" w:color="auto"/>
          </w:divBdr>
        </w:div>
        <w:div w:id="87585644">
          <w:marLeft w:val="480"/>
          <w:marRight w:val="0"/>
          <w:marTop w:val="0"/>
          <w:marBottom w:val="0"/>
          <w:divBdr>
            <w:top w:val="none" w:sz="0" w:space="0" w:color="auto"/>
            <w:left w:val="none" w:sz="0" w:space="0" w:color="auto"/>
            <w:bottom w:val="none" w:sz="0" w:space="0" w:color="auto"/>
            <w:right w:val="none" w:sz="0" w:space="0" w:color="auto"/>
          </w:divBdr>
        </w:div>
        <w:div w:id="535504604">
          <w:marLeft w:val="480"/>
          <w:marRight w:val="0"/>
          <w:marTop w:val="0"/>
          <w:marBottom w:val="0"/>
          <w:divBdr>
            <w:top w:val="none" w:sz="0" w:space="0" w:color="auto"/>
            <w:left w:val="none" w:sz="0" w:space="0" w:color="auto"/>
            <w:bottom w:val="none" w:sz="0" w:space="0" w:color="auto"/>
            <w:right w:val="none" w:sz="0" w:space="0" w:color="auto"/>
          </w:divBdr>
        </w:div>
        <w:div w:id="1225021956">
          <w:marLeft w:val="480"/>
          <w:marRight w:val="0"/>
          <w:marTop w:val="0"/>
          <w:marBottom w:val="0"/>
          <w:divBdr>
            <w:top w:val="none" w:sz="0" w:space="0" w:color="auto"/>
            <w:left w:val="none" w:sz="0" w:space="0" w:color="auto"/>
            <w:bottom w:val="none" w:sz="0" w:space="0" w:color="auto"/>
            <w:right w:val="none" w:sz="0" w:space="0" w:color="auto"/>
          </w:divBdr>
        </w:div>
        <w:div w:id="1915582536">
          <w:marLeft w:val="480"/>
          <w:marRight w:val="0"/>
          <w:marTop w:val="0"/>
          <w:marBottom w:val="0"/>
          <w:divBdr>
            <w:top w:val="none" w:sz="0" w:space="0" w:color="auto"/>
            <w:left w:val="none" w:sz="0" w:space="0" w:color="auto"/>
            <w:bottom w:val="none" w:sz="0" w:space="0" w:color="auto"/>
            <w:right w:val="none" w:sz="0" w:space="0" w:color="auto"/>
          </w:divBdr>
        </w:div>
        <w:div w:id="168452985">
          <w:marLeft w:val="480"/>
          <w:marRight w:val="0"/>
          <w:marTop w:val="0"/>
          <w:marBottom w:val="0"/>
          <w:divBdr>
            <w:top w:val="none" w:sz="0" w:space="0" w:color="auto"/>
            <w:left w:val="none" w:sz="0" w:space="0" w:color="auto"/>
            <w:bottom w:val="none" w:sz="0" w:space="0" w:color="auto"/>
            <w:right w:val="none" w:sz="0" w:space="0" w:color="auto"/>
          </w:divBdr>
        </w:div>
        <w:div w:id="855388142">
          <w:marLeft w:val="480"/>
          <w:marRight w:val="0"/>
          <w:marTop w:val="0"/>
          <w:marBottom w:val="0"/>
          <w:divBdr>
            <w:top w:val="none" w:sz="0" w:space="0" w:color="auto"/>
            <w:left w:val="none" w:sz="0" w:space="0" w:color="auto"/>
            <w:bottom w:val="none" w:sz="0" w:space="0" w:color="auto"/>
            <w:right w:val="none" w:sz="0" w:space="0" w:color="auto"/>
          </w:divBdr>
        </w:div>
        <w:div w:id="1600142013">
          <w:marLeft w:val="480"/>
          <w:marRight w:val="0"/>
          <w:marTop w:val="0"/>
          <w:marBottom w:val="0"/>
          <w:divBdr>
            <w:top w:val="none" w:sz="0" w:space="0" w:color="auto"/>
            <w:left w:val="none" w:sz="0" w:space="0" w:color="auto"/>
            <w:bottom w:val="none" w:sz="0" w:space="0" w:color="auto"/>
            <w:right w:val="none" w:sz="0" w:space="0" w:color="auto"/>
          </w:divBdr>
        </w:div>
        <w:div w:id="196622851">
          <w:marLeft w:val="480"/>
          <w:marRight w:val="0"/>
          <w:marTop w:val="0"/>
          <w:marBottom w:val="0"/>
          <w:divBdr>
            <w:top w:val="none" w:sz="0" w:space="0" w:color="auto"/>
            <w:left w:val="none" w:sz="0" w:space="0" w:color="auto"/>
            <w:bottom w:val="none" w:sz="0" w:space="0" w:color="auto"/>
            <w:right w:val="none" w:sz="0" w:space="0" w:color="auto"/>
          </w:divBdr>
        </w:div>
        <w:div w:id="499390824">
          <w:marLeft w:val="480"/>
          <w:marRight w:val="0"/>
          <w:marTop w:val="0"/>
          <w:marBottom w:val="0"/>
          <w:divBdr>
            <w:top w:val="none" w:sz="0" w:space="0" w:color="auto"/>
            <w:left w:val="none" w:sz="0" w:space="0" w:color="auto"/>
            <w:bottom w:val="none" w:sz="0" w:space="0" w:color="auto"/>
            <w:right w:val="none" w:sz="0" w:space="0" w:color="auto"/>
          </w:divBdr>
        </w:div>
        <w:div w:id="783115675">
          <w:marLeft w:val="480"/>
          <w:marRight w:val="0"/>
          <w:marTop w:val="0"/>
          <w:marBottom w:val="0"/>
          <w:divBdr>
            <w:top w:val="none" w:sz="0" w:space="0" w:color="auto"/>
            <w:left w:val="none" w:sz="0" w:space="0" w:color="auto"/>
            <w:bottom w:val="none" w:sz="0" w:space="0" w:color="auto"/>
            <w:right w:val="none" w:sz="0" w:space="0" w:color="auto"/>
          </w:divBdr>
        </w:div>
        <w:div w:id="525992180">
          <w:marLeft w:val="480"/>
          <w:marRight w:val="0"/>
          <w:marTop w:val="0"/>
          <w:marBottom w:val="0"/>
          <w:divBdr>
            <w:top w:val="none" w:sz="0" w:space="0" w:color="auto"/>
            <w:left w:val="none" w:sz="0" w:space="0" w:color="auto"/>
            <w:bottom w:val="none" w:sz="0" w:space="0" w:color="auto"/>
            <w:right w:val="none" w:sz="0" w:space="0" w:color="auto"/>
          </w:divBdr>
        </w:div>
      </w:divsChild>
    </w:div>
    <w:div w:id="640773364">
      <w:bodyDiv w:val="1"/>
      <w:marLeft w:val="0"/>
      <w:marRight w:val="0"/>
      <w:marTop w:val="0"/>
      <w:marBottom w:val="0"/>
      <w:divBdr>
        <w:top w:val="none" w:sz="0" w:space="0" w:color="auto"/>
        <w:left w:val="none" w:sz="0" w:space="0" w:color="auto"/>
        <w:bottom w:val="none" w:sz="0" w:space="0" w:color="auto"/>
        <w:right w:val="none" w:sz="0" w:space="0" w:color="auto"/>
      </w:divBdr>
    </w:div>
    <w:div w:id="646400262">
      <w:bodyDiv w:val="1"/>
      <w:marLeft w:val="0"/>
      <w:marRight w:val="0"/>
      <w:marTop w:val="0"/>
      <w:marBottom w:val="0"/>
      <w:divBdr>
        <w:top w:val="none" w:sz="0" w:space="0" w:color="auto"/>
        <w:left w:val="none" w:sz="0" w:space="0" w:color="auto"/>
        <w:bottom w:val="none" w:sz="0" w:space="0" w:color="auto"/>
        <w:right w:val="none" w:sz="0" w:space="0" w:color="auto"/>
      </w:divBdr>
    </w:div>
    <w:div w:id="649677492">
      <w:bodyDiv w:val="1"/>
      <w:marLeft w:val="0"/>
      <w:marRight w:val="0"/>
      <w:marTop w:val="0"/>
      <w:marBottom w:val="0"/>
      <w:divBdr>
        <w:top w:val="none" w:sz="0" w:space="0" w:color="auto"/>
        <w:left w:val="none" w:sz="0" w:space="0" w:color="auto"/>
        <w:bottom w:val="none" w:sz="0" w:space="0" w:color="auto"/>
        <w:right w:val="none" w:sz="0" w:space="0" w:color="auto"/>
      </w:divBdr>
    </w:div>
    <w:div w:id="651329183">
      <w:bodyDiv w:val="1"/>
      <w:marLeft w:val="0"/>
      <w:marRight w:val="0"/>
      <w:marTop w:val="0"/>
      <w:marBottom w:val="0"/>
      <w:divBdr>
        <w:top w:val="none" w:sz="0" w:space="0" w:color="auto"/>
        <w:left w:val="none" w:sz="0" w:space="0" w:color="auto"/>
        <w:bottom w:val="none" w:sz="0" w:space="0" w:color="auto"/>
        <w:right w:val="none" w:sz="0" w:space="0" w:color="auto"/>
      </w:divBdr>
    </w:div>
    <w:div w:id="654997254">
      <w:bodyDiv w:val="1"/>
      <w:marLeft w:val="0"/>
      <w:marRight w:val="0"/>
      <w:marTop w:val="0"/>
      <w:marBottom w:val="0"/>
      <w:divBdr>
        <w:top w:val="none" w:sz="0" w:space="0" w:color="auto"/>
        <w:left w:val="none" w:sz="0" w:space="0" w:color="auto"/>
        <w:bottom w:val="none" w:sz="0" w:space="0" w:color="auto"/>
        <w:right w:val="none" w:sz="0" w:space="0" w:color="auto"/>
      </w:divBdr>
    </w:div>
    <w:div w:id="671639604">
      <w:bodyDiv w:val="1"/>
      <w:marLeft w:val="0"/>
      <w:marRight w:val="0"/>
      <w:marTop w:val="0"/>
      <w:marBottom w:val="0"/>
      <w:divBdr>
        <w:top w:val="none" w:sz="0" w:space="0" w:color="auto"/>
        <w:left w:val="none" w:sz="0" w:space="0" w:color="auto"/>
        <w:bottom w:val="none" w:sz="0" w:space="0" w:color="auto"/>
        <w:right w:val="none" w:sz="0" w:space="0" w:color="auto"/>
      </w:divBdr>
    </w:div>
    <w:div w:id="690647436">
      <w:bodyDiv w:val="1"/>
      <w:marLeft w:val="0"/>
      <w:marRight w:val="0"/>
      <w:marTop w:val="0"/>
      <w:marBottom w:val="0"/>
      <w:divBdr>
        <w:top w:val="none" w:sz="0" w:space="0" w:color="auto"/>
        <w:left w:val="none" w:sz="0" w:space="0" w:color="auto"/>
        <w:bottom w:val="none" w:sz="0" w:space="0" w:color="auto"/>
        <w:right w:val="none" w:sz="0" w:space="0" w:color="auto"/>
      </w:divBdr>
    </w:div>
    <w:div w:id="702941714">
      <w:bodyDiv w:val="1"/>
      <w:marLeft w:val="0"/>
      <w:marRight w:val="0"/>
      <w:marTop w:val="0"/>
      <w:marBottom w:val="0"/>
      <w:divBdr>
        <w:top w:val="none" w:sz="0" w:space="0" w:color="auto"/>
        <w:left w:val="none" w:sz="0" w:space="0" w:color="auto"/>
        <w:bottom w:val="none" w:sz="0" w:space="0" w:color="auto"/>
        <w:right w:val="none" w:sz="0" w:space="0" w:color="auto"/>
      </w:divBdr>
    </w:div>
    <w:div w:id="708993591">
      <w:bodyDiv w:val="1"/>
      <w:marLeft w:val="0"/>
      <w:marRight w:val="0"/>
      <w:marTop w:val="0"/>
      <w:marBottom w:val="0"/>
      <w:divBdr>
        <w:top w:val="none" w:sz="0" w:space="0" w:color="auto"/>
        <w:left w:val="none" w:sz="0" w:space="0" w:color="auto"/>
        <w:bottom w:val="none" w:sz="0" w:space="0" w:color="auto"/>
        <w:right w:val="none" w:sz="0" w:space="0" w:color="auto"/>
      </w:divBdr>
    </w:div>
    <w:div w:id="709955702">
      <w:bodyDiv w:val="1"/>
      <w:marLeft w:val="0"/>
      <w:marRight w:val="0"/>
      <w:marTop w:val="0"/>
      <w:marBottom w:val="0"/>
      <w:divBdr>
        <w:top w:val="none" w:sz="0" w:space="0" w:color="auto"/>
        <w:left w:val="none" w:sz="0" w:space="0" w:color="auto"/>
        <w:bottom w:val="none" w:sz="0" w:space="0" w:color="auto"/>
        <w:right w:val="none" w:sz="0" w:space="0" w:color="auto"/>
      </w:divBdr>
    </w:div>
    <w:div w:id="716007091">
      <w:bodyDiv w:val="1"/>
      <w:marLeft w:val="0"/>
      <w:marRight w:val="0"/>
      <w:marTop w:val="0"/>
      <w:marBottom w:val="0"/>
      <w:divBdr>
        <w:top w:val="none" w:sz="0" w:space="0" w:color="auto"/>
        <w:left w:val="none" w:sz="0" w:space="0" w:color="auto"/>
        <w:bottom w:val="none" w:sz="0" w:space="0" w:color="auto"/>
        <w:right w:val="none" w:sz="0" w:space="0" w:color="auto"/>
      </w:divBdr>
    </w:div>
    <w:div w:id="735207808">
      <w:bodyDiv w:val="1"/>
      <w:marLeft w:val="0"/>
      <w:marRight w:val="0"/>
      <w:marTop w:val="0"/>
      <w:marBottom w:val="0"/>
      <w:divBdr>
        <w:top w:val="none" w:sz="0" w:space="0" w:color="auto"/>
        <w:left w:val="none" w:sz="0" w:space="0" w:color="auto"/>
        <w:bottom w:val="none" w:sz="0" w:space="0" w:color="auto"/>
        <w:right w:val="none" w:sz="0" w:space="0" w:color="auto"/>
      </w:divBdr>
    </w:div>
    <w:div w:id="735397043">
      <w:bodyDiv w:val="1"/>
      <w:marLeft w:val="0"/>
      <w:marRight w:val="0"/>
      <w:marTop w:val="0"/>
      <w:marBottom w:val="0"/>
      <w:divBdr>
        <w:top w:val="none" w:sz="0" w:space="0" w:color="auto"/>
        <w:left w:val="none" w:sz="0" w:space="0" w:color="auto"/>
        <w:bottom w:val="none" w:sz="0" w:space="0" w:color="auto"/>
        <w:right w:val="none" w:sz="0" w:space="0" w:color="auto"/>
      </w:divBdr>
    </w:div>
    <w:div w:id="736124731">
      <w:bodyDiv w:val="1"/>
      <w:marLeft w:val="0"/>
      <w:marRight w:val="0"/>
      <w:marTop w:val="0"/>
      <w:marBottom w:val="0"/>
      <w:divBdr>
        <w:top w:val="none" w:sz="0" w:space="0" w:color="auto"/>
        <w:left w:val="none" w:sz="0" w:space="0" w:color="auto"/>
        <w:bottom w:val="none" w:sz="0" w:space="0" w:color="auto"/>
        <w:right w:val="none" w:sz="0" w:space="0" w:color="auto"/>
      </w:divBdr>
    </w:div>
    <w:div w:id="765808580">
      <w:bodyDiv w:val="1"/>
      <w:marLeft w:val="0"/>
      <w:marRight w:val="0"/>
      <w:marTop w:val="0"/>
      <w:marBottom w:val="0"/>
      <w:divBdr>
        <w:top w:val="none" w:sz="0" w:space="0" w:color="auto"/>
        <w:left w:val="none" w:sz="0" w:space="0" w:color="auto"/>
        <w:bottom w:val="none" w:sz="0" w:space="0" w:color="auto"/>
        <w:right w:val="none" w:sz="0" w:space="0" w:color="auto"/>
      </w:divBdr>
    </w:div>
    <w:div w:id="770970546">
      <w:bodyDiv w:val="1"/>
      <w:marLeft w:val="0"/>
      <w:marRight w:val="0"/>
      <w:marTop w:val="0"/>
      <w:marBottom w:val="0"/>
      <w:divBdr>
        <w:top w:val="none" w:sz="0" w:space="0" w:color="auto"/>
        <w:left w:val="none" w:sz="0" w:space="0" w:color="auto"/>
        <w:bottom w:val="none" w:sz="0" w:space="0" w:color="auto"/>
        <w:right w:val="none" w:sz="0" w:space="0" w:color="auto"/>
      </w:divBdr>
    </w:div>
    <w:div w:id="807673648">
      <w:bodyDiv w:val="1"/>
      <w:marLeft w:val="0"/>
      <w:marRight w:val="0"/>
      <w:marTop w:val="0"/>
      <w:marBottom w:val="0"/>
      <w:divBdr>
        <w:top w:val="none" w:sz="0" w:space="0" w:color="auto"/>
        <w:left w:val="none" w:sz="0" w:space="0" w:color="auto"/>
        <w:bottom w:val="none" w:sz="0" w:space="0" w:color="auto"/>
        <w:right w:val="none" w:sz="0" w:space="0" w:color="auto"/>
      </w:divBdr>
    </w:div>
    <w:div w:id="830220883">
      <w:bodyDiv w:val="1"/>
      <w:marLeft w:val="0"/>
      <w:marRight w:val="0"/>
      <w:marTop w:val="0"/>
      <w:marBottom w:val="0"/>
      <w:divBdr>
        <w:top w:val="none" w:sz="0" w:space="0" w:color="auto"/>
        <w:left w:val="none" w:sz="0" w:space="0" w:color="auto"/>
        <w:bottom w:val="none" w:sz="0" w:space="0" w:color="auto"/>
        <w:right w:val="none" w:sz="0" w:space="0" w:color="auto"/>
      </w:divBdr>
    </w:div>
    <w:div w:id="832569665">
      <w:bodyDiv w:val="1"/>
      <w:marLeft w:val="0"/>
      <w:marRight w:val="0"/>
      <w:marTop w:val="0"/>
      <w:marBottom w:val="0"/>
      <w:divBdr>
        <w:top w:val="none" w:sz="0" w:space="0" w:color="auto"/>
        <w:left w:val="none" w:sz="0" w:space="0" w:color="auto"/>
        <w:bottom w:val="none" w:sz="0" w:space="0" w:color="auto"/>
        <w:right w:val="none" w:sz="0" w:space="0" w:color="auto"/>
      </w:divBdr>
    </w:div>
    <w:div w:id="833570113">
      <w:bodyDiv w:val="1"/>
      <w:marLeft w:val="0"/>
      <w:marRight w:val="0"/>
      <w:marTop w:val="0"/>
      <w:marBottom w:val="0"/>
      <w:divBdr>
        <w:top w:val="none" w:sz="0" w:space="0" w:color="auto"/>
        <w:left w:val="none" w:sz="0" w:space="0" w:color="auto"/>
        <w:bottom w:val="none" w:sz="0" w:space="0" w:color="auto"/>
        <w:right w:val="none" w:sz="0" w:space="0" w:color="auto"/>
      </w:divBdr>
    </w:div>
    <w:div w:id="846015280">
      <w:bodyDiv w:val="1"/>
      <w:marLeft w:val="0"/>
      <w:marRight w:val="0"/>
      <w:marTop w:val="0"/>
      <w:marBottom w:val="0"/>
      <w:divBdr>
        <w:top w:val="none" w:sz="0" w:space="0" w:color="auto"/>
        <w:left w:val="none" w:sz="0" w:space="0" w:color="auto"/>
        <w:bottom w:val="none" w:sz="0" w:space="0" w:color="auto"/>
        <w:right w:val="none" w:sz="0" w:space="0" w:color="auto"/>
      </w:divBdr>
    </w:div>
    <w:div w:id="851527923">
      <w:bodyDiv w:val="1"/>
      <w:marLeft w:val="0"/>
      <w:marRight w:val="0"/>
      <w:marTop w:val="0"/>
      <w:marBottom w:val="0"/>
      <w:divBdr>
        <w:top w:val="none" w:sz="0" w:space="0" w:color="auto"/>
        <w:left w:val="none" w:sz="0" w:space="0" w:color="auto"/>
        <w:bottom w:val="none" w:sz="0" w:space="0" w:color="auto"/>
        <w:right w:val="none" w:sz="0" w:space="0" w:color="auto"/>
      </w:divBdr>
    </w:div>
    <w:div w:id="871261473">
      <w:bodyDiv w:val="1"/>
      <w:marLeft w:val="0"/>
      <w:marRight w:val="0"/>
      <w:marTop w:val="0"/>
      <w:marBottom w:val="0"/>
      <w:divBdr>
        <w:top w:val="none" w:sz="0" w:space="0" w:color="auto"/>
        <w:left w:val="none" w:sz="0" w:space="0" w:color="auto"/>
        <w:bottom w:val="none" w:sz="0" w:space="0" w:color="auto"/>
        <w:right w:val="none" w:sz="0" w:space="0" w:color="auto"/>
      </w:divBdr>
      <w:divsChild>
        <w:div w:id="1844935052">
          <w:marLeft w:val="480"/>
          <w:marRight w:val="0"/>
          <w:marTop w:val="0"/>
          <w:marBottom w:val="0"/>
          <w:divBdr>
            <w:top w:val="none" w:sz="0" w:space="0" w:color="auto"/>
            <w:left w:val="none" w:sz="0" w:space="0" w:color="auto"/>
            <w:bottom w:val="none" w:sz="0" w:space="0" w:color="auto"/>
            <w:right w:val="none" w:sz="0" w:space="0" w:color="auto"/>
          </w:divBdr>
        </w:div>
        <w:div w:id="175731500">
          <w:marLeft w:val="480"/>
          <w:marRight w:val="0"/>
          <w:marTop w:val="0"/>
          <w:marBottom w:val="0"/>
          <w:divBdr>
            <w:top w:val="none" w:sz="0" w:space="0" w:color="auto"/>
            <w:left w:val="none" w:sz="0" w:space="0" w:color="auto"/>
            <w:bottom w:val="none" w:sz="0" w:space="0" w:color="auto"/>
            <w:right w:val="none" w:sz="0" w:space="0" w:color="auto"/>
          </w:divBdr>
        </w:div>
        <w:div w:id="72046675">
          <w:marLeft w:val="480"/>
          <w:marRight w:val="0"/>
          <w:marTop w:val="0"/>
          <w:marBottom w:val="0"/>
          <w:divBdr>
            <w:top w:val="none" w:sz="0" w:space="0" w:color="auto"/>
            <w:left w:val="none" w:sz="0" w:space="0" w:color="auto"/>
            <w:bottom w:val="none" w:sz="0" w:space="0" w:color="auto"/>
            <w:right w:val="none" w:sz="0" w:space="0" w:color="auto"/>
          </w:divBdr>
        </w:div>
        <w:div w:id="42800400">
          <w:marLeft w:val="480"/>
          <w:marRight w:val="0"/>
          <w:marTop w:val="0"/>
          <w:marBottom w:val="0"/>
          <w:divBdr>
            <w:top w:val="none" w:sz="0" w:space="0" w:color="auto"/>
            <w:left w:val="none" w:sz="0" w:space="0" w:color="auto"/>
            <w:bottom w:val="none" w:sz="0" w:space="0" w:color="auto"/>
            <w:right w:val="none" w:sz="0" w:space="0" w:color="auto"/>
          </w:divBdr>
        </w:div>
        <w:div w:id="306782177">
          <w:marLeft w:val="480"/>
          <w:marRight w:val="0"/>
          <w:marTop w:val="0"/>
          <w:marBottom w:val="0"/>
          <w:divBdr>
            <w:top w:val="none" w:sz="0" w:space="0" w:color="auto"/>
            <w:left w:val="none" w:sz="0" w:space="0" w:color="auto"/>
            <w:bottom w:val="none" w:sz="0" w:space="0" w:color="auto"/>
            <w:right w:val="none" w:sz="0" w:space="0" w:color="auto"/>
          </w:divBdr>
        </w:div>
        <w:div w:id="2116094149">
          <w:marLeft w:val="480"/>
          <w:marRight w:val="0"/>
          <w:marTop w:val="0"/>
          <w:marBottom w:val="0"/>
          <w:divBdr>
            <w:top w:val="none" w:sz="0" w:space="0" w:color="auto"/>
            <w:left w:val="none" w:sz="0" w:space="0" w:color="auto"/>
            <w:bottom w:val="none" w:sz="0" w:space="0" w:color="auto"/>
            <w:right w:val="none" w:sz="0" w:space="0" w:color="auto"/>
          </w:divBdr>
        </w:div>
        <w:div w:id="1840997735">
          <w:marLeft w:val="480"/>
          <w:marRight w:val="0"/>
          <w:marTop w:val="0"/>
          <w:marBottom w:val="0"/>
          <w:divBdr>
            <w:top w:val="none" w:sz="0" w:space="0" w:color="auto"/>
            <w:left w:val="none" w:sz="0" w:space="0" w:color="auto"/>
            <w:bottom w:val="none" w:sz="0" w:space="0" w:color="auto"/>
            <w:right w:val="none" w:sz="0" w:space="0" w:color="auto"/>
          </w:divBdr>
        </w:div>
        <w:div w:id="1116871608">
          <w:marLeft w:val="480"/>
          <w:marRight w:val="0"/>
          <w:marTop w:val="0"/>
          <w:marBottom w:val="0"/>
          <w:divBdr>
            <w:top w:val="none" w:sz="0" w:space="0" w:color="auto"/>
            <w:left w:val="none" w:sz="0" w:space="0" w:color="auto"/>
            <w:bottom w:val="none" w:sz="0" w:space="0" w:color="auto"/>
            <w:right w:val="none" w:sz="0" w:space="0" w:color="auto"/>
          </w:divBdr>
        </w:div>
        <w:div w:id="2134207866">
          <w:marLeft w:val="480"/>
          <w:marRight w:val="0"/>
          <w:marTop w:val="0"/>
          <w:marBottom w:val="0"/>
          <w:divBdr>
            <w:top w:val="none" w:sz="0" w:space="0" w:color="auto"/>
            <w:left w:val="none" w:sz="0" w:space="0" w:color="auto"/>
            <w:bottom w:val="none" w:sz="0" w:space="0" w:color="auto"/>
            <w:right w:val="none" w:sz="0" w:space="0" w:color="auto"/>
          </w:divBdr>
        </w:div>
        <w:div w:id="438763602">
          <w:marLeft w:val="480"/>
          <w:marRight w:val="0"/>
          <w:marTop w:val="0"/>
          <w:marBottom w:val="0"/>
          <w:divBdr>
            <w:top w:val="none" w:sz="0" w:space="0" w:color="auto"/>
            <w:left w:val="none" w:sz="0" w:space="0" w:color="auto"/>
            <w:bottom w:val="none" w:sz="0" w:space="0" w:color="auto"/>
            <w:right w:val="none" w:sz="0" w:space="0" w:color="auto"/>
          </w:divBdr>
        </w:div>
        <w:div w:id="1631008129">
          <w:marLeft w:val="480"/>
          <w:marRight w:val="0"/>
          <w:marTop w:val="0"/>
          <w:marBottom w:val="0"/>
          <w:divBdr>
            <w:top w:val="none" w:sz="0" w:space="0" w:color="auto"/>
            <w:left w:val="none" w:sz="0" w:space="0" w:color="auto"/>
            <w:bottom w:val="none" w:sz="0" w:space="0" w:color="auto"/>
            <w:right w:val="none" w:sz="0" w:space="0" w:color="auto"/>
          </w:divBdr>
        </w:div>
        <w:div w:id="528182704">
          <w:marLeft w:val="480"/>
          <w:marRight w:val="0"/>
          <w:marTop w:val="0"/>
          <w:marBottom w:val="0"/>
          <w:divBdr>
            <w:top w:val="none" w:sz="0" w:space="0" w:color="auto"/>
            <w:left w:val="none" w:sz="0" w:space="0" w:color="auto"/>
            <w:bottom w:val="none" w:sz="0" w:space="0" w:color="auto"/>
            <w:right w:val="none" w:sz="0" w:space="0" w:color="auto"/>
          </w:divBdr>
        </w:div>
        <w:div w:id="735856327">
          <w:marLeft w:val="480"/>
          <w:marRight w:val="0"/>
          <w:marTop w:val="0"/>
          <w:marBottom w:val="0"/>
          <w:divBdr>
            <w:top w:val="none" w:sz="0" w:space="0" w:color="auto"/>
            <w:left w:val="none" w:sz="0" w:space="0" w:color="auto"/>
            <w:bottom w:val="none" w:sz="0" w:space="0" w:color="auto"/>
            <w:right w:val="none" w:sz="0" w:space="0" w:color="auto"/>
          </w:divBdr>
        </w:div>
        <w:div w:id="1690139839">
          <w:marLeft w:val="480"/>
          <w:marRight w:val="0"/>
          <w:marTop w:val="0"/>
          <w:marBottom w:val="0"/>
          <w:divBdr>
            <w:top w:val="none" w:sz="0" w:space="0" w:color="auto"/>
            <w:left w:val="none" w:sz="0" w:space="0" w:color="auto"/>
            <w:bottom w:val="none" w:sz="0" w:space="0" w:color="auto"/>
            <w:right w:val="none" w:sz="0" w:space="0" w:color="auto"/>
          </w:divBdr>
        </w:div>
        <w:div w:id="1544056981">
          <w:marLeft w:val="480"/>
          <w:marRight w:val="0"/>
          <w:marTop w:val="0"/>
          <w:marBottom w:val="0"/>
          <w:divBdr>
            <w:top w:val="none" w:sz="0" w:space="0" w:color="auto"/>
            <w:left w:val="none" w:sz="0" w:space="0" w:color="auto"/>
            <w:bottom w:val="none" w:sz="0" w:space="0" w:color="auto"/>
            <w:right w:val="none" w:sz="0" w:space="0" w:color="auto"/>
          </w:divBdr>
        </w:div>
        <w:div w:id="669941729">
          <w:marLeft w:val="480"/>
          <w:marRight w:val="0"/>
          <w:marTop w:val="0"/>
          <w:marBottom w:val="0"/>
          <w:divBdr>
            <w:top w:val="none" w:sz="0" w:space="0" w:color="auto"/>
            <w:left w:val="none" w:sz="0" w:space="0" w:color="auto"/>
            <w:bottom w:val="none" w:sz="0" w:space="0" w:color="auto"/>
            <w:right w:val="none" w:sz="0" w:space="0" w:color="auto"/>
          </w:divBdr>
        </w:div>
        <w:div w:id="354775830">
          <w:marLeft w:val="480"/>
          <w:marRight w:val="0"/>
          <w:marTop w:val="0"/>
          <w:marBottom w:val="0"/>
          <w:divBdr>
            <w:top w:val="none" w:sz="0" w:space="0" w:color="auto"/>
            <w:left w:val="none" w:sz="0" w:space="0" w:color="auto"/>
            <w:bottom w:val="none" w:sz="0" w:space="0" w:color="auto"/>
            <w:right w:val="none" w:sz="0" w:space="0" w:color="auto"/>
          </w:divBdr>
        </w:div>
        <w:div w:id="1231111943">
          <w:marLeft w:val="480"/>
          <w:marRight w:val="0"/>
          <w:marTop w:val="0"/>
          <w:marBottom w:val="0"/>
          <w:divBdr>
            <w:top w:val="none" w:sz="0" w:space="0" w:color="auto"/>
            <w:left w:val="none" w:sz="0" w:space="0" w:color="auto"/>
            <w:bottom w:val="none" w:sz="0" w:space="0" w:color="auto"/>
            <w:right w:val="none" w:sz="0" w:space="0" w:color="auto"/>
          </w:divBdr>
        </w:div>
        <w:div w:id="1848641502">
          <w:marLeft w:val="480"/>
          <w:marRight w:val="0"/>
          <w:marTop w:val="0"/>
          <w:marBottom w:val="0"/>
          <w:divBdr>
            <w:top w:val="none" w:sz="0" w:space="0" w:color="auto"/>
            <w:left w:val="none" w:sz="0" w:space="0" w:color="auto"/>
            <w:bottom w:val="none" w:sz="0" w:space="0" w:color="auto"/>
            <w:right w:val="none" w:sz="0" w:space="0" w:color="auto"/>
          </w:divBdr>
        </w:div>
        <w:div w:id="1815289300">
          <w:marLeft w:val="480"/>
          <w:marRight w:val="0"/>
          <w:marTop w:val="0"/>
          <w:marBottom w:val="0"/>
          <w:divBdr>
            <w:top w:val="none" w:sz="0" w:space="0" w:color="auto"/>
            <w:left w:val="none" w:sz="0" w:space="0" w:color="auto"/>
            <w:bottom w:val="none" w:sz="0" w:space="0" w:color="auto"/>
            <w:right w:val="none" w:sz="0" w:space="0" w:color="auto"/>
          </w:divBdr>
        </w:div>
        <w:div w:id="1466502955">
          <w:marLeft w:val="480"/>
          <w:marRight w:val="0"/>
          <w:marTop w:val="0"/>
          <w:marBottom w:val="0"/>
          <w:divBdr>
            <w:top w:val="none" w:sz="0" w:space="0" w:color="auto"/>
            <w:left w:val="none" w:sz="0" w:space="0" w:color="auto"/>
            <w:bottom w:val="none" w:sz="0" w:space="0" w:color="auto"/>
            <w:right w:val="none" w:sz="0" w:space="0" w:color="auto"/>
          </w:divBdr>
        </w:div>
        <w:div w:id="2018464043">
          <w:marLeft w:val="480"/>
          <w:marRight w:val="0"/>
          <w:marTop w:val="0"/>
          <w:marBottom w:val="0"/>
          <w:divBdr>
            <w:top w:val="none" w:sz="0" w:space="0" w:color="auto"/>
            <w:left w:val="none" w:sz="0" w:space="0" w:color="auto"/>
            <w:bottom w:val="none" w:sz="0" w:space="0" w:color="auto"/>
            <w:right w:val="none" w:sz="0" w:space="0" w:color="auto"/>
          </w:divBdr>
        </w:div>
        <w:div w:id="1816603026">
          <w:marLeft w:val="480"/>
          <w:marRight w:val="0"/>
          <w:marTop w:val="0"/>
          <w:marBottom w:val="0"/>
          <w:divBdr>
            <w:top w:val="none" w:sz="0" w:space="0" w:color="auto"/>
            <w:left w:val="none" w:sz="0" w:space="0" w:color="auto"/>
            <w:bottom w:val="none" w:sz="0" w:space="0" w:color="auto"/>
            <w:right w:val="none" w:sz="0" w:space="0" w:color="auto"/>
          </w:divBdr>
        </w:div>
        <w:div w:id="1273978382">
          <w:marLeft w:val="480"/>
          <w:marRight w:val="0"/>
          <w:marTop w:val="0"/>
          <w:marBottom w:val="0"/>
          <w:divBdr>
            <w:top w:val="none" w:sz="0" w:space="0" w:color="auto"/>
            <w:left w:val="none" w:sz="0" w:space="0" w:color="auto"/>
            <w:bottom w:val="none" w:sz="0" w:space="0" w:color="auto"/>
            <w:right w:val="none" w:sz="0" w:space="0" w:color="auto"/>
          </w:divBdr>
        </w:div>
        <w:div w:id="1705792723">
          <w:marLeft w:val="480"/>
          <w:marRight w:val="0"/>
          <w:marTop w:val="0"/>
          <w:marBottom w:val="0"/>
          <w:divBdr>
            <w:top w:val="none" w:sz="0" w:space="0" w:color="auto"/>
            <w:left w:val="none" w:sz="0" w:space="0" w:color="auto"/>
            <w:bottom w:val="none" w:sz="0" w:space="0" w:color="auto"/>
            <w:right w:val="none" w:sz="0" w:space="0" w:color="auto"/>
          </w:divBdr>
        </w:div>
        <w:div w:id="1367409051">
          <w:marLeft w:val="480"/>
          <w:marRight w:val="0"/>
          <w:marTop w:val="0"/>
          <w:marBottom w:val="0"/>
          <w:divBdr>
            <w:top w:val="none" w:sz="0" w:space="0" w:color="auto"/>
            <w:left w:val="none" w:sz="0" w:space="0" w:color="auto"/>
            <w:bottom w:val="none" w:sz="0" w:space="0" w:color="auto"/>
            <w:right w:val="none" w:sz="0" w:space="0" w:color="auto"/>
          </w:divBdr>
        </w:div>
        <w:div w:id="453521575">
          <w:marLeft w:val="480"/>
          <w:marRight w:val="0"/>
          <w:marTop w:val="0"/>
          <w:marBottom w:val="0"/>
          <w:divBdr>
            <w:top w:val="none" w:sz="0" w:space="0" w:color="auto"/>
            <w:left w:val="none" w:sz="0" w:space="0" w:color="auto"/>
            <w:bottom w:val="none" w:sz="0" w:space="0" w:color="auto"/>
            <w:right w:val="none" w:sz="0" w:space="0" w:color="auto"/>
          </w:divBdr>
        </w:div>
        <w:div w:id="53241244">
          <w:marLeft w:val="480"/>
          <w:marRight w:val="0"/>
          <w:marTop w:val="0"/>
          <w:marBottom w:val="0"/>
          <w:divBdr>
            <w:top w:val="none" w:sz="0" w:space="0" w:color="auto"/>
            <w:left w:val="none" w:sz="0" w:space="0" w:color="auto"/>
            <w:bottom w:val="none" w:sz="0" w:space="0" w:color="auto"/>
            <w:right w:val="none" w:sz="0" w:space="0" w:color="auto"/>
          </w:divBdr>
        </w:div>
        <w:div w:id="937758075">
          <w:marLeft w:val="480"/>
          <w:marRight w:val="0"/>
          <w:marTop w:val="0"/>
          <w:marBottom w:val="0"/>
          <w:divBdr>
            <w:top w:val="none" w:sz="0" w:space="0" w:color="auto"/>
            <w:left w:val="none" w:sz="0" w:space="0" w:color="auto"/>
            <w:bottom w:val="none" w:sz="0" w:space="0" w:color="auto"/>
            <w:right w:val="none" w:sz="0" w:space="0" w:color="auto"/>
          </w:divBdr>
        </w:div>
        <w:div w:id="603608687">
          <w:marLeft w:val="480"/>
          <w:marRight w:val="0"/>
          <w:marTop w:val="0"/>
          <w:marBottom w:val="0"/>
          <w:divBdr>
            <w:top w:val="none" w:sz="0" w:space="0" w:color="auto"/>
            <w:left w:val="none" w:sz="0" w:space="0" w:color="auto"/>
            <w:bottom w:val="none" w:sz="0" w:space="0" w:color="auto"/>
            <w:right w:val="none" w:sz="0" w:space="0" w:color="auto"/>
          </w:divBdr>
        </w:div>
        <w:div w:id="1902400903">
          <w:marLeft w:val="480"/>
          <w:marRight w:val="0"/>
          <w:marTop w:val="0"/>
          <w:marBottom w:val="0"/>
          <w:divBdr>
            <w:top w:val="none" w:sz="0" w:space="0" w:color="auto"/>
            <w:left w:val="none" w:sz="0" w:space="0" w:color="auto"/>
            <w:bottom w:val="none" w:sz="0" w:space="0" w:color="auto"/>
            <w:right w:val="none" w:sz="0" w:space="0" w:color="auto"/>
          </w:divBdr>
        </w:div>
        <w:div w:id="953707483">
          <w:marLeft w:val="480"/>
          <w:marRight w:val="0"/>
          <w:marTop w:val="0"/>
          <w:marBottom w:val="0"/>
          <w:divBdr>
            <w:top w:val="none" w:sz="0" w:space="0" w:color="auto"/>
            <w:left w:val="none" w:sz="0" w:space="0" w:color="auto"/>
            <w:bottom w:val="none" w:sz="0" w:space="0" w:color="auto"/>
            <w:right w:val="none" w:sz="0" w:space="0" w:color="auto"/>
          </w:divBdr>
        </w:div>
        <w:div w:id="1707439144">
          <w:marLeft w:val="480"/>
          <w:marRight w:val="0"/>
          <w:marTop w:val="0"/>
          <w:marBottom w:val="0"/>
          <w:divBdr>
            <w:top w:val="none" w:sz="0" w:space="0" w:color="auto"/>
            <w:left w:val="none" w:sz="0" w:space="0" w:color="auto"/>
            <w:bottom w:val="none" w:sz="0" w:space="0" w:color="auto"/>
            <w:right w:val="none" w:sz="0" w:space="0" w:color="auto"/>
          </w:divBdr>
        </w:div>
        <w:div w:id="1238134298">
          <w:marLeft w:val="480"/>
          <w:marRight w:val="0"/>
          <w:marTop w:val="0"/>
          <w:marBottom w:val="0"/>
          <w:divBdr>
            <w:top w:val="none" w:sz="0" w:space="0" w:color="auto"/>
            <w:left w:val="none" w:sz="0" w:space="0" w:color="auto"/>
            <w:bottom w:val="none" w:sz="0" w:space="0" w:color="auto"/>
            <w:right w:val="none" w:sz="0" w:space="0" w:color="auto"/>
          </w:divBdr>
        </w:div>
        <w:div w:id="2054693776">
          <w:marLeft w:val="480"/>
          <w:marRight w:val="0"/>
          <w:marTop w:val="0"/>
          <w:marBottom w:val="0"/>
          <w:divBdr>
            <w:top w:val="none" w:sz="0" w:space="0" w:color="auto"/>
            <w:left w:val="none" w:sz="0" w:space="0" w:color="auto"/>
            <w:bottom w:val="none" w:sz="0" w:space="0" w:color="auto"/>
            <w:right w:val="none" w:sz="0" w:space="0" w:color="auto"/>
          </w:divBdr>
        </w:div>
        <w:div w:id="1556770122">
          <w:marLeft w:val="480"/>
          <w:marRight w:val="0"/>
          <w:marTop w:val="0"/>
          <w:marBottom w:val="0"/>
          <w:divBdr>
            <w:top w:val="none" w:sz="0" w:space="0" w:color="auto"/>
            <w:left w:val="none" w:sz="0" w:space="0" w:color="auto"/>
            <w:bottom w:val="none" w:sz="0" w:space="0" w:color="auto"/>
            <w:right w:val="none" w:sz="0" w:space="0" w:color="auto"/>
          </w:divBdr>
        </w:div>
        <w:div w:id="1288780568">
          <w:marLeft w:val="480"/>
          <w:marRight w:val="0"/>
          <w:marTop w:val="0"/>
          <w:marBottom w:val="0"/>
          <w:divBdr>
            <w:top w:val="none" w:sz="0" w:space="0" w:color="auto"/>
            <w:left w:val="none" w:sz="0" w:space="0" w:color="auto"/>
            <w:bottom w:val="none" w:sz="0" w:space="0" w:color="auto"/>
            <w:right w:val="none" w:sz="0" w:space="0" w:color="auto"/>
          </w:divBdr>
        </w:div>
        <w:div w:id="376510299">
          <w:marLeft w:val="480"/>
          <w:marRight w:val="0"/>
          <w:marTop w:val="0"/>
          <w:marBottom w:val="0"/>
          <w:divBdr>
            <w:top w:val="none" w:sz="0" w:space="0" w:color="auto"/>
            <w:left w:val="none" w:sz="0" w:space="0" w:color="auto"/>
            <w:bottom w:val="none" w:sz="0" w:space="0" w:color="auto"/>
            <w:right w:val="none" w:sz="0" w:space="0" w:color="auto"/>
          </w:divBdr>
        </w:div>
        <w:div w:id="127019325">
          <w:marLeft w:val="480"/>
          <w:marRight w:val="0"/>
          <w:marTop w:val="0"/>
          <w:marBottom w:val="0"/>
          <w:divBdr>
            <w:top w:val="none" w:sz="0" w:space="0" w:color="auto"/>
            <w:left w:val="none" w:sz="0" w:space="0" w:color="auto"/>
            <w:bottom w:val="none" w:sz="0" w:space="0" w:color="auto"/>
            <w:right w:val="none" w:sz="0" w:space="0" w:color="auto"/>
          </w:divBdr>
        </w:div>
        <w:div w:id="556354134">
          <w:marLeft w:val="480"/>
          <w:marRight w:val="0"/>
          <w:marTop w:val="0"/>
          <w:marBottom w:val="0"/>
          <w:divBdr>
            <w:top w:val="none" w:sz="0" w:space="0" w:color="auto"/>
            <w:left w:val="none" w:sz="0" w:space="0" w:color="auto"/>
            <w:bottom w:val="none" w:sz="0" w:space="0" w:color="auto"/>
            <w:right w:val="none" w:sz="0" w:space="0" w:color="auto"/>
          </w:divBdr>
        </w:div>
        <w:div w:id="1543247767">
          <w:marLeft w:val="480"/>
          <w:marRight w:val="0"/>
          <w:marTop w:val="0"/>
          <w:marBottom w:val="0"/>
          <w:divBdr>
            <w:top w:val="none" w:sz="0" w:space="0" w:color="auto"/>
            <w:left w:val="none" w:sz="0" w:space="0" w:color="auto"/>
            <w:bottom w:val="none" w:sz="0" w:space="0" w:color="auto"/>
            <w:right w:val="none" w:sz="0" w:space="0" w:color="auto"/>
          </w:divBdr>
        </w:div>
        <w:div w:id="462428508">
          <w:marLeft w:val="480"/>
          <w:marRight w:val="0"/>
          <w:marTop w:val="0"/>
          <w:marBottom w:val="0"/>
          <w:divBdr>
            <w:top w:val="none" w:sz="0" w:space="0" w:color="auto"/>
            <w:left w:val="none" w:sz="0" w:space="0" w:color="auto"/>
            <w:bottom w:val="none" w:sz="0" w:space="0" w:color="auto"/>
            <w:right w:val="none" w:sz="0" w:space="0" w:color="auto"/>
          </w:divBdr>
        </w:div>
        <w:div w:id="1643382796">
          <w:marLeft w:val="480"/>
          <w:marRight w:val="0"/>
          <w:marTop w:val="0"/>
          <w:marBottom w:val="0"/>
          <w:divBdr>
            <w:top w:val="none" w:sz="0" w:space="0" w:color="auto"/>
            <w:left w:val="none" w:sz="0" w:space="0" w:color="auto"/>
            <w:bottom w:val="none" w:sz="0" w:space="0" w:color="auto"/>
            <w:right w:val="none" w:sz="0" w:space="0" w:color="auto"/>
          </w:divBdr>
        </w:div>
        <w:div w:id="1039433284">
          <w:marLeft w:val="480"/>
          <w:marRight w:val="0"/>
          <w:marTop w:val="0"/>
          <w:marBottom w:val="0"/>
          <w:divBdr>
            <w:top w:val="none" w:sz="0" w:space="0" w:color="auto"/>
            <w:left w:val="none" w:sz="0" w:space="0" w:color="auto"/>
            <w:bottom w:val="none" w:sz="0" w:space="0" w:color="auto"/>
            <w:right w:val="none" w:sz="0" w:space="0" w:color="auto"/>
          </w:divBdr>
        </w:div>
        <w:div w:id="356081964">
          <w:marLeft w:val="480"/>
          <w:marRight w:val="0"/>
          <w:marTop w:val="0"/>
          <w:marBottom w:val="0"/>
          <w:divBdr>
            <w:top w:val="none" w:sz="0" w:space="0" w:color="auto"/>
            <w:left w:val="none" w:sz="0" w:space="0" w:color="auto"/>
            <w:bottom w:val="none" w:sz="0" w:space="0" w:color="auto"/>
            <w:right w:val="none" w:sz="0" w:space="0" w:color="auto"/>
          </w:divBdr>
        </w:div>
        <w:div w:id="2115244598">
          <w:marLeft w:val="480"/>
          <w:marRight w:val="0"/>
          <w:marTop w:val="0"/>
          <w:marBottom w:val="0"/>
          <w:divBdr>
            <w:top w:val="none" w:sz="0" w:space="0" w:color="auto"/>
            <w:left w:val="none" w:sz="0" w:space="0" w:color="auto"/>
            <w:bottom w:val="none" w:sz="0" w:space="0" w:color="auto"/>
            <w:right w:val="none" w:sz="0" w:space="0" w:color="auto"/>
          </w:divBdr>
        </w:div>
        <w:div w:id="721751495">
          <w:marLeft w:val="480"/>
          <w:marRight w:val="0"/>
          <w:marTop w:val="0"/>
          <w:marBottom w:val="0"/>
          <w:divBdr>
            <w:top w:val="none" w:sz="0" w:space="0" w:color="auto"/>
            <w:left w:val="none" w:sz="0" w:space="0" w:color="auto"/>
            <w:bottom w:val="none" w:sz="0" w:space="0" w:color="auto"/>
            <w:right w:val="none" w:sz="0" w:space="0" w:color="auto"/>
          </w:divBdr>
        </w:div>
        <w:div w:id="330524036">
          <w:marLeft w:val="480"/>
          <w:marRight w:val="0"/>
          <w:marTop w:val="0"/>
          <w:marBottom w:val="0"/>
          <w:divBdr>
            <w:top w:val="none" w:sz="0" w:space="0" w:color="auto"/>
            <w:left w:val="none" w:sz="0" w:space="0" w:color="auto"/>
            <w:bottom w:val="none" w:sz="0" w:space="0" w:color="auto"/>
            <w:right w:val="none" w:sz="0" w:space="0" w:color="auto"/>
          </w:divBdr>
        </w:div>
        <w:div w:id="688873030">
          <w:marLeft w:val="480"/>
          <w:marRight w:val="0"/>
          <w:marTop w:val="0"/>
          <w:marBottom w:val="0"/>
          <w:divBdr>
            <w:top w:val="none" w:sz="0" w:space="0" w:color="auto"/>
            <w:left w:val="none" w:sz="0" w:space="0" w:color="auto"/>
            <w:bottom w:val="none" w:sz="0" w:space="0" w:color="auto"/>
            <w:right w:val="none" w:sz="0" w:space="0" w:color="auto"/>
          </w:divBdr>
        </w:div>
        <w:div w:id="1282154151">
          <w:marLeft w:val="480"/>
          <w:marRight w:val="0"/>
          <w:marTop w:val="0"/>
          <w:marBottom w:val="0"/>
          <w:divBdr>
            <w:top w:val="none" w:sz="0" w:space="0" w:color="auto"/>
            <w:left w:val="none" w:sz="0" w:space="0" w:color="auto"/>
            <w:bottom w:val="none" w:sz="0" w:space="0" w:color="auto"/>
            <w:right w:val="none" w:sz="0" w:space="0" w:color="auto"/>
          </w:divBdr>
        </w:div>
        <w:div w:id="129246280">
          <w:marLeft w:val="480"/>
          <w:marRight w:val="0"/>
          <w:marTop w:val="0"/>
          <w:marBottom w:val="0"/>
          <w:divBdr>
            <w:top w:val="none" w:sz="0" w:space="0" w:color="auto"/>
            <w:left w:val="none" w:sz="0" w:space="0" w:color="auto"/>
            <w:bottom w:val="none" w:sz="0" w:space="0" w:color="auto"/>
            <w:right w:val="none" w:sz="0" w:space="0" w:color="auto"/>
          </w:divBdr>
        </w:div>
        <w:div w:id="2065058702">
          <w:marLeft w:val="480"/>
          <w:marRight w:val="0"/>
          <w:marTop w:val="0"/>
          <w:marBottom w:val="0"/>
          <w:divBdr>
            <w:top w:val="none" w:sz="0" w:space="0" w:color="auto"/>
            <w:left w:val="none" w:sz="0" w:space="0" w:color="auto"/>
            <w:bottom w:val="none" w:sz="0" w:space="0" w:color="auto"/>
            <w:right w:val="none" w:sz="0" w:space="0" w:color="auto"/>
          </w:divBdr>
        </w:div>
        <w:div w:id="887104049">
          <w:marLeft w:val="480"/>
          <w:marRight w:val="0"/>
          <w:marTop w:val="0"/>
          <w:marBottom w:val="0"/>
          <w:divBdr>
            <w:top w:val="none" w:sz="0" w:space="0" w:color="auto"/>
            <w:left w:val="none" w:sz="0" w:space="0" w:color="auto"/>
            <w:bottom w:val="none" w:sz="0" w:space="0" w:color="auto"/>
            <w:right w:val="none" w:sz="0" w:space="0" w:color="auto"/>
          </w:divBdr>
        </w:div>
        <w:div w:id="830290969">
          <w:marLeft w:val="480"/>
          <w:marRight w:val="0"/>
          <w:marTop w:val="0"/>
          <w:marBottom w:val="0"/>
          <w:divBdr>
            <w:top w:val="none" w:sz="0" w:space="0" w:color="auto"/>
            <w:left w:val="none" w:sz="0" w:space="0" w:color="auto"/>
            <w:bottom w:val="none" w:sz="0" w:space="0" w:color="auto"/>
            <w:right w:val="none" w:sz="0" w:space="0" w:color="auto"/>
          </w:divBdr>
        </w:div>
        <w:div w:id="544291102">
          <w:marLeft w:val="480"/>
          <w:marRight w:val="0"/>
          <w:marTop w:val="0"/>
          <w:marBottom w:val="0"/>
          <w:divBdr>
            <w:top w:val="none" w:sz="0" w:space="0" w:color="auto"/>
            <w:left w:val="none" w:sz="0" w:space="0" w:color="auto"/>
            <w:bottom w:val="none" w:sz="0" w:space="0" w:color="auto"/>
            <w:right w:val="none" w:sz="0" w:space="0" w:color="auto"/>
          </w:divBdr>
        </w:div>
        <w:div w:id="1461194211">
          <w:marLeft w:val="480"/>
          <w:marRight w:val="0"/>
          <w:marTop w:val="0"/>
          <w:marBottom w:val="0"/>
          <w:divBdr>
            <w:top w:val="none" w:sz="0" w:space="0" w:color="auto"/>
            <w:left w:val="none" w:sz="0" w:space="0" w:color="auto"/>
            <w:bottom w:val="none" w:sz="0" w:space="0" w:color="auto"/>
            <w:right w:val="none" w:sz="0" w:space="0" w:color="auto"/>
          </w:divBdr>
        </w:div>
        <w:div w:id="1049304276">
          <w:marLeft w:val="480"/>
          <w:marRight w:val="0"/>
          <w:marTop w:val="0"/>
          <w:marBottom w:val="0"/>
          <w:divBdr>
            <w:top w:val="none" w:sz="0" w:space="0" w:color="auto"/>
            <w:left w:val="none" w:sz="0" w:space="0" w:color="auto"/>
            <w:bottom w:val="none" w:sz="0" w:space="0" w:color="auto"/>
            <w:right w:val="none" w:sz="0" w:space="0" w:color="auto"/>
          </w:divBdr>
        </w:div>
        <w:div w:id="194971317">
          <w:marLeft w:val="480"/>
          <w:marRight w:val="0"/>
          <w:marTop w:val="0"/>
          <w:marBottom w:val="0"/>
          <w:divBdr>
            <w:top w:val="none" w:sz="0" w:space="0" w:color="auto"/>
            <w:left w:val="none" w:sz="0" w:space="0" w:color="auto"/>
            <w:bottom w:val="none" w:sz="0" w:space="0" w:color="auto"/>
            <w:right w:val="none" w:sz="0" w:space="0" w:color="auto"/>
          </w:divBdr>
        </w:div>
        <w:div w:id="1762333804">
          <w:marLeft w:val="480"/>
          <w:marRight w:val="0"/>
          <w:marTop w:val="0"/>
          <w:marBottom w:val="0"/>
          <w:divBdr>
            <w:top w:val="none" w:sz="0" w:space="0" w:color="auto"/>
            <w:left w:val="none" w:sz="0" w:space="0" w:color="auto"/>
            <w:bottom w:val="none" w:sz="0" w:space="0" w:color="auto"/>
            <w:right w:val="none" w:sz="0" w:space="0" w:color="auto"/>
          </w:divBdr>
        </w:div>
        <w:div w:id="72818467">
          <w:marLeft w:val="480"/>
          <w:marRight w:val="0"/>
          <w:marTop w:val="0"/>
          <w:marBottom w:val="0"/>
          <w:divBdr>
            <w:top w:val="none" w:sz="0" w:space="0" w:color="auto"/>
            <w:left w:val="none" w:sz="0" w:space="0" w:color="auto"/>
            <w:bottom w:val="none" w:sz="0" w:space="0" w:color="auto"/>
            <w:right w:val="none" w:sz="0" w:space="0" w:color="auto"/>
          </w:divBdr>
        </w:div>
        <w:div w:id="453838965">
          <w:marLeft w:val="480"/>
          <w:marRight w:val="0"/>
          <w:marTop w:val="0"/>
          <w:marBottom w:val="0"/>
          <w:divBdr>
            <w:top w:val="none" w:sz="0" w:space="0" w:color="auto"/>
            <w:left w:val="none" w:sz="0" w:space="0" w:color="auto"/>
            <w:bottom w:val="none" w:sz="0" w:space="0" w:color="auto"/>
            <w:right w:val="none" w:sz="0" w:space="0" w:color="auto"/>
          </w:divBdr>
        </w:div>
        <w:div w:id="1929076025">
          <w:marLeft w:val="480"/>
          <w:marRight w:val="0"/>
          <w:marTop w:val="0"/>
          <w:marBottom w:val="0"/>
          <w:divBdr>
            <w:top w:val="none" w:sz="0" w:space="0" w:color="auto"/>
            <w:left w:val="none" w:sz="0" w:space="0" w:color="auto"/>
            <w:bottom w:val="none" w:sz="0" w:space="0" w:color="auto"/>
            <w:right w:val="none" w:sz="0" w:space="0" w:color="auto"/>
          </w:divBdr>
        </w:div>
        <w:div w:id="1823043717">
          <w:marLeft w:val="480"/>
          <w:marRight w:val="0"/>
          <w:marTop w:val="0"/>
          <w:marBottom w:val="0"/>
          <w:divBdr>
            <w:top w:val="none" w:sz="0" w:space="0" w:color="auto"/>
            <w:left w:val="none" w:sz="0" w:space="0" w:color="auto"/>
            <w:bottom w:val="none" w:sz="0" w:space="0" w:color="auto"/>
            <w:right w:val="none" w:sz="0" w:space="0" w:color="auto"/>
          </w:divBdr>
        </w:div>
        <w:div w:id="1489898627">
          <w:marLeft w:val="480"/>
          <w:marRight w:val="0"/>
          <w:marTop w:val="0"/>
          <w:marBottom w:val="0"/>
          <w:divBdr>
            <w:top w:val="none" w:sz="0" w:space="0" w:color="auto"/>
            <w:left w:val="none" w:sz="0" w:space="0" w:color="auto"/>
            <w:bottom w:val="none" w:sz="0" w:space="0" w:color="auto"/>
            <w:right w:val="none" w:sz="0" w:space="0" w:color="auto"/>
          </w:divBdr>
        </w:div>
        <w:div w:id="159198005">
          <w:marLeft w:val="480"/>
          <w:marRight w:val="0"/>
          <w:marTop w:val="0"/>
          <w:marBottom w:val="0"/>
          <w:divBdr>
            <w:top w:val="none" w:sz="0" w:space="0" w:color="auto"/>
            <w:left w:val="none" w:sz="0" w:space="0" w:color="auto"/>
            <w:bottom w:val="none" w:sz="0" w:space="0" w:color="auto"/>
            <w:right w:val="none" w:sz="0" w:space="0" w:color="auto"/>
          </w:divBdr>
        </w:div>
        <w:div w:id="832841079">
          <w:marLeft w:val="480"/>
          <w:marRight w:val="0"/>
          <w:marTop w:val="0"/>
          <w:marBottom w:val="0"/>
          <w:divBdr>
            <w:top w:val="none" w:sz="0" w:space="0" w:color="auto"/>
            <w:left w:val="none" w:sz="0" w:space="0" w:color="auto"/>
            <w:bottom w:val="none" w:sz="0" w:space="0" w:color="auto"/>
            <w:right w:val="none" w:sz="0" w:space="0" w:color="auto"/>
          </w:divBdr>
        </w:div>
        <w:div w:id="1658607717">
          <w:marLeft w:val="480"/>
          <w:marRight w:val="0"/>
          <w:marTop w:val="0"/>
          <w:marBottom w:val="0"/>
          <w:divBdr>
            <w:top w:val="none" w:sz="0" w:space="0" w:color="auto"/>
            <w:left w:val="none" w:sz="0" w:space="0" w:color="auto"/>
            <w:bottom w:val="none" w:sz="0" w:space="0" w:color="auto"/>
            <w:right w:val="none" w:sz="0" w:space="0" w:color="auto"/>
          </w:divBdr>
        </w:div>
        <w:div w:id="890119248">
          <w:marLeft w:val="480"/>
          <w:marRight w:val="0"/>
          <w:marTop w:val="0"/>
          <w:marBottom w:val="0"/>
          <w:divBdr>
            <w:top w:val="none" w:sz="0" w:space="0" w:color="auto"/>
            <w:left w:val="none" w:sz="0" w:space="0" w:color="auto"/>
            <w:bottom w:val="none" w:sz="0" w:space="0" w:color="auto"/>
            <w:right w:val="none" w:sz="0" w:space="0" w:color="auto"/>
          </w:divBdr>
        </w:div>
        <w:div w:id="508760898">
          <w:marLeft w:val="480"/>
          <w:marRight w:val="0"/>
          <w:marTop w:val="0"/>
          <w:marBottom w:val="0"/>
          <w:divBdr>
            <w:top w:val="none" w:sz="0" w:space="0" w:color="auto"/>
            <w:left w:val="none" w:sz="0" w:space="0" w:color="auto"/>
            <w:bottom w:val="none" w:sz="0" w:space="0" w:color="auto"/>
            <w:right w:val="none" w:sz="0" w:space="0" w:color="auto"/>
          </w:divBdr>
        </w:div>
        <w:div w:id="1691838450">
          <w:marLeft w:val="480"/>
          <w:marRight w:val="0"/>
          <w:marTop w:val="0"/>
          <w:marBottom w:val="0"/>
          <w:divBdr>
            <w:top w:val="none" w:sz="0" w:space="0" w:color="auto"/>
            <w:left w:val="none" w:sz="0" w:space="0" w:color="auto"/>
            <w:bottom w:val="none" w:sz="0" w:space="0" w:color="auto"/>
            <w:right w:val="none" w:sz="0" w:space="0" w:color="auto"/>
          </w:divBdr>
        </w:div>
        <w:div w:id="1418206808">
          <w:marLeft w:val="480"/>
          <w:marRight w:val="0"/>
          <w:marTop w:val="0"/>
          <w:marBottom w:val="0"/>
          <w:divBdr>
            <w:top w:val="none" w:sz="0" w:space="0" w:color="auto"/>
            <w:left w:val="none" w:sz="0" w:space="0" w:color="auto"/>
            <w:bottom w:val="none" w:sz="0" w:space="0" w:color="auto"/>
            <w:right w:val="none" w:sz="0" w:space="0" w:color="auto"/>
          </w:divBdr>
        </w:div>
      </w:divsChild>
    </w:div>
    <w:div w:id="910970894">
      <w:bodyDiv w:val="1"/>
      <w:marLeft w:val="0"/>
      <w:marRight w:val="0"/>
      <w:marTop w:val="0"/>
      <w:marBottom w:val="0"/>
      <w:divBdr>
        <w:top w:val="none" w:sz="0" w:space="0" w:color="auto"/>
        <w:left w:val="none" w:sz="0" w:space="0" w:color="auto"/>
        <w:bottom w:val="none" w:sz="0" w:space="0" w:color="auto"/>
        <w:right w:val="none" w:sz="0" w:space="0" w:color="auto"/>
      </w:divBdr>
    </w:div>
    <w:div w:id="914516468">
      <w:bodyDiv w:val="1"/>
      <w:marLeft w:val="0"/>
      <w:marRight w:val="0"/>
      <w:marTop w:val="0"/>
      <w:marBottom w:val="0"/>
      <w:divBdr>
        <w:top w:val="none" w:sz="0" w:space="0" w:color="auto"/>
        <w:left w:val="none" w:sz="0" w:space="0" w:color="auto"/>
        <w:bottom w:val="none" w:sz="0" w:space="0" w:color="auto"/>
        <w:right w:val="none" w:sz="0" w:space="0" w:color="auto"/>
      </w:divBdr>
    </w:div>
    <w:div w:id="916404398">
      <w:bodyDiv w:val="1"/>
      <w:marLeft w:val="0"/>
      <w:marRight w:val="0"/>
      <w:marTop w:val="0"/>
      <w:marBottom w:val="0"/>
      <w:divBdr>
        <w:top w:val="none" w:sz="0" w:space="0" w:color="auto"/>
        <w:left w:val="none" w:sz="0" w:space="0" w:color="auto"/>
        <w:bottom w:val="none" w:sz="0" w:space="0" w:color="auto"/>
        <w:right w:val="none" w:sz="0" w:space="0" w:color="auto"/>
      </w:divBdr>
    </w:div>
    <w:div w:id="936712796">
      <w:bodyDiv w:val="1"/>
      <w:marLeft w:val="0"/>
      <w:marRight w:val="0"/>
      <w:marTop w:val="0"/>
      <w:marBottom w:val="0"/>
      <w:divBdr>
        <w:top w:val="none" w:sz="0" w:space="0" w:color="auto"/>
        <w:left w:val="none" w:sz="0" w:space="0" w:color="auto"/>
        <w:bottom w:val="none" w:sz="0" w:space="0" w:color="auto"/>
        <w:right w:val="none" w:sz="0" w:space="0" w:color="auto"/>
      </w:divBdr>
    </w:div>
    <w:div w:id="942613365">
      <w:bodyDiv w:val="1"/>
      <w:marLeft w:val="0"/>
      <w:marRight w:val="0"/>
      <w:marTop w:val="0"/>
      <w:marBottom w:val="0"/>
      <w:divBdr>
        <w:top w:val="none" w:sz="0" w:space="0" w:color="auto"/>
        <w:left w:val="none" w:sz="0" w:space="0" w:color="auto"/>
        <w:bottom w:val="none" w:sz="0" w:space="0" w:color="auto"/>
        <w:right w:val="none" w:sz="0" w:space="0" w:color="auto"/>
      </w:divBdr>
    </w:div>
    <w:div w:id="953098928">
      <w:bodyDiv w:val="1"/>
      <w:marLeft w:val="0"/>
      <w:marRight w:val="0"/>
      <w:marTop w:val="0"/>
      <w:marBottom w:val="0"/>
      <w:divBdr>
        <w:top w:val="none" w:sz="0" w:space="0" w:color="auto"/>
        <w:left w:val="none" w:sz="0" w:space="0" w:color="auto"/>
        <w:bottom w:val="none" w:sz="0" w:space="0" w:color="auto"/>
        <w:right w:val="none" w:sz="0" w:space="0" w:color="auto"/>
      </w:divBdr>
    </w:div>
    <w:div w:id="963659269">
      <w:bodyDiv w:val="1"/>
      <w:marLeft w:val="0"/>
      <w:marRight w:val="0"/>
      <w:marTop w:val="0"/>
      <w:marBottom w:val="0"/>
      <w:divBdr>
        <w:top w:val="none" w:sz="0" w:space="0" w:color="auto"/>
        <w:left w:val="none" w:sz="0" w:space="0" w:color="auto"/>
        <w:bottom w:val="none" w:sz="0" w:space="0" w:color="auto"/>
        <w:right w:val="none" w:sz="0" w:space="0" w:color="auto"/>
      </w:divBdr>
    </w:div>
    <w:div w:id="973407679">
      <w:bodyDiv w:val="1"/>
      <w:marLeft w:val="0"/>
      <w:marRight w:val="0"/>
      <w:marTop w:val="0"/>
      <w:marBottom w:val="0"/>
      <w:divBdr>
        <w:top w:val="none" w:sz="0" w:space="0" w:color="auto"/>
        <w:left w:val="none" w:sz="0" w:space="0" w:color="auto"/>
        <w:bottom w:val="none" w:sz="0" w:space="0" w:color="auto"/>
        <w:right w:val="none" w:sz="0" w:space="0" w:color="auto"/>
      </w:divBdr>
    </w:div>
    <w:div w:id="976228247">
      <w:bodyDiv w:val="1"/>
      <w:marLeft w:val="0"/>
      <w:marRight w:val="0"/>
      <w:marTop w:val="0"/>
      <w:marBottom w:val="0"/>
      <w:divBdr>
        <w:top w:val="none" w:sz="0" w:space="0" w:color="auto"/>
        <w:left w:val="none" w:sz="0" w:space="0" w:color="auto"/>
        <w:bottom w:val="none" w:sz="0" w:space="0" w:color="auto"/>
        <w:right w:val="none" w:sz="0" w:space="0" w:color="auto"/>
      </w:divBdr>
    </w:div>
    <w:div w:id="978850156">
      <w:bodyDiv w:val="1"/>
      <w:marLeft w:val="0"/>
      <w:marRight w:val="0"/>
      <w:marTop w:val="0"/>
      <w:marBottom w:val="0"/>
      <w:divBdr>
        <w:top w:val="none" w:sz="0" w:space="0" w:color="auto"/>
        <w:left w:val="none" w:sz="0" w:space="0" w:color="auto"/>
        <w:bottom w:val="none" w:sz="0" w:space="0" w:color="auto"/>
        <w:right w:val="none" w:sz="0" w:space="0" w:color="auto"/>
      </w:divBdr>
    </w:div>
    <w:div w:id="982001158">
      <w:bodyDiv w:val="1"/>
      <w:marLeft w:val="0"/>
      <w:marRight w:val="0"/>
      <w:marTop w:val="0"/>
      <w:marBottom w:val="0"/>
      <w:divBdr>
        <w:top w:val="none" w:sz="0" w:space="0" w:color="auto"/>
        <w:left w:val="none" w:sz="0" w:space="0" w:color="auto"/>
        <w:bottom w:val="none" w:sz="0" w:space="0" w:color="auto"/>
        <w:right w:val="none" w:sz="0" w:space="0" w:color="auto"/>
      </w:divBdr>
    </w:div>
    <w:div w:id="1018121875">
      <w:bodyDiv w:val="1"/>
      <w:marLeft w:val="0"/>
      <w:marRight w:val="0"/>
      <w:marTop w:val="0"/>
      <w:marBottom w:val="0"/>
      <w:divBdr>
        <w:top w:val="none" w:sz="0" w:space="0" w:color="auto"/>
        <w:left w:val="none" w:sz="0" w:space="0" w:color="auto"/>
        <w:bottom w:val="none" w:sz="0" w:space="0" w:color="auto"/>
        <w:right w:val="none" w:sz="0" w:space="0" w:color="auto"/>
      </w:divBdr>
    </w:div>
    <w:div w:id="1022585370">
      <w:bodyDiv w:val="1"/>
      <w:marLeft w:val="0"/>
      <w:marRight w:val="0"/>
      <w:marTop w:val="0"/>
      <w:marBottom w:val="0"/>
      <w:divBdr>
        <w:top w:val="none" w:sz="0" w:space="0" w:color="auto"/>
        <w:left w:val="none" w:sz="0" w:space="0" w:color="auto"/>
        <w:bottom w:val="none" w:sz="0" w:space="0" w:color="auto"/>
        <w:right w:val="none" w:sz="0" w:space="0" w:color="auto"/>
      </w:divBdr>
    </w:div>
    <w:div w:id="1024600965">
      <w:bodyDiv w:val="1"/>
      <w:marLeft w:val="0"/>
      <w:marRight w:val="0"/>
      <w:marTop w:val="0"/>
      <w:marBottom w:val="0"/>
      <w:divBdr>
        <w:top w:val="none" w:sz="0" w:space="0" w:color="auto"/>
        <w:left w:val="none" w:sz="0" w:space="0" w:color="auto"/>
        <w:bottom w:val="none" w:sz="0" w:space="0" w:color="auto"/>
        <w:right w:val="none" w:sz="0" w:space="0" w:color="auto"/>
      </w:divBdr>
    </w:div>
    <w:div w:id="1034115341">
      <w:bodyDiv w:val="1"/>
      <w:marLeft w:val="0"/>
      <w:marRight w:val="0"/>
      <w:marTop w:val="0"/>
      <w:marBottom w:val="0"/>
      <w:divBdr>
        <w:top w:val="none" w:sz="0" w:space="0" w:color="auto"/>
        <w:left w:val="none" w:sz="0" w:space="0" w:color="auto"/>
        <w:bottom w:val="none" w:sz="0" w:space="0" w:color="auto"/>
        <w:right w:val="none" w:sz="0" w:space="0" w:color="auto"/>
      </w:divBdr>
    </w:div>
    <w:div w:id="1039166746">
      <w:bodyDiv w:val="1"/>
      <w:marLeft w:val="0"/>
      <w:marRight w:val="0"/>
      <w:marTop w:val="0"/>
      <w:marBottom w:val="0"/>
      <w:divBdr>
        <w:top w:val="none" w:sz="0" w:space="0" w:color="auto"/>
        <w:left w:val="none" w:sz="0" w:space="0" w:color="auto"/>
        <w:bottom w:val="none" w:sz="0" w:space="0" w:color="auto"/>
        <w:right w:val="none" w:sz="0" w:space="0" w:color="auto"/>
      </w:divBdr>
    </w:div>
    <w:div w:id="1043090990">
      <w:bodyDiv w:val="1"/>
      <w:marLeft w:val="0"/>
      <w:marRight w:val="0"/>
      <w:marTop w:val="0"/>
      <w:marBottom w:val="0"/>
      <w:divBdr>
        <w:top w:val="none" w:sz="0" w:space="0" w:color="auto"/>
        <w:left w:val="none" w:sz="0" w:space="0" w:color="auto"/>
        <w:bottom w:val="none" w:sz="0" w:space="0" w:color="auto"/>
        <w:right w:val="none" w:sz="0" w:space="0" w:color="auto"/>
      </w:divBdr>
    </w:div>
    <w:div w:id="1043483039">
      <w:bodyDiv w:val="1"/>
      <w:marLeft w:val="0"/>
      <w:marRight w:val="0"/>
      <w:marTop w:val="0"/>
      <w:marBottom w:val="0"/>
      <w:divBdr>
        <w:top w:val="none" w:sz="0" w:space="0" w:color="auto"/>
        <w:left w:val="none" w:sz="0" w:space="0" w:color="auto"/>
        <w:bottom w:val="none" w:sz="0" w:space="0" w:color="auto"/>
        <w:right w:val="none" w:sz="0" w:space="0" w:color="auto"/>
      </w:divBdr>
    </w:div>
    <w:div w:id="1044866453">
      <w:bodyDiv w:val="1"/>
      <w:marLeft w:val="0"/>
      <w:marRight w:val="0"/>
      <w:marTop w:val="0"/>
      <w:marBottom w:val="0"/>
      <w:divBdr>
        <w:top w:val="none" w:sz="0" w:space="0" w:color="auto"/>
        <w:left w:val="none" w:sz="0" w:space="0" w:color="auto"/>
        <w:bottom w:val="none" w:sz="0" w:space="0" w:color="auto"/>
        <w:right w:val="none" w:sz="0" w:space="0" w:color="auto"/>
      </w:divBdr>
    </w:div>
    <w:div w:id="1046182090">
      <w:bodyDiv w:val="1"/>
      <w:marLeft w:val="0"/>
      <w:marRight w:val="0"/>
      <w:marTop w:val="0"/>
      <w:marBottom w:val="0"/>
      <w:divBdr>
        <w:top w:val="none" w:sz="0" w:space="0" w:color="auto"/>
        <w:left w:val="none" w:sz="0" w:space="0" w:color="auto"/>
        <w:bottom w:val="none" w:sz="0" w:space="0" w:color="auto"/>
        <w:right w:val="none" w:sz="0" w:space="0" w:color="auto"/>
      </w:divBdr>
      <w:divsChild>
        <w:div w:id="589125447">
          <w:marLeft w:val="480"/>
          <w:marRight w:val="0"/>
          <w:marTop w:val="0"/>
          <w:marBottom w:val="0"/>
          <w:divBdr>
            <w:top w:val="none" w:sz="0" w:space="0" w:color="auto"/>
            <w:left w:val="none" w:sz="0" w:space="0" w:color="auto"/>
            <w:bottom w:val="none" w:sz="0" w:space="0" w:color="auto"/>
            <w:right w:val="none" w:sz="0" w:space="0" w:color="auto"/>
          </w:divBdr>
        </w:div>
        <w:div w:id="1567567909">
          <w:marLeft w:val="480"/>
          <w:marRight w:val="0"/>
          <w:marTop w:val="0"/>
          <w:marBottom w:val="0"/>
          <w:divBdr>
            <w:top w:val="none" w:sz="0" w:space="0" w:color="auto"/>
            <w:left w:val="none" w:sz="0" w:space="0" w:color="auto"/>
            <w:bottom w:val="none" w:sz="0" w:space="0" w:color="auto"/>
            <w:right w:val="none" w:sz="0" w:space="0" w:color="auto"/>
          </w:divBdr>
        </w:div>
        <w:div w:id="325204158">
          <w:marLeft w:val="480"/>
          <w:marRight w:val="0"/>
          <w:marTop w:val="0"/>
          <w:marBottom w:val="0"/>
          <w:divBdr>
            <w:top w:val="none" w:sz="0" w:space="0" w:color="auto"/>
            <w:left w:val="none" w:sz="0" w:space="0" w:color="auto"/>
            <w:bottom w:val="none" w:sz="0" w:space="0" w:color="auto"/>
            <w:right w:val="none" w:sz="0" w:space="0" w:color="auto"/>
          </w:divBdr>
        </w:div>
        <w:div w:id="2013337728">
          <w:marLeft w:val="480"/>
          <w:marRight w:val="0"/>
          <w:marTop w:val="0"/>
          <w:marBottom w:val="0"/>
          <w:divBdr>
            <w:top w:val="none" w:sz="0" w:space="0" w:color="auto"/>
            <w:left w:val="none" w:sz="0" w:space="0" w:color="auto"/>
            <w:bottom w:val="none" w:sz="0" w:space="0" w:color="auto"/>
            <w:right w:val="none" w:sz="0" w:space="0" w:color="auto"/>
          </w:divBdr>
        </w:div>
        <w:div w:id="1825857045">
          <w:marLeft w:val="480"/>
          <w:marRight w:val="0"/>
          <w:marTop w:val="0"/>
          <w:marBottom w:val="0"/>
          <w:divBdr>
            <w:top w:val="none" w:sz="0" w:space="0" w:color="auto"/>
            <w:left w:val="none" w:sz="0" w:space="0" w:color="auto"/>
            <w:bottom w:val="none" w:sz="0" w:space="0" w:color="auto"/>
            <w:right w:val="none" w:sz="0" w:space="0" w:color="auto"/>
          </w:divBdr>
        </w:div>
        <w:div w:id="2075199699">
          <w:marLeft w:val="480"/>
          <w:marRight w:val="0"/>
          <w:marTop w:val="0"/>
          <w:marBottom w:val="0"/>
          <w:divBdr>
            <w:top w:val="none" w:sz="0" w:space="0" w:color="auto"/>
            <w:left w:val="none" w:sz="0" w:space="0" w:color="auto"/>
            <w:bottom w:val="none" w:sz="0" w:space="0" w:color="auto"/>
            <w:right w:val="none" w:sz="0" w:space="0" w:color="auto"/>
          </w:divBdr>
        </w:div>
        <w:div w:id="528953589">
          <w:marLeft w:val="480"/>
          <w:marRight w:val="0"/>
          <w:marTop w:val="0"/>
          <w:marBottom w:val="0"/>
          <w:divBdr>
            <w:top w:val="none" w:sz="0" w:space="0" w:color="auto"/>
            <w:left w:val="none" w:sz="0" w:space="0" w:color="auto"/>
            <w:bottom w:val="none" w:sz="0" w:space="0" w:color="auto"/>
            <w:right w:val="none" w:sz="0" w:space="0" w:color="auto"/>
          </w:divBdr>
        </w:div>
        <w:div w:id="734084749">
          <w:marLeft w:val="480"/>
          <w:marRight w:val="0"/>
          <w:marTop w:val="0"/>
          <w:marBottom w:val="0"/>
          <w:divBdr>
            <w:top w:val="none" w:sz="0" w:space="0" w:color="auto"/>
            <w:left w:val="none" w:sz="0" w:space="0" w:color="auto"/>
            <w:bottom w:val="none" w:sz="0" w:space="0" w:color="auto"/>
            <w:right w:val="none" w:sz="0" w:space="0" w:color="auto"/>
          </w:divBdr>
        </w:div>
        <w:div w:id="1416170602">
          <w:marLeft w:val="480"/>
          <w:marRight w:val="0"/>
          <w:marTop w:val="0"/>
          <w:marBottom w:val="0"/>
          <w:divBdr>
            <w:top w:val="none" w:sz="0" w:space="0" w:color="auto"/>
            <w:left w:val="none" w:sz="0" w:space="0" w:color="auto"/>
            <w:bottom w:val="none" w:sz="0" w:space="0" w:color="auto"/>
            <w:right w:val="none" w:sz="0" w:space="0" w:color="auto"/>
          </w:divBdr>
        </w:div>
        <w:div w:id="1246500283">
          <w:marLeft w:val="480"/>
          <w:marRight w:val="0"/>
          <w:marTop w:val="0"/>
          <w:marBottom w:val="0"/>
          <w:divBdr>
            <w:top w:val="none" w:sz="0" w:space="0" w:color="auto"/>
            <w:left w:val="none" w:sz="0" w:space="0" w:color="auto"/>
            <w:bottom w:val="none" w:sz="0" w:space="0" w:color="auto"/>
            <w:right w:val="none" w:sz="0" w:space="0" w:color="auto"/>
          </w:divBdr>
        </w:div>
        <w:div w:id="745954384">
          <w:marLeft w:val="480"/>
          <w:marRight w:val="0"/>
          <w:marTop w:val="0"/>
          <w:marBottom w:val="0"/>
          <w:divBdr>
            <w:top w:val="none" w:sz="0" w:space="0" w:color="auto"/>
            <w:left w:val="none" w:sz="0" w:space="0" w:color="auto"/>
            <w:bottom w:val="none" w:sz="0" w:space="0" w:color="auto"/>
            <w:right w:val="none" w:sz="0" w:space="0" w:color="auto"/>
          </w:divBdr>
        </w:div>
        <w:div w:id="287442833">
          <w:marLeft w:val="480"/>
          <w:marRight w:val="0"/>
          <w:marTop w:val="0"/>
          <w:marBottom w:val="0"/>
          <w:divBdr>
            <w:top w:val="none" w:sz="0" w:space="0" w:color="auto"/>
            <w:left w:val="none" w:sz="0" w:space="0" w:color="auto"/>
            <w:bottom w:val="none" w:sz="0" w:space="0" w:color="auto"/>
            <w:right w:val="none" w:sz="0" w:space="0" w:color="auto"/>
          </w:divBdr>
        </w:div>
        <w:div w:id="1209950037">
          <w:marLeft w:val="480"/>
          <w:marRight w:val="0"/>
          <w:marTop w:val="0"/>
          <w:marBottom w:val="0"/>
          <w:divBdr>
            <w:top w:val="none" w:sz="0" w:space="0" w:color="auto"/>
            <w:left w:val="none" w:sz="0" w:space="0" w:color="auto"/>
            <w:bottom w:val="none" w:sz="0" w:space="0" w:color="auto"/>
            <w:right w:val="none" w:sz="0" w:space="0" w:color="auto"/>
          </w:divBdr>
        </w:div>
        <w:div w:id="1565023246">
          <w:marLeft w:val="480"/>
          <w:marRight w:val="0"/>
          <w:marTop w:val="0"/>
          <w:marBottom w:val="0"/>
          <w:divBdr>
            <w:top w:val="none" w:sz="0" w:space="0" w:color="auto"/>
            <w:left w:val="none" w:sz="0" w:space="0" w:color="auto"/>
            <w:bottom w:val="none" w:sz="0" w:space="0" w:color="auto"/>
            <w:right w:val="none" w:sz="0" w:space="0" w:color="auto"/>
          </w:divBdr>
        </w:div>
        <w:div w:id="700665319">
          <w:marLeft w:val="480"/>
          <w:marRight w:val="0"/>
          <w:marTop w:val="0"/>
          <w:marBottom w:val="0"/>
          <w:divBdr>
            <w:top w:val="none" w:sz="0" w:space="0" w:color="auto"/>
            <w:left w:val="none" w:sz="0" w:space="0" w:color="auto"/>
            <w:bottom w:val="none" w:sz="0" w:space="0" w:color="auto"/>
            <w:right w:val="none" w:sz="0" w:space="0" w:color="auto"/>
          </w:divBdr>
        </w:div>
        <w:div w:id="1041054885">
          <w:marLeft w:val="480"/>
          <w:marRight w:val="0"/>
          <w:marTop w:val="0"/>
          <w:marBottom w:val="0"/>
          <w:divBdr>
            <w:top w:val="none" w:sz="0" w:space="0" w:color="auto"/>
            <w:left w:val="none" w:sz="0" w:space="0" w:color="auto"/>
            <w:bottom w:val="none" w:sz="0" w:space="0" w:color="auto"/>
            <w:right w:val="none" w:sz="0" w:space="0" w:color="auto"/>
          </w:divBdr>
        </w:div>
        <w:div w:id="244993453">
          <w:marLeft w:val="480"/>
          <w:marRight w:val="0"/>
          <w:marTop w:val="0"/>
          <w:marBottom w:val="0"/>
          <w:divBdr>
            <w:top w:val="none" w:sz="0" w:space="0" w:color="auto"/>
            <w:left w:val="none" w:sz="0" w:space="0" w:color="auto"/>
            <w:bottom w:val="none" w:sz="0" w:space="0" w:color="auto"/>
            <w:right w:val="none" w:sz="0" w:space="0" w:color="auto"/>
          </w:divBdr>
        </w:div>
        <w:div w:id="149103364">
          <w:marLeft w:val="480"/>
          <w:marRight w:val="0"/>
          <w:marTop w:val="0"/>
          <w:marBottom w:val="0"/>
          <w:divBdr>
            <w:top w:val="none" w:sz="0" w:space="0" w:color="auto"/>
            <w:left w:val="none" w:sz="0" w:space="0" w:color="auto"/>
            <w:bottom w:val="none" w:sz="0" w:space="0" w:color="auto"/>
            <w:right w:val="none" w:sz="0" w:space="0" w:color="auto"/>
          </w:divBdr>
        </w:div>
        <w:div w:id="1459447201">
          <w:marLeft w:val="480"/>
          <w:marRight w:val="0"/>
          <w:marTop w:val="0"/>
          <w:marBottom w:val="0"/>
          <w:divBdr>
            <w:top w:val="none" w:sz="0" w:space="0" w:color="auto"/>
            <w:left w:val="none" w:sz="0" w:space="0" w:color="auto"/>
            <w:bottom w:val="none" w:sz="0" w:space="0" w:color="auto"/>
            <w:right w:val="none" w:sz="0" w:space="0" w:color="auto"/>
          </w:divBdr>
        </w:div>
        <w:div w:id="2130126338">
          <w:marLeft w:val="480"/>
          <w:marRight w:val="0"/>
          <w:marTop w:val="0"/>
          <w:marBottom w:val="0"/>
          <w:divBdr>
            <w:top w:val="none" w:sz="0" w:space="0" w:color="auto"/>
            <w:left w:val="none" w:sz="0" w:space="0" w:color="auto"/>
            <w:bottom w:val="none" w:sz="0" w:space="0" w:color="auto"/>
            <w:right w:val="none" w:sz="0" w:space="0" w:color="auto"/>
          </w:divBdr>
        </w:div>
        <w:div w:id="521479134">
          <w:marLeft w:val="480"/>
          <w:marRight w:val="0"/>
          <w:marTop w:val="0"/>
          <w:marBottom w:val="0"/>
          <w:divBdr>
            <w:top w:val="none" w:sz="0" w:space="0" w:color="auto"/>
            <w:left w:val="none" w:sz="0" w:space="0" w:color="auto"/>
            <w:bottom w:val="none" w:sz="0" w:space="0" w:color="auto"/>
            <w:right w:val="none" w:sz="0" w:space="0" w:color="auto"/>
          </w:divBdr>
        </w:div>
        <w:div w:id="507910443">
          <w:marLeft w:val="480"/>
          <w:marRight w:val="0"/>
          <w:marTop w:val="0"/>
          <w:marBottom w:val="0"/>
          <w:divBdr>
            <w:top w:val="none" w:sz="0" w:space="0" w:color="auto"/>
            <w:left w:val="none" w:sz="0" w:space="0" w:color="auto"/>
            <w:bottom w:val="none" w:sz="0" w:space="0" w:color="auto"/>
            <w:right w:val="none" w:sz="0" w:space="0" w:color="auto"/>
          </w:divBdr>
        </w:div>
        <w:div w:id="215631286">
          <w:marLeft w:val="480"/>
          <w:marRight w:val="0"/>
          <w:marTop w:val="0"/>
          <w:marBottom w:val="0"/>
          <w:divBdr>
            <w:top w:val="none" w:sz="0" w:space="0" w:color="auto"/>
            <w:left w:val="none" w:sz="0" w:space="0" w:color="auto"/>
            <w:bottom w:val="none" w:sz="0" w:space="0" w:color="auto"/>
            <w:right w:val="none" w:sz="0" w:space="0" w:color="auto"/>
          </w:divBdr>
        </w:div>
        <w:div w:id="1961912364">
          <w:marLeft w:val="480"/>
          <w:marRight w:val="0"/>
          <w:marTop w:val="0"/>
          <w:marBottom w:val="0"/>
          <w:divBdr>
            <w:top w:val="none" w:sz="0" w:space="0" w:color="auto"/>
            <w:left w:val="none" w:sz="0" w:space="0" w:color="auto"/>
            <w:bottom w:val="none" w:sz="0" w:space="0" w:color="auto"/>
            <w:right w:val="none" w:sz="0" w:space="0" w:color="auto"/>
          </w:divBdr>
        </w:div>
        <w:div w:id="1990550622">
          <w:marLeft w:val="480"/>
          <w:marRight w:val="0"/>
          <w:marTop w:val="0"/>
          <w:marBottom w:val="0"/>
          <w:divBdr>
            <w:top w:val="none" w:sz="0" w:space="0" w:color="auto"/>
            <w:left w:val="none" w:sz="0" w:space="0" w:color="auto"/>
            <w:bottom w:val="none" w:sz="0" w:space="0" w:color="auto"/>
            <w:right w:val="none" w:sz="0" w:space="0" w:color="auto"/>
          </w:divBdr>
        </w:div>
        <w:div w:id="351153651">
          <w:marLeft w:val="480"/>
          <w:marRight w:val="0"/>
          <w:marTop w:val="0"/>
          <w:marBottom w:val="0"/>
          <w:divBdr>
            <w:top w:val="none" w:sz="0" w:space="0" w:color="auto"/>
            <w:left w:val="none" w:sz="0" w:space="0" w:color="auto"/>
            <w:bottom w:val="none" w:sz="0" w:space="0" w:color="auto"/>
            <w:right w:val="none" w:sz="0" w:space="0" w:color="auto"/>
          </w:divBdr>
        </w:div>
        <w:div w:id="1511985829">
          <w:marLeft w:val="480"/>
          <w:marRight w:val="0"/>
          <w:marTop w:val="0"/>
          <w:marBottom w:val="0"/>
          <w:divBdr>
            <w:top w:val="none" w:sz="0" w:space="0" w:color="auto"/>
            <w:left w:val="none" w:sz="0" w:space="0" w:color="auto"/>
            <w:bottom w:val="none" w:sz="0" w:space="0" w:color="auto"/>
            <w:right w:val="none" w:sz="0" w:space="0" w:color="auto"/>
          </w:divBdr>
        </w:div>
        <w:div w:id="1146581141">
          <w:marLeft w:val="480"/>
          <w:marRight w:val="0"/>
          <w:marTop w:val="0"/>
          <w:marBottom w:val="0"/>
          <w:divBdr>
            <w:top w:val="none" w:sz="0" w:space="0" w:color="auto"/>
            <w:left w:val="none" w:sz="0" w:space="0" w:color="auto"/>
            <w:bottom w:val="none" w:sz="0" w:space="0" w:color="auto"/>
            <w:right w:val="none" w:sz="0" w:space="0" w:color="auto"/>
          </w:divBdr>
        </w:div>
        <w:div w:id="524709666">
          <w:marLeft w:val="480"/>
          <w:marRight w:val="0"/>
          <w:marTop w:val="0"/>
          <w:marBottom w:val="0"/>
          <w:divBdr>
            <w:top w:val="none" w:sz="0" w:space="0" w:color="auto"/>
            <w:left w:val="none" w:sz="0" w:space="0" w:color="auto"/>
            <w:bottom w:val="none" w:sz="0" w:space="0" w:color="auto"/>
            <w:right w:val="none" w:sz="0" w:space="0" w:color="auto"/>
          </w:divBdr>
        </w:div>
        <w:div w:id="142890483">
          <w:marLeft w:val="480"/>
          <w:marRight w:val="0"/>
          <w:marTop w:val="0"/>
          <w:marBottom w:val="0"/>
          <w:divBdr>
            <w:top w:val="none" w:sz="0" w:space="0" w:color="auto"/>
            <w:left w:val="none" w:sz="0" w:space="0" w:color="auto"/>
            <w:bottom w:val="none" w:sz="0" w:space="0" w:color="auto"/>
            <w:right w:val="none" w:sz="0" w:space="0" w:color="auto"/>
          </w:divBdr>
        </w:div>
        <w:div w:id="1866014237">
          <w:marLeft w:val="480"/>
          <w:marRight w:val="0"/>
          <w:marTop w:val="0"/>
          <w:marBottom w:val="0"/>
          <w:divBdr>
            <w:top w:val="none" w:sz="0" w:space="0" w:color="auto"/>
            <w:left w:val="none" w:sz="0" w:space="0" w:color="auto"/>
            <w:bottom w:val="none" w:sz="0" w:space="0" w:color="auto"/>
            <w:right w:val="none" w:sz="0" w:space="0" w:color="auto"/>
          </w:divBdr>
        </w:div>
        <w:div w:id="1159266773">
          <w:marLeft w:val="480"/>
          <w:marRight w:val="0"/>
          <w:marTop w:val="0"/>
          <w:marBottom w:val="0"/>
          <w:divBdr>
            <w:top w:val="none" w:sz="0" w:space="0" w:color="auto"/>
            <w:left w:val="none" w:sz="0" w:space="0" w:color="auto"/>
            <w:bottom w:val="none" w:sz="0" w:space="0" w:color="auto"/>
            <w:right w:val="none" w:sz="0" w:space="0" w:color="auto"/>
          </w:divBdr>
        </w:div>
        <w:div w:id="1466701305">
          <w:marLeft w:val="480"/>
          <w:marRight w:val="0"/>
          <w:marTop w:val="0"/>
          <w:marBottom w:val="0"/>
          <w:divBdr>
            <w:top w:val="none" w:sz="0" w:space="0" w:color="auto"/>
            <w:left w:val="none" w:sz="0" w:space="0" w:color="auto"/>
            <w:bottom w:val="none" w:sz="0" w:space="0" w:color="auto"/>
            <w:right w:val="none" w:sz="0" w:space="0" w:color="auto"/>
          </w:divBdr>
        </w:div>
        <w:div w:id="294794338">
          <w:marLeft w:val="480"/>
          <w:marRight w:val="0"/>
          <w:marTop w:val="0"/>
          <w:marBottom w:val="0"/>
          <w:divBdr>
            <w:top w:val="none" w:sz="0" w:space="0" w:color="auto"/>
            <w:left w:val="none" w:sz="0" w:space="0" w:color="auto"/>
            <w:bottom w:val="none" w:sz="0" w:space="0" w:color="auto"/>
            <w:right w:val="none" w:sz="0" w:space="0" w:color="auto"/>
          </w:divBdr>
        </w:div>
        <w:div w:id="518741392">
          <w:marLeft w:val="480"/>
          <w:marRight w:val="0"/>
          <w:marTop w:val="0"/>
          <w:marBottom w:val="0"/>
          <w:divBdr>
            <w:top w:val="none" w:sz="0" w:space="0" w:color="auto"/>
            <w:left w:val="none" w:sz="0" w:space="0" w:color="auto"/>
            <w:bottom w:val="none" w:sz="0" w:space="0" w:color="auto"/>
            <w:right w:val="none" w:sz="0" w:space="0" w:color="auto"/>
          </w:divBdr>
        </w:div>
        <w:div w:id="113867098">
          <w:marLeft w:val="480"/>
          <w:marRight w:val="0"/>
          <w:marTop w:val="0"/>
          <w:marBottom w:val="0"/>
          <w:divBdr>
            <w:top w:val="none" w:sz="0" w:space="0" w:color="auto"/>
            <w:left w:val="none" w:sz="0" w:space="0" w:color="auto"/>
            <w:bottom w:val="none" w:sz="0" w:space="0" w:color="auto"/>
            <w:right w:val="none" w:sz="0" w:space="0" w:color="auto"/>
          </w:divBdr>
        </w:div>
        <w:div w:id="429853862">
          <w:marLeft w:val="480"/>
          <w:marRight w:val="0"/>
          <w:marTop w:val="0"/>
          <w:marBottom w:val="0"/>
          <w:divBdr>
            <w:top w:val="none" w:sz="0" w:space="0" w:color="auto"/>
            <w:left w:val="none" w:sz="0" w:space="0" w:color="auto"/>
            <w:bottom w:val="none" w:sz="0" w:space="0" w:color="auto"/>
            <w:right w:val="none" w:sz="0" w:space="0" w:color="auto"/>
          </w:divBdr>
        </w:div>
        <w:div w:id="1440025862">
          <w:marLeft w:val="480"/>
          <w:marRight w:val="0"/>
          <w:marTop w:val="0"/>
          <w:marBottom w:val="0"/>
          <w:divBdr>
            <w:top w:val="none" w:sz="0" w:space="0" w:color="auto"/>
            <w:left w:val="none" w:sz="0" w:space="0" w:color="auto"/>
            <w:bottom w:val="none" w:sz="0" w:space="0" w:color="auto"/>
            <w:right w:val="none" w:sz="0" w:space="0" w:color="auto"/>
          </w:divBdr>
        </w:div>
        <w:div w:id="452284215">
          <w:marLeft w:val="480"/>
          <w:marRight w:val="0"/>
          <w:marTop w:val="0"/>
          <w:marBottom w:val="0"/>
          <w:divBdr>
            <w:top w:val="none" w:sz="0" w:space="0" w:color="auto"/>
            <w:left w:val="none" w:sz="0" w:space="0" w:color="auto"/>
            <w:bottom w:val="none" w:sz="0" w:space="0" w:color="auto"/>
            <w:right w:val="none" w:sz="0" w:space="0" w:color="auto"/>
          </w:divBdr>
        </w:div>
        <w:div w:id="397634647">
          <w:marLeft w:val="480"/>
          <w:marRight w:val="0"/>
          <w:marTop w:val="0"/>
          <w:marBottom w:val="0"/>
          <w:divBdr>
            <w:top w:val="none" w:sz="0" w:space="0" w:color="auto"/>
            <w:left w:val="none" w:sz="0" w:space="0" w:color="auto"/>
            <w:bottom w:val="none" w:sz="0" w:space="0" w:color="auto"/>
            <w:right w:val="none" w:sz="0" w:space="0" w:color="auto"/>
          </w:divBdr>
        </w:div>
        <w:div w:id="1688099527">
          <w:marLeft w:val="480"/>
          <w:marRight w:val="0"/>
          <w:marTop w:val="0"/>
          <w:marBottom w:val="0"/>
          <w:divBdr>
            <w:top w:val="none" w:sz="0" w:space="0" w:color="auto"/>
            <w:left w:val="none" w:sz="0" w:space="0" w:color="auto"/>
            <w:bottom w:val="none" w:sz="0" w:space="0" w:color="auto"/>
            <w:right w:val="none" w:sz="0" w:space="0" w:color="auto"/>
          </w:divBdr>
        </w:div>
        <w:div w:id="541526180">
          <w:marLeft w:val="480"/>
          <w:marRight w:val="0"/>
          <w:marTop w:val="0"/>
          <w:marBottom w:val="0"/>
          <w:divBdr>
            <w:top w:val="none" w:sz="0" w:space="0" w:color="auto"/>
            <w:left w:val="none" w:sz="0" w:space="0" w:color="auto"/>
            <w:bottom w:val="none" w:sz="0" w:space="0" w:color="auto"/>
            <w:right w:val="none" w:sz="0" w:space="0" w:color="auto"/>
          </w:divBdr>
        </w:div>
        <w:div w:id="2105227643">
          <w:marLeft w:val="480"/>
          <w:marRight w:val="0"/>
          <w:marTop w:val="0"/>
          <w:marBottom w:val="0"/>
          <w:divBdr>
            <w:top w:val="none" w:sz="0" w:space="0" w:color="auto"/>
            <w:left w:val="none" w:sz="0" w:space="0" w:color="auto"/>
            <w:bottom w:val="none" w:sz="0" w:space="0" w:color="auto"/>
            <w:right w:val="none" w:sz="0" w:space="0" w:color="auto"/>
          </w:divBdr>
        </w:div>
        <w:div w:id="1221593056">
          <w:marLeft w:val="480"/>
          <w:marRight w:val="0"/>
          <w:marTop w:val="0"/>
          <w:marBottom w:val="0"/>
          <w:divBdr>
            <w:top w:val="none" w:sz="0" w:space="0" w:color="auto"/>
            <w:left w:val="none" w:sz="0" w:space="0" w:color="auto"/>
            <w:bottom w:val="none" w:sz="0" w:space="0" w:color="auto"/>
            <w:right w:val="none" w:sz="0" w:space="0" w:color="auto"/>
          </w:divBdr>
        </w:div>
        <w:div w:id="870919838">
          <w:marLeft w:val="480"/>
          <w:marRight w:val="0"/>
          <w:marTop w:val="0"/>
          <w:marBottom w:val="0"/>
          <w:divBdr>
            <w:top w:val="none" w:sz="0" w:space="0" w:color="auto"/>
            <w:left w:val="none" w:sz="0" w:space="0" w:color="auto"/>
            <w:bottom w:val="none" w:sz="0" w:space="0" w:color="auto"/>
            <w:right w:val="none" w:sz="0" w:space="0" w:color="auto"/>
          </w:divBdr>
        </w:div>
        <w:div w:id="1949237267">
          <w:marLeft w:val="480"/>
          <w:marRight w:val="0"/>
          <w:marTop w:val="0"/>
          <w:marBottom w:val="0"/>
          <w:divBdr>
            <w:top w:val="none" w:sz="0" w:space="0" w:color="auto"/>
            <w:left w:val="none" w:sz="0" w:space="0" w:color="auto"/>
            <w:bottom w:val="none" w:sz="0" w:space="0" w:color="auto"/>
            <w:right w:val="none" w:sz="0" w:space="0" w:color="auto"/>
          </w:divBdr>
        </w:div>
        <w:div w:id="1367023540">
          <w:marLeft w:val="480"/>
          <w:marRight w:val="0"/>
          <w:marTop w:val="0"/>
          <w:marBottom w:val="0"/>
          <w:divBdr>
            <w:top w:val="none" w:sz="0" w:space="0" w:color="auto"/>
            <w:left w:val="none" w:sz="0" w:space="0" w:color="auto"/>
            <w:bottom w:val="none" w:sz="0" w:space="0" w:color="auto"/>
            <w:right w:val="none" w:sz="0" w:space="0" w:color="auto"/>
          </w:divBdr>
        </w:div>
        <w:div w:id="1581716631">
          <w:marLeft w:val="480"/>
          <w:marRight w:val="0"/>
          <w:marTop w:val="0"/>
          <w:marBottom w:val="0"/>
          <w:divBdr>
            <w:top w:val="none" w:sz="0" w:space="0" w:color="auto"/>
            <w:left w:val="none" w:sz="0" w:space="0" w:color="auto"/>
            <w:bottom w:val="none" w:sz="0" w:space="0" w:color="auto"/>
            <w:right w:val="none" w:sz="0" w:space="0" w:color="auto"/>
          </w:divBdr>
        </w:div>
        <w:div w:id="1806661871">
          <w:marLeft w:val="480"/>
          <w:marRight w:val="0"/>
          <w:marTop w:val="0"/>
          <w:marBottom w:val="0"/>
          <w:divBdr>
            <w:top w:val="none" w:sz="0" w:space="0" w:color="auto"/>
            <w:left w:val="none" w:sz="0" w:space="0" w:color="auto"/>
            <w:bottom w:val="none" w:sz="0" w:space="0" w:color="auto"/>
            <w:right w:val="none" w:sz="0" w:space="0" w:color="auto"/>
          </w:divBdr>
        </w:div>
        <w:div w:id="208077819">
          <w:marLeft w:val="480"/>
          <w:marRight w:val="0"/>
          <w:marTop w:val="0"/>
          <w:marBottom w:val="0"/>
          <w:divBdr>
            <w:top w:val="none" w:sz="0" w:space="0" w:color="auto"/>
            <w:left w:val="none" w:sz="0" w:space="0" w:color="auto"/>
            <w:bottom w:val="none" w:sz="0" w:space="0" w:color="auto"/>
            <w:right w:val="none" w:sz="0" w:space="0" w:color="auto"/>
          </w:divBdr>
        </w:div>
        <w:div w:id="967397644">
          <w:marLeft w:val="480"/>
          <w:marRight w:val="0"/>
          <w:marTop w:val="0"/>
          <w:marBottom w:val="0"/>
          <w:divBdr>
            <w:top w:val="none" w:sz="0" w:space="0" w:color="auto"/>
            <w:left w:val="none" w:sz="0" w:space="0" w:color="auto"/>
            <w:bottom w:val="none" w:sz="0" w:space="0" w:color="auto"/>
            <w:right w:val="none" w:sz="0" w:space="0" w:color="auto"/>
          </w:divBdr>
        </w:div>
        <w:div w:id="1646736033">
          <w:marLeft w:val="480"/>
          <w:marRight w:val="0"/>
          <w:marTop w:val="0"/>
          <w:marBottom w:val="0"/>
          <w:divBdr>
            <w:top w:val="none" w:sz="0" w:space="0" w:color="auto"/>
            <w:left w:val="none" w:sz="0" w:space="0" w:color="auto"/>
            <w:bottom w:val="none" w:sz="0" w:space="0" w:color="auto"/>
            <w:right w:val="none" w:sz="0" w:space="0" w:color="auto"/>
          </w:divBdr>
        </w:div>
        <w:div w:id="1544709867">
          <w:marLeft w:val="480"/>
          <w:marRight w:val="0"/>
          <w:marTop w:val="0"/>
          <w:marBottom w:val="0"/>
          <w:divBdr>
            <w:top w:val="none" w:sz="0" w:space="0" w:color="auto"/>
            <w:left w:val="none" w:sz="0" w:space="0" w:color="auto"/>
            <w:bottom w:val="none" w:sz="0" w:space="0" w:color="auto"/>
            <w:right w:val="none" w:sz="0" w:space="0" w:color="auto"/>
          </w:divBdr>
        </w:div>
        <w:div w:id="1624842798">
          <w:marLeft w:val="480"/>
          <w:marRight w:val="0"/>
          <w:marTop w:val="0"/>
          <w:marBottom w:val="0"/>
          <w:divBdr>
            <w:top w:val="none" w:sz="0" w:space="0" w:color="auto"/>
            <w:left w:val="none" w:sz="0" w:space="0" w:color="auto"/>
            <w:bottom w:val="none" w:sz="0" w:space="0" w:color="auto"/>
            <w:right w:val="none" w:sz="0" w:space="0" w:color="auto"/>
          </w:divBdr>
        </w:div>
        <w:div w:id="1062753991">
          <w:marLeft w:val="480"/>
          <w:marRight w:val="0"/>
          <w:marTop w:val="0"/>
          <w:marBottom w:val="0"/>
          <w:divBdr>
            <w:top w:val="none" w:sz="0" w:space="0" w:color="auto"/>
            <w:left w:val="none" w:sz="0" w:space="0" w:color="auto"/>
            <w:bottom w:val="none" w:sz="0" w:space="0" w:color="auto"/>
            <w:right w:val="none" w:sz="0" w:space="0" w:color="auto"/>
          </w:divBdr>
        </w:div>
        <w:div w:id="605162981">
          <w:marLeft w:val="480"/>
          <w:marRight w:val="0"/>
          <w:marTop w:val="0"/>
          <w:marBottom w:val="0"/>
          <w:divBdr>
            <w:top w:val="none" w:sz="0" w:space="0" w:color="auto"/>
            <w:left w:val="none" w:sz="0" w:space="0" w:color="auto"/>
            <w:bottom w:val="none" w:sz="0" w:space="0" w:color="auto"/>
            <w:right w:val="none" w:sz="0" w:space="0" w:color="auto"/>
          </w:divBdr>
        </w:div>
        <w:div w:id="172960312">
          <w:marLeft w:val="480"/>
          <w:marRight w:val="0"/>
          <w:marTop w:val="0"/>
          <w:marBottom w:val="0"/>
          <w:divBdr>
            <w:top w:val="none" w:sz="0" w:space="0" w:color="auto"/>
            <w:left w:val="none" w:sz="0" w:space="0" w:color="auto"/>
            <w:bottom w:val="none" w:sz="0" w:space="0" w:color="auto"/>
            <w:right w:val="none" w:sz="0" w:space="0" w:color="auto"/>
          </w:divBdr>
        </w:div>
        <w:div w:id="1074359761">
          <w:marLeft w:val="480"/>
          <w:marRight w:val="0"/>
          <w:marTop w:val="0"/>
          <w:marBottom w:val="0"/>
          <w:divBdr>
            <w:top w:val="none" w:sz="0" w:space="0" w:color="auto"/>
            <w:left w:val="none" w:sz="0" w:space="0" w:color="auto"/>
            <w:bottom w:val="none" w:sz="0" w:space="0" w:color="auto"/>
            <w:right w:val="none" w:sz="0" w:space="0" w:color="auto"/>
          </w:divBdr>
        </w:div>
        <w:div w:id="130825273">
          <w:marLeft w:val="480"/>
          <w:marRight w:val="0"/>
          <w:marTop w:val="0"/>
          <w:marBottom w:val="0"/>
          <w:divBdr>
            <w:top w:val="none" w:sz="0" w:space="0" w:color="auto"/>
            <w:left w:val="none" w:sz="0" w:space="0" w:color="auto"/>
            <w:bottom w:val="none" w:sz="0" w:space="0" w:color="auto"/>
            <w:right w:val="none" w:sz="0" w:space="0" w:color="auto"/>
          </w:divBdr>
        </w:div>
        <w:div w:id="2064132473">
          <w:marLeft w:val="480"/>
          <w:marRight w:val="0"/>
          <w:marTop w:val="0"/>
          <w:marBottom w:val="0"/>
          <w:divBdr>
            <w:top w:val="none" w:sz="0" w:space="0" w:color="auto"/>
            <w:left w:val="none" w:sz="0" w:space="0" w:color="auto"/>
            <w:bottom w:val="none" w:sz="0" w:space="0" w:color="auto"/>
            <w:right w:val="none" w:sz="0" w:space="0" w:color="auto"/>
          </w:divBdr>
        </w:div>
        <w:div w:id="391774743">
          <w:marLeft w:val="480"/>
          <w:marRight w:val="0"/>
          <w:marTop w:val="0"/>
          <w:marBottom w:val="0"/>
          <w:divBdr>
            <w:top w:val="none" w:sz="0" w:space="0" w:color="auto"/>
            <w:left w:val="none" w:sz="0" w:space="0" w:color="auto"/>
            <w:bottom w:val="none" w:sz="0" w:space="0" w:color="auto"/>
            <w:right w:val="none" w:sz="0" w:space="0" w:color="auto"/>
          </w:divBdr>
        </w:div>
        <w:div w:id="997003821">
          <w:marLeft w:val="480"/>
          <w:marRight w:val="0"/>
          <w:marTop w:val="0"/>
          <w:marBottom w:val="0"/>
          <w:divBdr>
            <w:top w:val="none" w:sz="0" w:space="0" w:color="auto"/>
            <w:left w:val="none" w:sz="0" w:space="0" w:color="auto"/>
            <w:bottom w:val="none" w:sz="0" w:space="0" w:color="auto"/>
            <w:right w:val="none" w:sz="0" w:space="0" w:color="auto"/>
          </w:divBdr>
        </w:div>
        <w:div w:id="1646473852">
          <w:marLeft w:val="480"/>
          <w:marRight w:val="0"/>
          <w:marTop w:val="0"/>
          <w:marBottom w:val="0"/>
          <w:divBdr>
            <w:top w:val="none" w:sz="0" w:space="0" w:color="auto"/>
            <w:left w:val="none" w:sz="0" w:space="0" w:color="auto"/>
            <w:bottom w:val="none" w:sz="0" w:space="0" w:color="auto"/>
            <w:right w:val="none" w:sz="0" w:space="0" w:color="auto"/>
          </w:divBdr>
        </w:div>
        <w:div w:id="1294407416">
          <w:marLeft w:val="480"/>
          <w:marRight w:val="0"/>
          <w:marTop w:val="0"/>
          <w:marBottom w:val="0"/>
          <w:divBdr>
            <w:top w:val="none" w:sz="0" w:space="0" w:color="auto"/>
            <w:left w:val="none" w:sz="0" w:space="0" w:color="auto"/>
            <w:bottom w:val="none" w:sz="0" w:space="0" w:color="auto"/>
            <w:right w:val="none" w:sz="0" w:space="0" w:color="auto"/>
          </w:divBdr>
        </w:div>
        <w:div w:id="973948246">
          <w:marLeft w:val="480"/>
          <w:marRight w:val="0"/>
          <w:marTop w:val="0"/>
          <w:marBottom w:val="0"/>
          <w:divBdr>
            <w:top w:val="none" w:sz="0" w:space="0" w:color="auto"/>
            <w:left w:val="none" w:sz="0" w:space="0" w:color="auto"/>
            <w:bottom w:val="none" w:sz="0" w:space="0" w:color="auto"/>
            <w:right w:val="none" w:sz="0" w:space="0" w:color="auto"/>
          </w:divBdr>
        </w:div>
        <w:div w:id="201867401">
          <w:marLeft w:val="480"/>
          <w:marRight w:val="0"/>
          <w:marTop w:val="0"/>
          <w:marBottom w:val="0"/>
          <w:divBdr>
            <w:top w:val="none" w:sz="0" w:space="0" w:color="auto"/>
            <w:left w:val="none" w:sz="0" w:space="0" w:color="auto"/>
            <w:bottom w:val="none" w:sz="0" w:space="0" w:color="auto"/>
            <w:right w:val="none" w:sz="0" w:space="0" w:color="auto"/>
          </w:divBdr>
        </w:div>
        <w:div w:id="1933392591">
          <w:marLeft w:val="480"/>
          <w:marRight w:val="0"/>
          <w:marTop w:val="0"/>
          <w:marBottom w:val="0"/>
          <w:divBdr>
            <w:top w:val="none" w:sz="0" w:space="0" w:color="auto"/>
            <w:left w:val="none" w:sz="0" w:space="0" w:color="auto"/>
            <w:bottom w:val="none" w:sz="0" w:space="0" w:color="auto"/>
            <w:right w:val="none" w:sz="0" w:space="0" w:color="auto"/>
          </w:divBdr>
        </w:div>
        <w:div w:id="1012341783">
          <w:marLeft w:val="480"/>
          <w:marRight w:val="0"/>
          <w:marTop w:val="0"/>
          <w:marBottom w:val="0"/>
          <w:divBdr>
            <w:top w:val="none" w:sz="0" w:space="0" w:color="auto"/>
            <w:left w:val="none" w:sz="0" w:space="0" w:color="auto"/>
            <w:bottom w:val="none" w:sz="0" w:space="0" w:color="auto"/>
            <w:right w:val="none" w:sz="0" w:space="0" w:color="auto"/>
          </w:divBdr>
        </w:div>
        <w:div w:id="585266695">
          <w:marLeft w:val="480"/>
          <w:marRight w:val="0"/>
          <w:marTop w:val="0"/>
          <w:marBottom w:val="0"/>
          <w:divBdr>
            <w:top w:val="none" w:sz="0" w:space="0" w:color="auto"/>
            <w:left w:val="none" w:sz="0" w:space="0" w:color="auto"/>
            <w:bottom w:val="none" w:sz="0" w:space="0" w:color="auto"/>
            <w:right w:val="none" w:sz="0" w:space="0" w:color="auto"/>
          </w:divBdr>
        </w:div>
        <w:div w:id="661931532">
          <w:marLeft w:val="480"/>
          <w:marRight w:val="0"/>
          <w:marTop w:val="0"/>
          <w:marBottom w:val="0"/>
          <w:divBdr>
            <w:top w:val="none" w:sz="0" w:space="0" w:color="auto"/>
            <w:left w:val="none" w:sz="0" w:space="0" w:color="auto"/>
            <w:bottom w:val="none" w:sz="0" w:space="0" w:color="auto"/>
            <w:right w:val="none" w:sz="0" w:space="0" w:color="auto"/>
          </w:divBdr>
        </w:div>
        <w:div w:id="1331564158">
          <w:marLeft w:val="480"/>
          <w:marRight w:val="0"/>
          <w:marTop w:val="0"/>
          <w:marBottom w:val="0"/>
          <w:divBdr>
            <w:top w:val="none" w:sz="0" w:space="0" w:color="auto"/>
            <w:left w:val="none" w:sz="0" w:space="0" w:color="auto"/>
            <w:bottom w:val="none" w:sz="0" w:space="0" w:color="auto"/>
            <w:right w:val="none" w:sz="0" w:space="0" w:color="auto"/>
          </w:divBdr>
        </w:div>
        <w:div w:id="2109160387">
          <w:marLeft w:val="480"/>
          <w:marRight w:val="0"/>
          <w:marTop w:val="0"/>
          <w:marBottom w:val="0"/>
          <w:divBdr>
            <w:top w:val="none" w:sz="0" w:space="0" w:color="auto"/>
            <w:left w:val="none" w:sz="0" w:space="0" w:color="auto"/>
            <w:bottom w:val="none" w:sz="0" w:space="0" w:color="auto"/>
            <w:right w:val="none" w:sz="0" w:space="0" w:color="auto"/>
          </w:divBdr>
        </w:div>
      </w:divsChild>
    </w:div>
    <w:div w:id="1050347472">
      <w:bodyDiv w:val="1"/>
      <w:marLeft w:val="0"/>
      <w:marRight w:val="0"/>
      <w:marTop w:val="0"/>
      <w:marBottom w:val="0"/>
      <w:divBdr>
        <w:top w:val="none" w:sz="0" w:space="0" w:color="auto"/>
        <w:left w:val="none" w:sz="0" w:space="0" w:color="auto"/>
        <w:bottom w:val="none" w:sz="0" w:space="0" w:color="auto"/>
        <w:right w:val="none" w:sz="0" w:space="0" w:color="auto"/>
      </w:divBdr>
    </w:div>
    <w:div w:id="1082222530">
      <w:bodyDiv w:val="1"/>
      <w:marLeft w:val="0"/>
      <w:marRight w:val="0"/>
      <w:marTop w:val="0"/>
      <w:marBottom w:val="0"/>
      <w:divBdr>
        <w:top w:val="none" w:sz="0" w:space="0" w:color="auto"/>
        <w:left w:val="none" w:sz="0" w:space="0" w:color="auto"/>
        <w:bottom w:val="none" w:sz="0" w:space="0" w:color="auto"/>
        <w:right w:val="none" w:sz="0" w:space="0" w:color="auto"/>
      </w:divBdr>
    </w:div>
    <w:div w:id="1103694802">
      <w:bodyDiv w:val="1"/>
      <w:marLeft w:val="0"/>
      <w:marRight w:val="0"/>
      <w:marTop w:val="0"/>
      <w:marBottom w:val="0"/>
      <w:divBdr>
        <w:top w:val="none" w:sz="0" w:space="0" w:color="auto"/>
        <w:left w:val="none" w:sz="0" w:space="0" w:color="auto"/>
        <w:bottom w:val="none" w:sz="0" w:space="0" w:color="auto"/>
        <w:right w:val="none" w:sz="0" w:space="0" w:color="auto"/>
      </w:divBdr>
    </w:div>
    <w:div w:id="1110276849">
      <w:bodyDiv w:val="1"/>
      <w:marLeft w:val="0"/>
      <w:marRight w:val="0"/>
      <w:marTop w:val="0"/>
      <w:marBottom w:val="0"/>
      <w:divBdr>
        <w:top w:val="none" w:sz="0" w:space="0" w:color="auto"/>
        <w:left w:val="none" w:sz="0" w:space="0" w:color="auto"/>
        <w:bottom w:val="none" w:sz="0" w:space="0" w:color="auto"/>
        <w:right w:val="none" w:sz="0" w:space="0" w:color="auto"/>
      </w:divBdr>
    </w:div>
    <w:div w:id="1118260756">
      <w:bodyDiv w:val="1"/>
      <w:marLeft w:val="0"/>
      <w:marRight w:val="0"/>
      <w:marTop w:val="0"/>
      <w:marBottom w:val="0"/>
      <w:divBdr>
        <w:top w:val="none" w:sz="0" w:space="0" w:color="auto"/>
        <w:left w:val="none" w:sz="0" w:space="0" w:color="auto"/>
        <w:bottom w:val="none" w:sz="0" w:space="0" w:color="auto"/>
        <w:right w:val="none" w:sz="0" w:space="0" w:color="auto"/>
      </w:divBdr>
    </w:div>
    <w:div w:id="1124537328">
      <w:bodyDiv w:val="1"/>
      <w:marLeft w:val="0"/>
      <w:marRight w:val="0"/>
      <w:marTop w:val="0"/>
      <w:marBottom w:val="0"/>
      <w:divBdr>
        <w:top w:val="none" w:sz="0" w:space="0" w:color="auto"/>
        <w:left w:val="none" w:sz="0" w:space="0" w:color="auto"/>
        <w:bottom w:val="none" w:sz="0" w:space="0" w:color="auto"/>
        <w:right w:val="none" w:sz="0" w:space="0" w:color="auto"/>
      </w:divBdr>
    </w:div>
    <w:div w:id="1137995094">
      <w:bodyDiv w:val="1"/>
      <w:marLeft w:val="0"/>
      <w:marRight w:val="0"/>
      <w:marTop w:val="0"/>
      <w:marBottom w:val="0"/>
      <w:divBdr>
        <w:top w:val="none" w:sz="0" w:space="0" w:color="auto"/>
        <w:left w:val="none" w:sz="0" w:space="0" w:color="auto"/>
        <w:bottom w:val="none" w:sz="0" w:space="0" w:color="auto"/>
        <w:right w:val="none" w:sz="0" w:space="0" w:color="auto"/>
      </w:divBdr>
    </w:div>
    <w:div w:id="1177621441">
      <w:bodyDiv w:val="1"/>
      <w:marLeft w:val="0"/>
      <w:marRight w:val="0"/>
      <w:marTop w:val="0"/>
      <w:marBottom w:val="0"/>
      <w:divBdr>
        <w:top w:val="none" w:sz="0" w:space="0" w:color="auto"/>
        <w:left w:val="none" w:sz="0" w:space="0" w:color="auto"/>
        <w:bottom w:val="none" w:sz="0" w:space="0" w:color="auto"/>
        <w:right w:val="none" w:sz="0" w:space="0" w:color="auto"/>
      </w:divBdr>
    </w:div>
    <w:div w:id="1185284445">
      <w:bodyDiv w:val="1"/>
      <w:marLeft w:val="0"/>
      <w:marRight w:val="0"/>
      <w:marTop w:val="0"/>
      <w:marBottom w:val="0"/>
      <w:divBdr>
        <w:top w:val="none" w:sz="0" w:space="0" w:color="auto"/>
        <w:left w:val="none" w:sz="0" w:space="0" w:color="auto"/>
        <w:bottom w:val="none" w:sz="0" w:space="0" w:color="auto"/>
        <w:right w:val="none" w:sz="0" w:space="0" w:color="auto"/>
      </w:divBdr>
    </w:div>
    <w:div w:id="1192378770">
      <w:bodyDiv w:val="1"/>
      <w:marLeft w:val="0"/>
      <w:marRight w:val="0"/>
      <w:marTop w:val="0"/>
      <w:marBottom w:val="0"/>
      <w:divBdr>
        <w:top w:val="none" w:sz="0" w:space="0" w:color="auto"/>
        <w:left w:val="none" w:sz="0" w:space="0" w:color="auto"/>
        <w:bottom w:val="none" w:sz="0" w:space="0" w:color="auto"/>
        <w:right w:val="none" w:sz="0" w:space="0" w:color="auto"/>
      </w:divBdr>
    </w:div>
    <w:div w:id="1208105410">
      <w:bodyDiv w:val="1"/>
      <w:marLeft w:val="0"/>
      <w:marRight w:val="0"/>
      <w:marTop w:val="0"/>
      <w:marBottom w:val="0"/>
      <w:divBdr>
        <w:top w:val="none" w:sz="0" w:space="0" w:color="auto"/>
        <w:left w:val="none" w:sz="0" w:space="0" w:color="auto"/>
        <w:bottom w:val="none" w:sz="0" w:space="0" w:color="auto"/>
        <w:right w:val="none" w:sz="0" w:space="0" w:color="auto"/>
      </w:divBdr>
    </w:div>
    <w:div w:id="1236361038">
      <w:bodyDiv w:val="1"/>
      <w:marLeft w:val="0"/>
      <w:marRight w:val="0"/>
      <w:marTop w:val="0"/>
      <w:marBottom w:val="0"/>
      <w:divBdr>
        <w:top w:val="none" w:sz="0" w:space="0" w:color="auto"/>
        <w:left w:val="none" w:sz="0" w:space="0" w:color="auto"/>
        <w:bottom w:val="none" w:sz="0" w:space="0" w:color="auto"/>
        <w:right w:val="none" w:sz="0" w:space="0" w:color="auto"/>
      </w:divBdr>
    </w:div>
    <w:div w:id="1237087894">
      <w:bodyDiv w:val="1"/>
      <w:marLeft w:val="0"/>
      <w:marRight w:val="0"/>
      <w:marTop w:val="0"/>
      <w:marBottom w:val="0"/>
      <w:divBdr>
        <w:top w:val="none" w:sz="0" w:space="0" w:color="auto"/>
        <w:left w:val="none" w:sz="0" w:space="0" w:color="auto"/>
        <w:bottom w:val="none" w:sz="0" w:space="0" w:color="auto"/>
        <w:right w:val="none" w:sz="0" w:space="0" w:color="auto"/>
      </w:divBdr>
    </w:div>
    <w:div w:id="1240943949">
      <w:bodyDiv w:val="1"/>
      <w:marLeft w:val="0"/>
      <w:marRight w:val="0"/>
      <w:marTop w:val="0"/>
      <w:marBottom w:val="0"/>
      <w:divBdr>
        <w:top w:val="none" w:sz="0" w:space="0" w:color="auto"/>
        <w:left w:val="none" w:sz="0" w:space="0" w:color="auto"/>
        <w:bottom w:val="none" w:sz="0" w:space="0" w:color="auto"/>
        <w:right w:val="none" w:sz="0" w:space="0" w:color="auto"/>
      </w:divBdr>
    </w:div>
    <w:div w:id="1256985624">
      <w:bodyDiv w:val="1"/>
      <w:marLeft w:val="0"/>
      <w:marRight w:val="0"/>
      <w:marTop w:val="0"/>
      <w:marBottom w:val="0"/>
      <w:divBdr>
        <w:top w:val="none" w:sz="0" w:space="0" w:color="auto"/>
        <w:left w:val="none" w:sz="0" w:space="0" w:color="auto"/>
        <w:bottom w:val="none" w:sz="0" w:space="0" w:color="auto"/>
        <w:right w:val="none" w:sz="0" w:space="0" w:color="auto"/>
      </w:divBdr>
    </w:div>
    <w:div w:id="1257404521">
      <w:bodyDiv w:val="1"/>
      <w:marLeft w:val="0"/>
      <w:marRight w:val="0"/>
      <w:marTop w:val="0"/>
      <w:marBottom w:val="0"/>
      <w:divBdr>
        <w:top w:val="none" w:sz="0" w:space="0" w:color="auto"/>
        <w:left w:val="none" w:sz="0" w:space="0" w:color="auto"/>
        <w:bottom w:val="none" w:sz="0" w:space="0" w:color="auto"/>
        <w:right w:val="none" w:sz="0" w:space="0" w:color="auto"/>
      </w:divBdr>
    </w:div>
    <w:div w:id="1265066727">
      <w:bodyDiv w:val="1"/>
      <w:marLeft w:val="0"/>
      <w:marRight w:val="0"/>
      <w:marTop w:val="0"/>
      <w:marBottom w:val="0"/>
      <w:divBdr>
        <w:top w:val="none" w:sz="0" w:space="0" w:color="auto"/>
        <w:left w:val="none" w:sz="0" w:space="0" w:color="auto"/>
        <w:bottom w:val="none" w:sz="0" w:space="0" w:color="auto"/>
        <w:right w:val="none" w:sz="0" w:space="0" w:color="auto"/>
      </w:divBdr>
    </w:div>
    <w:div w:id="1273248590">
      <w:bodyDiv w:val="1"/>
      <w:marLeft w:val="0"/>
      <w:marRight w:val="0"/>
      <w:marTop w:val="0"/>
      <w:marBottom w:val="0"/>
      <w:divBdr>
        <w:top w:val="none" w:sz="0" w:space="0" w:color="auto"/>
        <w:left w:val="none" w:sz="0" w:space="0" w:color="auto"/>
        <w:bottom w:val="none" w:sz="0" w:space="0" w:color="auto"/>
        <w:right w:val="none" w:sz="0" w:space="0" w:color="auto"/>
      </w:divBdr>
    </w:div>
    <w:div w:id="1273509476">
      <w:bodyDiv w:val="1"/>
      <w:marLeft w:val="0"/>
      <w:marRight w:val="0"/>
      <w:marTop w:val="0"/>
      <w:marBottom w:val="0"/>
      <w:divBdr>
        <w:top w:val="none" w:sz="0" w:space="0" w:color="auto"/>
        <w:left w:val="none" w:sz="0" w:space="0" w:color="auto"/>
        <w:bottom w:val="none" w:sz="0" w:space="0" w:color="auto"/>
        <w:right w:val="none" w:sz="0" w:space="0" w:color="auto"/>
      </w:divBdr>
    </w:div>
    <w:div w:id="1274705550">
      <w:bodyDiv w:val="1"/>
      <w:marLeft w:val="0"/>
      <w:marRight w:val="0"/>
      <w:marTop w:val="0"/>
      <w:marBottom w:val="0"/>
      <w:divBdr>
        <w:top w:val="none" w:sz="0" w:space="0" w:color="auto"/>
        <w:left w:val="none" w:sz="0" w:space="0" w:color="auto"/>
        <w:bottom w:val="none" w:sz="0" w:space="0" w:color="auto"/>
        <w:right w:val="none" w:sz="0" w:space="0" w:color="auto"/>
      </w:divBdr>
    </w:div>
    <w:div w:id="1289119626">
      <w:bodyDiv w:val="1"/>
      <w:marLeft w:val="0"/>
      <w:marRight w:val="0"/>
      <w:marTop w:val="0"/>
      <w:marBottom w:val="0"/>
      <w:divBdr>
        <w:top w:val="none" w:sz="0" w:space="0" w:color="auto"/>
        <w:left w:val="none" w:sz="0" w:space="0" w:color="auto"/>
        <w:bottom w:val="none" w:sz="0" w:space="0" w:color="auto"/>
        <w:right w:val="none" w:sz="0" w:space="0" w:color="auto"/>
      </w:divBdr>
    </w:div>
    <w:div w:id="1296985873">
      <w:bodyDiv w:val="1"/>
      <w:marLeft w:val="0"/>
      <w:marRight w:val="0"/>
      <w:marTop w:val="0"/>
      <w:marBottom w:val="0"/>
      <w:divBdr>
        <w:top w:val="none" w:sz="0" w:space="0" w:color="auto"/>
        <w:left w:val="none" w:sz="0" w:space="0" w:color="auto"/>
        <w:bottom w:val="none" w:sz="0" w:space="0" w:color="auto"/>
        <w:right w:val="none" w:sz="0" w:space="0" w:color="auto"/>
      </w:divBdr>
    </w:div>
    <w:div w:id="1308390209">
      <w:bodyDiv w:val="1"/>
      <w:marLeft w:val="0"/>
      <w:marRight w:val="0"/>
      <w:marTop w:val="0"/>
      <w:marBottom w:val="0"/>
      <w:divBdr>
        <w:top w:val="none" w:sz="0" w:space="0" w:color="auto"/>
        <w:left w:val="none" w:sz="0" w:space="0" w:color="auto"/>
        <w:bottom w:val="none" w:sz="0" w:space="0" w:color="auto"/>
        <w:right w:val="none" w:sz="0" w:space="0" w:color="auto"/>
      </w:divBdr>
    </w:div>
    <w:div w:id="1309895877">
      <w:bodyDiv w:val="1"/>
      <w:marLeft w:val="0"/>
      <w:marRight w:val="0"/>
      <w:marTop w:val="0"/>
      <w:marBottom w:val="0"/>
      <w:divBdr>
        <w:top w:val="none" w:sz="0" w:space="0" w:color="auto"/>
        <w:left w:val="none" w:sz="0" w:space="0" w:color="auto"/>
        <w:bottom w:val="none" w:sz="0" w:space="0" w:color="auto"/>
        <w:right w:val="none" w:sz="0" w:space="0" w:color="auto"/>
      </w:divBdr>
    </w:div>
    <w:div w:id="1311784172">
      <w:bodyDiv w:val="1"/>
      <w:marLeft w:val="0"/>
      <w:marRight w:val="0"/>
      <w:marTop w:val="0"/>
      <w:marBottom w:val="0"/>
      <w:divBdr>
        <w:top w:val="none" w:sz="0" w:space="0" w:color="auto"/>
        <w:left w:val="none" w:sz="0" w:space="0" w:color="auto"/>
        <w:bottom w:val="none" w:sz="0" w:space="0" w:color="auto"/>
        <w:right w:val="none" w:sz="0" w:space="0" w:color="auto"/>
      </w:divBdr>
    </w:div>
    <w:div w:id="1313949082">
      <w:bodyDiv w:val="1"/>
      <w:marLeft w:val="0"/>
      <w:marRight w:val="0"/>
      <w:marTop w:val="0"/>
      <w:marBottom w:val="0"/>
      <w:divBdr>
        <w:top w:val="none" w:sz="0" w:space="0" w:color="auto"/>
        <w:left w:val="none" w:sz="0" w:space="0" w:color="auto"/>
        <w:bottom w:val="none" w:sz="0" w:space="0" w:color="auto"/>
        <w:right w:val="none" w:sz="0" w:space="0" w:color="auto"/>
      </w:divBdr>
    </w:div>
    <w:div w:id="1331249088">
      <w:bodyDiv w:val="1"/>
      <w:marLeft w:val="0"/>
      <w:marRight w:val="0"/>
      <w:marTop w:val="0"/>
      <w:marBottom w:val="0"/>
      <w:divBdr>
        <w:top w:val="none" w:sz="0" w:space="0" w:color="auto"/>
        <w:left w:val="none" w:sz="0" w:space="0" w:color="auto"/>
        <w:bottom w:val="none" w:sz="0" w:space="0" w:color="auto"/>
        <w:right w:val="none" w:sz="0" w:space="0" w:color="auto"/>
      </w:divBdr>
    </w:div>
    <w:div w:id="1347295146">
      <w:bodyDiv w:val="1"/>
      <w:marLeft w:val="0"/>
      <w:marRight w:val="0"/>
      <w:marTop w:val="0"/>
      <w:marBottom w:val="0"/>
      <w:divBdr>
        <w:top w:val="none" w:sz="0" w:space="0" w:color="auto"/>
        <w:left w:val="none" w:sz="0" w:space="0" w:color="auto"/>
        <w:bottom w:val="none" w:sz="0" w:space="0" w:color="auto"/>
        <w:right w:val="none" w:sz="0" w:space="0" w:color="auto"/>
      </w:divBdr>
    </w:div>
    <w:div w:id="1378776514">
      <w:bodyDiv w:val="1"/>
      <w:marLeft w:val="0"/>
      <w:marRight w:val="0"/>
      <w:marTop w:val="0"/>
      <w:marBottom w:val="0"/>
      <w:divBdr>
        <w:top w:val="none" w:sz="0" w:space="0" w:color="auto"/>
        <w:left w:val="none" w:sz="0" w:space="0" w:color="auto"/>
        <w:bottom w:val="none" w:sz="0" w:space="0" w:color="auto"/>
        <w:right w:val="none" w:sz="0" w:space="0" w:color="auto"/>
      </w:divBdr>
    </w:div>
    <w:div w:id="1379819569">
      <w:bodyDiv w:val="1"/>
      <w:marLeft w:val="0"/>
      <w:marRight w:val="0"/>
      <w:marTop w:val="0"/>
      <w:marBottom w:val="0"/>
      <w:divBdr>
        <w:top w:val="none" w:sz="0" w:space="0" w:color="auto"/>
        <w:left w:val="none" w:sz="0" w:space="0" w:color="auto"/>
        <w:bottom w:val="none" w:sz="0" w:space="0" w:color="auto"/>
        <w:right w:val="none" w:sz="0" w:space="0" w:color="auto"/>
      </w:divBdr>
    </w:div>
    <w:div w:id="1405450913">
      <w:bodyDiv w:val="1"/>
      <w:marLeft w:val="0"/>
      <w:marRight w:val="0"/>
      <w:marTop w:val="0"/>
      <w:marBottom w:val="0"/>
      <w:divBdr>
        <w:top w:val="none" w:sz="0" w:space="0" w:color="auto"/>
        <w:left w:val="none" w:sz="0" w:space="0" w:color="auto"/>
        <w:bottom w:val="none" w:sz="0" w:space="0" w:color="auto"/>
        <w:right w:val="none" w:sz="0" w:space="0" w:color="auto"/>
      </w:divBdr>
    </w:div>
    <w:div w:id="1422221162">
      <w:bodyDiv w:val="1"/>
      <w:marLeft w:val="0"/>
      <w:marRight w:val="0"/>
      <w:marTop w:val="0"/>
      <w:marBottom w:val="0"/>
      <w:divBdr>
        <w:top w:val="none" w:sz="0" w:space="0" w:color="auto"/>
        <w:left w:val="none" w:sz="0" w:space="0" w:color="auto"/>
        <w:bottom w:val="none" w:sz="0" w:space="0" w:color="auto"/>
        <w:right w:val="none" w:sz="0" w:space="0" w:color="auto"/>
      </w:divBdr>
    </w:div>
    <w:div w:id="1432819095">
      <w:bodyDiv w:val="1"/>
      <w:marLeft w:val="0"/>
      <w:marRight w:val="0"/>
      <w:marTop w:val="0"/>
      <w:marBottom w:val="0"/>
      <w:divBdr>
        <w:top w:val="none" w:sz="0" w:space="0" w:color="auto"/>
        <w:left w:val="none" w:sz="0" w:space="0" w:color="auto"/>
        <w:bottom w:val="none" w:sz="0" w:space="0" w:color="auto"/>
        <w:right w:val="none" w:sz="0" w:space="0" w:color="auto"/>
      </w:divBdr>
    </w:div>
    <w:div w:id="1435785406">
      <w:bodyDiv w:val="1"/>
      <w:marLeft w:val="0"/>
      <w:marRight w:val="0"/>
      <w:marTop w:val="0"/>
      <w:marBottom w:val="0"/>
      <w:divBdr>
        <w:top w:val="none" w:sz="0" w:space="0" w:color="auto"/>
        <w:left w:val="none" w:sz="0" w:space="0" w:color="auto"/>
        <w:bottom w:val="none" w:sz="0" w:space="0" w:color="auto"/>
        <w:right w:val="none" w:sz="0" w:space="0" w:color="auto"/>
      </w:divBdr>
    </w:div>
    <w:div w:id="1439134534">
      <w:bodyDiv w:val="1"/>
      <w:marLeft w:val="0"/>
      <w:marRight w:val="0"/>
      <w:marTop w:val="0"/>
      <w:marBottom w:val="0"/>
      <w:divBdr>
        <w:top w:val="none" w:sz="0" w:space="0" w:color="auto"/>
        <w:left w:val="none" w:sz="0" w:space="0" w:color="auto"/>
        <w:bottom w:val="none" w:sz="0" w:space="0" w:color="auto"/>
        <w:right w:val="none" w:sz="0" w:space="0" w:color="auto"/>
      </w:divBdr>
    </w:div>
    <w:div w:id="1445734742">
      <w:bodyDiv w:val="1"/>
      <w:marLeft w:val="0"/>
      <w:marRight w:val="0"/>
      <w:marTop w:val="0"/>
      <w:marBottom w:val="0"/>
      <w:divBdr>
        <w:top w:val="none" w:sz="0" w:space="0" w:color="auto"/>
        <w:left w:val="none" w:sz="0" w:space="0" w:color="auto"/>
        <w:bottom w:val="none" w:sz="0" w:space="0" w:color="auto"/>
        <w:right w:val="none" w:sz="0" w:space="0" w:color="auto"/>
      </w:divBdr>
    </w:div>
    <w:div w:id="1447313761">
      <w:bodyDiv w:val="1"/>
      <w:marLeft w:val="0"/>
      <w:marRight w:val="0"/>
      <w:marTop w:val="0"/>
      <w:marBottom w:val="0"/>
      <w:divBdr>
        <w:top w:val="none" w:sz="0" w:space="0" w:color="auto"/>
        <w:left w:val="none" w:sz="0" w:space="0" w:color="auto"/>
        <w:bottom w:val="none" w:sz="0" w:space="0" w:color="auto"/>
        <w:right w:val="none" w:sz="0" w:space="0" w:color="auto"/>
      </w:divBdr>
    </w:div>
    <w:div w:id="1457017355">
      <w:bodyDiv w:val="1"/>
      <w:marLeft w:val="0"/>
      <w:marRight w:val="0"/>
      <w:marTop w:val="0"/>
      <w:marBottom w:val="0"/>
      <w:divBdr>
        <w:top w:val="none" w:sz="0" w:space="0" w:color="auto"/>
        <w:left w:val="none" w:sz="0" w:space="0" w:color="auto"/>
        <w:bottom w:val="none" w:sz="0" w:space="0" w:color="auto"/>
        <w:right w:val="none" w:sz="0" w:space="0" w:color="auto"/>
      </w:divBdr>
    </w:div>
    <w:div w:id="1459300881">
      <w:bodyDiv w:val="1"/>
      <w:marLeft w:val="0"/>
      <w:marRight w:val="0"/>
      <w:marTop w:val="0"/>
      <w:marBottom w:val="0"/>
      <w:divBdr>
        <w:top w:val="none" w:sz="0" w:space="0" w:color="auto"/>
        <w:left w:val="none" w:sz="0" w:space="0" w:color="auto"/>
        <w:bottom w:val="none" w:sz="0" w:space="0" w:color="auto"/>
        <w:right w:val="none" w:sz="0" w:space="0" w:color="auto"/>
      </w:divBdr>
    </w:div>
    <w:div w:id="1462386869">
      <w:bodyDiv w:val="1"/>
      <w:marLeft w:val="0"/>
      <w:marRight w:val="0"/>
      <w:marTop w:val="0"/>
      <w:marBottom w:val="0"/>
      <w:divBdr>
        <w:top w:val="none" w:sz="0" w:space="0" w:color="auto"/>
        <w:left w:val="none" w:sz="0" w:space="0" w:color="auto"/>
        <w:bottom w:val="none" w:sz="0" w:space="0" w:color="auto"/>
        <w:right w:val="none" w:sz="0" w:space="0" w:color="auto"/>
      </w:divBdr>
    </w:div>
    <w:div w:id="1474837066">
      <w:bodyDiv w:val="1"/>
      <w:marLeft w:val="0"/>
      <w:marRight w:val="0"/>
      <w:marTop w:val="0"/>
      <w:marBottom w:val="0"/>
      <w:divBdr>
        <w:top w:val="none" w:sz="0" w:space="0" w:color="auto"/>
        <w:left w:val="none" w:sz="0" w:space="0" w:color="auto"/>
        <w:bottom w:val="none" w:sz="0" w:space="0" w:color="auto"/>
        <w:right w:val="none" w:sz="0" w:space="0" w:color="auto"/>
      </w:divBdr>
    </w:div>
    <w:div w:id="1488329196">
      <w:bodyDiv w:val="1"/>
      <w:marLeft w:val="0"/>
      <w:marRight w:val="0"/>
      <w:marTop w:val="0"/>
      <w:marBottom w:val="0"/>
      <w:divBdr>
        <w:top w:val="none" w:sz="0" w:space="0" w:color="auto"/>
        <w:left w:val="none" w:sz="0" w:space="0" w:color="auto"/>
        <w:bottom w:val="none" w:sz="0" w:space="0" w:color="auto"/>
        <w:right w:val="none" w:sz="0" w:space="0" w:color="auto"/>
      </w:divBdr>
    </w:div>
    <w:div w:id="1535466005">
      <w:bodyDiv w:val="1"/>
      <w:marLeft w:val="0"/>
      <w:marRight w:val="0"/>
      <w:marTop w:val="0"/>
      <w:marBottom w:val="0"/>
      <w:divBdr>
        <w:top w:val="none" w:sz="0" w:space="0" w:color="auto"/>
        <w:left w:val="none" w:sz="0" w:space="0" w:color="auto"/>
        <w:bottom w:val="none" w:sz="0" w:space="0" w:color="auto"/>
        <w:right w:val="none" w:sz="0" w:space="0" w:color="auto"/>
      </w:divBdr>
    </w:div>
    <w:div w:id="1554656124">
      <w:bodyDiv w:val="1"/>
      <w:marLeft w:val="0"/>
      <w:marRight w:val="0"/>
      <w:marTop w:val="0"/>
      <w:marBottom w:val="0"/>
      <w:divBdr>
        <w:top w:val="none" w:sz="0" w:space="0" w:color="auto"/>
        <w:left w:val="none" w:sz="0" w:space="0" w:color="auto"/>
        <w:bottom w:val="none" w:sz="0" w:space="0" w:color="auto"/>
        <w:right w:val="none" w:sz="0" w:space="0" w:color="auto"/>
      </w:divBdr>
    </w:div>
    <w:div w:id="1555391004">
      <w:bodyDiv w:val="1"/>
      <w:marLeft w:val="0"/>
      <w:marRight w:val="0"/>
      <w:marTop w:val="0"/>
      <w:marBottom w:val="0"/>
      <w:divBdr>
        <w:top w:val="none" w:sz="0" w:space="0" w:color="auto"/>
        <w:left w:val="none" w:sz="0" w:space="0" w:color="auto"/>
        <w:bottom w:val="none" w:sz="0" w:space="0" w:color="auto"/>
        <w:right w:val="none" w:sz="0" w:space="0" w:color="auto"/>
      </w:divBdr>
    </w:div>
    <w:div w:id="1582636558">
      <w:bodyDiv w:val="1"/>
      <w:marLeft w:val="0"/>
      <w:marRight w:val="0"/>
      <w:marTop w:val="0"/>
      <w:marBottom w:val="0"/>
      <w:divBdr>
        <w:top w:val="none" w:sz="0" w:space="0" w:color="auto"/>
        <w:left w:val="none" w:sz="0" w:space="0" w:color="auto"/>
        <w:bottom w:val="none" w:sz="0" w:space="0" w:color="auto"/>
        <w:right w:val="none" w:sz="0" w:space="0" w:color="auto"/>
      </w:divBdr>
    </w:div>
    <w:div w:id="1594968314">
      <w:bodyDiv w:val="1"/>
      <w:marLeft w:val="0"/>
      <w:marRight w:val="0"/>
      <w:marTop w:val="0"/>
      <w:marBottom w:val="0"/>
      <w:divBdr>
        <w:top w:val="none" w:sz="0" w:space="0" w:color="auto"/>
        <w:left w:val="none" w:sz="0" w:space="0" w:color="auto"/>
        <w:bottom w:val="none" w:sz="0" w:space="0" w:color="auto"/>
        <w:right w:val="none" w:sz="0" w:space="0" w:color="auto"/>
      </w:divBdr>
    </w:div>
    <w:div w:id="1602295661">
      <w:bodyDiv w:val="1"/>
      <w:marLeft w:val="0"/>
      <w:marRight w:val="0"/>
      <w:marTop w:val="0"/>
      <w:marBottom w:val="0"/>
      <w:divBdr>
        <w:top w:val="none" w:sz="0" w:space="0" w:color="auto"/>
        <w:left w:val="none" w:sz="0" w:space="0" w:color="auto"/>
        <w:bottom w:val="none" w:sz="0" w:space="0" w:color="auto"/>
        <w:right w:val="none" w:sz="0" w:space="0" w:color="auto"/>
      </w:divBdr>
    </w:div>
    <w:div w:id="1604653075">
      <w:bodyDiv w:val="1"/>
      <w:marLeft w:val="0"/>
      <w:marRight w:val="0"/>
      <w:marTop w:val="0"/>
      <w:marBottom w:val="0"/>
      <w:divBdr>
        <w:top w:val="none" w:sz="0" w:space="0" w:color="auto"/>
        <w:left w:val="none" w:sz="0" w:space="0" w:color="auto"/>
        <w:bottom w:val="none" w:sz="0" w:space="0" w:color="auto"/>
        <w:right w:val="none" w:sz="0" w:space="0" w:color="auto"/>
      </w:divBdr>
    </w:div>
    <w:div w:id="1615282237">
      <w:bodyDiv w:val="1"/>
      <w:marLeft w:val="0"/>
      <w:marRight w:val="0"/>
      <w:marTop w:val="0"/>
      <w:marBottom w:val="0"/>
      <w:divBdr>
        <w:top w:val="none" w:sz="0" w:space="0" w:color="auto"/>
        <w:left w:val="none" w:sz="0" w:space="0" w:color="auto"/>
        <w:bottom w:val="none" w:sz="0" w:space="0" w:color="auto"/>
        <w:right w:val="none" w:sz="0" w:space="0" w:color="auto"/>
      </w:divBdr>
    </w:div>
    <w:div w:id="1639916648">
      <w:bodyDiv w:val="1"/>
      <w:marLeft w:val="0"/>
      <w:marRight w:val="0"/>
      <w:marTop w:val="0"/>
      <w:marBottom w:val="0"/>
      <w:divBdr>
        <w:top w:val="none" w:sz="0" w:space="0" w:color="auto"/>
        <w:left w:val="none" w:sz="0" w:space="0" w:color="auto"/>
        <w:bottom w:val="none" w:sz="0" w:space="0" w:color="auto"/>
        <w:right w:val="none" w:sz="0" w:space="0" w:color="auto"/>
      </w:divBdr>
    </w:div>
    <w:div w:id="1679119514">
      <w:bodyDiv w:val="1"/>
      <w:marLeft w:val="0"/>
      <w:marRight w:val="0"/>
      <w:marTop w:val="0"/>
      <w:marBottom w:val="0"/>
      <w:divBdr>
        <w:top w:val="none" w:sz="0" w:space="0" w:color="auto"/>
        <w:left w:val="none" w:sz="0" w:space="0" w:color="auto"/>
        <w:bottom w:val="none" w:sz="0" w:space="0" w:color="auto"/>
        <w:right w:val="none" w:sz="0" w:space="0" w:color="auto"/>
      </w:divBdr>
    </w:div>
    <w:div w:id="1681154659">
      <w:bodyDiv w:val="1"/>
      <w:marLeft w:val="0"/>
      <w:marRight w:val="0"/>
      <w:marTop w:val="0"/>
      <w:marBottom w:val="0"/>
      <w:divBdr>
        <w:top w:val="none" w:sz="0" w:space="0" w:color="auto"/>
        <w:left w:val="none" w:sz="0" w:space="0" w:color="auto"/>
        <w:bottom w:val="none" w:sz="0" w:space="0" w:color="auto"/>
        <w:right w:val="none" w:sz="0" w:space="0" w:color="auto"/>
      </w:divBdr>
    </w:div>
    <w:div w:id="1687827759">
      <w:bodyDiv w:val="1"/>
      <w:marLeft w:val="0"/>
      <w:marRight w:val="0"/>
      <w:marTop w:val="0"/>
      <w:marBottom w:val="0"/>
      <w:divBdr>
        <w:top w:val="none" w:sz="0" w:space="0" w:color="auto"/>
        <w:left w:val="none" w:sz="0" w:space="0" w:color="auto"/>
        <w:bottom w:val="none" w:sz="0" w:space="0" w:color="auto"/>
        <w:right w:val="none" w:sz="0" w:space="0" w:color="auto"/>
      </w:divBdr>
    </w:div>
    <w:div w:id="1701934612">
      <w:bodyDiv w:val="1"/>
      <w:marLeft w:val="0"/>
      <w:marRight w:val="0"/>
      <w:marTop w:val="0"/>
      <w:marBottom w:val="0"/>
      <w:divBdr>
        <w:top w:val="none" w:sz="0" w:space="0" w:color="auto"/>
        <w:left w:val="none" w:sz="0" w:space="0" w:color="auto"/>
        <w:bottom w:val="none" w:sz="0" w:space="0" w:color="auto"/>
        <w:right w:val="none" w:sz="0" w:space="0" w:color="auto"/>
      </w:divBdr>
    </w:div>
    <w:div w:id="1726955143">
      <w:bodyDiv w:val="1"/>
      <w:marLeft w:val="0"/>
      <w:marRight w:val="0"/>
      <w:marTop w:val="0"/>
      <w:marBottom w:val="0"/>
      <w:divBdr>
        <w:top w:val="none" w:sz="0" w:space="0" w:color="auto"/>
        <w:left w:val="none" w:sz="0" w:space="0" w:color="auto"/>
        <w:bottom w:val="none" w:sz="0" w:space="0" w:color="auto"/>
        <w:right w:val="none" w:sz="0" w:space="0" w:color="auto"/>
      </w:divBdr>
    </w:div>
    <w:div w:id="1729769580">
      <w:bodyDiv w:val="1"/>
      <w:marLeft w:val="0"/>
      <w:marRight w:val="0"/>
      <w:marTop w:val="0"/>
      <w:marBottom w:val="0"/>
      <w:divBdr>
        <w:top w:val="none" w:sz="0" w:space="0" w:color="auto"/>
        <w:left w:val="none" w:sz="0" w:space="0" w:color="auto"/>
        <w:bottom w:val="none" w:sz="0" w:space="0" w:color="auto"/>
        <w:right w:val="none" w:sz="0" w:space="0" w:color="auto"/>
      </w:divBdr>
    </w:div>
    <w:div w:id="1737628160">
      <w:bodyDiv w:val="1"/>
      <w:marLeft w:val="0"/>
      <w:marRight w:val="0"/>
      <w:marTop w:val="0"/>
      <w:marBottom w:val="0"/>
      <w:divBdr>
        <w:top w:val="none" w:sz="0" w:space="0" w:color="auto"/>
        <w:left w:val="none" w:sz="0" w:space="0" w:color="auto"/>
        <w:bottom w:val="none" w:sz="0" w:space="0" w:color="auto"/>
        <w:right w:val="none" w:sz="0" w:space="0" w:color="auto"/>
      </w:divBdr>
    </w:div>
    <w:div w:id="1745762189">
      <w:bodyDiv w:val="1"/>
      <w:marLeft w:val="0"/>
      <w:marRight w:val="0"/>
      <w:marTop w:val="0"/>
      <w:marBottom w:val="0"/>
      <w:divBdr>
        <w:top w:val="none" w:sz="0" w:space="0" w:color="auto"/>
        <w:left w:val="none" w:sz="0" w:space="0" w:color="auto"/>
        <w:bottom w:val="none" w:sz="0" w:space="0" w:color="auto"/>
        <w:right w:val="none" w:sz="0" w:space="0" w:color="auto"/>
      </w:divBdr>
    </w:div>
    <w:div w:id="1752972007">
      <w:bodyDiv w:val="1"/>
      <w:marLeft w:val="0"/>
      <w:marRight w:val="0"/>
      <w:marTop w:val="0"/>
      <w:marBottom w:val="0"/>
      <w:divBdr>
        <w:top w:val="none" w:sz="0" w:space="0" w:color="auto"/>
        <w:left w:val="none" w:sz="0" w:space="0" w:color="auto"/>
        <w:bottom w:val="none" w:sz="0" w:space="0" w:color="auto"/>
        <w:right w:val="none" w:sz="0" w:space="0" w:color="auto"/>
      </w:divBdr>
    </w:div>
    <w:div w:id="1755081697">
      <w:bodyDiv w:val="1"/>
      <w:marLeft w:val="0"/>
      <w:marRight w:val="0"/>
      <w:marTop w:val="0"/>
      <w:marBottom w:val="0"/>
      <w:divBdr>
        <w:top w:val="none" w:sz="0" w:space="0" w:color="auto"/>
        <w:left w:val="none" w:sz="0" w:space="0" w:color="auto"/>
        <w:bottom w:val="none" w:sz="0" w:space="0" w:color="auto"/>
        <w:right w:val="none" w:sz="0" w:space="0" w:color="auto"/>
      </w:divBdr>
    </w:div>
    <w:div w:id="1774082637">
      <w:bodyDiv w:val="1"/>
      <w:marLeft w:val="0"/>
      <w:marRight w:val="0"/>
      <w:marTop w:val="0"/>
      <w:marBottom w:val="0"/>
      <w:divBdr>
        <w:top w:val="none" w:sz="0" w:space="0" w:color="auto"/>
        <w:left w:val="none" w:sz="0" w:space="0" w:color="auto"/>
        <w:bottom w:val="none" w:sz="0" w:space="0" w:color="auto"/>
        <w:right w:val="none" w:sz="0" w:space="0" w:color="auto"/>
      </w:divBdr>
    </w:div>
    <w:div w:id="1793860643">
      <w:bodyDiv w:val="1"/>
      <w:marLeft w:val="0"/>
      <w:marRight w:val="0"/>
      <w:marTop w:val="0"/>
      <w:marBottom w:val="0"/>
      <w:divBdr>
        <w:top w:val="none" w:sz="0" w:space="0" w:color="auto"/>
        <w:left w:val="none" w:sz="0" w:space="0" w:color="auto"/>
        <w:bottom w:val="none" w:sz="0" w:space="0" w:color="auto"/>
        <w:right w:val="none" w:sz="0" w:space="0" w:color="auto"/>
      </w:divBdr>
    </w:div>
    <w:div w:id="1797677459">
      <w:bodyDiv w:val="1"/>
      <w:marLeft w:val="0"/>
      <w:marRight w:val="0"/>
      <w:marTop w:val="0"/>
      <w:marBottom w:val="0"/>
      <w:divBdr>
        <w:top w:val="none" w:sz="0" w:space="0" w:color="auto"/>
        <w:left w:val="none" w:sz="0" w:space="0" w:color="auto"/>
        <w:bottom w:val="none" w:sz="0" w:space="0" w:color="auto"/>
        <w:right w:val="none" w:sz="0" w:space="0" w:color="auto"/>
      </w:divBdr>
    </w:div>
    <w:div w:id="1797990339">
      <w:bodyDiv w:val="1"/>
      <w:marLeft w:val="0"/>
      <w:marRight w:val="0"/>
      <w:marTop w:val="0"/>
      <w:marBottom w:val="0"/>
      <w:divBdr>
        <w:top w:val="none" w:sz="0" w:space="0" w:color="auto"/>
        <w:left w:val="none" w:sz="0" w:space="0" w:color="auto"/>
        <w:bottom w:val="none" w:sz="0" w:space="0" w:color="auto"/>
        <w:right w:val="none" w:sz="0" w:space="0" w:color="auto"/>
      </w:divBdr>
    </w:div>
    <w:div w:id="1799177953">
      <w:bodyDiv w:val="1"/>
      <w:marLeft w:val="0"/>
      <w:marRight w:val="0"/>
      <w:marTop w:val="0"/>
      <w:marBottom w:val="0"/>
      <w:divBdr>
        <w:top w:val="none" w:sz="0" w:space="0" w:color="auto"/>
        <w:left w:val="none" w:sz="0" w:space="0" w:color="auto"/>
        <w:bottom w:val="none" w:sz="0" w:space="0" w:color="auto"/>
        <w:right w:val="none" w:sz="0" w:space="0" w:color="auto"/>
      </w:divBdr>
    </w:div>
    <w:div w:id="1812819597">
      <w:bodyDiv w:val="1"/>
      <w:marLeft w:val="0"/>
      <w:marRight w:val="0"/>
      <w:marTop w:val="0"/>
      <w:marBottom w:val="0"/>
      <w:divBdr>
        <w:top w:val="none" w:sz="0" w:space="0" w:color="auto"/>
        <w:left w:val="none" w:sz="0" w:space="0" w:color="auto"/>
        <w:bottom w:val="none" w:sz="0" w:space="0" w:color="auto"/>
        <w:right w:val="none" w:sz="0" w:space="0" w:color="auto"/>
      </w:divBdr>
    </w:div>
    <w:div w:id="1818105500">
      <w:bodyDiv w:val="1"/>
      <w:marLeft w:val="0"/>
      <w:marRight w:val="0"/>
      <w:marTop w:val="0"/>
      <w:marBottom w:val="0"/>
      <w:divBdr>
        <w:top w:val="none" w:sz="0" w:space="0" w:color="auto"/>
        <w:left w:val="none" w:sz="0" w:space="0" w:color="auto"/>
        <w:bottom w:val="none" w:sz="0" w:space="0" w:color="auto"/>
        <w:right w:val="none" w:sz="0" w:space="0" w:color="auto"/>
      </w:divBdr>
    </w:div>
    <w:div w:id="1827624472">
      <w:bodyDiv w:val="1"/>
      <w:marLeft w:val="0"/>
      <w:marRight w:val="0"/>
      <w:marTop w:val="0"/>
      <w:marBottom w:val="0"/>
      <w:divBdr>
        <w:top w:val="none" w:sz="0" w:space="0" w:color="auto"/>
        <w:left w:val="none" w:sz="0" w:space="0" w:color="auto"/>
        <w:bottom w:val="none" w:sz="0" w:space="0" w:color="auto"/>
        <w:right w:val="none" w:sz="0" w:space="0" w:color="auto"/>
      </w:divBdr>
    </w:div>
    <w:div w:id="1858081141">
      <w:bodyDiv w:val="1"/>
      <w:marLeft w:val="0"/>
      <w:marRight w:val="0"/>
      <w:marTop w:val="0"/>
      <w:marBottom w:val="0"/>
      <w:divBdr>
        <w:top w:val="none" w:sz="0" w:space="0" w:color="auto"/>
        <w:left w:val="none" w:sz="0" w:space="0" w:color="auto"/>
        <w:bottom w:val="none" w:sz="0" w:space="0" w:color="auto"/>
        <w:right w:val="none" w:sz="0" w:space="0" w:color="auto"/>
      </w:divBdr>
    </w:div>
    <w:div w:id="1881429943">
      <w:bodyDiv w:val="1"/>
      <w:marLeft w:val="0"/>
      <w:marRight w:val="0"/>
      <w:marTop w:val="0"/>
      <w:marBottom w:val="0"/>
      <w:divBdr>
        <w:top w:val="none" w:sz="0" w:space="0" w:color="auto"/>
        <w:left w:val="none" w:sz="0" w:space="0" w:color="auto"/>
        <w:bottom w:val="none" w:sz="0" w:space="0" w:color="auto"/>
        <w:right w:val="none" w:sz="0" w:space="0" w:color="auto"/>
      </w:divBdr>
    </w:div>
    <w:div w:id="1894655933">
      <w:bodyDiv w:val="1"/>
      <w:marLeft w:val="0"/>
      <w:marRight w:val="0"/>
      <w:marTop w:val="0"/>
      <w:marBottom w:val="0"/>
      <w:divBdr>
        <w:top w:val="none" w:sz="0" w:space="0" w:color="auto"/>
        <w:left w:val="none" w:sz="0" w:space="0" w:color="auto"/>
        <w:bottom w:val="none" w:sz="0" w:space="0" w:color="auto"/>
        <w:right w:val="none" w:sz="0" w:space="0" w:color="auto"/>
      </w:divBdr>
    </w:div>
    <w:div w:id="1896113436">
      <w:bodyDiv w:val="1"/>
      <w:marLeft w:val="0"/>
      <w:marRight w:val="0"/>
      <w:marTop w:val="0"/>
      <w:marBottom w:val="0"/>
      <w:divBdr>
        <w:top w:val="none" w:sz="0" w:space="0" w:color="auto"/>
        <w:left w:val="none" w:sz="0" w:space="0" w:color="auto"/>
        <w:bottom w:val="none" w:sz="0" w:space="0" w:color="auto"/>
        <w:right w:val="none" w:sz="0" w:space="0" w:color="auto"/>
      </w:divBdr>
    </w:div>
    <w:div w:id="1902205386">
      <w:bodyDiv w:val="1"/>
      <w:marLeft w:val="0"/>
      <w:marRight w:val="0"/>
      <w:marTop w:val="0"/>
      <w:marBottom w:val="0"/>
      <w:divBdr>
        <w:top w:val="none" w:sz="0" w:space="0" w:color="auto"/>
        <w:left w:val="none" w:sz="0" w:space="0" w:color="auto"/>
        <w:bottom w:val="none" w:sz="0" w:space="0" w:color="auto"/>
        <w:right w:val="none" w:sz="0" w:space="0" w:color="auto"/>
      </w:divBdr>
    </w:div>
    <w:div w:id="1903179869">
      <w:bodyDiv w:val="1"/>
      <w:marLeft w:val="0"/>
      <w:marRight w:val="0"/>
      <w:marTop w:val="0"/>
      <w:marBottom w:val="0"/>
      <w:divBdr>
        <w:top w:val="none" w:sz="0" w:space="0" w:color="auto"/>
        <w:left w:val="none" w:sz="0" w:space="0" w:color="auto"/>
        <w:bottom w:val="none" w:sz="0" w:space="0" w:color="auto"/>
        <w:right w:val="none" w:sz="0" w:space="0" w:color="auto"/>
      </w:divBdr>
    </w:div>
    <w:div w:id="1907910436">
      <w:bodyDiv w:val="1"/>
      <w:marLeft w:val="0"/>
      <w:marRight w:val="0"/>
      <w:marTop w:val="0"/>
      <w:marBottom w:val="0"/>
      <w:divBdr>
        <w:top w:val="none" w:sz="0" w:space="0" w:color="auto"/>
        <w:left w:val="none" w:sz="0" w:space="0" w:color="auto"/>
        <w:bottom w:val="none" w:sz="0" w:space="0" w:color="auto"/>
        <w:right w:val="none" w:sz="0" w:space="0" w:color="auto"/>
      </w:divBdr>
    </w:div>
    <w:div w:id="1908569702">
      <w:bodyDiv w:val="1"/>
      <w:marLeft w:val="0"/>
      <w:marRight w:val="0"/>
      <w:marTop w:val="0"/>
      <w:marBottom w:val="0"/>
      <w:divBdr>
        <w:top w:val="none" w:sz="0" w:space="0" w:color="auto"/>
        <w:left w:val="none" w:sz="0" w:space="0" w:color="auto"/>
        <w:bottom w:val="none" w:sz="0" w:space="0" w:color="auto"/>
        <w:right w:val="none" w:sz="0" w:space="0" w:color="auto"/>
      </w:divBdr>
    </w:div>
    <w:div w:id="1914004690">
      <w:bodyDiv w:val="1"/>
      <w:marLeft w:val="0"/>
      <w:marRight w:val="0"/>
      <w:marTop w:val="0"/>
      <w:marBottom w:val="0"/>
      <w:divBdr>
        <w:top w:val="none" w:sz="0" w:space="0" w:color="auto"/>
        <w:left w:val="none" w:sz="0" w:space="0" w:color="auto"/>
        <w:bottom w:val="none" w:sz="0" w:space="0" w:color="auto"/>
        <w:right w:val="none" w:sz="0" w:space="0" w:color="auto"/>
      </w:divBdr>
    </w:div>
    <w:div w:id="1931036465">
      <w:bodyDiv w:val="1"/>
      <w:marLeft w:val="0"/>
      <w:marRight w:val="0"/>
      <w:marTop w:val="0"/>
      <w:marBottom w:val="0"/>
      <w:divBdr>
        <w:top w:val="none" w:sz="0" w:space="0" w:color="auto"/>
        <w:left w:val="none" w:sz="0" w:space="0" w:color="auto"/>
        <w:bottom w:val="none" w:sz="0" w:space="0" w:color="auto"/>
        <w:right w:val="none" w:sz="0" w:space="0" w:color="auto"/>
      </w:divBdr>
    </w:div>
    <w:div w:id="1943688623">
      <w:bodyDiv w:val="1"/>
      <w:marLeft w:val="0"/>
      <w:marRight w:val="0"/>
      <w:marTop w:val="0"/>
      <w:marBottom w:val="0"/>
      <w:divBdr>
        <w:top w:val="none" w:sz="0" w:space="0" w:color="auto"/>
        <w:left w:val="none" w:sz="0" w:space="0" w:color="auto"/>
        <w:bottom w:val="none" w:sz="0" w:space="0" w:color="auto"/>
        <w:right w:val="none" w:sz="0" w:space="0" w:color="auto"/>
      </w:divBdr>
    </w:div>
    <w:div w:id="1958634920">
      <w:bodyDiv w:val="1"/>
      <w:marLeft w:val="0"/>
      <w:marRight w:val="0"/>
      <w:marTop w:val="0"/>
      <w:marBottom w:val="0"/>
      <w:divBdr>
        <w:top w:val="none" w:sz="0" w:space="0" w:color="auto"/>
        <w:left w:val="none" w:sz="0" w:space="0" w:color="auto"/>
        <w:bottom w:val="none" w:sz="0" w:space="0" w:color="auto"/>
        <w:right w:val="none" w:sz="0" w:space="0" w:color="auto"/>
      </w:divBdr>
    </w:div>
    <w:div w:id="1993675786">
      <w:bodyDiv w:val="1"/>
      <w:marLeft w:val="0"/>
      <w:marRight w:val="0"/>
      <w:marTop w:val="0"/>
      <w:marBottom w:val="0"/>
      <w:divBdr>
        <w:top w:val="none" w:sz="0" w:space="0" w:color="auto"/>
        <w:left w:val="none" w:sz="0" w:space="0" w:color="auto"/>
        <w:bottom w:val="none" w:sz="0" w:space="0" w:color="auto"/>
        <w:right w:val="none" w:sz="0" w:space="0" w:color="auto"/>
      </w:divBdr>
    </w:div>
    <w:div w:id="2002661665">
      <w:bodyDiv w:val="1"/>
      <w:marLeft w:val="0"/>
      <w:marRight w:val="0"/>
      <w:marTop w:val="0"/>
      <w:marBottom w:val="0"/>
      <w:divBdr>
        <w:top w:val="none" w:sz="0" w:space="0" w:color="auto"/>
        <w:left w:val="none" w:sz="0" w:space="0" w:color="auto"/>
        <w:bottom w:val="none" w:sz="0" w:space="0" w:color="auto"/>
        <w:right w:val="none" w:sz="0" w:space="0" w:color="auto"/>
      </w:divBdr>
      <w:divsChild>
        <w:div w:id="1829400068">
          <w:marLeft w:val="480"/>
          <w:marRight w:val="0"/>
          <w:marTop w:val="0"/>
          <w:marBottom w:val="0"/>
          <w:divBdr>
            <w:top w:val="none" w:sz="0" w:space="0" w:color="auto"/>
            <w:left w:val="none" w:sz="0" w:space="0" w:color="auto"/>
            <w:bottom w:val="none" w:sz="0" w:space="0" w:color="auto"/>
            <w:right w:val="none" w:sz="0" w:space="0" w:color="auto"/>
          </w:divBdr>
        </w:div>
        <w:div w:id="1094089948">
          <w:marLeft w:val="480"/>
          <w:marRight w:val="0"/>
          <w:marTop w:val="0"/>
          <w:marBottom w:val="0"/>
          <w:divBdr>
            <w:top w:val="none" w:sz="0" w:space="0" w:color="auto"/>
            <w:left w:val="none" w:sz="0" w:space="0" w:color="auto"/>
            <w:bottom w:val="none" w:sz="0" w:space="0" w:color="auto"/>
            <w:right w:val="none" w:sz="0" w:space="0" w:color="auto"/>
          </w:divBdr>
        </w:div>
        <w:div w:id="757210401">
          <w:marLeft w:val="480"/>
          <w:marRight w:val="0"/>
          <w:marTop w:val="0"/>
          <w:marBottom w:val="0"/>
          <w:divBdr>
            <w:top w:val="none" w:sz="0" w:space="0" w:color="auto"/>
            <w:left w:val="none" w:sz="0" w:space="0" w:color="auto"/>
            <w:bottom w:val="none" w:sz="0" w:space="0" w:color="auto"/>
            <w:right w:val="none" w:sz="0" w:space="0" w:color="auto"/>
          </w:divBdr>
        </w:div>
        <w:div w:id="2036418291">
          <w:marLeft w:val="480"/>
          <w:marRight w:val="0"/>
          <w:marTop w:val="0"/>
          <w:marBottom w:val="0"/>
          <w:divBdr>
            <w:top w:val="none" w:sz="0" w:space="0" w:color="auto"/>
            <w:left w:val="none" w:sz="0" w:space="0" w:color="auto"/>
            <w:bottom w:val="none" w:sz="0" w:space="0" w:color="auto"/>
            <w:right w:val="none" w:sz="0" w:space="0" w:color="auto"/>
          </w:divBdr>
        </w:div>
        <w:div w:id="1813329757">
          <w:marLeft w:val="480"/>
          <w:marRight w:val="0"/>
          <w:marTop w:val="0"/>
          <w:marBottom w:val="0"/>
          <w:divBdr>
            <w:top w:val="none" w:sz="0" w:space="0" w:color="auto"/>
            <w:left w:val="none" w:sz="0" w:space="0" w:color="auto"/>
            <w:bottom w:val="none" w:sz="0" w:space="0" w:color="auto"/>
            <w:right w:val="none" w:sz="0" w:space="0" w:color="auto"/>
          </w:divBdr>
        </w:div>
        <w:div w:id="61804630">
          <w:marLeft w:val="480"/>
          <w:marRight w:val="0"/>
          <w:marTop w:val="0"/>
          <w:marBottom w:val="0"/>
          <w:divBdr>
            <w:top w:val="none" w:sz="0" w:space="0" w:color="auto"/>
            <w:left w:val="none" w:sz="0" w:space="0" w:color="auto"/>
            <w:bottom w:val="none" w:sz="0" w:space="0" w:color="auto"/>
            <w:right w:val="none" w:sz="0" w:space="0" w:color="auto"/>
          </w:divBdr>
        </w:div>
        <w:div w:id="1303583557">
          <w:marLeft w:val="480"/>
          <w:marRight w:val="0"/>
          <w:marTop w:val="0"/>
          <w:marBottom w:val="0"/>
          <w:divBdr>
            <w:top w:val="none" w:sz="0" w:space="0" w:color="auto"/>
            <w:left w:val="none" w:sz="0" w:space="0" w:color="auto"/>
            <w:bottom w:val="none" w:sz="0" w:space="0" w:color="auto"/>
            <w:right w:val="none" w:sz="0" w:space="0" w:color="auto"/>
          </w:divBdr>
        </w:div>
        <w:div w:id="684481988">
          <w:marLeft w:val="480"/>
          <w:marRight w:val="0"/>
          <w:marTop w:val="0"/>
          <w:marBottom w:val="0"/>
          <w:divBdr>
            <w:top w:val="none" w:sz="0" w:space="0" w:color="auto"/>
            <w:left w:val="none" w:sz="0" w:space="0" w:color="auto"/>
            <w:bottom w:val="none" w:sz="0" w:space="0" w:color="auto"/>
            <w:right w:val="none" w:sz="0" w:space="0" w:color="auto"/>
          </w:divBdr>
        </w:div>
        <w:div w:id="1342471124">
          <w:marLeft w:val="480"/>
          <w:marRight w:val="0"/>
          <w:marTop w:val="0"/>
          <w:marBottom w:val="0"/>
          <w:divBdr>
            <w:top w:val="none" w:sz="0" w:space="0" w:color="auto"/>
            <w:left w:val="none" w:sz="0" w:space="0" w:color="auto"/>
            <w:bottom w:val="none" w:sz="0" w:space="0" w:color="auto"/>
            <w:right w:val="none" w:sz="0" w:space="0" w:color="auto"/>
          </w:divBdr>
        </w:div>
        <w:div w:id="604777526">
          <w:marLeft w:val="480"/>
          <w:marRight w:val="0"/>
          <w:marTop w:val="0"/>
          <w:marBottom w:val="0"/>
          <w:divBdr>
            <w:top w:val="none" w:sz="0" w:space="0" w:color="auto"/>
            <w:left w:val="none" w:sz="0" w:space="0" w:color="auto"/>
            <w:bottom w:val="none" w:sz="0" w:space="0" w:color="auto"/>
            <w:right w:val="none" w:sz="0" w:space="0" w:color="auto"/>
          </w:divBdr>
        </w:div>
        <w:div w:id="845173147">
          <w:marLeft w:val="480"/>
          <w:marRight w:val="0"/>
          <w:marTop w:val="0"/>
          <w:marBottom w:val="0"/>
          <w:divBdr>
            <w:top w:val="none" w:sz="0" w:space="0" w:color="auto"/>
            <w:left w:val="none" w:sz="0" w:space="0" w:color="auto"/>
            <w:bottom w:val="none" w:sz="0" w:space="0" w:color="auto"/>
            <w:right w:val="none" w:sz="0" w:space="0" w:color="auto"/>
          </w:divBdr>
        </w:div>
        <w:div w:id="1044520707">
          <w:marLeft w:val="480"/>
          <w:marRight w:val="0"/>
          <w:marTop w:val="0"/>
          <w:marBottom w:val="0"/>
          <w:divBdr>
            <w:top w:val="none" w:sz="0" w:space="0" w:color="auto"/>
            <w:left w:val="none" w:sz="0" w:space="0" w:color="auto"/>
            <w:bottom w:val="none" w:sz="0" w:space="0" w:color="auto"/>
            <w:right w:val="none" w:sz="0" w:space="0" w:color="auto"/>
          </w:divBdr>
        </w:div>
        <w:div w:id="1112821844">
          <w:marLeft w:val="480"/>
          <w:marRight w:val="0"/>
          <w:marTop w:val="0"/>
          <w:marBottom w:val="0"/>
          <w:divBdr>
            <w:top w:val="none" w:sz="0" w:space="0" w:color="auto"/>
            <w:left w:val="none" w:sz="0" w:space="0" w:color="auto"/>
            <w:bottom w:val="none" w:sz="0" w:space="0" w:color="auto"/>
            <w:right w:val="none" w:sz="0" w:space="0" w:color="auto"/>
          </w:divBdr>
        </w:div>
        <w:div w:id="1459180054">
          <w:marLeft w:val="480"/>
          <w:marRight w:val="0"/>
          <w:marTop w:val="0"/>
          <w:marBottom w:val="0"/>
          <w:divBdr>
            <w:top w:val="none" w:sz="0" w:space="0" w:color="auto"/>
            <w:left w:val="none" w:sz="0" w:space="0" w:color="auto"/>
            <w:bottom w:val="none" w:sz="0" w:space="0" w:color="auto"/>
            <w:right w:val="none" w:sz="0" w:space="0" w:color="auto"/>
          </w:divBdr>
        </w:div>
        <w:div w:id="634798924">
          <w:marLeft w:val="480"/>
          <w:marRight w:val="0"/>
          <w:marTop w:val="0"/>
          <w:marBottom w:val="0"/>
          <w:divBdr>
            <w:top w:val="none" w:sz="0" w:space="0" w:color="auto"/>
            <w:left w:val="none" w:sz="0" w:space="0" w:color="auto"/>
            <w:bottom w:val="none" w:sz="0" w:space="0" w:color="auto"/>
            <w:right w:val="none" w:sz="0" w:space="0" w:color="auto"/>
          </w:divBdr>
        </w:div>
        <w:div w:id="1392801378">
          <w:marLeft w:val="480"/>
          <w:marRight w:val="0"/>
          <w:marTop w:val="0"/>
          <w:marBottom w:val="0"/>
          <w:divBdr>
            <w:top w:val="none" w:sz="0" w:space="0" w:color="auto"/>
            <w:left w:val="none" w:sz="0" w:space="0" w:color="auto"/>
            <w:bottom w:val="none" w:sz="0" w:space="0" w:color="auto"/>
            <w:right w:val="none" w:sz="0" w:space="0" w:color="auto"/>
          </w:divBdr>
        </w:div>
        <w:div w:id="1182277480">
          <w:marLeft w:val="480"/>
          <w:marRight w:val="0"/>
          <w:marTop w:val="0"/>
          <w:marBottom w:val="0"/>
          <w:divBdr>
            <w:top w:val="none" w:sz="0" w:space="0" w:color="auto"/>
            <w:left w:val="none" w:sz="0" w:space="0" w:color="auto"/>
            <w:bottom w:val="none" w:sz="0" w:space="0" w:color="auto"/>
            <w:right w:val="none" w:sz="0" w:space="0" w:color="auto"/>
          </w:divBdr>
        </w:div>
        <w:div w:id="1629356923">
          <w:marLeft w:val="480"/>
          <w:marRight w:val="0"/>
          <w:marTop w:val="0"/>
          <w:marBottom w:val="0"/>
          <w:divBdr>
            <w:top w:val="none" w:sz="0" w:space="0" w:color="auto"/>
            <w:left w:val="none" w:sz="0" w:space="0" w:color="auto"/>
            <w:bottom w:val="none" w:sz="0" w:space="0" w:color="auto"/>
            <w:right w:val="none" w:sz="0" w:space="0" w:color="auto"/>
          </w:divBdr>
        </w:div>
        <w:div w:id="535001032">
          <w:marLeft w:val="480"/>
          <w:marRight w:val="0"/>
          <w:marTop w:val="0"/>
          <w:marBottom w:val="0"/>
          <w:divBdr>
            <w:top w:val="none" w:sz="0" w:space="0" w:color="auto"/>
            <w:left w:val="none" w:sz="0" w:space="0" w:color="auto"/>
            <w:bottom w:val="none" w:sz="0" w:space="0" w:color="auto"/>
            <w:right w:val="none" w:sz="0" w:space="0" w:color="auto"/>
          </w:divBdr>
        </w:div>
        <w:div w:id="1366831239">
          <w:marLeft w:val="480"/>
          <w:marRight w:val="0"/>
          <w:marTop w:val="0"/>
          <w:marBottom w:val="0"/>
          <w:divBdr>
            <w:top w:val="none" w:sz="0" w:space="0" w:color="auto"/>
            <w:left w:val="none" w:sz="0" w:space="0" w:color="auto"/>
            <w:bottom w:val="none" w:sz="0" w:space="0" w:color="auto"/>
            <w:right w:val="none" w:sz="0" w:space="0" w:color="auto"/>
          </w:divBdr>
        </w:div>
        <w:div w:id="1137576848">
          <w:marLeft w:val="480"/>
          <w:marRight w:val="0"/>
          <w:marTop w:val="0"/>
          <w:marBottom w:val="0"/>
          <w:divBdr>
            <w:top w:val="none" w:sz="0" w:space="0" w:color="auto"/>
            <w:left w:val="none" w:sz="0" w:space="0" w:color="auto"/>
            <w:bottom w:val="none" w:sz="0" w:space="0" w:color="auto"/>
            <w:right w:val="none" w:sz="0" w:space="0" w:color="auto"/>
          </w:divBdr>
        </w:div>
        <w:div w:id="476187056">
          <w:marLeft w:val="480"/>
          <w:marRight w:val="0"/>
          <w:marTop w:val="0"/>
          <w:marBottom w:val="0"/>
          <w:divBdr>
            <w:top w:val="none" w:sz="0" w:space="0" w:color="auto"/>
            <w:left w:val="none" w:sz="0" w:space="0" w:color="auto"/>
            <w:bottom w:val="none" w:sz="0" w:space="0" w:color="auto"/>
            <w:right w:val="none" w:sz="0" w:space="0" w:color="auto"/>
          </w:divBdr>
        </w:div>
        <w:div w:id="679624851">
          <w:marLeft w:val="480"/>
          <w:marRight w:val="0"/>
          <w:marTop w:val="0"/>
          <w:marBottom w:val="0"/>
          <w:divBdr>
            <w:top w:val="none" w:sz="0" w:space="0" w:color="auto"/>
            <w:left w:val="none" w:sz="0" w:space="0" w:color="auto"/>
            <w:bottom w:val="none" w:sz="0" w:space="0" w:color="auto"/>
            <w:right w:val="none" w:sz="0" w:space="0" w:color="auto"/>
          </w:divBdr>
        </w:div>
        <w:div w:id="1428228555">
          <w:marLeft w:val="480"/>
          <w:marRight w:val="0"/>
          <w:marTop w:val="0"/>
          <w:marBottom w:val="0"/>
          <w:divBdr>
            <w:top w:val="none" w:sz="0" w:space="0" w:color="auto"/>
            <w:left w:val="none" w:sz="0" w:space="0" w:color="auto"/>
            <w:bottom w:val="none" w:sz="0" w:space="0" w:color="auto"/>
            <w:right w:val="none" w:sz="0" w:space="0" w:color="auto"/>
          </w:divBdr>
        </w:div>
        <w:div w:id="698429934">
          <w:marLeft w:val="480"/>
          <w:marRight w:val="0"/>
          <w:marTop w:val="0"/>
          <w:marBottom w:val="0"/>
          <w:divBdr>
            <w:top w:val="none" w:sz="0" w:space="0" w:color="auto"/>
            <w:left w:val="none" w:sz="0" w:space="0" w:color="auto"/>
            <w:bottom w:val="none" w:sz="0" w:space="0" w:color="auto"/>
            <w:right w:val="none" w:sz="0" w:space="0" w:color="auto"/>
          </w:divBdr>
        </w:div>
        <w:div w:id="462768792">
          <w:marLeft w:val="480"/>
          <w:marRight w:val="0"/>
          <w:marTop w:val="0"/>
          <w:marBottom w:val="0"/>
          <w:divBdr>
            <w:top w:val="none" w:sz="0" w:space="0" w:color="auto"/>
            <w:left w:val="none" w:sz="0" w:space="0" w:color="auto"/>
            <w:bottom w:val="none" w:sz="0" w:space="0" w:color="auto"/>
            <w:right w:val="none" w:sz="0" w:space="0" w:color="auto"/>
          </w:divBdr>
        </w:div>
        <w:div w:id="1253587573">
          <w:marLeft w:val="480"/>
          <w:marRight w:val="0"/>
          <w:marTop w:val="0"/>
          <w:marBottom w:val="0"/>
          <w:divBdr>
            <w:top w:val="none" w:sz="0" w:space="0" w:color="auto"/>
            <w:left w:val="none" w:sz="0" w:space="0" w:color="auto"/>
            <w:bottom w:val="none" w:sz="0" w:space="0" w:color="auto"/>
            <w:right w:val="none" w:sz="0" w:space="0" w:color="auto"/>
          </w:divBdr>
        </w:div>
        <w:div w:id="708451974">
          <w:marLeft w:val="480"/>
          <w:marRight w:val="0"/>
          <w:marTop w:val="0"/>
          <w:marBottom w:val="0"/>
          <w:divBdr>
            <w:top w:val="none" w:sz="0" w:space="0" w:color="auto"/>
            <w:left w:val="none" w:sz="0" w:space="0" w:color="auto"/>
            <w:bottom w:val="none" w:sz="0" w:space="0" w:color="auto"/>
            <w:right w:val="none" w:sz="0" w:space="0" w:color="auto"/>
          </w:divBdr>
        </w:div>
        <w:div w:id="130558383">
          <w:marLeft w:val="480"/>
          <w:marRight w:val="0"/>
          <w:marTop w:val="0"/>
          <w:marBottom w:val="0"/>
          <w:divBdr>
            <w:top w:val="none" w:sz="0" w:space="0" w:color="auto"/>
            <w:left w:val="none" w:sz="0" w:space="0" w:color="auto"/>
            <w:bottom w:val="none" w:sz="0" w:space="0" w:color="auto"/>
            <w:right w:val="none" w:sz="0" w:space="0" w:color="auto"/>
          </w:divBdr>
        </w:div>
        <w:div w:id="820854134">
          <w:marLeft w:val="480"/>
          <w:marRight w:val="0"/>
          <w:marTop w:val="0"/>
          <w:marBottom w:val="0"/>
          <w:divBdr>
            <w:top w:val="none" w:sz="0" w:space="0" w:color="auto"/>
            <w:left w:val="none" w:sz="0" w:space="0" w:color="auto"/>
            <w:bottom w:val="none" w:sz="0" w:space="0" w:color="auto"/>
            <w:right w:val="none" w:sz="0" w:space="0" w:color="auto"/>
          </w:divBdr>
        </w:div>
        <w:div w:id="2053923890">
          <w:marLeft w:val="480"/>
          <w:marRight w:val="0"/>
          <w:marTop w:val="0"/>
          <w:marBottom w:val="0"/>
          <w:divBdr>
            <w:top w:val="none" w:sz="0" w:space="0" w:color="auto"/>
            <w:left w:val="none" w:sz="0" w:space="0" w:color="auto"/>
            <w:bottom w:val="none" w:sz="0" w:space="0" w:color="auto"/>
            <w:right w:val="none" w:sz="0" w:space="0" w:color="auto"/>
          </w:divBdr>
        </w:div>
        <w:div w:id="2067491271">
          <w:marLeft w:val="480"/>
          <w:marRight w:val="0"/>
          <w:marTop w:val="0"/>
          <w:marBottom w:val="0"/>
          <w:divBdr>
            <w:top w:val="none" w:sz="0" w:space="0" w:color="auto"/>
            <w:left w:val="none" w:sz="0" w:space="0" w:color="auto"/>
            <w:bottom w:val="none" w:sz="0" w:space="0" w:color="auto"/>
            <w:right w:val="none" w:sz="0" w:space="0" w:color="auto"/>
          </w:divBdr>
        </w:div>
        <w:div w:id="783353354">
          <w:marLeft w:val="480"/>
          <w:marRight w:val="0"/>
          <w:marTop w:val="0"/>
          <w:marBottom w:val="0"/>
          <w:divBdr>
            <w:top w:val="none" w:sz="0" w:space="0" w:color="auto"/>
            <w:left w:val="none" w:sz="0" w:space="0" w:color="auto"/>
            <w:bottom w:val="none" w:sz="0" w:space="0" w:color="auto"/>
            <w:right w:val="none" w:sz="0" w:space="0" w:color="auto"/>
          </w:divBdr>
        </w:div>
        <w:div w:id="1196429639">
          <w:marLeft w:val="480"/>
          <w:marRight w:val="0"/>
          <w:marTop w:val="0"/>
          <w:marBottom w:val="0"/>
          <w:divBdr>
            <w:top w:val="none" w:sz="0" w:space="0" w:color="auto"/>
            <w:left w:val="none" w:sz="0" w:space="0" w:color="auto"/>
            <w:bottom w:val="none" w:sz="0" w:space="0" w:color="auto"/>
            <w:right w:val="none" w:sz="0" w:space="0" w:color="auto"/>
          </w:divBdr>
        </w:div>
        <w:div w:id="1880236896">
          <w:marLeft w:val="480"/>
          <w:marRight w:val="0"/>
          <w:marTop w:val="0"/>
          <w:marBottom w:val="0"/>
          <w:divBdr>
            <w:top w:val="none" w:sz="0" w:space="0" w:color="auto"/>
            <w:left w:val="none" w:sz="0" w:space="0" w:color="auto"/>
            <w:bottom w:val="none" w:sz="0" w:space="0" w:color="auto"/>
            <w:right w:val="none" w:sz="0" w:space="0" w:color="auto"/>
          </w:divBdr>
        </w:div>
        <w:div w:id="814562035">
          <w:marLeft w:val="480"/>
          <w:marRight w:val="0"/>
          <w:marTop w:val="0"/>
          <w:marBottom w:val="0"/>
          <w:divBdr>
            <w:top w:val="none" w:sz="0" w:space="0" w:color="auto"/>
            <w:left w:val="none" w:sz="0" w:space="0" w:color="auto"/>
            <w:bottom w:val="none" w:sz="0" w:space="0" w:color="auto"/>
            <w:right w:val="none" w:sz="0" w:space="0" w:color="auto"/>
          </w:divBdr>
        </w:div>
        <w:div w:id="434712595">
          <w:marLeft w:val="480"/>
          <w:marRight w:val="0"/>
          <w:marTop w:val="0"/>
          <w:marBottom w:val="0"/>
          <w:divBdr>
            <w:top w:val="none" w:sz="0" w:space="0" w:color="auto"/>
            <w:left w:val="none" w:sz="0" w:space="0" w:color="auto"/>
            <w:bottom w:val="none" w:sz="0" w:space="0" w:color="auto"/>
            <w:right w:val="none" w:sz="0" w:space="0" w:color="auto"/>
          </w:divBdr>
        </w:div>
        <w:div w:id="1366758604">
          <w:marLeft w:val="480"/>
          <w:marRight w:val="0"/>
          <w:marTop w:val="0"/>
          <w:marBottom w:val="0"/>
          <w:divBdr>
            <w:top w:val="none" w:sz="0" w:space="0" w:color="auto"/>
            <w:left w:val="none" w:sz="0" w:space="0" w:color="auto"/>
            <w:bottom w:val="none" w:sz="0" w:space="0" w:color="auto"/>
            <w:right w:val="none" w:sz="0" w:space="0" w:color="auto"/>
          </w:divBdr>
        </w:div>
        <w:div w:id="1738240788">
          <w:marLeft w:val="480"/>
          <w:marRight w:val="0"/>
          <w:marTop w:val="0"/>
          <w:marBottom w:val="0"/>
          <w:divBdr>
            <w:top w:val="none" w:sz="0" w:space="0" w:color="auto"/>
            <w:left w:val="none" w:sz="0" w:space="0" w:color="auto"/>
            <w:bottom w:val="none" w:sz="0" w:space="0" w:color="auto"/>
            <w:right w:val="none" w:sz="0" w:space="0" w:color="auto"/>
          </w:divBdr>
        </w:div>
        <w:div w:id="1867867590">
          <w:marLeft w:val="480"/>
          <w:marRight w:val="0"/>
          <w:marTop w:val="0"/>
          <w:marBottom w:val="0"/>
          <w:divBdr>
            <w:top w:val="none" w:sz="0" w:space="0" w:color="auto"/>
            <w:left w:val="none" w:sz="0" w:space="0" w:color="auto"/>
            <w:bottom w:val="none" w:sz="0" w:space="0" w:color="auto"/>
            <w:right w:val="none" w:sz="0" w:space="0" w:color="auto"/>
          </w:divBdr>
        </w:div>
        <w:div w:id="2073696694">
          <w:marLeft w:val="480"/>
          <w:marRight w:val="0"/>
          <w:marTop w:val="0"/>
          <w:marBottom w:val="0"/>
          <w:divBdr>
            <w:top w:val="none" w:sz="0" w:space="0" w:color="auto"/>
            <w:left w:val="none" w:sz="0" w:space="0" w:color="auto"/>
            <w:bottom w:val="none" w:sz="0" w:space="0" w:color="auto"/>
            <w:right w:val="none" w:sz="0" w:space="0" w:color="auto"/>
          </w:divBdr>
        </w:div>
        <w:div w:id="1936548031">
          <w:marLeft w:val="480"/>
          <w:marRight w:val="0"/>
          <w:marTop w:val="0"/>
          <w:marBottom w:val="0"/>
          <w:divBdr>
            <w:top w:val="none" w:sz="0" w:space="0" w:color="auto"/>
            <w:left w:val="none" w:sz="0" w:space="0" w:color="auto"/>
            <w:bottom w:val="none" w:sz="0" w:space="0" w:color="auto"/>
            <w:right w:val="none" w:sz="0" w:space="0" w:color="auto"/>
          </w:divBdr>
        </w:div>
        <w:div w:id="387266112">
          <w:marLeft w:val="480"/>
          <w:marRight w:val="0"/>
          <w:marTop w:val="0"/>
          <w:marBottom w:val="0"/>
          <w:divBdr>
            <w:top w:val="none" w:sz="0" w:space="0" w:color="auto"/>
            <w:left w:val="none" w:sz="0" w:space="0" w:color="auto"/>
            <w:bottom w:val="none" w:sz="0" w:space="0" w:color="auto"/>
            <w:right w:val="none" w:sz="0" w:space="0" w:color="auto"/>
          </w:divBdr>
        </w:div>
        <w:div w:id="1377699803">
          <w:marLeft w:val="480"/>
          <w:marRight w:val="0"/>
          <w:marTop w:val="0"/>
          <w:marBottom w:val="0"/>
          <w:divBdr>
            <w:top w:val="none" w:sz="0" w:space="0" w:color="auto"/>
            <w:left w:val="none" w:sz="0" w:space="0" w:color="auto"/>
            <w:bottom w:val="none" w:sz="0" w:space="0" w:color="auto"/>
            <w:right w:val="none" w:sz="0" w:space="0" w:color="auto"/>
          </w:divBdr>
        </w:div>
        <w:div w:id="1465850969">
          <w:marLeft w:val="480"/>
          <w:marRight w:val="0"/>
          <w:marTop w:val="0"/>
          <w:marBottom w:val="0"/>
          <w:divBdr>
            <w:top w:val="none" w:sz="0" w:space="0" w:color="auto"/>
            <w:left w:val="none" w:sz="0" w:space="0" w:color="auto"/>
            <w:bottom w:val="none" w:sz="0" w:space="0" w:color="auto"/>
            <w:right w:val="none" w:sz="0" w:space="0" w:color="auto"/>
          </w:divBdr>
        </w:div>
        <w:div w:id="410740627">
          <w:marLeft w:val="480"/>
          <w:marRight w:val="0"/>
          <w:marTop w:val="0"/>
          <w:marBottom w:val="0"/>
          <w:divBdr>
            <w:top w:val="none" w:sz="0" w:space="0" w:color="auto"/>
            <w:left w:val="none" w:sz="0" w:space="0" w:color="auto"/>
            <w:bottom w:val="none" w:sz="0" w:space="0" w:color="auto"/>
            <w:right w:val="none" w:sz="0" w:space="0" w:color="auto"/>
          </w:divBdr>
        </w:div>
        <w:div w:id="408843250">
          <w:marLeft w:val="480"/>
          <w:marRight w:val="0"/>
          <w:marTop w:val="0"/>
          <w:marBottom w:val="0"/>
          <w:divBdr>
            <w:top w:val="none" w:sz="0" w:space="0" w:color="auto"/>
            <w:left w:val="none" w:sz="0" w:space="0" w:color="auto"/>
            <w:bottom w:val="none" w:sz="0" w:space="0" w:color="auto"/>
            <w:right w:val="none" w:sz="0" w:space="0" w:color="auto"/>
          </w:divBdr>
        </w:div>
        <w:div w:id="1086416537">
          <w:marLeft w:val="480"/>
          <w:marRight w:val="0"/>
          <w:marTop w:val="0"/>
          <w:marBottom w:val="0"/>
          <w:divBdr>
            <w:top w:val="none" w:sz="0" w:space="0" w:color="auto"/>
            <w:left w:val="none" w:sz="0" w:space="0" w:color="auto"/>
            <w:bottom w:val="none" w:sz="0" w:space="0" w:color="auto"/>
            <w:right w:val="none" w:sz="0" w:space="0" w:color="auto"/>
          </w:divBdr>
        </w:div>
        <w:div w:id="426732391">
          <w:marLeft w:val="480"/>
          <w:marRight w:val="0"/>
          <w:marTop w:val="0"/>
          <w:marBottom w:val="0"/>
          <w:divBdr>
            <w:top w:val="none" w:sz="0" w:space="0" w:color="auto"/>
            <w:left w:val="none" w:sz="0" w:space="0" w:color="auto"/>
            <w:bottom w:val="none" w:sz="0" w:space="0" w:color="auto"/>
            <w:right w:val="none" w:sz="0" w:space="0" w:color="auto"/>
          </w:divBdr>
        </w:div>
        <w:div w:id="151724658">
          <w:marLeft w:val="480"/>
          <w:marRight w:val="0"/>
          <w:marTop w:val="0"/>
          <w:marBottom w:val="0"/>
          <w:divBdr>
            <w:top w:val="none" w:sz="0" w:space="0" w:color="auto"/>
            <w:left w:val="none" w:sz="0" w:space="0" w:color="auto"/>
            <w:bottom w:val="none" w:sz="0" w:space="0" w:color="auto"/>
            <w:right w:val="none" w:sz="0" w:space="0" w:color="auto"/>
          </w:divBdr>
        </w:div>
        <w:div w:id="8681738">
          <w:marLeft w:val="480"/>
          <w:marRight w:val="0"/>
          <w:marTop w:val="0"/>
          <w:marBottom w:val="0"/>
          <w:divBdr>
            <w:top w:val="none" w:sz="0" w:space="0" w:color="auto"/>
            <w:left w:val="none" w:sz="0" w:space="0" w:color="auto"/>
            <w:bottom w:val="none" w:sz="0" w:space="0" w:color="auto"/>
            <w:right w:val="none" w:sz="0" w:space="0" w:color="auto"/>
          </w:divBdr>
        </w:div>
        <w:div w:id="814299882">
          <w:marLeft w:val="480"/>
          <w:marRight w:val="0"/>
          <w:marTop w:val="0"/>
          <w:marBottom w:val="0"/>
          <w:divBdr>
            <w:top w:val="none" w:sz="0" w:space="0" w:color="auto"/>
            <w:left w:val="none" w:sz="0" w:space="0" w:color="auto"/>
            <w:bottom w:val="none" w:sz="0" w:space="0" w:color="auto"/>
            <w:right w:val="none" w:sz="0" w:space="0" w:color="auto"/>
          </w:divBdr>
        </w:div>
        <w:div w:id="1110970078">
          <w:marLeft w:val="480"/>
          <w:marRight w:val="0"/>
          <w:marTop w:val="0"/>
          <w:marBottom w:val="0"/>
          <w:divBdr>
            <w:top w:val="none" w:sz="0" w:space="0" w:color="auto"/>
            <w:left w:val="none" w:sz="0" w:space="0" w:color="auto"/>
            <w:bottom w:val="none" w:sz="0" w:space="0" w:color="auto"/>
            <w:right w:val="none" w:sz="0" w:space="0" w:color="auto"/>
          </w:divBdr>
        </w:div>
        <w:div w:id="1869565360">
          <w:marLeft w:val="480"/>
          <w:marRight w:val="0"/>
          <w:marTop w:val="0"/>
          <w:marBottom w:val="0"/>
          <w:divBdr>
            <w:top w:val="none" w:sz="0" w:space="0" w:color="auto"/>
            <w:left w:val="none" w:sz="0" w:space="0" w:color="auto"/>
            <w:bottom w:val="none" w:sz="0" w:space="0" w:color="auto"/>
            <w:right w:val="none" w:sz="0" w:space="0" w:color="auto"/>
          </w:divBdr>
        </w:div>
        <w:div w:id="104664230">
          <w:marLeft w:val="480"/>
          <w:marRight w:val="0"/>
          <w:marTop w:val="0"/>
          <w:marBottom w:val="0"/>
          <w:divBdr>
            <w:top w:val="none" w:sz="0" w:space="0" w:color="auto"/>
            <w:left w:val="none" w:sz="0" w:space="0" w:color="auto"/>
            <w:bottom w:val="none" w:sz="0" w:space="0" w:color="auto"/>
            <w:right w:val="none" w:sz="0" w:space="0" w:color="auto"/>
          </w:divBdr>
        </w:div>
        <w:div w:id="1528831063">
          <w:marLeft w:val="480"/>
          <w:marRight w:val="0"/>
          <w:marTop w:val="0"/>
          <w:marBottom w:val="0"/>
          <w:divBdr>
            <w:top w:val="none" w:sz="0" w:space="0" w:color="auto"/>
            <w:left w:val="none" w:sz="0" w:space="0" w:color="auto"/>
            <w:bottom w:val="none" w:sz="0" w:space="0" w:color="auto"/>
            <w:right w:val="none" w:sz="0" w:space="0" w:color="auto"/>
          </w:divBdr>
        </w:div>
        <w:div w:id="1216624929">
          <w:marLeft w:val="480"/>
          <w:marRight w:val="0"/>
          <w:marTop w:val="0"/>
          <w:marBottom w:val="0"/>
          <w:divBdr>
            <w:top w:val="none" w:sz="0" w:space="0" w:color="auto"/>
            <w:left w:val="none" w:sz="0" w:space="0" w:color="auto"/>
            <w:bottom w:val="none" w:sz="0" w:space="0" w:color="auto"/>
            <w:right w:val="none" w:sz="0" w:space="0" w:color="auto"/>
          </w:divBdr>
        </w:div>
        <w:div w:id="954680475">
          <w:marLeft w:val="480"/>
          <w:marRight w:val="0"/>
          <w:marTop w:val="0"/>
          <w:marBottom w:val="0"/>
          <w:divBdr>
            <w:top w:val="none" w:sz="0" w:space="0" w:color="auto"/>
            <w:left w:val="none" w:sz="0" w:space="0" w:color="auto"/>
            <w:bottom w:val="none" w:sz="0" w:space="0" w:color="auto"/>
            <w:right w:val="none" w:sz="0" w:space="0" w:color="auto"/>
          </w:divBdr>
        </w:div>
        <w:div w:id="409737825">
          <w:marLeft w:val="480"/>
          <w:marRight w:val="0"/>
          <w:marTop w:val="0"/>
          <w:marBottom w:val="0"/>
          <w:divBdr>
            <w:top w:val="none" w:sz="0" w:space="0" w:color="auto"/>
            <w:left w:val="none" w:sz="0" w:space="0" w:color="auto"/>
            <w:bottom w:val="none" w:sz="0" w:space="0" w:color="auto"/>
            <w:right w:val="none" w:sz="0" w:space="0" w:color="auto"/>
          </w:divBdr>
        </w:div>
        <w:div w:id="271591652">
          <w:marLeft w:val="480"/>
          <w:marRight w:val="0"/>
          <w:marTop w:val="0"/>
          <w:marBottom w:val="0"/>
          <w:divBdr>
            <w:top w:val="none" w:sz="0" w:space="0" w:color="auto"/>
            <w:left w:val="none" w:sz="0" w:space="0" w:color="auto"/>
            <w:bottom w:val="none" w:sz="0" w:space="0" w:color="auto"/>
            <w:right w:val="none" w:sz="0" w:space="0" w:color="auto"/>
          </w:divBdr>
        </w:div>
        <w:div w:id="1023097946">
          <w:marLeft w:val="480"/>
          <w:marRight w:val="0"/>
          <w:marTop w:val="0"/>
          <w:marBottom w:val="0"/>
          <w:divBdr>
            <w:top w:val="none" w:sz="0" w:space="0" w:color="auto"/>
            <w:left w:val="none" w:sz="0" w:space="0" w:color="auto"/>
            <w:bottom w:val="none" w:sz="0" w:space="0" w:color="auto"/>
            <w:right w:val="none" w:sz="0" w:space="0" w:color="auto"/>
          </w:divBdr>
        </w:div>
        <w:div w:id="1669475809">
          <w:marLeft w:val="480"/>
          <w:marRight w:val="0"/>
          <w:marTop w:val="0"/>
          <w:marBottom w:val="0"/>
          <w:divBdr>
            <w:top w:val="none" w:sz="0" w:space="0" w:color="auto"/>
            <w:left w:val="none" w:sz="0" w:space="0" w:color="auto"/>
            <w:bottom w:val="none" w:sz="0" w:space="0" w:color="auto"/>
            <w:right w:val="none" w:sz="0" w:space="0" w:color="auto"/>
          </w:divBdr>
        </w:div>
        <w:div w:id="368997643">
          <w:marLeft w:val="480"/>
          <w:marRight w:val="0"/>
          <w:marTop w:val="0"/>
          <w:marBottom w:val="0"/>
          <w:divBdr>
            <w:top w:val="none" w:sz="0" w:space="0" w:color="auto"/>
            <w:left w:val="none" w:sz="0" w:space="0" w:color="auto"/>
            <w:bottom w:val="none" w:sz="0" w:space="0" w:color="auto"/>
            <w:right w:val="none" w:sz="0" w:space="0" w:color="auto"/>
          </w:divBdr>
        </w:div>
        <w:div w:id="1484350254">
          <w:marLeft w:val="480"/>
          <w:marRight w:val="0"/>
          <w:marTop w:val="0"/>
          <w:marBottom w:val="0"/>
          <w:divBdr>
            <w:top w:val="none" w:sz="0" w:space="0" w:color="auto"/>
            <w:left w:val="none" w:sz="0" w:space="0" w:color="auto"/>
            <w:bottom w:val="none" w:sz="0" w:space="0" w:color="auto"/>
            <w:right w:val="none" w:sz="0" w:space="0" w:color="auto"/>
          </w:divBdr>
        </w:div>
        <w:div w:id="2054690295">
          <w:marLeft w:val="480"/>
          <w:marRight w:val="0"/>
          <w:marTop w:val="0"/>
          <w:marBottom w:val="0"/>
          <w:divBdr>
            <w:top w:val="none" w:sz="0" w:space="0" w:color="auto"/>
            <w:left w:val="none" w:sz="0" w:space="0" w:color="auto"/>
            <w:bottom w:val="none" w:sz="0" w:space="0" w:color="auto"/>
            <w:right w:val="none" w:sz="0" w:space="0" w:color="auto"/>
          </w:divBdr>
        </w:div>
        <w:div w:id="574125075">
          <w:marLeft w:val="480"/>
          <w:marRight w:val="0"/>
          <w:marTop w:val="0"/>
          <w:marBottom w:val="0"/>
          <w:divBdr>
            <w:top w:val="none" w:sz="0" w:space="0" w:color="auto"/>
            <w:left w:val="none" w:sz="0" w:space="0" w:color="auto"/>
            <w:bottom w:val="none" w:sz="0" w:space="0" w:color="auto"/>
            <w:right w:val="none" w:sz="0" w:space="0" w:color="auto"/>
          </w:divBdr>
        </w:div>
        <w:div w:id="398676805">
          <w:marLeft w:val="480"/>
          <w:marRight w:val="0"/>
          <w:marTop w:val="0"/>
          <w:marBottom w:val="0"/>
          <w:divBdr>
            <w:top w:val="none" w:sz="0" w:space="0" w:color="auto"/>
            <w:left w:val="none" w:sz="0" w:space="0" w:color="auto"/>
            <w:bottom w:val="none" w:sz="0" w:space="0" w:color="auto"/>
            <w:right w:val="none" w:sz="0" w:space="0" w:color="auto"/>
          </w:divBdr>
        </w:div>
        <w:div w:id="775445137">
          <w:marLeft w:val="480"/>
          <w:marRight w:val="0"/>
          <w:marTop w:val="0"/>
          <w:marBottom w:val="0"/>
          <w:divBdr>
            <w:top w:val="none" w:sz="0" w:space="0" w:color="auto"/>
            <w:left w:val="none" w:sz="0" w:space="0" w:color="auto"/>
            <w:bottom w:val="none" w:sz="0" w:space="0" w:color="auto"/>
            <w:right w:val="none" w:sz="0" w:space="0" w:color="auto"/>
          </w:divBdr>
        </w:div>
        <w:div w:id="283273955">
          <w:marLeft w:val="480"/>
          <w:marRight w:val="0"/>
          <w:marTop w:val="0"/>
          <w:marBottom w:val="0"/>
          <w:divBdr>
            <w:top w:val="none" w:sz="0" w:space="0" w:color="auto"/>
            <w:left w:val="none" w:sz="0" w:space="0" w:color="auto"/>
            <w:bottom w:val="none" w:sz="0" w:space="0" w:color="auto"/>
            <w:right w:val="none" w:sz="0" w:space="0" w:color="auto"/>
          </w:divBdr>
        </w:div>
        <w:div w:id="714887479">
          <w:marLeft w:val="480"/>
          <w:marRight w:val="0"/>
          <w:marTop w:val="0"/>
          <w:marBottom w:val="0"/>
          <w:divBdr>
            <w:top w:val="none" w:sz="0" w:space="0" w:color="auto"/>
            <w:left w:val="none" w:sz="0" w:space="0" w:color="auto"/>
            <w:bottom w:val="none" w:sz="0" w:space="0" w:color="auto"/>
            <w:right w:val="none" w:sz="0" w:space="0" w:color="auto"/>
          </w:divBdr>
        </w:div>
        <w:div w:id="1332175578">
          <w:marLeft w:val="480"/>
          <w:marRight w:val="0"/>
          <w:marTop w:val="0"/>
          <w:marBottom w:val="0"/>
          <w:divBdr>
            <w:top w:val="none" w:sz="0" w:space="0" w:color="auto"/>
            <w:left w:val="none" w:sz="0" w:space="0" w:color="auto"/>
            <w:bottom w:val="none" w:sz="0" w:space="0" w:color="auto"/>
            <w:right w:val="none" w:sz="0" w:space="0" w:color="auto"/>
          </w:divBdr>
        </w:div>
        <w:div w:id="1867715651">
          <w:marLeft w:val="480"/>
          <w:marRight w:val="0"/>
          <w:marTop w:val="0"/>
          <w:marBottom w:val="0"/>
          <w:divBdr>
            <w:top w:val="none" w:sz="0" w:space="0" w:color="auto"/>
            <w:left w:val="none" w:sz="0" w:space="0" w:color="auto"/>
            <w:bottom w:val="none" w:sz="0" w:space="0" w:color="auto"/>
            <w:right w:val="none" w:sz="0" w:space="0" w:color="auto"/>
          </w:divBdr>
        </w:div>
        <w:div w:id="1583949255">
          <w:marLeft w:val="480"/>
          <w:marRight w:val="0"/>
          <w:marTop w:val="0"/>
          <w:marBottom w:val="0"/>
          <w:divBdr>
            <w:top w:val="none" w:sz="0" w:space="0" w:color="auto"/>
            <w:left w:val="none" w:sz="0" w:space="0" w:color="auto"/>
            <w:bottom w:val="none" w:sz="0" w:space="0" w:color="auto"/>
            <w:right w:val="none" w:sz="0" w:space="0" w:color="auto"/>
          </w:divBdr>
        </w:div>
        <w:div w:id="1621301493">
          <w:marLeft w:val="480"/>
          <w:marRight w:val="0"/>
          <w:marTop w:val="0"/>
          <w:marBottom w:val="0"/>
          <w:divBdr>
            <w:top w:val="none" w:sz="0" w:space="0" w:color="auto"/>
            <w:left w:val="none" w:sz="0" w:space="0" w:color="auto"/>
            <w:bottom w:val="none" w:sz="0" w:space="0" w:color="auto"/>
            <w:right w:val="none" w:sz="0" w:space="0" w:color="auto"/>
          </w:divBdr>
        </w:div>
      </w:divsChild>
    </w:div>
    <w:div w:id="2024701145">
      <w:bodyDiv w:val="1"/>
      <w:marLeft w:val="0"/>
      <w:marRight w:val="0"/>
      <w:marTop w:val="0"/>
      <w:marBottom w:val="0"/>
      <w:divBdr>
        <w:top w:val="none" w:sz="0" w:space="0" w:color="auto"/>
        <w:left w:val="none" w:sz="0" w:space="0" w:color="auto"/>
        <w:bottom w:val="none" w:sz="0" w:space="0" w:color="auto"/>
        <w:right w:val="none" w:sz="0" w:space="0" w:color="auto"/>
      </w:divBdr>
    </w:div>
    <w:div w:id="2039119764">
      <w:bodyDiv w:val="1"/>
      <w:marLeft w:val="0"/>
      <w:marRight w:val="0"/>
      <w:marTop w:val="0"/>
      <w:marBottom w:val="0"/>
      <w:divBdr>
        <w:top w:val="none" w:sz="0" w:space="0" w:color="auto"/>
        <w:left w:val="none" w:sz="0" w:space="0" w:color="auto"/>
        <w:bottom w:val="none" w:sz="0" w:space="0" w:color="auto"/>
        <w:right w:val="none" w:sz="0" w:space="0" w:color="auto"/>
      </w:divBdr>
    </w:div>
    <w:div w:id="2048329876">
      <w:bodyDiv w:val="1"/>
      <w:marLeft w:val="0"/>
      <w:marRight w:val="0"/>
      <w:marTop w:val="0"/>
      <w:marBottom w:val="0"/>
      <w:divBdr>
        <w:top w:val="none" w:sz="0" w:space="0" w:color="auto"/>
        <w:left w:val="none" w:sz="0" w:space="0" w:color="auto"/>
        <w:bottom w:val="none" w:sz="0" w:space="0" w:color="auto"/>
        <w:right w:val="none" w:sz="0" w:space="0" w:color="auto"/>
      </w:divBdr>
    </w:div>
    <w:div w:id="2056540921">
      <w:bodyDiv w:val="1"/>
      <w:marLeft w:val="0"/>
      <w:marRight w:val="0"/>
      <w:marTop w:val="0"/>
      <w:marBottom w:val="0"/>
      <w:divBdr>
        <w:top w:val="none" w:sz="0" w:space="0" w:color="auto"/>
        <w:left w:val="none" w:sz="0" w:space="0" w:color="auto"/>
        <w:bottom w:val="none" w:sz="0" w:space="0" w:color="auto"/>
        <w:right w:val="none" w:sz="0" w:space="0" w:color="auto"/>
      </w:divBdr>
    </w:div>
    <w:div w:id="2058892738">
      <w:bodyDiv w:val="1"/>
      <w:marLeft w:val="0"/>
      <w:marRight w:val="0"/>
      <w:marTop w:val="0"/>
      <w:marBottom w:val="0"/>
      <w:divBdr>
        <w:top w:val="none" w:sz="0" w:space="0" w:color="auto"/>
        <w:left w:val="none" w:sz="0" w:space="0" w:color="auto"/>
        <w:bottom w:val="none" w:sz="0" w:space="0" w:color="auto"/>
        <w:right w:val="none" w:sz="0" w:space="0" w:color="auto"/>
      </w:divBdr>
    </w:div>
    <w:div w:id="2080321041">
      <w:bodyDiv w:val="1"/>
      <w:marLeft w:val="0"/>
      <w:marRight w:val="0"/>
      <w:marTop w:val="0"/>
      <w:marBottom w:val="0"/>
      <w:divBdr>
        <w:top w:val="none" w:sz="0" w:space="0" w:color="auto"/>
        <w:left w:val="none" w:sz="0" w:space="0" w:color="auto"/>
        <w:bottom w:val="none" w:sz="0" w:space="0" w:color="auto"/>
        <w:right w:val="none" w:sz="0" w:space="0" w:color="auto"/>
      </w:divBdr>
    </w:div>
    <w:div w:id="2084451630">
      <w:bodyDiv w:val="1"/>
      <w:marLeft w:val="0"/>
      <w:marRight w:val="0"/>
      <w:marTop w:val="0"/>
      <w:marBottom w:val="0"/>
      <w:divBdr>
        <w:top w:val="none" w:sz="0" w:space="0" w:color="auto"/>
        <w:left w:val="none" w:sz="0" w:space="0" w:color="auto"/>
        <w:bottom w:val="none" w:sz="0" w:space="0" w:color="auto"/>
        <w:right w:val="none" w:sz="0" w:space="0" w:color="auto"/>
      </w:divBdr>
    </w:div>
    <w:div w:id="2092776366">
      <w:bodyDiv w:val="1"/>
      <w:marLeft w:val="0"/>
      <w:marRight w:val="0"/>
      <w:marTop w:val="0"/>
      <w:marBottom w:val="0"/>
      <w:divBdr>
        <w:top w:val="none" w:sz="0" w:space="0" w:color="auto"/>
        <w:left w:val="none" w:sz="0" w:space="0" w:color="auto"/>
        <w:bottom w:val="none" w:sz="0" w:space="0" w:color="auto"/>
        <w:right w:val="none" w:sz="0" w:space="0" w:color="auto"/>
      </w:divBdr>
    </w:div>
    <w:div w:id="2095584251">
      <w:bodyDiv w:val="1"/>
      <w:marLeft w:val="0"/>
      <w:marRight w:val="0"/>
      <w:marTop w:val="0"/>
      <w:marBottom w:val="0"/>
      <w:divBdr>
        <w:top w:val="none" w:sz="0" w:space="0" w:color="auto"/>
        <w:left w:val="none" w:sz="0" w:space="0" w:color="auto"/>
        <w:bottom w:val="none" w:sz="0" w:space="0" w:color="auto"/>
        <w:right w:val="none" w:sz="0" w:space="0" w:color="auto"/>
      </w:divBdr>
    </w:div>
    <w:div w:id="2117865740">
      <w:bodyDiv w:val="1"/>
      <w:marLeft w:val="0"/>
      <w:marRight w:val="0"/>
      <w:marTop w:val="0"/>
      <w:marBottom w:val="0"/>
      <w:divBdr>
        <w:top w:val="none" w:sz="0" w:space="0" w:color="auto"/>
        <w:left w:val="none" w:sz="0" w:space="0" w:color="auto"/>
        <w:bottom w:val="none" w:sz="0" w:space="0" w:color="auto"/>
        <w:right w:val="none" w:sz="0" w:space="0" w:color="auto"/>
      </w:divBdr>
    </w:div>
    <w:div w:id="2129350616">
      <w:bodyDiv w:val="1"/>
      <w:marLeft w:val="0"/>
      <w:marRight w:val="0"/>
      <w:marTop w:val="0"/>
      <w:marBottom w:val="0"/>
      <w:divBdr>
        <w:top w:val="none" w:sz="0" w:space="0" w:color="auto"/>
        <w:left w:val="none" w:sz="0" w:space="0" w:color="auto"/>
        <w:bottom w:val="none" w:sz="0" w:space="0" w:color="auto"/>
        <w:right w:val="none" w:sz="0" w:space="0" w:color="auto"/>
      </w:divBdr>
    </w:div>
    <w:div w:id="2134862348">
      <w:bodyDiv w:val="1"/>
      <w:marLeft w:val="0"/>
      <w:marRight w:val="0"/>
      <w:marTop w:val="0"/>
      <w:marBottom w:val="0"/>
      <w:divBdr>
        <w:top w:val="none" w:sz="0" w:space="0" w:color="auto"/>
        <w:left w:val="none" w:sz="0" w:space="0" w:color="auto"/>
        <w:bottom w:val="none" w:sz="0" w:space="0" w:color="auto"/>
        <w:right w:val="none" w:sz="0" w:space="0" w:color="auto"/>
      </w:divBdr>
    </w:div>
    <w:div w:id="21365548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footer" Target="footer9.xml"/><Relationship Id="rId39" Type="http://schemas.openxmlformats.org/officeDocument/2006/relationships/footer" Target="footer14.xml"/><Relationship Id="rId21" Type="http://schemas.openxmlformats.org/officeDocument/2006/relationships/header" Target="header7.xml"/><Relationship Id="rId34" Type="http://schemas.openxmlformats.org/officeDocument/2006/relationships/image" Target="media/image3.jpeg"/><Relationship Id="rId42" Type="http://schemas.openxmlformats.org/officeDocument/2006/relationships/image" Target="media/image5.jpeg"/><Relationship Id="rId47" Type="http://schemas.openxmlformats.org/officeDocument/2006/relationships/header" Target="header18.xml"/><Relationship Id="rId50" Type="http://schemas.openxmlformats.org/officeDocument/2006/relationships/image" Target="media/image7.jpeg"/><Relationship Id="rId55"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header" Target="header11.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eader" Target="header12.xml"/><Relationship Id="rId37" Type="http://schemas.openxmlformats.org/officeDocument/2006/relationships/header" Target="header14.xml"/><Relationship Id="rId40" Type="http://schemas.openxmlformats.org/officeDocument/2006/relationships/header" Target="header15.xml"/><Relationship Id="rId45" Type="http://schemas.openxmlformats.org/officeDocument/2006/relationships/footer" Target="footer16.xml"/><Relationship Id="rId53" Type="http://schemas.openxmlformats.org/officeDocument/2006/relationships/header" Target="header20.xm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image" Target="media/image2.jpeg"/><Relationship Id="rId30" Type="http://schemas.openxmlformats.org/officeDocument/2006/relationships/footer" Target="footer10.xml"/><Relationship Id="rId35" Type="http://schemas.openxmlformats.org/officeDocument/2006/relationships/image" Target="media/image4.jpeg"/><Relationship Id="rId43" Type="http://schemas.openxmlformats.org/officeDocument/2006/relationships/header" Target="header16.xml"/><Relationship Id="rId48" Type="http://schemas.openxmlformats.org/officeDocument/2006/relationships/footer" Target="footer18.xml"/><Relationship Id="rId56" Type="http://schemas.openxmlformats.org/officeDocument/2006/relationships/header" Target="header21.xml"/><Relationship Id="rId8" Type="http://schemas.openxmlformats.org/officeDocument/2006/relationships/header" Target="header1.xml"/><Relationship Id="rId51" Type="http://schemas.openxmlformats.org/officeDocument/2006/relationships/image" Target="media/image8.jpe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eader" Target="header9.xml"/><Relationship Id="rId33" Type="http://schemas.openxmlformats.org/officeDocument/2006/relationships/footer" Target="footer12.xml"/><Relationship Id="rId38" Type="http://schemas.openxmlformats.org/officeDocument/2006/relationships/footer" Target="footer13.xml"/><Relationship Id="rId46" Type="http://schemas.openxmlformats.org/officeDocument/2006/relationships/footer" Target="footer17.xml"/><Relationship Id="rId59" Type="http://schemas.openxmlformats.org/officeDocument/2006/relationships/glossaryDocument" Target="glossary/document.xml"/><Relationship Id="rId20" Type="http://schemas.openxmlformats.org/officeDocument/2006/relationships/image" Target="media/image1.jpeg"/><Relationship Id="rId41" Type="http://schemas.openxmlformats.org/officeDocument/2006/relationships/footer" Target="footer15.xml"/><Relationship Id="rId54"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7.xml"/><Relationship Id="rId28" Type="http://schemas.openxmlformats.org/officeDocument/2006/relationships/header" Target="header10.xml"/><Relationship Id="rId36" Type="http://schemas.openxmlformats.org/officeDocument/2006/relationships/header" Target="header13.xml"/><Relationship Id="rId49" Type="http://schemas.openxmlformats.org/officeDocument/2006/relationships/image" Target="media/image6.jpg"/><Relationship Id="rId57" Type="http://schemas.openxmlformats.org/officeDocument/2006/relationships/footer" Target="footer21.xml"/><Relationship Id="rId10" Type="http://schemas.openxmlformats.org/officeDocument/2006/relationships/footer" Target="footer1.xml"/><Relationship Id="rId31" Type="http://schemas.openxmlformats.org/officeDocument/2006/relationships/footer" Target="footer11.xml"/><Relationship Id="rId44" Type="http://schemas.openxmlformats.org/officeDocument/2006/relationships/header" Target="header17.xml"/><Relationship Id="rId52" Type="http://schemas.openxmlformats.org/officeDocument/2006/relationships/header" Target="header19.xml"/><Relationship Id="rId6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AF880B09-C831-4A09-96A4-E9EFBD5968C2}"/>
      </w:docPartPr>
      <w:docPartBody>
        <w:p w:rsidR="009B01D8" w:rsidRDefault="00287F26">
          <w:r w:rsidRPr="00BC4F47">
            <w:rPr>
              <w:rStyle w:val="PlaceholderText"/>
            </w:rPr>
            <w:t>Click or tap here to enter text.</w:t>
          </w:r>
        </w:p>
      </w:docPartBody>
    </w:docPart>
    <w:docPart>
      <w:docPartPr>
        <w:name w:val="C2D7E3EF0FF84A948CF14E23ED4453C6"/>
        <w:category>
          <w:name w:val="General"/>
          <w:gallery w:val="placeholder"/>
        </w:category>
        <w:types>
          <w:type w:val="bbPlcHdr"/>
        </w:types>
        <w:behaviors>
          <w:behavior w:val="content"/>
        </w:behaviors>
        <w:guid w:val="{40B63BDB-E749-4199-A091-37BC49FAFA50}"/>
      </w:docPartPr>
      <w:docPartBody>
        <w:p w:rsidR="00FC251A" w:rsidRDefault="00AC4B22" w:rsidP="00AC4B22">
          <w:pPr>
            <w:pStyle w:val="C2D7E3EF0FF84A948CF14E23ED4453C6"/>
          </w:pPr>
          <w:r>
            <w:rPr>
              <w:rStyle w:val="PlaceholderText"/>
            </w:rPr>
            <w:t>Click or tap here to enter text.</w:t>
          </w:r>
        </w:p>
      </w:docPartBody>
    </w:docPart>
    <w:docPart>
      <w:docPartPr>
        <w:name w:val="FBF8719A39174B0790287A5AB59EF9D3"/>
        <w:category>
          <w:name w:val="General"/>
          <w:gallery w:val="placeholder"/>
        </w:category>
        <w:types>
          <w:type w:val="bbPlcHdr"/>
        </w:types>
        <w:behaviors>
          <w:behavior w:val="content"/>
        </w:behaviors>
        <w:guid w:val="{CAE0AD83-B294-41DD-BF36-21D77AA67496}"/>
      </w:docPartPr>
      <w:docPartBody>
        <w:p w:rsidR="00FC251A" w:rsidRDefault="00AC4B22" w:rsidP="00AC4B22">
          <w:pPr>
            <w:pStyle w:val="FBF8719A39174B0790287A5AB59EF9D3"/>
          </w:pPr>
          <w:r>
            <w:rPr>
              <w:rStyle w:val="PlaceholderText"/>
            </w:rPr>
            <w:t>Click or tap here to enter text.</w:t>
          </w:r>
        </w:p>
      </w:docPartBody>
    </w:docPart>
    <w:docPart>
      <w:docPartPr>
        <w:name w:val="0D17F5D830E54A9EAE684E245B05A6FE"/>
        <w:category>
          <w:name w:val="General"/>
          <w:gallery w:val="placeholder"/>
        </w:category>
        <w:types>
          <w:type w:val="bbPlcHdr"/>
        </w:types>
        <w:behaviors>
          <w:behavior w:val="content"/>
        </w:behaviors>
        <w:guid w:val="{D630C4AB-E71E-49EE-9CEF-051B421A15A2}"/>
      </w:docPartPr>
      <w:docPartBody>
        <w:p w:rsidR="00FC251A" w:rsidRDefault="00AC4B22" w:rsidP="00AC4B22">
          <w:pPr>
            <w:pStyle w:val="0D17F5D830E54A9EAE684E245B05A6FE"/>
          </w:pPr>
          <w:r>
            <w:rPr>
              <w:rStyle w:val="PlaceholderText"/>
            </w:rPr>
            <w:t>Click or tap here to enter text.</w:t>
          </w:r>
        </w:p>
      </w:docPartBody>
    </w:docPart>
    <w:docPart>
      <w:docPartPr>
        <w:name w:val="61EE6F65F266422092C91D0A0EF21CA8"/>
        <w:category>
          <w:name w:val="General"/>
          <w:gallery w:val="placeholder"/>
        </w:category>
        <w:types>
          <w:type w:val="bbPlcHdr"/>
        </w:types>
        <w:behaviors>
          <w:behavior w:val="content"/>
        </w:behaviors>
        <w:guid w:val="{8CFA09A0-51D9-43E9-9AC5-5AB7F3EE8D21}"/>
      </w:docPartPr>
      <w:docPartBody>
        <w:p w:rsidR="00FC251A" w:rsidRDefault="00AC4B22" w:rsidP="00AC4B22">
          <w:pPr>
            <w:pStyle w:val="61EE6F65F266422092C91D0A0EF21CA8"/>
          </w:pPr>
          <w:r>
            <w:rPr>
              <w:rStyle w:val="PlaceholderText"/>
            </w:rPr>
            <w:t>Click or tap here to enter text.</w:t>
          </w:r>
        </w:p>
      </w:docPartBody>
    </w:docPart>
    <w:docPart>
      <w:docPartPr>
        <w:name w:val="F75172BE99924695A5E91A6A5E4A70CE"/>
        <w:category>
          <w:name w:val="General"/>
          <w:gallery w:val="placeholder"/>
        </w:category>
        <w:types>
          <w:type w:val="bbPlcHdr"/>
        </w:types>
        <w:behaviors>
          <w:behavior w:val="content"/>
        </w:behaviors>
        <w:guid w:val="{FE290EAD-89D1-4325-B867-2848F0A35C27}"/>
      </w:docPartPr>
      <w:docPartBody>
        <w:p w:rsidR="00FC251A" w:rsidRDefault="00AC4B22" w:rsidP="00AC4B22">
          <w:pPr>
            <w:pStyle w:val="F75172BE99924695A5E91A6A5E4A70CE"/>
          </w:pPr>
          <w:r w:rsidRPr="00BC4F47">
            <w:rPr>
              <w:rStyle w:val="PlaceholderText"/>
            </w:rPr>
            <w:t>Click or tap here to enter text.</w:t>
          </w:r>
        </w:p>
      </w:docPartBody>
    </w:docPart>
    <w:docPart>
      <w:docPartPr>
        <w:name w:val="5707BC53D2B44375BDC1F30E24B82163"/>
        <w:category>
          <w:name w:val="General"/>
          <w:gallery w:val="placeholder"/>
        </w:category>
        <w:types>
          <w:type w:val="bbPlcHdr"/>
        </w:types>
        <w:behaviors>
          <w:behavior w:val="content"/>
        </w:behaviors>
        <w:guid w:val="{C3BA480E-4E64-46D4-BE00-47C12856452B}"/>
      </w:docPartPr>
      <w:docPartBody>
        <w:p w:rsidR="00FC251A" w:rsidRDefault="00AC4B22" w:rsidP="00AC4B22">
          <w:pPr>
            <w:pStyle w:val="5707BC53D2B44375BDC1F30E24B82163"/>
          </w:pPr>
          <w:r w:rsidRPr="00BC4F47">
            <w:rPr>
              <w:rStyle w:val="PlaceholderText"/>
            </w:rPr>
            <w:t>Click or tap here to enter text.</w:t>
          </w:r>
        </w:p>
      </w:docPartBody>
    </w:docPart>
    <w:docPart>
      <w:docPartPr>
        <w:name w:val="947F6DEE80A4451AA926C68F27F0BF02"/>
        <w:category>
          <w:name w:val="General"/>
          <w:gallery w:val="placeholder"/>
        </w:category>
        <w:types>
          <w:type w:val="bbPlcHdr"/>
        </w:types>
        <w:behaviors>
          <w:behavior w:val="content"/>
        </w:behaviors>
        <w:guid w:val="{7F3B9406-7BFB-49D8-B426-AE0A442660C2}"/>
      </w:docPartPr>
      <w:docPartBody>
        <w:p w:rsidR="00FC251A" w:rsidRDefault="00AC4B22" w:rsidP="00AC4B22">
          <w:pPr>
            <w:pStyle w:val="947F6DEE80A4451AA926C68F27F0BF02"/>
          </w:pPr>
          <w:r w:rsidRPr="00BC4F47">
            <w:rPr>
              <w:rStyle w:val="PlaceholderText"/>
            </w:rPr>
            <w:t>Click or tap here to enter text.</w:t>
          </w:r>
        </w:p>
      </w:docPartBody>
    </w:docPart>
    <w:docPart>
      <w:docPartPr>
        <w:name w:val="3EBD73E00D0945F5B53BC47C46361231"/>
        <w:category>
          <w:name w:val="General"/>
          <w:gallery w:val="placeholder"/>
        </w:category>
        <w:types>
          <w:type w:val="bbPlcHdr"/>
        </w:types>
        <w:behaviors>
          <w:behavior w:val="content"/>
        </w:behaviors>
        <w:guid w:val="{5534121C-88B7-4E79-A0EE-DD7D883DAEBC}"/>
      </w:docPartPr>
      <w:docPartBody>
        <w:p w:rsidR="00FC251A" w:rsidRDefault="00AC4B22" w:rsidP="00AC4B22">
          <w:pPr>
            <w:pStyle w:val="3EBD73E00D0945F5B53BC47C46361231"/>
          </w:pPr>
          <w:r w:rsidRPr="00BC4F4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206030504050203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SC Regular">
    <w:altName w:val="Segoe Print"/>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F26"/>
    <w:rsid w:val="00012D56"/>
    <w:rsid w:val="000909DB"/>
    <w:rsid w:val="000A289C"/>
    <w:rsid w:val="000E54F9"/>
    <w:rsid w:val="001102AC"/>
    <w:rsid w:val="00215038"/>
    <w:rsid w:val="00233B27"/>
    <w:rsid w:val="00282F67"/>
    <w:rsid w:val="00287F26"/>
    <w:rsid w:val="00362B15"/>
    <w:rsid w:val="00382B87"/>
    <w:rsid w:val="00402D0A"/>
    <w:rsid w:val="0045696D"/>
    <w:rsid w:val="00463885"/>
    <w:rsid w:val="004A7253"/>
    <w:rsid w:val="00560C3E"/>
    <w:rsid w:val="00592005"/>
    <w:rsid w:val="005A6E7F"/>
    <w:rsid w:val="00612C5B"/>
    <w:rsid w:val="00652CB5"/>
    <w:rsid w:val="0066260D"/>
    <w:rsid w:val="00687F37"/>
    <w:rsid w:val="00700D23"/>
    <w:rsid w:val="007228DC"/>
    <w:rsid w:val="00765B81"/>
    <w:rsid w:val="008115DA"/>
    <w:rsid w:val="00811B51"/>
    <w:rsid w:val="008A3BF3"/>
    <w:rsid w:val="008B7C26"/>
    <w:rsid w:val="008D2F1A"/>
    <w:rsid w:val="00933B80"/>
    <w:rsid w:val="009B01D8"/>
    <w:rsid w:val="00A128BF"/>
    <w:rsid w:val="00A85CC7"/>
    <w:rsid w:val="00AC44DB"/>
    <w:rsid w:val="00AC4B22"/>
    <w:rsid w:val="00B46639"/>
    <w:rsid w:val="00B47C8F"/>
    <w:rsid w:val="00BD2382"/>
    <w:rsid w:val="00C73F32"/>
    <w:rsid w:val="00CC6BE9"/>
    <w:rsid w:val="00CD1E6D"/>
    <w:rsid w:val="00CE74A5"/>
    <w:rsid w:val="00D10B72"/>
    <w:rsid w:val="00D81095"/>
    <w:rsid w:val="00E55FBC"/>
    <w:rsid w:val="00EC1820"/>
    <w:rsid w:val="00ED7620"/>
    <w:rsid w:val="00F52AE1"/>
    <w:rsid w:val="00FC251A"/>
    <w:rsid w:val="00FF0E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qFormat/>
    <w:rsid w:val="00215038"/>
    <w:rPr>
      <w:color w:val="666666"/>
    </w:rPr>
  </w:style>
  <w:style w:type="paragraph" w:customStyle="1" w:styleId="C2D7E3EF0FF84A948CF14E23ED4453C6">
    <w:name w:val="C2D7E3EF0FF84A948CF14E23ED4453C6"/>
    <w:rsid w:val="00AC4B22"/>
    <w:pPr>
      <w:spacing w:line="278" w:lineRule="auto"/>
    </w:pPr>
    <w:rPr>
      <w:kern w:val="2"/>
      <w:sz w:val="24"/>
      <w:szCs w:val="24"/>
      <w:lang w:val="en-US" w:eastAsia="en-US"/>
      <w14:ligatures w14:val="standardContextual"/>
    </w:rPr>
  </w:style>
  <w:style w:type="paragraph" w:customStyle="1" w:styleId="FBF8719A39174B0790287A5AB59EF9D3">
    <w:name w:val="FBF8719A39174B0790287A5AB59EF9D3"/>
    <w:rsid w:val="00AC4B22"/>
    <w:pPr>
      <w:spacing w:line="278" w:lineRule="auto"/>
    </w:pPr>
    <w:rPr>
      <w:kern w:val="2"/>
      <w:sz w:val="24"/>
      <w:szCs w:val="24"/>
      <w:lang w:val="en-US" w:eastAsia="en-US"/>
      <w14:ligatures w14:val="standardContextual"/>
    </w:rPr>
  </w:style>
  <w:style w:type="paragraph" w:customStyle="1" w:styleId="0D17F5D830E54A9EAE684E245B05A6FE">
    <w:name w:val="0D17F5D830E54A9EAE684E245B05A6FE"/>
    <w:rsid w:val="00AC4B22"/>
    <w:pPr>
      <w:spacing w:line="278" w:lineRule="auto"/>
    </w:pPr>
    <w:rPr>
      <w:kern w:val="2"/>
      <w:sz w:val="24"/>
      <w:szCs w:val="24"/>
      <w:lang w:val="en-US" w:eastAsia="en-US"/>
      <w14:ligatures w14:val="standardContextual"/>
    </w:rPr>
  </w:style>
  <w:style w:type="paragraph" w:customStyle="1" w:styleId="61EE6F65F266422092C91D0A0EF21CA8">
    <w:name w:val="61EE6F65F266422092C91D0A0EF21CA8"/>
    <w:rsid w:val="00AC4B22"/>
    <w:pPr>
      <w:spacing w:line="278" w:lineRule="auto"/>
    </w:pPr>
    <w:rPr>
      <w:kern w:val="2"/>
      <w:sz w:val="24"/>
      <w:szCs w:val="24"/>
      <w:lang w:val="en-US" w:eastAsia="en-US"/>
      <w14:ligatures w14:val="standardContextual"/>
    </w:rPr>
  </w:style>
  <w:style w:type="paragraph" w:customStyle="1" w:styleId="F75172BE99924695A5E91A6A5E4A70CE">
    <w:name w:val="F75172BE99924695A5E91A6A5E4A70CE"/>
    <w:rsid w:val="00AC4B22"/>
    <w:pPr>
      <w:spacing w:line="278" w:lineRule="auto"/>
    </w:pPr>
    <w:rPr>
      <w:kern w:val="2"/>
      <w:sz w:val="24"/>
      <w:szCs w:val="24"/>
      <w:lang w:val="en-US" w:eastAsia="en-US"/>
      <w14:ligatures w14:val="standardContextual"/>
    </w:rPr>
  </w:style>
  <w:style w:type="paragraph" w:customStyle="1" w:styleId="5707BC53D2B44375BDC1F30E24B82163">
    <w:name w:val="5707BC53D2B44375BDC1F30E24B82163"/>
    <w:rsid w:val="00AC4B22"/>
    <w:pPr>
      <w:spacing w:line="278" w:lineRule="auto"/>
    </w:pPr>
    <w:rPr>
      <w:kern w:val="2"/>
      <w:sz w:val="24"/>
      <w:szCs w:val="24"/>
      <w:lang w:val="en-US" w:eastAsia="en-US"/>
      <w14:ligatures w14:val="standardContextual"/>
    </w:rPr>
  </w:style>
  <w:style w:type="paragraph" w:customStyle="1" w:styleId="947F6DEE80A4451AA926C68F27F0BF02">
    <w:name w:val="947F6DEE80A4451AA926C68F27F0BF02"/>
    <w:rsid w:val="00AC4B22"/>
    <w:pPr>
      <w:spacing w:line="278" w:lineRule="auto"/>
    </w:pPr>
    <w:rPr>
      <w:kern w:val="2"/>
      <w:sz w:val="24"/>
      <w:szCs w:val="24"/>
      <w:lang w:val="en-US" w:eastAsia="en-US"/>
      <w14:ligatures w14:val="standardContextual"/>
    </w:rPr>
  </w:style>
  <w:style w:type="paragraph" w:customStyle="1" w:styleId="3EBD73E00D0945F5B53BC47C46361231">
    <w:name w:val="3EBD73E00D0945F5B53BC47C46361231"/>
    <w:rsid w:val="00AC4B22"/>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ホワイト">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majorFont>
      <a:minorFont>
        <a:latin typeface="Century"/>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2EACF1F-02F6-4A11-B554-CF1668AD18DA}">
  <we:reference id="wa104382081" version="1.55.1.0" store="es-HN" storeType="OMEX"/>
  <we:alternateReferences>
    <we:reference id="WA104382081" version="1.55.1.0" store="" storeType="OMEX"/>
  </we:alternateReferences>
  <we:properties>
    <we:property name="MENDELEY_BIBLIOGRAPHY_IS_DIRTY" value="false"/>
    <we:property name="MENDELEY_BIBLIOGRAPHY_LAST_MODIFIED" value="1769711684792"/>
    <we:property name="MENDELEY_CITATIONS" value="[{&quot;citationID&quot;:&quot;MENDELEY_CITATION_de58dd8c-ccee-42aa-b11b-ae20935ce540&quot;,&quot;properties&quot;:{&quot;noteIndex&quot;:0},&quot;isEdited&quot;:false,&quot;manualOverride&quot;:{&quot;isManuallyOverridden&quot;:false,&quot;citeprocText&quot;:&quot;(Bird et al. 2015; Zeng et al. 2018; Viveros et al. 2019; Ziebarth et al. 2020)&quot;,&quot;manualOverrideText&quot;:&quot;&quot;},&quot;citationTag&quot;:&quot;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&quot;,&quot;citationItems&quot;:[{&quot;id&quot;:&quot;452de5b9-f23c-3afd-8d20-cfc15697e659&quot;,&quot;itemData&quot;:{&quot;type&quot;:&quot;article-journal&quot;,&quot;id&quot;:&quot;452de5b9-f23c-3afd-8d20-cfc15697e659&quot;,&quot;title&quot;:&quot;Earthquake Potential in California-Nevada Implied by Correlation of Strain Rate and Seismicity&quot;,&quot;author&quot;:[{&quot;family&quot;:&quot;Zeng&quot;,&quot;given&quot;:&quot;Yuehua&quot;,&quot;parse-names&quot;:false,&quot;dropping-particle&quot;:&quot;&quot;,&quot;non-dropping-particle&quot;:&quot;&quot;},{&quot;family&quot;:&quot;Petersen&quot;,&quot;given&quot;:&quot;Mark D.&quot;,&quot;parse-names&quot;:false,&quot;dropping-particle&quot;:&quot;&quot;,&quot;non-dropping-particle&quot;:&quot;&quot;},{&quot;family&quot;:&quot;Shen&quot;,&quot;given&quot;:&quot;Zheng Kang&quot;,&quot;parse-names&quot;:false,&quot;dropping-particle&quot;:&quot;&quot;,&quot;non-dropping-particle&quot;:&quot;&quot;}],&quot;container-title&quot;:&quot;Geophysical Research Letters&quot;,&quot;DOI&quot;:&quot;10.1002/2017GL075967&quot;,&quot;ISSN&quot;:&quot;19448007&quot;,&quot;issued&quot;:{&quot;date-parts&quot;:[[2018,2,28]]},&quot;page&quot;:&quot;1778-1785&quot;,&quot;abstract&quot;:&quot;Rock mechanics studies and dynamic earthquake simulations show that patterns of seismicity evolve with time through (1) accumulation phase, (2) localization phase, and (3) rupture phase. We observe a similar pattern of changes in seismicity during the past century across California and Nevada. To quantify these changes, we correlate GPS strain rates with seismicity. Earthquakes of M  6.5 are collocated with regions of highest strain rates. By contrast, smaller magnitude earthquakes of M ≥ 4 show clear spatiotemporal changes. From 1933 to the late 1980s, earthquakes of M ≥ 4 were more diffused and broadly distributed in both high and low strain rate regions (accumulation phase). From the late 1980s to 2016, earthquakes were more concentrated within the high strain rate areas focused on the major fault strands (localization phase). In the same time period, the rate of M  6.5 events also increased significantly in the high strain rate areas. The strong correlation between current strain rate and the later period of seismicity indicates that seismicity is closely related to the strain rate. The spatial patterns suggest that before the late 1980s, the strain rate field was also broadly distributed because of the stress shadows from previous large earthquakes. As the deformation field evolved out of the shadow in the late 1980s, strain has refocused on the major fault systems and we are entering a period of increased risk for large earthquakes in California.&quot;,&quot;publisher&quot;:&quot;Blackwell Publishing Ltd&quot;,&quot;issue&quot;:&quot;4&quot;,&quot;volume&quot;:&quot;45&quot;,&quot;container-title-short&quot;:&quot;Geophys. Res. Lett.&quot;},&quot;isTemporary&quot;:false},{&quot;id&quot;:&quot;be9df190-a510-318b-85db-cfaacbc9604b&quot;,&quot;itemData&quot;:{&quot;type&quot;:&quot;article-journal&quot;,&quot;id&quot;:&quot;be9df190-a510-318b-85db-cfaacbc9604b&quot;,&quot;title&quot;:&quot;GEAR1: A global earthquake activity rate model constructed from geodetic strain rates and smoothed seismicity&quot;,&quot;author&quot;:[{&quot;family&quot;:&quot;Bird&quot;,&quot;given&quot;:&quot;P.&quot;,&quot;parse-names&quot;:false,&quot;dropping-particle&quot;:&quot;&quot;,&quot;non-dropping-particle&quot;:&quot;&quot;},{&quot;family&quot;:&quot;Jackson&quot;,&quot;given&quot;:&quot;D. D.&quot;,&quot;parse-names&quot;:false,&quot;dropping-particle&quot;:&quot;&quot;,&quot;non-dropping-particle&quot;:&quot;&quot;},{&quot;family&quot;:&quot;Kagan&quot;,&quot;given&quot;:&quot;Y. Y.&quot;,&quot;parse-names&quot;:false,&quot;dropping-particle&quot;:&quot;&quot;,&quot;non-dropping-particle&quot;:&quot;&quot;},{&quot;family&quot;:&quot;Kreemer&quot;,&quot;given&quot;:&quot;C.&quot;,&quot;parse-names&quot;:false,&quot;dropping-particle&quot;:&quot;&quot;,&quot;non-dropping-particle&quot;:&quot;&quot;},{&quot;family&quot;:&quot;Stein&quot;,&quot;given&quot;:&quot;R. S.&quot;,&quot;parse-names&quot;:false,&quot;dropping-particle&quot;:&quot;&quot;,&quot;non-dropping-particle&quot;:&quot;&quot;}],&quot;container-title&quot;:&quot;Bulletin of the Seismological Society of America&quot;,&quot;DOI&quot;:&quot;10.1785/0120150058&quot;,&quot;ISSN&quot;:&quot;19433573&quot;,&quot;issued&quot;:{&quot;date-parts&quot;:[[2015,10,1]]},&quot;page&quot;:&quot;2538-2554&quot;,&quot;abstract&quot;:&quot;Global earthquake activity rate model 1 (GEAR1) estimates the rate of shallow earthquakes with magnitudes 6–9 everywhere on Earth. It was designed to be reproducible and testable. Our preferred hybrid forecast is a log–linear blend of two parent forecasts based on the Global CentroidMoment Tensor (CMT) catalog (smoothing 4602 m ≥5:767 shallow earthquakes, 1977–2004) and the Global Strain Rate Map version 2.1 (smoothing 22,415 Global Positioning System velocities), optimized to best forecast the 2005–2012 Global CMT catalog. Strain rate is a proxy for fault stress accumulation, and earthquakes indicate stress release, so a multiplicative blend is desirable, capturing the strengths of both approaches. This preferred hybrid forecast outperforms its seismicity and strain-rate parents; the chance that this improvement stems from random seismicity fluctuations is less than 1%. The preferred hybrid is also tested against the independent parts of the International Seismological Centre-Global Earthquake Model catalog (m ≥6:8 during 1918–1976) with similar success. GEAR1 is an update of this preferred hybrid. Comparing GEAR1 to the Uniform California Earthquake Rupture Forecast Version 3 (UCERF3), net earthquake rates agree within 4% at m ≥5:8 and at m ≥7:0. The spatial distribution of UCERF3 epicentroids most resembles GEAR1 after UCERF3 is smoothed with a 30 km kernel. Because UCERF3 has been constructed to derive useful information from fault geometry, slip rates, paleoseismic data, and enhanced seismic catalogs (not used in our model), this is encouraging. To build parametric catastrophe bonds from GEAR1, one could calculate the magnitude for which there is a 1% (or any) annual probability of occurrence in local regions.&quot;,&quot;publisher&quot;:&quot;Seismological Society of America&quot;,&quot;issue&quot;:&quot;5&quot;,&quot;volume&quot;:&quot;105&quot;,&quot;container-title-short&quot;:&quot;&quot;},&quot;isTemporary&quot;:false},{&quot;id&quot;:&quot;8a9195c7-aeb8-3dff-ae22-0ce5c04bd17d&quot;,&quot;itemData&quot;:{&quot;type&quot;:&quot;article-journal&quot;,&quot;id&quot;:&quot;8a9195c7-aeb8-3dff-ae22-0ce5c04bd17d&quot;,&quot;title&quot;:&quot;A regionalized seismicity model for subduction zones based on geodetic strain rates, geomechanical parameters, and earthquake-catalog data&quot;,&quot;author&quot;:[{&quot;family&quot;:&quot;Viveros&quot;,&quot;given&quot;:&quot;José Antonio Bayona&quot;,&quot;parse-names&quot;:false,&quot;dropping-particle&quot;:&quot;&quot;,&quot;non-dropping-particle&quot;:&quot;&quot;},{&quot;family&quot;:&quot;Specht&quot;,&quot;given&quot;:&quot;Sebastian&quot;,&quot;parse-names&quot;:false,&quot;dropping-particle&quot;:&quot;&quot;,&quot;non-dropping-particle&quot;:&quot;Von&quot;},{&quot;family&quot;:&quot;Strader&quot;,&quot;given&quot;:&quot;Anne&quot;,&quot;parse-names&quot;:false,&quot;dropping-particle&quot;:&quot;&quot;,&quot;non-dropping-particle&quot;:&quot;&quot;},{&quot;family&quot;:&quot;Hainzl&quot;,&quot;given&quot;:&quot;Sebastian&quot;,&quot;parse-names&quot;:false,&quot;dropping-particle&quot;:&quot;&quot;,&quot;non-dropping-particle&quot;:&quot;&quot;},{&quot;family&quot;:&quot;Cotton&quot;,&quot;given&quot;:&quot;Fabrice&quot;,&quot;parse-names&quot;:false,&quot;dropping-particle&quot;:&quot;&quot;,&quot;non-dropping-particle&quot;:&quot;&quot;},{&quot;family&quot;:&quot;Schorlemmer&quot;,&quot;given&quot;:&quot;Danijel&quot;,&quot;parse-names&quot;:false,&quot;dropping-particle&quot;:&quot;&quot;,&quot;non-dropping-particle&quot;:&quot;&quot;}],&quot;container-title&quot;:&quot;Bulletin of the Seismological Society of America&quot;,&quot;DOI&quot;:&quot;10.1785/0120190034&quot;,&quot;ISSN&quot;:&quot;19433573&quot;,&quot;issued&quot;:{&quot;date-parts&quot;:[[2019,10,1]]},&quot;page&quot;:&quot;2036-2049&quot;,&quot;abstract&quot;:&quot;The Seismic Hazard Inferred from Tectonics based on the Global Strain Rate Map (SHIFT_GSRM) earthquake forecast was designed to provide highresolution estimates of global shallow seismicity to be used in seismic hazard assessment. This model combines geodetic strain rates with global earthquake parameters to characterize long-term rates of seismic moment and earthquake activity. Although SHIFT_GSRM properly computes seismicity rates in seismically active continental regions, it underestimates earthquake rates in subduction zones by an average factor of approximately 3. We present a complementary method to SHIFT_GSRMto more accurately forecast earthquake rates in 37 subduction segments, based on the conservation of moment principle and the use of regional interface seismicity parameters, such as subduction dip angles, corner magnitudes, and coupled seismogenic thicknesses. In seven progressive steps, we find that SHIFT_GSRM earthquake-rate underpredictions are mainly due to the utilization of a global probability function of seismic moment release that poorly captures the great variability among subduction megathrust interfaces. Retrospective test results show that the forecast is consistent with the observations during the 1 January 1977 to 31 December 2014 period. Moreover, successful pseudoprospective evaluations for the 1 January 2015 to 31 December 2018 period demonstrate the power of the regionalized earthquake model to properly estimate subduction-zone seismicity.&quot;,&quot;publisher&quot;:&quot;Seismological Society of America&quot;,&quot;issue&quot;:&quot;5&quot;,&quot;volume&quot;:&quot;109&quot;,&quot;container-title-short&quot;:&quot;&quot;},&quot;isTemporary&quot;:false},{&quot;id&quot;:&quot;f471768d-4531-3a48-bc53-c25f0c9db402&quot;,&quot;itemData&quot;:{&quot;type&quot;:&quot;article-journal&quot;,&quot;id&quot;:&quot;f471768d-4531-3a48-bc53-c25f0c9db402&quot;,&quot;title&quot;:&quot;Applying Conservation of Energy to Estimate Earthquake Frequencies from Strain Rates and Stresses&quot;,&quot;author&quot;:[{&quot;family&quot;:&quot;Ziebarth&quot;,&quot;given&quot;:&quot;Malte J.&quot;,&quot;parse-names&quot;:false,&quot;dropping-particle&quot;:&quot;&quot;,&quot;non-dropping-particle&quot;:&quot;&quot;},{&quot;family&quot;:&quot;Specht&quot;,&quot;given&quot;:&quot;Sebastian&quot;,&quot;parse-names&quot;:false,&quot;dropping-particle&quot;:&quot;&quot;,&quot;non-dropping-particle&quot;:&quot;von&quot;},{&quot;family&quot;:&quot;Heidbach&quot;,&quot;given&quot;:&quot;Oliver&quot;,&quot;parse-names&quot;:false,&quot;dropping-particle&quot;:&quot;&quot;,&quot;non-dropping-particle&quot;:&quot;&quot;},{&quot;family&quot;:&quot;Cotton&quot;,&quot;given&quot;:&quot;Fabrice&quot;,&quot;parse-names&quot;:false,&quot;dropping-particle&quot;:&quot;&quot;,&quot;non-dropping-particle&quot;:&quot;&quot;},{&quot;family&quot;:&quot;Anderson&quot;,&quot;given&quot;:&quot;John G.&quot;,&quot;parse-names&quot;:false,&quot;dropping-particle&quot;:&quot;&quot;,&quot;non-dropping-particle&quot;:&quot;&quot;}],&quot;container-title&quot;:&quot;Journal of Geophysical Research: Solid Earth&quot;,&quot;container-title-short&quot;:&quot;J. Geophys. Res. Solid Earth&quot;,&quot;DOI&quot;:&quot;10.1029/2020JB020186&quot;,&quot;ISSN&quot;:&quot;21699356&quot;,&quot;issued&quot;:{&quot;date-parts&quot;:[[2020,8,1]]},&quot;abstract&quot;:&quot;Estimating earthquake occurrence rates from the accumulation rate of seismic moment is an established tool of seismic hazard analysis. We propose an alternative, fault-agnostic approach based on the conservation of energy: the Energy-Conserving Seismicity Framework (ENCOS). Working in energy space has the advantage that the radiated energy is a better predictor of the damage potential of earthquake waves than the seismic moment release. In a region, ENCOS balances the stationary power available to cause earthquakes with the long-term seismic energy release represented by the energy-frequency distribution's first moment. Accumulation and release are connected through the average seismic efficiency, by which we mean the fraction of released energy that is converted into seismic waves. Besides measuring earthquakes in energy, ENCOS differs from moment balance essentially in that the energy accumulation rate depends on the total stress in addition to the strain rate tensor. To validate ENCOS, we exemplarily model the energy-frequency distribution around Southern California. We estimate the energy accumulation rate due to tectonic loading assuming poroelasticity and hydrostasis. Using data from the World Stress Map and assuming the frictional limit to estimate the stress tensor, we obtain a power of 0.8 GW. The uncertainty range, 0.3–2.0 GW, originates mainly from the thickness of the seismogenic crust, the friction coefficient on preexisting faults, and models of Global Positioning System (GPS) derived strain rates. Based on a Gutenberg-Richter magnitude-frequency distribution, this power can be distributed over a range of energies consistent with historical earthquake rates and reasonable bounds on the seismic efficiency.&quot;,&quot;publisher&quot;:&quot;Blackwell Publishing Ltd&quot;,&quot;issue&quot;:&quot;8&quot;,&quot;volume&quot;:&quot;125&quot;},&quot;isTemporary&quot;:false}]},{&quot;citationID&quot;:&quot;MENDELEY_CITATION_30c33b12-0756-47dd-b9eb-e8ec0aa59d19&quot;,&quot;properties&quot;:{&quot;noteIndex&quot;:0},&quot;isEdited&quot;:false,&quot;manualOverride&quot;:{&quot;isManuallyOverridden&quot;:false,&quot;citeprocText&quot;:&quot;(Stevens and Avouac 2021; Maurer et al. 2024; Donniol Jouve et al. 2025)&quot;,&quot;manualOverrideText&quot;:&quot;&quot;},&quot;citationTag&quot;:&quot;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&quot;,&quot;citationItems&quot;:[{&quot;id&quot;:&quot;6d17cf18-e59d-3ac1-abc8-3cea37a24a07&quot;,&quot;itemData&quot;:{&quot;type&quot;:&quot;article-journal&quot;,&quot;id&quot;:&quot;6d17cf18-e59d-3ac1-abc8-3cea37a24a07&quot;,&quot;title&quot;:&quot;On the relationship between strain rate and seismicity in the India-Asia collision zone: Implications for probabilistic seismic hazard&quot;,&quot;author&quot;:[{&quot;family&quot;:&quot;Stevens&quot;,&quot;given&quot;:&quot;V. L.&quot;,&quot;parse-names&quot;:false,&quot;dropping-particle&quot;:&quot;&quot;,&quot;non-dropping-particle&quot;:&quot;&quot;},{&quot;family&quot;:&quot;Avouac&quot;,&quot;given&quot;:&quot;J. P.&quot;,&quot;parse-names&quot;:false,&quot;dropping-particle&quot;:&quot;&quot;,&quot;non-dropping-particle&quot;:&quot;&quot;}],&quot;container-title&quot;:&quot;Geophysical Journal International&quot;,&quot;container-title-short&quot;:&quot;Geophys. J. Int.&quot;,&quot;DOI&quot;:&quot;10.1093/gji/ggab098&quot;,&quot;ISSN&quot;:&quot;1365246X&quot;,&quot;issued&quot;:{&quot;date-parts&quot;:[[2021,7,1]]},&quot;page&quot;:&quot;220-245&quot;,&quot;abstract&quot;:&quot;The increasing density of geodetic measurements makes it possible to map surface strain rate in many zones of active tectonics with unprecedented spatial resolution. Here we show that the strain tensor rate calculated from GPS in the India-Asia collision zone represents well the strain released in earthquakes. This means that geodetic data in the India-Asia collision zone region can be extrapolated back in time to estimate strain buildup on active faults, or the kinematics of continental deformation. We infer that the geodetic strain rates can be assumed stationary through time on the timescale needed to build up the elastic strain released by larger earthquakes, and that they can be used to estimate the probability of triggering earthquakes. We show that the background seismicity rate correlates with the geodetic strain rate. A good fit is obtained assuming a linear relationship (˙N = λ ċ ˙ϵ, where ˙N is the density of the rate of Mw ≥ 4 earthquakes, ˙ϵ is strain rate and λ = 2.5 ± 0.1 × 10-3 m-2), as would be expected from a standard Coulomb failure model. However, the fit is significantly better for a non-linear relationship (˙N = γ 1 ċ ˙ϵ γ 2 with γ1 = 2.5 ± 0.6 m-2 and γ2 = 1.42 ± 0.15). The b-value of the Gutenberg-Richter law, which characterize the magnitude-frequency distribution, is found to be insensitive to the strain rate. In the case of a linear correlation between seismicity and strain rate, the maximum magnitude earthquake, derived from the moment conservation principle, is expected to be independent of the strain rate. By contrast, the non-linear case implies that the maximum magnitude earthquake would be larger in zones of low strain rate. We show that within areas of constant strain rate, earthquakes above Mw 4 follow a Poisson distribution in time and and are uniformly distributed in space. These findings provide a framework to estimate the probability of occurrence and magnitude of earthquakes as a function of the geodetic strain rate. We describe how the seismicity models derived from this approach can be used as an input for probabilistic seismic hazard analysis. This method is easy to automatically update, and can be applied in a consistent manner to any continental zone of active tectonics with sufficient geodetic coverage.&quot;,&quot;publisher&quot;:&quot;Oxford University Press&quot;,&quot;issue&quot;:&quot;1&quot;,&quot;volume&quot;:&quot;226&quot;},&quot;isTemporary&quot;:false},{&quot;id&quot;:&quot;a7953612-85fc-3ecc-8a71-a1b7b584a975&quot;,&quot;itemData&quot;:{&quot;type&quot;:&quot;article-journal&quot;,&quot;id&quot;:&quot;a7953612-85fc-3ecc-8a71-a1b7b584a975&quot;,&quot;title&quot;:&quot;Geodetic Strain Rates for the 2022 Update of the New Zealand National Seismic Hazard Model&quot;,&quot;author&quot;:[{&quot;family&quot;:&quot;Maurer&quot;,&quot;given&quot;:&quot;Jeremy&quot;,&quot;parse-names&quot;:false,&quot;dropping-particle&quot;:&quot;&quot;,&quot;non-dropping-particle&quot;:&quot;&quot;},{&quot;family&quot;:&quot;Johnson&quot;,&quot;given&quot;:&quot;Kaj&quot;,&quot;parse-names&quot;:false,&quot;dropping-particle&quot;:&quot;&quot;,&quot;non-dropping-particle&quot;:&quot;&quot;},{&quot;family&quot;:&quot;Wallace&quot;,&quot;given&quot;:&quot;Laura M.&quot;,&quot;parse-names&quot;:false,&quot;dropping-particle&quot;:&quot;&quot;,&quot;non-dropping-particle&quot;:&quot;&quot;},{&quot;family&quot;:&quot;Hamling&quot;,&quot;given&quot;:&quot;Ian&quot;,&quot;parse-names&quot;:false,&quot;dropping-particle&quot;:&quot;&quot;,&quot;non-dropping-particle&quot;:&quot;&quot;},{&quot;family&quot;:&quot;Williams&quot;,&quot;given&quot;:&quot;Charles A.&quot;,&quot;parse-names&quot;:false,&quot;dropping-particle&quot;:&quot;&quot;,&quot;non-dropping-particle&quot;:&quot;&quot;},{&quot;family&quot;:&quot;Rollins&quot;,&quot;given&quot;:&quot;Chris&quot;,&quot;parse-names&quot;:false,&quot;dropping-particle&quot;:&quot;&quot;,&quot;non-dropping-particle&quot;:&quot;&quot;},{&quot;family&quot;:&quot;Gerstenberger&quot;,&quot;given&quot;:&quot;Matt&quot;,&quot;parse-names&quot;:false,&quot;dropping-particle&quot;:&quot;&quot;,&quot;non-dropping-particle&quot;:&quot;&quot;},{&quot;family&quot;:&quot;Dissen&quot;,&quot;given&quot;:&quot;Russ&quot;,&quot;parse-names&quot;:false,&quot;dropping-particle&quot;:&quot;&quot;,&quot;non-dropping-particle&quot;:&quot;Van&quot;}],&quot;container-title&quot;:&quot;Bulletin of the Seismological Society of America&quot;,&quot;DOI&quot;:&quot;10.1785/0120230145&quot;,&quot;ISSN&quot;:&quot;19433573&quot;,&quot;issued&quot;:{&quot;date-parts&quot;:[[2024,2,1]]},&quot;page&quot;:&quot;57-77&quot;,&quot;abstract&quot;:&quot;Geodetic data in plate boundary zones reflect the accrual of tectonic strain and stress, which will ultimately be released in earthquakes, and so they can provide valuable insights into future seismic hazards. To incorporate geodetic measurements of contemporary deformation into the 2022 revision of the New Zealand National Seismic Hazard Model 2022 (NZ NSHM 2022), we derive a range of strain-rate models from published interseismic Global Navigation Satellite Systems velocities for New Zealand. We calculate the uncertainty in strain rate excluding strain from the Taupō rift–Havre trough and Hikurangi subduction zone, which are handled separately, and the corresponding moment rates. A high shear strain rate occurs along the Alpine fault and the North Island dextral fault belt, as well as the eastern coast of the North Island. Dilatation rates are primarily contractional in the South Island and less well constrained in the North Island. Total moment accumulation derived using Kostrov-type summation varies from 0:64 to 2:93 × 1019 N·m= yr depending on method and parameter choices. To account for both aleatory and epistemic uncertainty in the strain-rate results, we use four different methods for estimating strain rate and calculate various average models and uncertainty metrics. The maximum shear strain rate is similar across all methods, whereas the dilatation rate and overall strain rate style differ more significantly. Each method provides an estimate of its own uncertainty propagated from the data uncertainties, and variability between methods provides an additional estimate of epistemic uncertainty. Epistemic uncertainty in New Zealand tends to be higher than the aleatory uncertainty estimates provided by any single method, and epistemic uncertainty on dilatation rate exceeds the aleatory uncertainty nearly everywhere. These strain-rate models were provided to the NZ NSHM 2022 team and used to develop fault-slip deficit rate models and scaled seismicity rate models.&quot;,&quot;publisher&quot;:&quot;Seismological Society of America&quot;,&quot;issue&quot;:&quot;1&quot;,&quot;volume&quot;:&quot;114&quot;,&quot;container-title-short&quot;:&quot;&quot;},&quot;isTemporary&quot;:false},{&quot;id&quot;:&quot;dee00e7b-dbda-3386-9888-86bdb434c68a&quot;,&quot;itemData&quot;:{&quot;type&quot;:&quot;article-journal&quot;,&quot;id&quot;:&quot;dee00e7b-dbda-3386-9888-86bdb434c68a&quot;,&quot;title&quot;:&quot;Consistency between a strain rate model and the ESHM20 earthquake rate forecast in Europe: insights for seismic hazard&quot;,&quot;author&quot;:[{&quot;family&quot;:&quot;Donniol Jouve&quot;,&quot;given&quot;:&quot;Bénédicte&quot;,&quot;parse-names&quot;:false,&quot;dropping-particle&quot;:&quot;&quot;,&quot;non-dropping-particle&quot;:&quot;&quot;},{&quot;family&quot;:&quot;Socquet&quot;,&quot;given&quot;:&quot;Anne&quot;,&quot;parse-names&quot;:false,&quot;dropping-particle&quot;:&quot;&quot;,&quot;non-dropping-particle&quot;:&quot;&quot;},{&quot;family&quot;:&quot;Beauval&quot;,&quot;given&quot;:&quot;Céline&quot;,&quot;parse-names&quot;:false,&quot;dropping-particle&quot;:&quot;&quot;,&quot;non-dropping-particle&quot;:&quot;&quot;},{&quot;family&quot;:&quot;Valdès&quot;,&quot;given&quot;:&quot;Jesus Piña&quot;,&quot;parse-names&quot;:false,&quot;dropping-particle&quot;:&quot;&quot;,&quot;non-dropping-particle&quot;:&quot;&quot;},{&quot;family&quot;:&quot;Danciu&quot;,&quot;given&quot;:&quot;Laurentiu&quot;,&quot;parse-names&quot;:false,&quot;dropping-particle&quot;:&quot;&quot;,&quot;non-dropping-particle&quot;:&quot;&quot;}],&quot;container-title&quot;:&quot;Natural Hazards and Earth System Sciences&quot;,&quot;DOI&quot;:&quot;10.5194/nhess-25-1789-2025&quot;,&quot;ISSN&quot;:&quot;16849981&quot;,&quot;issued&quot;:{&quot;date-parts&quot;:[[2025,6,2]]},&quot;page&quot;:&quot;1789-1809&quot;,&quot;abstract&quot;:&quot;This work aims at investigating the consistency between a strain rate model and a long-term earthquake forecast at the European scale. We take advantage of the release of geodetic strain rate models by Piña-Valdés et al. (2022) and the release of the European Seismic Hazard Model 2020 (ESHM20) by Danciu et al. (2024) to compare geodetic and seismic moment rates across Europe. Seismic moments are inferred from the magnitude–frequency distributions that constitute the ESHM20 source model. We explore the full ESHM20 source model logic tree to account for epistemic uncertainties. On the geodesy side, we use the strain rates to calculate the geodetic moment for each area source zone of the hazard model, considering associated epistemic uncertainties. We show that the parameters contributing the most to the overall uncertainty in the geodetic moment rate are the distance weighting scheme used in the spatial inversion, the equation used to convert surface strain to a scalar moment rate, and the effective seismic thickness. We compare the distributions of geodetic and seismic moment rates at different geographical scales. In highly seismic activity zones, such as the Apennines in Italy, Greece, the Balkans, and the Betics in Spain, primary compatibility between seismic and geodetic moment rates is evident. Discrepancies emerge in low- to moderate-seismic-activity zones, particularly in areas affected by the Scandinavian glacial isostatic adjustment, where geodetic moment rates exceed seismic moment rates significantly. We show that considering broader zones enhances the match between geodetic and seismic moment rate distributions. In zones where ESHM20 magnitude–frequency distributions are well-constrained (established on more than 30 complete events), the distributions of seismic and geodetic moments usually overlap significantly, suggesting the potential for integrating geodetic data into hazard models, even in regions with low deformation.&quot;,&quot;publisher&quot;:&quot;Copernicus Publications&quot;,&quot;issue&quot;:&quot;6&quot;,&quot;volume&quot;:&quot;25&quot;,&quot;container-title-short&quot;:&quot;&quot;},&quot;isTemporary&quot;:false}]},{&quot;citationID&quot;:&quot;MENDELEY_CITATION_ee1ac9c7-a22b-470c-b217-8740ed74827d&quot;,&quot;properties&quot;:{&quot;noteIndex&quot;:0},&quot;isEdited&quot;:false,&quot;manualOverride&quot;:{&quot;isManuallyOverridden&quot;:false,&quot;citeprocText&quot;:&quot;(Arroyo-Solórzano et al. 2025; Das et al. 2025; Neha et al. 2025)&quot;,&quot;manualOverrideText&quot;:&quot;&quot;},&quot;citationTag&quot;:&quot;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&quot;,&quot;citationItems&quot;:[{&quot;id&quot;:&quot;9598bd7c-d5a1-33cc-8a49-48a418683a6d&quot;,&quot;itemData&quot;:{&quot;type&quot;:&quot;article-journal&quot;,&quot;id&quot;:&quot;9598bd7c-d5a1-33cc-8a49-48a418683a6d&quot;,&quot;title&quot;:&quot;Impact of geodetic information, subduction zone segmentation, and slow-slip events in probabilistic seismic hazard: A case study for Costa Rica&quot;,&quot;author&quot;:[{&quot;family&quot;:&quot;Arroyo-Solórzano&quot;,&quot;given&quot;:&quot;Mario&quot;,&quot;parse-names&quot;:false,&quot;dropping-particle&quot;:&quot;&quot;,&quot;non-dropping-particle&quot;:&quot;&quot;},{&quot;family&quot;:&quot;Jara&quot;,&quot;given&quot;:&quot;Jorge&quot;,&quot;parse-names&quot;:false,&quot;dropping-particle&quot;:&quot;&quot;,&quot;non-dropping-particle&quot;:&quot;&quot;},{&quot;family&quot;:&quot;Weatherill&quot;,&quot;given&quot;:&quot;Graeme&quot;,&quot;parse-names&quot;:false,&quot;dropping-particle&quot;:&quot;&quot;,&quot;non-dropping-particle&quot;:&quot;&quot;},{&quot;family&quot;:&quot;González&quot;,&quot;given&quot;:&quot;Álvaro&quot;,&quot;parse-names&quot;:false,&quot;dropping-particle&quot;:&quot;&quot;,&quot;non-dropping-particle&quot;:&quot;&quot;},{&quot;family&quot;:&quot;Hidalgo-Leiva&quot;,&quot;given&quot;:&quot;Diego A&quot;,&quot;parse-names&quot;:false,&quot;dropping-particle&quot;:&quot;&quot;,&quot;non-dropping-particle&quot;:&quot;&quot;},{&quot;family&quot;:&quot;Cotton&quot;,&quot;given&quot;:&quot;Fabrice&quot;,&quot;parse-names&quot;:false,&quot;dropping-particle&quot;:&quot;&quot;,&quot;non-dropping-particle&quot;:&quot;&quot;}],&quot;container-title&quot;:&quot;Geophysical Journal International&quot;,&quot;container-title-short&quot;:&quot;Geophys. J. Int.&quot;,&quot;DOI&quot;:&quot;10.1093/gji/ggaf204&quot;,&quot;ISSN&quot;:&quot;0956-540X&quot;,&quot;issued&quot;:{&quot;date-parts&quot;:[[2025,6,17]]},&quot;page&quot;:&quot;1-33&quot;,&quot;abstract&quot;:&quot;A Slow-Slip Event (SSE) is a slow release of tectonic stress along a fault zone, over periods ranging from hours to months. SSEs have been recorded in most of the geodetically well-instrumented subduction zones. Although these transient events observed by geodesy are typically excluded from probabilistic seismic hazard analysis (PSHA), they might play a crucial role in the seismic cycle by reducing the seismic slip rate (slip rate discounting the aseismic process). This effective reduction implies that incorporating SSEs into PSHA may improve the reliability of hazard assessments. Costa Rica, located at the southern end of the Middle American Trench, hosts large earthquakes as well as SSEs. Shallow and deep SSEs have long been detected at the Nicoya peninsula, in northern Costa Rica, and recently, also in the southern part of the country at the Osa peninsula. In this study, we first collect geodetic and SSE observations in Costa Rica. Then, we propose a method to incorporate them into PSHA, based on identifying regions where SSEs occur, inferring slip deficits and estimating seismic slip rates in each subduction segment. Next, we analyze the implications for PSHA and its epistemic uncertainty, using these seismic slip rates, the resulting seismic moment rate budgets, and determining earthquake rates and maximum magnitudes with different approaches. Finally, we compute a countrywide PSHA following the 2022 Costa Rica Seismic Hazard Model (CRSHM 2022) but modifying the seismic source characterization using geodetic information for the regions where SSEs occur. Compared to the CRSHM 2022, this approach leads to reductions of the resulting peak ground acceleration at return period of 475 years (PGA-475) of up to ∼15 per cent in the Nicoya peninsula, but also to an increase up to ∼40 per cent in the Central Pacific region and ∼30 per cent in the Osa peninsula. Moreover, we find that, under a geodetic-based approach and disregarding SSEs, the PGA-475 would increase by up to ∼10 per cent. Our novel approach underscores the relevance of incorporating geodetic observations and particularly SSEs into PSHA, especially in subduction margins near the coast.&quot;,&quot;publisher&quot;:&quot;Oxford University Press (OUP)&quot;,&quot;volume&quot;:&quot;242&quot;},&quot;isTemporary&quot;:false},{&quot;id&quot;:&quot;794437ef-b5a7-34ab-b828-4935fe2d1111&quot;,&quot;itemData&quot;:{&quot;type&quot;:&quot;article&quot;,&quot;id&quot;:&quot;794437ef-b5a7-34ab-b828-4935fe2d1111&quot;,&quot;title&quot;:&quot;Balancing of geodetic and seismic moment rates and its implications for probabilistic seismic hazard analysis in Taiwan&quot;,&quot;author&quot;:[{&quot;family&quot;:&quot;Neha&quot;,&quot;given&quot;:&quot;&quot;,&quot;parse-names&quot;:false,&quot;dropping-particle&quot;:&quot;&quot;,&quot;non-dropping-particle&quot;:&quot;&quot;},{&quot;family&quot;:&quot;Chuang&quot;,&quot;given&quot;:&quot;Ray Y.&quot;,&quot;parse-names&quot;:false,&quot;dropping-particle&quot;:&quot;&quot;,&quot;non-dropping-particle&quot;:&quot;&quot;},{&quot;family&quot;:&quot;Nishimura&quot;,&quot;given&quot;:&quot;Takuya&quot;,&quot;parse-names&quot;:false,&quot;dropping-particle&quot;:&quot;&quot;,&quot;non-dropping-particle&quot;:&quot;&quot;},{&quot;family&quot;:&quot;Lee&quot;,&quot;given&quot;:&quot;Zixin&quot;,&quot;parse-names&quot;:false,&quot;dropping-particle&quot;:&quot;&quot;,&quot;non-dropping-particle&quot;:&quot;&quot;},{&quot;family&quot;:&quot;Gao&quot;,&quot;given&quot;:&quot;Jia Cian&quot;,&quot;parse-names&quot;:false,&quot;dropping-particle&quot;:&quot;&quot;,&quot;non-dropping-particle&quot;:&quot;&quot;}],&quot;container-title&quot;:&quot;Earth, Planets and Space&quot;,&quot;DOI&quot;:&quot;10.1186/s40623-025-02247-0&quot;,&quot;ISSN&quot;:&quot;18805981&quot;,&quot;issued&quot;:{&quot;date-parts&quot;:[[2025,12,1]]},&quot;abstract&quot;:&quot;An integration of geodetic data with observed seismicity which reveals how quickly a region is being deformed due to tectonic plate motions and earthquake activities, plays a pivotal role in earthquake forecast modeling. However, the elastic and inelastic components in geodetically measured total strain budget are implicit in nature, has become one of the major issues. In such scenarios, when reliable quantification of total accumulated energy related to seismic hazard appears to be the need of the hour, an empirical correlation factor is introduced in conversion of geodetic to seismic moment rates to prevent an overestimation of earthquake hazard. In this regard, the present study developed regional earthquake likelihood model for Taiwan by incorporating geodetic measurements and updated earthquake data. For this, a time-independent model is performed to compute probabilities for Mw≥6 earthquakes within 30 years in 0.1° × 0.1° cells across Taiwan using corrected-geodetic moment rates, truncated G–R law, and the stochastic Poisson process. The 30-year probability forecasts highlight regions with high seismic hazard, including the locked zone of the Longitudinal Valley fault with gradual decaying toward its southern end and in central Taiwan along the Western Foothills. The high strain rates and low earthquake occurrence rates in southwestern Taiwan emphasize a considerable amount of ongoing inelastic strain deformation in this region. In addition, the regional variation in probability distribution not only exhibits an importance of elastic layer parameters, such as seismogenic thickness and rigidity but also evidently link the heterogeneous tectonics with the orogenic process in Taiwan under the plate convergence. Essentially, this study suggests that an integration of geodetic data in probability model can offer rigorous insights for enhancing the current practice of forecasting strategies for seismic hazard analysis in Taiwan.&quot;,&quot;publisher&quot;:&quot;Springer Science and Business Media Deutschland GmbH&quot;,&quot;issue&quot;:&quot;1&quot;,&quot;volume&quot;:&quot;77&quot;,&quot;container-title-short&quot;:&quot;&quot;},&quot;isTemporary&quot;:false},{&quot;id&quot;:&quot;e40b5bcf-d4c4-3a63-82c2-19e52f91e83c&quot;,&quot;itemData&quot;:{&quot;type&quot;:&quot;article-journal&quot;,&quot;id&quot;:&quot;e40b5bcf-d4c4-3a63-82c2-19e52f91e83c&quot;,&quot;title&quot;:&quot;Seismic and GNSS strain-based probabilistic seismic hazard evaluation for northern Chile using DAS Magnitude Scale&quot;,&quot;author&quot;:[{&quot;family&quot;:&quot;Das&quot;,&quot;given&quot;:&quot;Ranjit&quot;,&quot;parse-names&quot;:false,&quot;dropping-particle&quot;:&quot;&quot;,&quot;non-dropping-particle&quot;:&quot;&quot;},{&quot;family&quot;:&quot;Meneses&quot;,&quot;given&quot;:&quot;Claudio&quot;,&quot;parse-names&quot;:false,&quot;dropping-particle&quot;:&quot;&quot;,&quot;non-dropping-particle&quot;:&quot;&quot;},{&quot;family&quot;:&quot;Wang&quot;,&quot;given&quot;:&quot;Hua&quot;,&quot;parse-names&quot;:false,&quot;dropping-particle&quot;:&quot;&quot;,&quot;non-dropping-particle&quot;:&quot;&quot;}],&quot;container-title&quot;:&quot;Geoenvironmental Disasters&quot;,&quot;container-title-short&quot;:&quot;Geoenvironmental Disasters&quot;,&quot;DOI&quot;:&quot;10.1186/s40677-024-00285-6&quot;,&quot;ISSN&quot;:&quot;21978670&quot;,&quot;issued&quot;:{&quot;date-parts&quot;:[[2025,12,1]]},&quot;abstract&quot;:&quot;Background: Probabilistic Seismic Hazard Assessment (PSHA) is a leading methodology for determining key ground motion parameters such as Peak Ground Acceleration (PGA) and spectral acceleration (SA), essential for structural design. This approach uses extensive earthquake data, typically spanning over a century, leveraging frequency and magnitude statistics. However, long-term ground shaking probabilities may not always be accurately captured by traditional data-driven methods. To address these limitations, this study develops a PSHA map for Northern Chile using both seismic and GNSS (Global Navigation Satellite System) data. A curated homogeneous earthquake catalog, based on the advanced seismic moment magnitude scale Mwg(Das Magnitude Scale), replaces the traditional Mw scale to ensure superior accuracy, particularly for intermediate and smaller earthquakes. Results: Using the earthquake catalog, seismicity parameters ‘a’ and ‘b’ from the Gutenberg-Richter relationship were derived. Seismogenic modeling and Ground Motion Models (GMMs) were applied to estimate ground motion probabilities for a 475-year return period. Additionally, a PSHA map was constructed using GNSS strain rates, translating velocity-derived strain rates into seismic moment rates and ground shaking probabilities for seismic source zones. Comparative analyses revealed higher PGA values from GNSS strain data compared to seismic catalog data. GNSS strain data proved invaluable for refining seismic segmentation in Northern Chile, enhancing the precision of PSHA calculations. Conclusions: A PSHA map for Northern Chile, synthesizing seismic catalog data and GNSS strain rates using a Logic Tree-based algorithm, has been developed for a 475-year return period. This map provides a critical tool for generating seismic hazard assessments aligned with building codes and emergency planning protocols. By integrating GNSS strain rates and seismic data, this study advances the reliability and accuracy of long-term ground shaking predictions.&quot;,&quot;publisher&quot;:&quot;Springer Science and Business Media Deutschland GmbH&quot;,&quot;issue&quot;:&quot;1&quot;,&quot;volume&quot;:&quot;12&quot;},&quot;isTemporary&quot;:false}]},{&quot;citationID&quot;:&quot;MENDELEY_CITATION_82a84e36-5fcf-4157-90b0-5b55d4d27c4e&quot;,&quot;properties&quot;:{&quot;noteIndex&quot;:0},&quot;isEdited&quot;:false,&quot;manualOverride&quot;:{&quot;isManuallyOverridden&quot;:false,&quot;citeprocText&quot;:&quot;(Cornell 1968)&quot;,&quot;manualOverrideText&quot;:&quot;&quot;},&quot;citationTag&quot;:&quot;MENDELEY_CITATION_v3_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&quot;,&quot;citationItems&quot;:[{&quot;id&quot;:&quot;67aadb79-f804-36f5-9758-e63dd9710b6a&quot;,&quot;itemData&quot;:{&quot;type&quot;:&quot;article-journal&quot;,&quot;id&quot;:&quot;67aadb79-f804-36f5-9758-e63dd9710b6a&quot;,&quot;title&quot;:&quot;Engineering seismic risk analysis&quot;,&quot;author&quot;:[{&quot;family&quot;:&quot;Cornell&quot;,&quot;given&quot;:&quot;A&quot;,&quot;parse-names&quot;:false,&quot;dropping-particle&quot;:&quot;&quot;,&quot;non-dropping-particle&quot;:&quot;&quot;}],&quot;container-title&quot;:&quot;Bulletin of the Seismological Society of America (BSSA)&quot;,&quot;DOI&quot;:&quot;10.1785/BSSA0580051583&quot;,&quot;issued&quot;:{&quot;date-parts&quot;:[[1968]]},&quot;page&quot;:&quot;1583-1606&quot;,&quot;issue&quot;:&quot;5&quot;,&quot;volume&quot;:&quot;58&quot;,&quot;container-title-short&quot;:&quot;&quot;},&quot;isTemporary&quot;:false}]},{&quot;citationID&quot;:&quot;MENDELEY_CITATION_3976796e-3479-4104-9e94-1bfe1fff7bdc&quot;,&quot;properties&quot;:{&quot;noteIndex&quot;:0},&quot;isEdited&quot;:false,&quot;manualOverride&quot;:{&quot;isManuallyOverridden&quot;:false,&quot;citeprocText&quot;:&quot;(Field et al. 2014; El Kadri et al. 2025)&quot;,&quot;manualOverrideText&quot;:&quot;&quot;},&quot;citationTag&quot;:&quot;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&quot;,&quot;citationItems&quot;:[{&quot;id&quot;:&quot;35004190-5631-316e-af2e-0a744755c5e3&quot;,&quot;itemData&quot;:{&quot;type&quot;:&quot;article-journal&quot;,&quot;id&quot;:&quot;35004190-5631-316e-af2e-0a744755c5e3&quot;,&quot;title&quot;:&quot;Uniform California Earthquake Rupture Forecast, Version 3 (UCERF3)—The Time‐Independent Model&quot;,&quot;author&quot;:[{&quot;family&quot;:&quot;Field&quot;,&quot;given&quot;:&quot;Edward H&quot;,&quot;parse-names&quot;:false,&quot;dropping-particle&quot;:&quot;&quot;,&quot;non-dropping-particle&quot;:&quot;&quot;},{&quot;family&quot;:&quot;Arrowsmith&quot;,&quot;given&quot;:&quot;Ramon J&quot;,&quot;parse-names&quot;:false,&quot;dropping-particle&quot;:&quot;&quot;,&quot;non-dropping-particle&quot;:&quot;&quot;},{&quot;family&quot;:&quot;Biasi&quot;,&quot;given&quot;:&quot;Glenn P&quot;,&quot;parse-names&quot;:false,&quot;dropping-particle&quot;:&quot;&quot;,&quot;non-dropping-particle&quot;:&quot;&quot;},{&quot;family&quot;:&quot;Bird&quot;,&quot;given&quot;:&quot;Peter&quot;,&quot;parse-names&quot;:false,&quot;dropping-particle&quot;:&quot;&quot;,&quot;non-dropping-particle&quot;:&quot;&quot;},{&quot;family&quot;:&quot;Dawson&quot;,&quot;given&quot;:&quot;Timothy E&quot;,&quot;parse-names&quot;:false,&quot;dropping-particle&quot;:&quot;&quot;,&quot;non-dropping-particle&quot;:&quot;&quot;},{&quot;family&quot;:&quot;Felzer&quot;,&quot;given&quot;:&quot;Karen R&quot;,&quot;parse-names&quot;:false,&quot;dropping-particle&quot;:&quot;&quot;,&quot;non-dropping-particle&quot;:&quot;&quot;},{&quot;family&quot;:&quot;Jackson&quot;,&quot;given&quot;:&quot;David D&quot;,&quot;parse-names&quot;:false,&quot;dropping-particle&quot;:&quot;&quot;,&quot;non-dropping-particle&quot;:&quot;&quot;},{&quot;family&quot;:&quot;Johnson&quot;,&quot;given&quot;:&quot;Kaj M&quot;,&quot;parse-names&quot;:false,&quot;dropping-particle&quot;:&quot;&quot;,&quot;non-dropping-particle&quot;:&quot;&quot;},{&quot;family&quot;:&quot;Jordan&quot;,&quot;given&quot;:&quot;Thomas H&quot;,&quot;parse-names&quot;:false,&quot;dropping-particle&quot;:&quot;&quot;,&quot;non-dropping-particle&quot;:&quot;&quot;},{&quot;family&quot;:&quot;Madden&quot;,&quot;given&quot;:&quot;Christopher&quot;,&quot;parse-names&quot;:false,&quot;dropping-particle&quot;:&quot;&quot;,&quot;non-dropping-particle&quot;:&quot;&quot;},{&quot;family&quot;:&quot;Michael&quot;,&quot;given&quot;:&quot;Andrew J&quot;,&quot;parse-names&quot;:false,&quot;dropping-particle&quot;:&quot;&quot;,&quot;non-dropping-particle&quot;:&quot;&quot;},{&quot;family&quot;:&quot;Milner&quot;,&quot;given&quot;:&quot;Kevin R&quot;,&quot;parse-names&quot;:false,&quot;dropping-particle&quot;:&quot;&quot;,&quot;non-dropping-particle&quot;:&quot;&quot;},{&quot;family&quot;:&quot;Page&quot;,&quot;given&quot;:&quot;Morgan T&quot;,&quot;parse-names&quot;:false,&quot;dropping-particle&quot;:&quot;&quot;,&quot;non-dropping-particle&quot;:&quot;&quot;},{&quot;family&quot;:&quot;Parsons&quot;,&quot;given&quot;:&quot;Tom&quot;,&quot;parse-names&quot;:false,&quot;dropping-particle&quot;:&quot;&quot;,&quot;non-dropping-particle&quot;:&quot;&quot;},{&quot;family&quot;:&quot;Powers&quot;,&quot;given&quot;:&quot;Peter M&quot;,&quot;parse-names&quot;:false,&quot;dropping-particle&quot;:&quot;&quot;,&quot;non-dropping-particle&quot;:&quot;&quot;},{&quot;family&quot;:&quot;Shaw&quot;,&quot;given&quot;:&quot;Bruce E&quot;,&quot;parse-names&quot;:false,&quot;dropping-particle&quot;:&quot;&quot;,&quot;non-dropping-particle&quot;:&quot;&quot;},{&quot;family&quot;:&quot;Thatcher&quot;,&quot;given&quot;:&quot;Wayne R&quot;,&quot;parse-names&quot;:false,&quot;dropping-particle&quot;:&quot;&quot;,&quot;non-dropping-particle&quot;:&quot;&quot;},{&quot;family&quot;:&quot;Weldon II&quot;,&quot;given&quot;:&quot;Ray J&quot;,&quot;parse-names&quot;:false,&quot;dropping-particle&quot;:&quot;&quot;,&quot;non-dropping-particle&quot;:&quot;&quot;},{&quot;family&quot;:&quot;Zeng&quot;,&quot;given&quot;:&quot;Yuehua&quot;,&quot;parse-names&quot;:false,&quot;dropping-particle&quot;:&quot;&quot;,&quot;non-dropping-particle&quot;:&quot;&quot;}],&quot;container-title&quot;:&quot;Bulletin of the Seismological Society of America&quot;,&quot;DOI&quot;:&quot;10.1785/0120130164&quot;,&quot;ISSN&quot;:&quot;0037-1106&quot;,&quot;URL&quot;:&quot;https://doi.org/10.1785/0120130164&quot;,&quot;issued&quot;:{&quot;date-parts&quot;:[[2014,6,1]]},&quot;page&quot;:&quot;1122-1180&quot;,&quot;abstract&quot;:&quot;The 2014 Working Group on California Earthquake Probabilities (WGCEP14) present the time‐independent component of the Uniform California Earthquake Rupture Forecast, Version 3 (UCERF3), which provides authoritative estimates of the magnitude, location, and time‐averaged frequency of potentially damaging earthquakes in California. The primary achievements have been to relax fault segmentation and include multifault ruptures, both limitations of UCERF2. The rates of all earthquakes are solved for simultaneously and from a broader range of data, using a system‐level inversion that is both conceptually simple and extensible. The inverse problem is large and underdetermined, so a range of models is sampled using an efficient simulated annealing algorithm. The approach is more derivative than prescriptive (e.g., magnitude–frequency distributions are no longer assumed), so new analysis tools were developed for exploring solutions. Epistemic uncertainties were also accounted for using 1440 alternative logic‐tree branches, necessitating access to supercomputers. The most influential uncertainties include alternative deformation models (fault slip rates), a new smoothed seismicity algorithm, alternative values for the total rate of Mw≥5 events, and different scaling relationships, virtually all of which are new. As a notable first, three deformation models are based on kinematically consistent inversions of geodetic and geologic data, also providing slip‐rate constraints on faults previously excluded due to lack of geologic data. The grand inversion constitutes a system‐level framework for testing hypotheses and balancing the influence of different experts. For example, we demonstrate serious challenges with the Gutenberg–Richter hypothesis for individual faults. UCERF3 is still an approximation of the system, however, and the range of models is limited (e.g., constrained to stay close to UCERF2). Nevertheless, UCERF3 removes the apparent UCERF2 overprediction of M 6.5–7 earthquake rates and also includes types of multifault ruptures seen in nature. Although UCERF3 fits the data better than UCERF2 overall, there may be areas that warrant further site‐specific investigation. Supporting products may be of general interest, and we list key assumptions and avenues for future model improvements.&quot;,&quot;issue&quot;:&quot;3&quot;,&quot;volume&quot;:&quot;104&quot;,&quot;container-title-short&quot;:&quot;&quot;},&quot;isTemporary&quot;:false},{&quot;id&quot;:&quot;02cf75d9-e54f-3569-920b-a63555bb6a5e&quot;,&quot;itemData&quot;:{&quot;type&quot;:&quot;article-journal&quot;,&quot;id&quot;:&quot;02cf75d9-e54f-3569-920b-a63555bb6a5e&quot;,&quot;title&quot;:&quot;Implementation of an interconnected fault system in probabilistic seismic hazard assessment (PSHA): the Levant fault system&quot;,&quot;author&quot;:[{&quot;family&quot;:&quot;Kadri&quot;,&quot;given&quot;:&quot;Sarah&quot;,&quot;parse-names&quot;:false,&quot;dropping-particle&quot;:&quot;&quot;,&quot;non-dropping-particle&quot;:&quot;El&quot;},{&quot;family&quot;:&quot;Beauval&quot;,&quot;given&quot;:&quot;Céline&quot;,&quot;parse-names&quot;:false,&quot;dropping-particle&quot;:&quot;&quot;,&quot;non-dropping-particle&quot;:&quot;&quot;},{&quot;family&quot;:&quot;Brax&quot;,&quot;given&quot;:&quot;Marlène&quot;,&quot;parse-names&quot;:false,&quot;dropping-particle&quot;:&quot;&quot;,&quot;non-dropping-particle&quot;:&quot;&quot;},{&quot;family&quot;:&quot;Klinger&quot;,&quot;given&quot;:&quot;Yann&quot;,&quot;parse-names&quot;:false,&quot;dropping-particle&quot;:&quot;&quot;,&quot;non-dropping-particle&quot;:&quot;&quot;}],&quot;container-title&quot;:&quot;Natural Hazards and Earth System Sciences&quot;,&quot;DOI&quot;:&quot;10.5194/nhess-25-3397-2025&quot;,&quot;ISSN&quot;:&quot;16849981&quot;,&quot;issued&quot;:{&quot;date-parts&quot;:[[2025,9,15]]},&quot;page&quot;:&quot;3397-3419&quot;,&quot;abstract&quot;:&quot;The Levant fault system (LFS), a 1200 km long left-lateral strike-slip fault connecting the Red Sea to the East Anatolian fault, is a major source of seismic hazard in the Middle East. In this study, we focus on improving regional probabilistic seismic hazard assessment (PSHA) models by considering the interconnected nature of the LFS, which challenges the traditional approach of treating faults as isolated segments. We analyze the segmentation of the fault system and identify 43 sections with lengths varying from 5 to 39 km along the main and secondary strands. Applying the SHERIFS (Seismic Hazard and Earthquake Rate In Fault Systems) algorithm, we develop an interconnected fault model that allows for complex ruptures, making assumptions about which sections can break together. At first, using a maximum magnitude of 7.5 for the system and considering that ruptures cannot pass major discontinuities, we compare the classical and interconnected fault models through the seismic rates and associated hazard results. We show that the interconnected fault model leads on average to increased hazard along the branch faults and to lower hazard along the main strand, with respect to the classical implementation. Next, we show that in order for the maximum-magnitude earthquake to be more realistic (∼ 7.9), the connectivity of the LFS fault system must be fully released. At a 475-year return period, hazard levels obtained at the peak ground acceleration (PGA) are above 0.3 g for all sites within ∼ 20 km of faults, with peak values around 0.5 g along specific sections. At 0.2 s spectral acceleration, hazard values exceed 0.8 g along all fault segments. This study highlights the importance of incorporating complex fault interactions into seismic hazard models.&quot;,&quot;publisher&quot;:&quot;Copernicus Publications&quot;,&quot;issue&quot;:&quot;9&quot;,&quot;volume&quot;:&quot;25&quot;,&quot;container-title-short&quot;:&quot;&quot;},&quot;isTemporary&quot;:false}]},{&quot;citationID&quot;:&quot;MENDELEY_CITATION_fe03a552-df7e-4480-aa17-3b3bf46a7779&quot;,&quot;properties&quot;:{&quot;noteIndex&quot;:0},&quot;isEdited&quot;:false,&quot;manualOverride&quot;:{&quot;isManuallyOverridden&quot;:false,&quot;citeprocText&quot;:&quot;(Mariniere et al. 2021; Basili et al. 2024; Das et al. 2025; Neha et al. 2025)&quot;,&quot;manualOverrideText&quot;:&quot;&quot;},&quot;citationTag&quot;:&quot;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&quot;,&quot;citationItems&quot;:[{&quot;id&quot;:&quot;27679918-5f10-3fd8-b085-00679c5858bf&quot;,&quot;itemData&quot;:{&quot;type&quot;:&quot;article-journal&quot;,&quot;id&quot;:&quot;27679918-5f10-3fd8-b085-00679c5858bf&quot;,&quot;title&quot;:&quot;The European Fault-Source Model 2020 (EFSM20): geologic input data for the European Seismic Hazard Model 2020&quot;,&quot;author&quot;:[{&quot;family&quot;:&quot;Basili&quot;,&quot;given&quot;:&quot;Roberto&quot;,&quot;parse-names&quot;:false,&quot;dropping-particle&quot;:&quot;&quot;,&quot;non-dropping-particle&quot;:&quot;&quot;},{&quot;family&quot;:&quot;Danciu&quot;,&quot;given&quot;:&quot;Laurentiu&quot;,&quot;parse-names&quot;:false,&quot;dropping-particle&quot;:&quot;&quot;,&quot;non-dropping-particle&quot;:&quot;&quot;},{&quot;family&quot;:&quot;Beauval&quot;,&quot;given&quot;:&quot;Céline&quot;,&quot;parse-names&quot;:false,&quot;dropping-particle&quot;:&quot;&quot;,&quot;non-dropping-particle&quot;:&quot;&quot;},{&quot;family&quot;:&quot;Sesetyan&quot;,&quot;given&quot;:&quot;Karin&quot;,&quot;parse-names&quot;:false,&quot;dropping-particle&quot;:&quot;&quot;,&quot;non-dropping-particle&quot;:&quot;&quot;},{&quot;family&quot;:&quot;Vilanova&quot;,&quot;given&quot;:&quot;Susana Pires&quot;,&quot;parse-names&quot;:false,&quot;dropping-particle&quot;:&quot;&quot;,&quot;non-dropping-particle&quot;:&quot;&quot;},{&quot;family&quot;:&quot;Adamia&quot;,&quot;given&quot;:&quot;Shota&quot;,&quot;parse-names&quot;:false,&quot;dropping-particle&quot;:&quot;&quot;,&quot;non-dropping-particle&quot;:&quot;&quot;},{&quot;family&quot;:&quot;Arroucau&quot;,&quot;given&quot;:&quot;Pierre&quot;,&quot;parse-names&quot;:false,&quot;dropping-particle&quot;:&quot;&quot;,&quot;non-dropping-particle&quot;:&quot;&quot;},{&quot;family&quot;:&quot;Atanackov&quot;,&quot;given&quot;:&quot;Jure&quot;,&quot;parse-names&quot;:false,&quot;dropping-particle&quot;:&quot;&quot;,&quot;non-dropping-particle&quot;:&quot;&quot;},{&quot;family&quot;:&quot;Baize&quot;,&quot;given&quot;:&quot;Stéphane&quot;,&quot;parse-names&quot;:false,&quot;dropping-particle&quot;:&quot;&quot;,&quot;non-dropping-particle&quot;:&quot;&quot;},{&quot;family&quot;:&quot;Canora&quot;,&quot;given&quot;:&quot;Carolina&quot;,&quot;parse-names&quot;:false,&quot;dropping-particle&quot;:&quot;&quot;,&quot;non-dropping-particle&quot;:&quot;&quot;},{&quot;family&quot;:&quot;Caputo&quot;,&quot;given&quot;:&quot;Riccardo&quot;,&quot;parse-names&quot;:false,&quot;dropping-particle&quot;:&quot;&quot;,&quot;non-dropping-particle&quot;:&quot;&quot;},{&quot;family&quot;:&quot;Carafa&quot;,&quot;given&quot;:&quot;Michele Matteo Cosimo&quot;,&quot;parse-names&quot;:false,&quot;dropping-particle&quot;:&quot;&quot;,&quot;non-dropping-particle&quot;:&quot;&quot;},{&quot;family&quot;:&quot;Cushing&quot;,&quot;given&quot;:&quot;Edward Marc&quot;,&quot;parse-names&quot;:false,&quot;dropping-particle&quot;:&quot;&quot;,&quot;non-dropping-particle&quot;:&quot;&quot;},{&quot;family&quot;:&quot;Custódio&quot;,&quot;given&quot;:&quot;Susana&quot;,&quot;parse-names&quot;:false,&quot;dropping-particle&quot;:&quot;&quot;,&quot;non-dropping-particle&quot;:&quot;&quot;},{&quot;family&quot;:&quot;Demircioglu Tumsa&quot;,&quot;given&quot;:&quot;Mine Betul&quot;,&quot;parse-names&quot;:false,&quot;dropping-particle&quot;:&quot;&quot;,&quot;non-dropping-particle&quot;:&quot;&quot;},{&quot;family&quot;:&quot;Duarte&quot;,&quot;given&quot;:&quot;João C.&quot;,&quot;parse-names&quot;:false,&quot;dropping-particle&quot;:&quot;&quot;,&quot;non-dropping-particle&quot;:&quot;&quot;},{&quot;family&quot;:&quot;Ganas&quot;,&quot;given&quot;:&quot;Athanassios&quot;,&quot;parse-names&quot;:false,&quot;dropping-particle&quot;:&quot;&quot;,&quot;non-dropping-particle&quot;:&quot;&quot;},{&quot;family&quot;:&quot;García-Mayordomo&quot;,&quot;given&quot;:&quot;Julián&quot;,&quot;parse-names&quot;:false,&quot;dropping-particle&quot;:&quot;&quot;,&quot;non-dropping-particle&quot;:&quot;&quot;},{&quot;family&quot;:&quot;Gómez de la Peña&quot;,&quot;given&quot;:&quot;Laura&quot;,&quot;parse-names&quot;:false,&quot;dropping-particle&quot;:&quot;&quot;,&quot;non-dropping-particle&quot;:&quot;&quot;},{&quot;family&quot;:&quot;Gràcia&quot;,&quot;given&quot;:&quot;Eulàlia&quot;,&quot;parse-names&quot;:false,&quot;dropping-particle&quot;:&quot;&quot;,&quot;non-dropping-particle&quot;:&quot;&quot;},{&quot;family&quot;:&quot;Jamšek Rupnik&quot;,&quot;given&quot;:&quot;Petra&quot;,&quot;parse-names&quot;:false,&quot;dropping-particle&quot;:&quot;&quot;,&quot;non-dropping-particle&quot;:&quot;&quot;},{&quot;family&quot;:&quot;Jomard&quot;,&quot;given&quot;:&quot;Hervé&quot;,&quot;parse-names&quot;:false,&quot;dropping-particle&quot;:&quot;&quot;,&quot;non-dropping-particle&quot;:&quot;&quot;},{&quot;family&quot;:&quot;Kastelic&quot;,&quot;given&quot;:&quot;Vanja&quot;,&quot;parse-names&quot;:false,&quot;dropping-particle&quot;:&quot;&quot;,&quot;non-dropping-particle&quot;:&quot;&quot;},{&quot;family&quot;:&quot;Maesano&quot;,&quot;given&quot;:&quot;Francesco Emanuele&quot;,&quot;parse-names&quot;:false,&quot;dropping-particle&quot;:&quot;&quot;,&quot;non-dropping-particle&quot;:&quot;&quot;},{&quot;family&quot;:&quot;Martín-Banda&quot;,&quot;given&quot;:&quot;Raquel&quot;,&quot;parse-names&quot;:false,&quot;dropping-particle&quot;:&quot;&quot;,&quot;non-dropping-particle&quot;:&quot;&quot;},{&quot;family&quot;:&quot;Martínez-Loriente&quot;,&quot;given&quot;:&quot;Sara&quot;,&quot;parse-names&quot;:false,&quot;dropping-particle&quot;:&quot;&quot;,&quot;non-dropping-particle&quot;:&quot;&quot;},{&quot;family&quot;:&quot;Neres&quot;,&quot;given&quot;:&quot;Marta&quot;,&quot;parse-names&quot;:false,&quot;dropping-particle&quot;:&quot;&quot;,&quot;non-dropping-particle&quot;:&quot;&quot;},{&quot;family&quot;:&quot;Perea&quot;,&quot;given&quot;:&quot;Hector&quot;,&quot;parse-names&quot;:false,&quot;dropping-particle&quot;:&quot;&quot;,&quot;non-dropping-particle&quot;:&quot;&quot;},{&quot;family&quot;:&quot;Šket Motnikar&quot;,&quot;given&quot;:&quot;Barbara&quot;,&quot;parse-names&quot;:false,&quot;dropping-particle&quot;:&quot;&quot;,&quot;non-dropping-particle&quot;:&quot;&quot;},{&quot;family&quot;:&quot;Tiberti&quot;,&quot;given&quot;:&quot;Mara Monica&quot;,&quot;parse-names&quot;:false,&quot;dropping-particle&quot;:&quot;&quot;,&quot;non-dropping-particle&quot;:&quot;&quot;},{&quot;family&quot;:&quot;Tsereteli&quot;,&quot;given&quot;:&quot;Nino&quot;,&quot;parse-names&quot;:false,&quot;dropping-particle&quot;:&quot;&quot;,&quot;non-dropping-particle&quot;:&quot;&quot;},{&quot;family&quot;:&quot;Tsironi&quot;,&quot;given&quot;:&quot;Varvara&quot;,&quot;parse-names&quot;:false,&quot;dropping-particle&quot;:&quot;&quot;,&quot;non-dropping-particle&quot;:&quot;&quot;},{&quot;family&quot;:&quot;Vallone&quot;,&quot;given&quot;:&quot;Roberto&quot;,&quot;parse-names&quot;:false,&quot;dropping-particle&quot;:&quot;&quot;,&quot;non-dropping-particle&quot;:&quot;&quot;},{&quot;family&quot;:&quot;Vanneste&quot;,&quot;given&quot;:&quot;Kris&quot;,&quot;parse-names&quot;:false,&quot;dropping-particle&quot;:&quot;&quot;,&quot;non-dropping-particle&quot;:&quot;&quot;},{&quot;family&quot;:&quot;Zupančič&quot;,&quot;given&quot;:&quot;Polona&quot;,&quot;parse-names&quot;:false,&quot;dropping-particle&quot;:&quot;&quot;,&quot;non-dropping-particle&quot;:&quot;&quot;},{&quot;family&quot;:&quot;Giardini&quot;,&quot;given&quot;:&quot;Domenico&quot;,&quot;parse-names&quot;:false,&quot;dropping-particle&quot;:&quot;&quot;,&quot;non-dropping-particle&quot;:&quot;&quot;}],&quot;container-title&quot;:&quot;Natural Hazards and Earth System Sciences&quot;,&quot;DOI&quot;:&quot;10.5194/nhess-24-3945-2024&quot;,&quot;ISSN&quot;:&quot;1684-9981&quot;,&quot;URL&quot;:&quot;https://nhess.copernicus.org/articles/24/3945/2024/&quot;,&quot;issued&quot;:{&quot;date-parts&quot;:[[2024,11,19]]},&quot;page&quot;:&quot;3945-3976&quot;,&quot;abstract&quot;:&quot;&lt;p&gt;Abstract. Earthquake hazard analyses rely on seismogenic source models. These are designed in various fashions, such as point sources or area sources, but the most effective is the three-dimensional representation of geological faults. We here refer to such models as fault sources. This study presents the European Fault-Source Model 2020 (EFSM20), which was one of the primary input datasets of the recently released European Seismic Hazard Model 2020. The EFSM20 compilation was entirely based on reusable data from existing active fault regional compilations that were first blended and harmonized and then augmented by a set of derived parameters. These additional parameters were devised to enable users to formulate earthquake rate forecasts based on a seismic-moment balancing approach. EFSM20 considers two main categories of seismogenic faults: crustal faults and subduction systems, which include the subduction interface and intraslab faults. The compiled dataset covers an area from the Mid-Atlantic Ridge to the Caucasus and from northern Africa to Iceland. It includes 1248 crustal faults spanning a total length of ∼95 100 km and four subduction systems, namely the Gibraltar, Calabrian, Hellenic, and Cyprus arcs, for a total length of ∼2120 km. The model focuses on an area encompassing a buffer of 300 km around all European countries (except for Overseas Countries and Territories) and a maximum of 300 km depth for the subducting slabs. All the parameters required to develop a seismic source model for earthquake hazard analysis were determined for crustal faults and subduction systems. A statistical distribution of relevant seismotectonic parameters, such as faulting mechanisms, slip rates, moment rates, and prospective maximum magnitudes, is presented and discussed to address unsettled points in view of future updates and improvements. The dataset, identified by the DOI https://doi.org/10.13127/efsm20 (Basili et al., 2022), is distributed as machine-readable files using open standards (Open Geospatial Consortium).&lt;/p&gt;&quot;,&quot;issue&quot;:&quot;11&quot;,&quot;volume&quot;:&quot;24&quot;,&quot;container-title-short&quot;:&quot;&quot;},&quot;isTemporary&quot;:false},{&quot;id&quot;:&quot;6346136b-4311-35ce-860f-5e14ed95699a&quot;,&quot;itemData&quot;:{&quot;type&quot;:&quot;article-journal&quot;,&quot;id&quot;:&quot;6346136b-4311-35ce-860f-5e14ed95699a&quot;,&quot;title&quot;:&quot;Earthquake recurrence model for the Colombia-Ecuador subduction zone constrained from seismic and geodetic data, implication for PSHA&quot;,&quot;author&quot;:[{&quot;family&quot;:&quot;Mariniere&quot;,&quot;given&quot;:&quot;Judith&quot;,&quot;parse-names&quot;:false,&quot;dropping-particle&quot;:&quot;&quot;,&quot;non-dropping-particle&quot;:&quot;&quot;},{&quot;family&quot;:&quot;Beauval&quot;,&quot;given&quot;:&quot;Celine&quot;,&quot;parse-names&quot;:false,&quot;dropping-particle&quot;:&quot;&quot;,&quot;non-dropping-particle&quot;:&quot;&quot;},{&quot;family&quot;:&quot;Nocquet&quot;,&quot;given&quot;:&quot;Jean Mathieu&quot;,&quot;parse-names&quot;:false,&quot;dropping-particle&quot;:&quot;&quot;,&quot;non-dropping-particle&quot;:&quot;&quot;},{&quot;family&quot;:&quot;Chlieh&quot;,&quot;given&quot;:&quot;Mohamed&quot;,&quot;parse-names&quot;:false,&quot;dropping-particle&quot;:&quot;&quot;,&quot;non-dropping-particle&quot;:&quot;&quot;},{&quot;family&quot;:&quot;Yepes&quot;,&quot;given&quot;:&quot;Hugo&quot;,&quot;parse-names&quot;:false,&quot;dropping-particle&quot;:&quot;&quot;,&quot;non-dropping-particle&quot;:&quot;&quot;}],&quot;container-title&quot;:&quot;Bulletin of the Seismological Society of America&quot;,&quot;DOI&quot;:&quot;10.1785/0120200338&quot;,&quot;ISSN&quot;:&quot;19433573&quot;,&quot;issued&quot;:{&quot;date-parts&quot;:[[2021,6,1]]},&quot;page&quot;:&quot;1508-1528&quot;,&quot;abstract&quot;:&quot;Probabilistic seismic hazard assessment relies on long-term earthquake forecasts and ground-motion models. Our aim is to improve earthquake forecasts by including information derived from geodetic measurements, with an application to the Colombia-Ecuador megathrust. The annual rate of moment deficit accumulation at the interface is quantified from geodetically based interseismic coupling models. We look for Gutenberg-Richter recurrence models that match both past seismicity rates and the geodetic moment deficit rate, by adjusting the maximum magnitude. We explore the uncertainties on the seismic rates (a- and b-values, shape close to Mmax) and on the geodetic moment deficit rate to be released seismically. A distribution for the maximum magnitude Mmax bounding a series of earthquake recurrence models is obtained for the Colombia-Ecuador megathrust. Models associated with Mmax values compatible with the extension of the interface segment are selected. We show that the uncertainties mostly influencing the moment-balanced recurrence model are the fraction of geodetic moment released through aseismic processes and the form of the Gutenberg-Richter model close to Mmax. We combine the computed moment-balanced recurrence models with a ground-motion model, to obtain a series of uniform hazard spectra representative of uncertainties at one site on the coast. Considering the recent availability of a massive quantity of geodetic data, our approach could be used in other well-instrumented regions of the world.&quot;,&quot;publisher&quot;:&quot;Seismological Society of America&quot;,&quot;issue&quot;:&quot;3&quot;,&quot;volume&quot;:&quot;111&quot;,&quot;container-title-short&quot;:&quot;&quot;},&quot;isTemporary&quot;:false},{&quot;id&quot;:&quot;e40b5bcf-d4c4-3a63-82c2-19e52f91e83c&quot;,&quot;itemData&quot;:{&quot;type&quot;:&quot;article-journal&quot;,&quot;id&quot;:&quot;e40b5bcf-d4c4-3a63-82c2-19e52f91e83c&quot;,&quot;title&quot;:&quot;Seismic and GNSS strain-based probabilistic seismic hazard evaluation for northern Chile using DAS Magnitude Scale&quot;,&quot;author&quot;:[{&quot;family&quot;:&quot;Das&quot;,&quot;given&quot;:&quot;Ranjit&quot;,&quot;parse-names&quot;:false,&quot;dropping-particle&quot;:&quot;&quot;,&quot;non-dropping-particle&quot;:&quot;&quot;},{&quot;family&quot;:&quot;Meneses&quot;,&quot;given&quot;:&quot;Claudio&quot;,&quot;parse-names&quot;:false,&quot;dropping-particle&quot;:&quot;&quot;,&quot;non-dropping-particle&quot;:&quot;&quot;},{&quot;family&quot;:&quot;Wang&quot;,&quot;given&quot;:&quot;Hua&quot;,&quot;parse-names&quot;:false,&quot;dropping-particle&quot;:&quot;&quot;,&quot;non-dropping-particle&quot;:&quot;&quot;}],&quot;container-title&quot;:&quot;Geoenvironmental Disasters&quot;,&quot;container-title-short&quot;:&quot;Geoenvironmental Disasters&quot;,&quot;DOI&quot;:&quot;10.1186/s40677-024-00285-6&quot;,&quot;ISSN&quot;:&quot;21978670&quot;,&quot;issued&quot;:{&quot;date-parts&quot;:[[2025,12,1]]},&quot;abstract&quot;:&quot;Background: Probabilistic Seismic Hazard Assessment (PSHA) is a leading methodology for determining key ground motion parameters such as Peak Ground Acceleration (PGA) and spectral acceleration (SA), essential for structural design. This approach uses extensive earthquake data, typically spanning over a century, leveraging frequency and magnitude statistics. However, long-term ground shaking probabilities may not always be accurately captured by traditional data-driven methods. To address these limitations, this study develops a PSHA map for Northern Chile using both seismic and GNSS (Global Navigation Satellite System) data. A curated homogeneous earthquake catalog, based on the advanced seismic moment magnitude scale Mwg(Das Magnitude Scale), replaces the traditional Mw scale to ensure superior accuracy, particularly for intermediate and smaller earthquakes. Results: Using the earthquake catalog, seismicity parameters ‘a’ and ‘b’ from the Gutenberg-Richter relationship were derived. Seismogenic modeling and Ground Motion Models (GMMs) were applied to estimate ground motion probabilities for a 475-year return period. Additionally, a PSHA map was constructed using GNSS strain rates, translating velocity-derived strain rates into seismic moment rates and ground shaking probabilities for seismic source zones. Comparative analyses revealed higher PGA values from GNSS strain data compared to seismic catalog data. GNSS strain data proved invaluable for refining seismic segmentation in Northern Chile, enhancing the precision of PSHA calculations. Conclusions: A PSHA map for Northern Chile, synthesizing seismic catalog data and GNSS strain rates using a Logic Tree-based algorithm, has been developed for a 475-year return period. This map provides a critical tool for generating seismic hazard assessments aligned with building codes and emergency planning protocols. By integrating GNSS strain rates and seismic data, this study advances the reliability and accuracy of long-term ground shaking predictions.&quot;,&quot;publisher&quot;:&quot;Springer Science and Business Media Deutschland GmbH&quot;,&quot;issue&quot;:&quot;1&quot;,&quot;volume&quot;:&quot;12&quot;},&quot;isTemporary&quot;:false},{&quot;id&quot;:&quot;794437ef-b5a7-34ab-b828-4935fe2d1111&quot;,&quot;itemData&quot;:{&quot;type&quot;:&quot;article&quot;,&quot;id&quot;:&quot;794437ef-b5a7-34ab-b828-4935fe2d1111&quot;,&quot;title&quot;:&quot;Balancing of geodetic and seismic moment rates and its implications for probabilistic seismic hazard analysis in Taiwan&quot;,&quot;author&quot;:[{&quot;family&quot;:&quot;Neha&quot;,&quot;given&quot;:&quot;&quot;,&quot;parse-names&quot;:false,&quot;dropping-particle&quot;:&quot;&quot;,&quot;non-dropping-particle&quot;:&quot;&quot;},{&quot;family&quot;:&quot;Chuang&quot;,&quot;given&quot;:&quot;Ray Y.&quot;,&quot;parse-names&quot;:false,&quot;dropping-particle&quot;:&quot;&quot;,&quot;non-dropping-particle&quot;:&quot;&quot;},{&quot;family&quot;:&quot;Nishimura&quot;,&quot;given&quot;:&quot;Takuya&quot;,&quot;parse-names&quot;:false,&quot;dropping-particle&quot;:&quot;&quot;,&quot;non-dropping-particle&quot;:&quot;&quot;},{&quot;family&quot;:&quot;Lee&quot;,&quot;given&quot;:&quot;Zixin&quot;,&quot;parse-names&quot;:false,&quot;dropping-particle&quot;:&quot;&quot;,&quot;non-dropping-particle&quot;:&quot;&quot;},{&quot;family&quot;:&quot;Gao&quot;,&quot;given&quot;:&quot;Jia Cian&quot;,&quot;parse-names&quot;:false,&quot;dropping-particle&quot;:&quot;&quot;,&quot;non-dropping-particle&quot;:&quot;&quot;}],&quot;container-title&quot;:&quot;Earth, Planets and Space&quot;,&quot;DOI&quot;:&quot;10.1186/s40623-025-02247-0&quot;,&quot;ISSN&quot;:&quot;18805981&quot;,&quot;issued&quot;:{&quot;date-parts&quot;:[[2025,12,1]]},&quot;abstract&quot;:&quot;An integration of geodetic data with observed seismicity which reveals how quickly a region is being deformed due to tectonic plate motions and earthquake activities, plays a pivotal role in earthquake forecast modeling. However, the elastic and inelastic components in geodetically measured total strain budget are implicit in nature, has become one of the major issues. In such scenarios, when reliable quantification of total accumulated energy related to seismic hazard appears to be the need of the hour, an empirical correlation factor is introduced in conversion of geodetic to seismic moment rates to prevent an overestimation of earthquake hazard. In this regard, the present study developed regional earthquake likelihood model for Taiwan by incorporating geodetic measurements and updated earthquake data. For this, a time-independent model is performed to compute probabilities for Mw≥6 earthquakes within 30 years in 0.1° × 0.1° cells across Taiwan using corrected-geodetic moment rates, truncated G–R law, and the stochastic Poisson process. The 30-year probability forecasts highlight regions with high seismic hazard, including the locked zone of the Longitudinal Valley fault with gradual decaying toward its southern end and in central Taiwan along the Western Foothills. The high strain rates and low earthquake occurrence rates in southwestern Taiwan emphasize a considerable amount of ongoing inelastic strain deformation in this region. In addition, the regional variation in probability distribution not only exhibits an importance of elastic layer parameters, such as seismogenic thickness and rigidity but also evidently link the heterogeneous tectonics with the orogenic process in Taiwan under the plate convergence. Essentially, this study suggests that an integration of geodetic data in probability model can offer rigorous insights for enhancing the current practice of forecasting strategies for seismic hazard analysis in Taiwan.&quot;,&quot;publisher&quot;:&quot;Springer Science and Business Media Deutschland GmbH&quot;,&quot;issue&quot;:&quot;1&quot;,&quot;volume&quot;:&quot;77&quot;,&quot;container-title-short&quot;:&quot;&quot;},&quot;isTemporary&quot;:false}]},{&quot;citationID&quot;:&quot;MENDELEY_CITATION_eb3de762-47df-49ec-a73d-8617340ce99d&quot;,&quot;properties&quot;:{&quot;noteIndex&quot;:0},&quot;isEdited&quot;:false,&quot;manualOverride&quot;:{&quot;isManuallyOverridden&quot;:false,&quot;citeprocText&quot;:&quot;(Kaneko et al. 2010; Avouac 2015)&quot;,&quot;manualOverrideText&quot;:&quot;&quot;},&quot;citationTag&quot;:&quot;MENDELEY_CITATION_v3_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&quot;,&quot;citationItems&quot;:[{&quot;id&quot;:&quot;7b5e0e63-ab45-33f4-89b7-f617f4842ae9&quot;,&quot;itemData&quot;:{&quot;type&quot;:&quot;article-journal&quot;,&quot;id&quot;:&quot;7b5e0e63-ab45-33f4-89b7-f617f4842ae9&quot;,&quot;title&quot;:&quot;Towards inferring earthquake patterns from geodetic observations of interseismic coupling&quot;,&quot;author&quot;:[{&quot;family&quot;:&quot;Kaneko&quot;,&quot;given&quot;:&quot;Yoshihiro&quot;,&quot;parse-names&quot;:false,&quot;dropping-particle&quot;:&quot;&quot;,&quot;non-dropping-particle&quot;:&quot;&quot;},{&quot;family&quot;:&quot;Avouac&quot;,&quot;given&quot;:&quot;Jean Philippe&quot;,&quot;parse-names&quot;:false,&quot;dropping-particle&quot;:&quot;&quot;,&quot;non-dropping-particle&quot;:&quot;&quot;},{&quot;family&quot;:&quot;Lapusta&quot;,&quot;given&quot;:&quot;Nadia&quot;,&quot;parse-names&quot;:false,&quot;dropping-particle&quot;:&quot;&quot;,&quot;non-dropping-particle&quot;:&quot;&quot;}],&quot;container-title&quot;:&quot;Nature Geoscience&quot;,&quot;container-title-short&quot;:&quot;Nat. Geosci.&quot;,&quot;DOI&quot;:&quot;10.1038/ngeo843&quot;,&quot;ISSN&quot;:&quot;17520894&quot;,&quot;issued&quot;:{&quot;date-parts&quot;:[[2010,5]]},&quot;page&quot;:&quot;363-369&quot;,&quot;abstract&quot;:&quot;Ultimately, seismotectonic studies seek to provide ways of assessing the timing, magnitude and spatial extent of future earthquakes. Ample observations document the spatial variability in interseismic coupling, defined as a degree of locking of a fault during the period of stress build-up between seismic events: fully or nearly locked fault patches are often surrounded by aseismically creeping areas. However, it is unclear how these observations could help assess future earthquakes. Here we simulate spontaneous seismic and aseismic fault slip with a fully dynamic numerical model. Our simulations establish the dependence of earthquake rupture patterns and interseismic coupling on spatial variations of fault friction. We consider the long-term evolution of slip on a model fault where two seismogenic, locked segments are separated by an aseismically slipping patch where rupture is impeded. We find that the probability for a large earthquake to break through the rupture-impeding patch is correlated with the interseismic coupling averaged over this patch. In addition, the probability that an earthquake breaks through the rupture-impeding patch and interseismic coupling are both related to fault friction properties through a single non-dimensional parameter. Our study opens the possibility of predicting seismic rupture patterns that a fault system can produce on the basis of observations of its interseismic coupling, and suggests that regions of low interseismic coupling may reveal permanent barriers to large earthquakes. © 2010 Macmillan Publishers Limited.&quot;,&quot;issue&quot;:&quot;5&quot;,&quot;volume&quot;:&quot;3&quot;},&quot;isTemporary&quot;:false},{&quot;id&quot;:&quot;82cff335-164e-3f07-bd8a-0910252e999f&quot;,&quot;itemData&quot;:{&quot;type&quot;:&quot;article-journal&quot;,&quot;id&quot;:&quot;82cff335-164e-3f07-bd8a-0910252e999f&quot;,&quot;title&quot;:&quot;From geodetic imaging of seismic and aseismic fault slip to dynamic modeling of the seismic cycle&quot;,&quot;author&quot;:[{&quot;family&quot;:&quot;Avouac&quot;,&quot;given&quot;:&quot;Jean Philippe&quot;,&quot;parse-names&quot;:false,&quot;dropping-particle&quot;:&quot;&quot;,&quot;non-dropping-particle&quot;:&quot;&quot;}],&quot;container-title&quot;:&quot;Annual Review of Earth and Planetary Sciences&quot;,&quot;DOI&quot;:&quot;10.1146/annurev-earth-060614-105302&quot;,&quot;ISSN&quot;:&quot;00846597&quot;,&quot;issued&quot;:{&quot;date-parts&quot;:[[2015,5,30]]},&quot;page&quot;:&quot;233-271&quot;,&quot;abstract&quot;:&quot;Understanding the partitioning of seismic and aseismic fault slip is central to seismotectonics as it ultimately determines the seismic potential of faults. Thanks to advances in tectonic geodesy, it is now possible to develop kinematic models of the spatiotemporal evolution of slip over the seismic cycle and to determine the budget of seismic and aseismic slip. Studies of subduction zones and continental faults have shown that aseismic creep is common and sometimes prevalent within the seismogenic depth range. Interseismic coupling is generally observed to be spatially heterogeneous, defining locked patches of stress accumulation, to be released in future earthquakes or aseismic transients, surrounded by creeping areas. Clay-rich tectonites, high temperature, and elevated pore-fluid pressure seem to be key factors promoting aseismic creep. The generally logarithmic time evolution of afterslip is a distinctive feature of creeping faults that suggests a logarithmic dependency of fault friction on slip rate, as observed in laboratory friction experiments. Most faults can be considered to be paved with interlaced patches where the friction law is either rate-strengthening, inhibiting seismic rupture propagation, or rate-weakening, allowing for earthquake nucleation. The rate-weakening patches act as asperities on which stress builds up in the interseismic period; they might rupture collectively in a variety of ways. The pattern of interseismic coupling can help constrain the return period of the maximum- magnitude earthquake based on the requirement that seismic and aseismic slip sum to match long-term slip. Dynamic models of the seismic cycle based on this conceptual model can be tuned to reproduce geodetic and seismological observations. The promise and pitfalls of using such models to assess seismic hazard are discussed.&quot;,&quot;publisher&quot;:&quot;Annual Reviews Inc.&quot;,&quot;volume&quot;:&quot;43&quot;,&quot;container-title-short&quot;:&quot;Annu. Rev. Earth Planet. Sci.&quot;},&quot;isTemporary&quot;:false}]},{&quot;citationID&quot;:&quot;MENDELEY_CITATION_61533b8b-b9b8-444b-a0df-0c934749435f&quot;,&quot;properties&quot;:{&quot;noteIndex&quot;:0},&quot;isEdited&quot;:false,&quot;manualOverride&quot;:{&quot;isManuallyOverridden&quot;:false,&quot;citeprocText&quot;:&quot;(Michel et al. 2023)&quot;,&quot;manualOverrideText&quot;:&quot;&quot;},&quot;citationTag&quot;:&quot;MENDELEY_CITATION_v3_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&quot;,&quot;citationItems&quot;:[{&quot;id&quot;:&quot;2bacf7d2-53d1-385e-a6fe-c1132f0676d0&quot;,&quot;itemData&quot;:{&quot;type&quot;:&quot;article-journal&quot;,&quot;id&quot;:&quot;2bacf7d2-53d1-385e-a6fe-c1132f0676d0&quot;,&quot;title&quot;:&quot;Seismogenic potential of the subduction zone in northern Chile&quot;,&quot;author&quot;:[{&quot;family&quot;:&quot;Michel&quot;,&quot;given&quot;:&quot;Sylvain&quot;,&quot;parse-names&quot;:false,&quot;dropping-particle&quot;:&quot;&quot;,&quot;non-dropping-particle&quot;:&quot;&quot;},{&quot;family&quot;:&quot;Jolivet&quot;,&quot;given&quot;:&quot;Romain&quot;,&quot;parse-names&quot;:false,&quot;dropping-particle&quot;:&quot;&quot;,&quot;non-dropping-particle&quot;:&quot;&quot;},{&quot;family&quot;:&quot;Jara&quot;,&quot;given&quot;:&quot;Jorge&quot;,&quot;parse-names&quot;:false,&quot;dropping-particle&quot;:&quot;&quot;,&quot;non-dropping-particle&quot;:&quot;&quot;},{&quot;family&quot;:&quot;Rollins&quot;,&quot;given&quot;:&quot;Chris&quot;,&quot;parse-names&quot;:false,&quot;dropping-particle&quot;:&quot;&quot;,&quot;non-dropping-particle&quot;:&quot;&quot;}],&quot;container-title&quot;:&quot;Bulletin of the Seismological Society of America&quot;,&quot;DOI&quot;:&quot;10.1785/0120220142&quot;,&quot;ISSN&quot;:&quot;19433573&quot;,&quot;issued&quot;:{&quot;date-parts&quot;:[[2023,6,1]]},&quot;page&quot;:&quot;1013-1024&quot;,&quot;abstract&quot;:&quot;The northern Chile region of the Nazca subduction zone ruptured in an Mw ∼8:5–9:0 earthquake in 1877, which induced a tsunami. The various magnitude estimates of this event are based on the evaluation of historical records, seismic intensities, and/or tide gauge infor-mation; however, its actual along-strike extent is debated. Based on geodetic data, the previous studies have suggested that this region has the potential for an Mw 8.2–8.8 event. We re-evaluate the seismic potential of the region, accounting for the buildup rate of moment deficit along the megathrust, the earthquake magnitude–frequency distribution, and the physics of earthquakes. We combine an improved probabilistic estimate of moment deficit rate with results from dynamic models of the earthquake cycle, testing, in particular, the influence of a potential aseismic barrier near the city of Iquique, which may influence the extent and magnitude of large events in this region. We find that Mw 8.8 is the most probable maximum magnitude earthquake in the region, and that the potential barrier likely has a limited impact considering uncertainties. We discuss the effect of the moment deficit rate on the fault, the b-value, and the importance of postseismic processes on our results.&quot;,&quot;publisher&quot;:&quot;Seismological Society of America&quot;,&quot;issue&quot;:&quot;3&quot;,&quot;volume&quot;:&quot;113&quot;,&quot;container-title-short&quot;:&quot;&quot;},&quot;isTemporary&quot;:false}]},{&quot;citationID&quot;:&quot;MENDELEY_CITATION_fdecd1e3-6744-4a3b-b57a-683b6031e7d0&quot;,&quot;properties&quot;:{&quot;noteIndex&quot;:0},&quot;isEdited&quot;:false,&quot;manualOverride&quot;:{&quot;isManuallyOverridden&quot;:false,&quot;citeprocText&quot;:&quot;(Gamboa-Canté et al. 2024b)&quot;,&quot;manualOverrideText&quot;:&quot;&quot;},&quot;citationTag&quot;:&quot;MENDELEY_CITATION_v3_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&quot;,&quot;citationItems&quot;:[{&quot;id&quot;:&quot;556fcfe5-23c0-3c86-addd-1b8d34f15429&quot;,&quot;itemData&quot;:{&quot;type&quot;:&quot;article-journal&quot;,&quot;id&quot;:&quot;556fcfe5-23c0-3c86-addd-1b8d34f15429&quot;,&quot;title&quot;:&quot;Sensitivity Analysis on the Impact of Input Parameters on Seismic Hazard Results: A Case Study of Central America&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quot;,&quot;given&quot;:&quot;Belén&quot;,&quot;parse-names&quot;:false,&quot;dropping-particle&quot;:&quot;&quot;,&quot;non-dropping-particle&quot;:&quot;&quot;}],&quot;container-title&quot;:&quot;Geosciences&quot;,&quot;container-title-short&quot;:&quot;Geosciences (Basel).&quot;,&quot;DOI&quot;:&quot;10.3390/geosciences15010004&quot;,&quot;ISSN&quot;:&quot;2076-3263&quot;,&quot;URL&quot;:&quot;https://www.mdpi.com/2076-3263/15/1/4&quot;,&quot;issued&quot;:{&quot;date-parts&quot;:[[2024,12,29]]},&quot;page&quot;:&quot;4&quot;,&quot;abstract&quot;:&quot;&lt;p&gt;We present a sensitivity analysis on the impact of input parameters and methods used on the results of a probabilistic seismic hazard assessment (PSHA). The accurate estimation of the parameters in recurrence models (declustering and fitting methods), along with the selection of scaling relationships for determining maximum magnitude and the selection of ground motion models (GMMs), enhance control over epistemic uncertainties when constructing the logic tree, minimizing final calculation errors and producing credible results for the study region. This study focuses on Central America, utilizing recent data from seismic, geological, and geophysical studies to improve uncertainty analyses through classic statistical methods. The results demonstrate that proper fitting of the recurrence model can stabilize acceleration variations regardless of the declustering method or b-value fitting method used. Regarding scaling relationships, their low impact on the final results is noted, provided the models are tailored to the tectonic regime under study. Finally, it is shown that the GMM contributes the most variability to seismic hazard results; therefore, their selection should be conditioned on calibration with observed data through residual analysis where region-specific models are not available.&lt;/p&gt;&quot;,&quot;issue&quot;:&quot;1&quot;,&quot;volume&quot;:&quot;15&quot;},&quot;isTemporary&quot;:false}]},{&quot;citationID&quot;:&quot;MENDELEY_CITATION_524eb13c-84fc-4370-a587-1a267b560ca7&quot;,&quot;properties&quot;:{&quot;noteIndex&quot;:0},&quot;isEdited&quot;:false,&quot;manualOverride&quot;:{&quot;isManuallyOverridden&quot;:true,&quot;citeprocText&quot;:&quot;(Plafker 1976; White 1985; Ellis et al. 2015; Guzmán-Speziale and Molina 2022)&quot;,&quot;manualOverrideText&quot;:&quot;(e.g., Plafker 1976; White 1985; Ellis et al. 2015; Guzmán-Speziale and Molina 2022)&quot;},&quot;citationTag&quot;:&quot;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&quot;,&quot;citationItems&quot;:[{&quot;id&quot;:&quot;b230032e-cf2d-3cc7-8b53-941c37f2b20e&quot;,&quot;itemData&quot;:{&quot;type&quot;:&quot;article-journal&quot;,&quot;id&quot;:&quot;b230032e-cf2d-3cc7-8b53-941c37f2b20e&quot;,&quot;title&quot;:&quot;Seismicity and seismically active faulting of Guatemala: A review&quot;,&quot;author&quot;:[{&quot;family&quot;:&quot;Guzmán-Speziale&quot;,&quot;given&quot;:&quot;Marco&quot;,&quot;parse-names&quot;:false,&quot;dropping-particle&quot;:&quot;&quot;,&quot;non-dropping-particle&quot;:&quot;&quot;},{&quot;family&quot;:&quot;Molina&quot;,&quot;given&quot;:&quot;Enrique&quot;,&quot;parse-names&quot;:false,&quot;dropping-particle&quot;:&quot;&quot;,&quot;non-dropping-particle&quot;:&quot;&quot;}],&quot;container-title&quot;:&quot;Journal of South American Earth Sciences&quot;,&quot;container-title-short&quot;:&quot;J. South Am. Earth Sci.&quot;,&quot;DOI&quot;:&quot;10.1016/j.jsames.2022.103740&quot;,&quot;ISSN&quot;:&quot;08959811&quot;,&quot;issued&quot;:{&quot;date-parts&quot;:[[2022,4,1]]},&quot;abstract&quot;:&quot;We present a review of the main sources of seismicity of Guatemala. The largest seismically active faults are related to the transform, left-lateral, North America-Caribbean plate boundary zone, the most prominent of which are the Motagua and Polochic faults, both exceeding 350 km in length. Additionally, the Ixcán fault, a 150-200-km-long left-lateral structure, is located north of the Polochic and Motagua faults. Other seismically active faults associated to the Polochic-Motagua system and smaller in length are the Seleguá, Nentón and Las Conchas. The Jocotán and Chamelecón faults are located south of and parallel to, the Polochic-Motagua, with a combined length of about 300 km. These faults are not active at present but probably were part of the plate boundary zone in the geologic past. A system of North-South-trending grabens is located immediately south of the Jocotán-Chamelecón fault system, and cutting through it. These grabens are seismically active. South-southwest of the grabens, there is a system of conjugate faults, called the Arco Volcánico fault system, whose main structure is the Jalpatagua fault, a right-lateral strike-slip structure parallel to the volcanic arc. There are other minor faults along this system striking perpendicular to the Jalpatagua with left-lateral displacement. These faults are partially covered by volcanic deposits and have only been identified by their seismic activity. Finally, the Middle America trench offshore southern Guatemala is the plate boundary between the overriding Caribbean and the subducting Cocos plates. All these structures have produced large earthquakes. Historical data show that epicenters of great earthquakes have indeed been located along one of these faults, such as the July 22, 1816 (Magnitude 7.6) along the Polochic fault. More recently, on February 4, 1976, a Magnitude 7.5 earthquake took place, with epicenter on the Motagua fault. This event caused severe damages to the infrastructure of the country, and about 23,000 deaths. The rest of the faults and grabens have also been the site of destructive earthquakes, such as the seismic sequence of December 1917–January 1918, which caused severe damages in Guatemala City. The Cocos-Caribbean convergent boundary is also seismically active, producing events of magnitude 7.0 or larger, the latest of which took place on November 2012, damaging towns and cities along the coastal plain of southern Guatemala.&quot;,&quot;publisher&quot;:&quot;Elsevier Ltd&quot;,&quot;volume&quot;:&quot;115&quot;},&quot;isTemporary&quot;:false},{&quot;id&quot;:&quot;07c8aaf2-7e28-3ee2-ab16-bcf31903aee0&quot;,&quot;itemData&quot;:{&quot;type&quot;:&quot;article-journal&quot;,&quot;id&quot;:&quot;07c8aaf2-7e28-3ee2-ab16-bcf31903aee0&quot;,&quot;title&quot;:&quot;The Guatemala earthquake of 1816 on the Chixoy-Polochic fault&quot;,&quot;author&quot;:[{&quot;family&quot;:&quot;White&quot;,&quot;given&quot;:&quot;Randall A&quot;,&quot;parse-names&quot;:false,&quot;dropping-particle&quot;:&quot;&quot;,&quot;non-dropping-particle&quot;:&quot;&quot;}],&quot;container-title&quot;:&quot;Bulletin of the Seismological Society of America&quot;,&quot;issued&quot;:{&quot;date-parts&quot;:[[1985]]},&quot;page&quot;:&quot;455-473&quot;,&quot;abstract&quot;:&quot;Forty historical documents have been found which describe a previously unknown very large earthquake on 22 July 1816. This event occurred along the strike-slip boundary between the Caribbean and North American plates in Gua-temala and southern Mexico. Modified Mercalli intensities are estimated from these accounts, and a rough isoseismal map is constructed. The damage pattern indicates that the causative fault was the left-lateral Chixoy-Polochic fault for which no damaging earthquake has previously been reported. Damage of Modified Mercalli intensity VII or greater covered an area of at least 13,000 km 2, extending over 340 km from Alta Verapaz province in Guatemala westward to San Cristobal las Casas, in Chiapas, Mexico. The area of intensity VII indicates a moment of 1 x 1028 dyne-cm, while the estimated length of the intensity VII isoseismal indicates a more likely figure of 3.5 x 1027 dyne-cm, or an equivalent magnitude (Mw) of 7~ to 7~. The reported aftershock sequence is compatible with an earthquake in this magnitude range. These data demonstrate that the Chixoy-Polochic fault is currently an active part of the Caribbean-North American plate boundary and is capable of producing very large earthquakes.&quot;,&quot;issue&quot;:&quot;2&quot;,&quot;volume&quot;:&quot;75&quot;,&quot;container-title-short&quot;:&quot;&quot;},&quot;isTemporary&quot;:false},{&quot;id&quot;:&quot;5a7d67bb-186e-3a09-bf63-9074801456c4&quot;,&quot;itemData&quot;:{&quot;type&quot;:&quot;article-journal&quot;,&quot;id&quot;:&quot;5a7d67bb-186e-3a09-bf63-9074801456c4&quot;,&quot;title&quot;:&quot;Tectonic Aspects of the Guaten Earthquake of 4 February 1 George&quot;,&quot;author&quot;:[{&quot;family&quot;:&quot;Plafker&quot;,&quot;given&quot;:&quot;George&quot;,&quot;parse-names&quot;:false,&quot;dropping-particle&quot;:&quot;&quot;,&quot;non-dropping-particle&quot;:&quot;&quot;}],&quot;container-title&quot;:&quot;Science&quot;,&quot;container-title-short&quot;:&quot;Science (1979).&quot;,&quot;issued&quot;:{&quot;date-parts&quot;:[[1976]]},&quot;page&quot;:&quot;1202-1208&quot;,&quot;issue&quot;:&quot;4259&quot;,&quot;volume&quot;:&quot;193&quot;},&quot;isTemporary&quot;:false},{&quot;id&quot;:&quot;4447e6d1-823a-3b61-b593-dfc2e72b6fe4&quot;,&quot;itemData&quot;:{&quot;type&quot;:&quot;article-journal&quot;,&quot;id&quot;:&quot;4447e6d1-823a-3b61-b593-dfc2e72b6fe4&quot;,&quot;title&quot;:&quot;Geodetic slip solutions for the Mw= 7.4 Champerico (Guatemala) earthquake of 2012 November 7 and its postseismic deformation&quot;,&quot;author&quot;:[{&quot;family&quot;:&quot;Ellis&quot;,&quot;given&quot;:&quot;Andria P.&quot;,&quot;parse-names&quot;:false,&quot;dropping-particle&quot;:&quot;&quot;,&quot;non-dropping-particle&quot;:&quot;&quot;},{&quot;family&quot;:&quot;Demets&quot;,&quot;given&quot;:&quot;Charles&quot;,&quot;parse-names&quot;:false,&quot;dropping-particle&quot;:&quot;&quot;,&quot;non-dropping-particle&quot;:&quot;&quot;},{&quot;family&quot;:&quot;Briole&quot;,&quot;given&quot;:&quot;Pierre&quot;,&quot;parse-names&quot;:false,&quot;dropping-particle&quot;:&quot;&quot;,&quot;non-dropping-particle&quot;:&quot;&quot;},{&quot;family&quot;:&quot;Molina&quot;,&quot;given&quot;:&quot;Enrique&quot;,&quot;parse-names&quot;:false,&quot;dropping-particle&quot;:&quot;&quot;,&quot;non-dropping-particle&quot;:&quot;&quot;},{&quot;family&quot;:&quot;Flores&quot;,&quot;given&quot;:&quot;Omar&quot;,&quot;parse-names&quot;:false,&quot;dropping-particle&quot;:&quot;&quot;,&quot;non-dropping-particle&quot;:&quot;&quot;},{&quot;family&quot;:&quot;Rivera&quot;,&quot;given&quot;:&quot;Jeffrey&quot;,&quot;parse-names&quot;:false,&quot;dropping-particle&quot;:&quot;&quot;,&quot;non-dropping-particle&quot;:&quot;&quot;},{&quot;family&quot;:&quot;Lasserre&quot;,&quot;given&quot;:&quot;Cécile&quot;,&quot;parse-names&quot;:false,&quot;dropping-particle&quot;:&quot;&quot;,&quot;non-dropping-particle&quot;:&quot;&quot;},{&quot;family&quot;:&quot;Lyon-Caen&quot;,&quot;given&quot;:&quot;Hélène&quot;,&quot;parse-names&quot;:false,&quot;dropping-particle&quot;:&quot;&quot;,&quot;non-dropping-particle&quot;:&quot;&quot;},{&quot;family&quot;:&quot;Lord&quot;,&quot;given&quot;:&quot;Neal&quot;,&quot;parse-names&quot;:false,&quot;dropping-particle&quot;:&quot;&quot;,&quot;non-dropping-particle&quot;:&quot;&quot;}],&quot;container-title&quot;:&quot;Geophysical Journal International&quot;,&quot;container-title-short&quot;:&quot;Geophys. J. Int.&quot;,&quot;DOI&quot;:&quot;10.1093/gji/ggu484&quot;,&quot;ISSN&quot;:&quot;1365246X&quot;,&quot;issued&quot;:{&quot;date-parts&quot;:[[2015,5,1]]},&quot;page&quot;:&quot;856-868&quot;,&quot;abstract&quot;:&quot;As the first large subduction thrust earthquake off the coast of western Guatemala in the past several decades, the 2012 November 7 Mw = 7.4 earthquake offers the first opportunity to study coseismic and postseismic behaviour along a segment of the Middle America trench where frictional coupling makes a transition from weak coupling off the coast of El Salvador to strong coupling in southern Mexico. We use measurements at 19 continuous GPS sites in Guatemala, El Salvador and Mexico to estimate the coseismic slip and postseismic deformation of the November 2012 Champerico (Guatemala) earthquake. An inversion of the coseismic offsets, which range up to ∼47 mm at the surface near the epicentre, indicates that up to ∼2 m of coseismic slip occurred on a ∼30 × 30 km rupture area between ∼10 and 30 km depth, which is near the global CMT centroid. The geodetic moment of 13 × 1019 N m and corresponding magnitude of 7.4 both agree well with independent seismological estimates. Transient postseismic deformation that was recorded at 11 GPS sites is attributable to a combination of fault afterslip and viscoelastic flow in the lower crust and/or mantle. Modelling of the viscoelastic deformation suggests that it constituted no more than ∼30 per cent of the short-term postseismic deformation. GPS observations that extend six months after the earthquake are well fit by a model in which most afterslip occurred at the same depth or directly downdip from the rupture zone and released energy equivalent to no more than ∼20 per cent of the coseismic moment. An independent seismological slip solution that features more highly concentrated coseismic slip than our own fits the GPS offsets well if its slip centroid is translated ∼50 km to the west to a position close to our slip centroid. The geodetic and seismologic slip solutions thus suggest bounds of 2-7 m for the peak slip along a region of the interface no larger than 30 × 30 km.&quot;,&quot;publisher&quot;:&quot;Oxford University Press&quot;,&quot;issue&quot;:&quot;2&quot;,&quot;volume&quot;:&quot;201&quot;},&quot;isTemporary&quot;:false}]},{&quot;citationID&quot;:&quot;MENDELEY_CITATION_ca079bfb-1a2f-48d1-b379-e86937a4c144&quot;,&quot;properties&quot;:{&quot;noteIndex&quot;:0},&quot;isEdited&quot;:false,&quot;manualOverride&quot;:{&quot;isManuallyOverridden&quot;:false,&quot;citeprocText&quot;:&quot;(Espinosa 1976)&quot;,&quot;manualOverrideText&quot;:&quot;&quot;},&quot;citationTag&quot;:&quot;MENDELEY_CITATION_v3_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&quot;,&quot;citationItems&quot;:[{&quot;id&quot;:&quot;c78ed6c4-f407-3255-b4d9-5f0808930978&quot;,&quot;itemData&quot;:{&quot;type&quot;:&quot;report&quot;,&quot;id&quot;:&quot;c78ed6c4-f407-3255-b4d9-5f0808930978&quot;,&quot;title&quot;:&quot;The Guatemalan earthquake of february 4, 1976, a preliminary report&quot;,&quot;author&quot;:[{&quot;family&quot;:&quot;Espinosa&quot;,&quot;given&quot;:&quot;A&quot;,&quot;parse-names&quot;:false,&quot;dropping-particle&quot;:&quot;&quot;,&quot;non-dropping-particle&quot;:&quot;&quot;}],&quot;issued&quot;:{&quot;date-parts&quot;:[[1976]]},&quot;number-of-pages&quot;:&quot;1-103&quot;,&quot;container-title-short&quot;:&quot;&quot;},&quot;isTemporary&quot;:false}]},{&quot;citationID&quot;:&quot;MENDELEY_CITATION_c45bcbe1-8687-4ba0-9c73-68d69f77ae11&quot;,&quot;properties&quot;:{&quot;noteIndex&quot;:0},&quot;isEdited&quot;:false,&quot;manualOverride&quot;:{&quot;isManuallyOverridden&quot;:false,&quot;citeprocText&quot;:&quot;(Garnier et al. 2022)&quot;,&quot;manualOverrideText&quot;:&quot;&quot;},&quot;citationTag&quot;:&quot;MENDELEY_CITATION_v3_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&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40a64a8b-1f10-4d26-aeb4-04712de006ad&quot;,&quot;properties&quot;:{&quot;noteIndex&quot;:0},&quot;isEdited&quot;:false,&quot;manualOverride&quot;:{&quot;isManuallyOverridden&quot;:false,&quot;citeprocText&quot;:&quot;(Guzmán-Speziale and Molina 2022)&quot;,&quot;manualOverrideText&quot;:&quot;&quot;},&quot;citationTag&quot;:&quot;MENDELEY_CITATION_v3_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&quot;,&quot;citationItems&quot;:[{&quot;id&quot;:&quot;b230032e-cf2d-3cc7-8b53-941c37f2b20e&quot;,&quot;itemData&quot;:{&quot;type&quot;:&quot;article-journal&quot;,&quot;id&quot;:&quot;b230032e-cf2d-3cc7-8b53-941c37f2b20e&quot;,&quot;title&quot;:&quot;Seismicity and seismically active faulting of Guatemala: A review&quot;,&quot;author&quot;:[{&quot;family&quot;:&quot;Guzmán-Speziale&quot;,&quot;given&quot;:&quot;Marco&quot;,&quot;parse-names&quot;:false,&quot;dropping-particle&quot;:&quot;&quot;,&quot;non-dropping-particle&quot;:&quot;&quot;},{&quot;family&quot;:&quot;Molina&quot;,&quot;given&quot;:&quot;Enrique&quot;,&quot;parse-names&quot;:false,&quot;dropping-particle&quot;:&quot;&quot;,&quot;non-dropping-particle&quot;:&quot;&quot;}],&quot;container-title&quot;:&quot;Journal of South American Earth Sciences&quot;,&quot;container-title-short&quot;:&quot;J. South Am. Earth Sci.&quot;,&quot;DOI&quot;:&quot;10.1016/j.jsames.2022.103740&quot;,&quot;ISSN&quot;:&quot;08959811&quot;,&quot;issued&quot;:{&quot;date-parts&quot;:[[2022,4,1]]},&quot;abstract&quot;:&quot;We present a review of the main sources of seismicity of Guatemala. The largest seismically active faults are related to the transform, left-lateral, North America-Caribbean plate boundary zone, the most prominent of which are the Motagua and Polochic faults, both exceeding 350 km in length. Additionally, the Ixcán fault, a 150-200-km-long left-lateral structure, is located north of the Polochic and Motagua faults. Other seismically active faults associated to the Polochic-Motagua system and smaller in length are the Seleguá, Nentón and Las Conchas. The Jocotán and Chamelecón faults are located south of and parallel to, the Polochic-Motagua, with a combined length of about 300 km. These faults are not active at present but probably were part of the plate boundary zone in the geologic past. A system of North-South-trending grabens is located immediately south of the Jocotán-Chamelecón fault system, and cutting through it. These grabens are seismically active. South-southwest of the grabens, there is a system of conjugate faults, called the Arco Volcánico fault system, whose main structure is the Jalpatagua fault, a right-lateral strike-slip structure parallel to the volcanic arc. There are other minor faults along this system striking perpendicular to the Jalpatagua with left-lateral displacement. These faults are partially covered by volcanic deposits and have only been identified by their seismic activity. Finally, the Middle America trench offshore southern Guatemala is the plate boundary between the overriding Caribbean and the subducting Cocos plates. All these structures have produced large earthquakes. Historical data show that epicenters of great earthquakes have indeed been located along one of these faults, such as the July 22, 1816 (Magnitude 7.6) along the Polochic fault. More recently, on February 4, 1976, a Magnitude 7.5 earthquake took place, with epicenter on the Motagua fault. This event caused severe damages to the infrastructure of the country, and about 23,000 deaths. The rest of the faults and grabens have also been the site of destructive earthquakes, such as the seismic sequence of December 1917–January 1918, which caused severe damages in Guatemala City. The Cocos-Caribbean convergent boundary is also seismically active, producing events of magnitude 7.0 or larger, the latest of which took place on November 2012, damaging towns and cities along the coastal plain of southern Guatemala.&quot;,&quot;publisher&quot;:&quot;Elsevier Ltd&quot;,&quot;volume&quot;:&quot;115&quot;},&quot;isTemporary&quot;:false}]},{&quot;citationID&quot;:&quot;MENDELEY_CITATION_40ac06c0-4bcd-477e-bf52-aa9e863ca012&quot;,&quot;properties&quot;:{&quot;noteIndex&quot;:0},&quot;isEdited&quot;:false,&quot;manualOverride&quot;:{&quot;isManuallyOverridden&quot;:false,&quot;citeprocText&quot;:&quot;(Plafker 1976)&quot;,&quot;manualOverrideText&quot;:&quot;&quot;},&quot;citationTag&quot;:&quot;MENDELEY_CITATION_v3_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&quot;,&quot;citationItems&quot;:[{&quot;id&quot;:&quot;5a7d67bb-186e-3a09-bf63-9074801456c4&quot;,&quot;itemData&quot;:{&quot;type&quot;:&quot;article-journal&quot;,&quot;id&quot;:&quot;5a7d67bb-186e-3a09-bf63-9074801456c4&quot;,&quot;title&quot;:&quot;Tectonic Aspects of the Guaten Earthquake of 4 February 1 George&quot;,&quot;author&quot;:[{&quot;family&quot;:&quot;Plafker&quot;,&quot;given&quot;:&quot;George&quot;,&quot;parse-names&quot;:false,&quot;dropping-particle&quot;:&quot;&quot;,&quot;non-dropping-particle&quot;:&quot;&quot;}],&quot;container-title&quot;:&quot;Science&quot;,&quot;issued&quot;:{&quot;date-parts&quot;:[[1976]]},&quot;page&quot;:&quot;1202-1208&quot;,&quot;issue&quot;:&quot;4259&quot;,&quot;volume&quot;:&quot;193&quot;,&quot;container-title-short&quot;:&quot;Science (1979).&quot;},&quot;isTemporary&quot;:false}]},{&quot;citationID&quot;:&quot;MENDELEY_CITATION_b90321a3-094d-4dcc-940d-2bd3bac52b01&quot;,&quot;properties&quot;:{&quot;noteIndex&quot;:0},&quot;isEdited&quot;:false,&quot;manualOverride&quot;:{&quot;isManuallyOverridden&quot;:false,&quot;citeprocText&quot;:&quot;(Authemayou et al. 2012)&quot;,&quot;manualOverrideText&quot;:&quot;&quot;},&quot;citationTag&quot;:&quot;MENDELEY_CITATION_v3_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&quot;,&quot;citationItems&quot;:[{&quot;id&quot;:&quot;8019cad9-60ed-3b81-b0ea-7942f0b3d5c7&quot;,&quot;itemData&quot;:{&quot;type&quot;:&quot;article-journal&quot;,&quot;id&quot;:&quot;8019cad9-60ed-3b81-b0ea-7942f0b3d5c7&quot;,&quot;title&quot;:&quot;Quaternary seismo-tectonic activity of the Polochic Fault, Guatemala&quot;,&quot;author&quot;:[{&quot;family&quot;:&quot;Authemayou&quot;,&quot;given&quot;:&quot;Christine&quot;,&quot;parse-names&quot;:false,&quot;dropping-particle&quot;:&quot;&quot;,&quot;non-dropping-particle&quot;:&quot;&quot;},{&quot;family&quot;:&quot;Brocard&quot;,&quot;given&quot;:&quot;Gilles&quot;,&quot;parse-names&quot;:false,&quot;dropping-particle&quot;:&quot;&quot;,&quot;non-dropping-particle&quot;:&quot;&quot;},{&quot;family&quot;:&quot;Teyssier&quot;,&quot;given&quot;:&quot;Christian&quot;,&quot;parse-names&quot;:false,&quot;dropping-particle&quot;:&quot;&quot;,&quot;non-dropping-particle&quot;:&quot;&quot;},{&quot;family&quot;:&quot;Suski&quot;,&quot;given&quot;:&quot;Barbara&quot;,&quot;parse-names&quot;:false,&quot;dropping-particle&quot;:&quot;&quot;,&quot;non-dropping-particle&quot;:&quot;&quot;},{&quot;family&quot;:&quot;Cosenza&quot;,&quot;given&quot;:&quot;Beatriz&quot;,&quot;parse-names&quot;:false,&quot;dropping-particle&quot;:&quot;&quot;,&quot;non-dropping-particle&quot;:&quot;&quot;},{&quot;family&quot;:&quot;Morán-Ical&quot;,&quot;given&quot;:&quot;Sergio&quot;,&quot;parse-names&quot;:false,&quot;dropping-particle&quot;:&quot;&quot;,&quot;non-dropping-particle&quot;:&quot;&quot;},{&quot;family&quot;:&quot;González-Véliz&quot;,&quot;given&quot;:&quot;Claussen Walther&quot;,&quot;parse-names&quot;:false,&quot;dropping-particle&quot;:&quot;&quot;,&quot;non-dropping-particle&quot;:&quot;&quot;},{&quot;family&quot;:&quot;Aguilar-Hengstenberg&quot;,&quot;given&quot;:&quot;Miguel Angel&quot;,&quot;parse-names&quot;:false,&quot;dropping-particle&quot;:&quot;&quot;,&quot;non-dropping-particle&quot;:&quot;&quot;},{&quot;family&quot;:&quot;Holliger&quot;,&quot;given&quot;:&quot;Klaus&quot;,&quot;parse-names&quot;:false,&quot;dropping-particle&quot;:&quot;&quot;,&quot;non-dropping-particle&quot;:&quot;&quot;}],&quot;container-title&quot;:&quot;Journal of Geophysical Research: Solid Earth&quot;,&quot;container-title-short&quot;:&quot;J. Geophys. Res. Solid Earth&quot;,&quot;DOI&quot;:&quot;10.1029/2012JB009444&quot;,&quot;ISSN&quot;:&quot;21699356&quot;,&quot;issued&quot;:{&quot;date-parts&quot;:[[2012,7,1]]},&quot;abstract&quot;:&quot;The Polochic-Motagua fault system is part of the sinistral transform boundary between the North American and Caribbean plates in Guatemala and the associated seismic activity poses a threat to ̃70% of the country's population. The aim of this study is to constrain the Late Quaternary activity of the Polochic fault by determining the active structure geometry and quantifying recent displacement rates as well as paleo-seismic events. Slip rates have been estimated from offsets of Quaternary volcanic markers and alluvial fan using in situ cosmogenic 36Cl exposure dating. Holocene left-lateral slip rate and Mid-Pleistocene vertical slip rate have been estimated to 4.8 ±2.3 mm/y and 0.3 ±0.06 mm/y, respectively, on the central part of the Polochic fault. The horizontal slip rate is within the range of longer-term geological slip rates and short-term GPS-based estimates. In addition, the non-negligible vertical motion participates in the uplift of the block north of the fault and seems to be a manifestation of the regional, far-field stress regime. We excavated the first trench for paleo-seismological study on the Polochic fault in which we distinguish four large paleo-seismic events since 17 ky during which the Polochic fault ruptured the ground surface. © 2012. American Geophysical Union.&quot;,&quot;publisher&quot;:&quot;Blackwell Publishing Ltd&quot;,&quot;issue&quot;:&quot;7&quot;,&quot;volume&quot;:&quot;117&quot;},&quot;isTemporary&quot;:false}]},{&quot;citationID&quot;:&quot;MENDELEY_CITATION_eb46e867-788d-455c-94a6-6f5d539f7f8d&quot;,&quot;properties&quot;:{&quot;noteIndex&quot;:0},&quot;isEdited&quot;:false,&quot;manualOverride&quot;:{&quot;isManuallyOverridden&quot;:false,&quot;citeprocText&quot;:&quot;(Garnier et al. 2021; Parolari et al. 2025)&quot;,&quot;manualOverrideText&quot;:&quot;&quot;},&quot;citationTag&quot;:&quot;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&quot;,&quot;citationItems&quot;:[{&quot;id&quot;:&quot;3042c6de-911f-327a-8e4f-714c4aed4b17&quot;,&quot;itemData&quot;:{&quot;type&quot;:&quot;article-journal&quot;,&quot;id&quot;:&quot;3042c6de-911f-327a-8e4f-714c4aed4b17&quot;,&quot;title&quot;:&quot;An integrated structural and GPS study of the Jalpatagua fault, southeastern Guatemala&quot;,&quot;author&quot;:[{&quot;family&quot;:&quot;Garnier&quot;,&quot;given&quot;:&quot;Bridget&quot;,&quot;parse-names&quot;:false,&quot;dropping-particle&quot;:&quot;&quot;,&quot;non-dropping-particle&quot;:&quot;&quot;},{&quot;family&quot;:&quot;Tl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Douglas&quot;,&quot;parse-names&quot;:false,&quot;dropping-particle&quot;:&quot;&quot;,&quot;non-dropping-particle&quot;:&quot;&quot;},{&quot;family&quot;:&quot;Marroquin&quot;,&quot;given&quot;:&quot;Griselda&quot;,&quot;parse-names&quot;:false,&quot;dropping-particle&quot;:&quot;&quot;,&quot;non-dropping-particle&quot;:&quot;&quot;},{&quot;family&quot;:&quot;Mixco&quot;,&quot;given&quot;:&quot;Luis&quot;,&quot;parse-names&quot;:false,&quot;dropping-particle&quot;:&quot;&quot;,&quot;non-dropping-particle&quot;:&quot;&quot;},{&quot;family&quot;:&quot;Hernandez&quot;,&quot;given&quot;:&quot;Walter&quot;,&quot;parse-names&quot;:false,&quot;dropping-particle&quot;:&quot;&quot;,&quot;non-dropping-particle&quot;:&quot;&quot;}],&quot;container-title&quot;:&quot;Geosphere&quot;,&quot;DOI&quot;:&quot;10.1130/GES02243.1&quot;,&quot;ISSN&quot;:&quot;1553040X&quot;,&quot;issued&quot;:{&quot;date-parts&quot;:[[2021]]},&quot;page&quot;:&quot;201-225&quot;,&quot;abstract&quot;:&quot;The Jalpatagua fault in Guatemala accommodates dextral movement of the Central America forearc. We present new global positioning system (GPS) data, minor fault analysis, geochronological analyses, and analysis of lineaments to characterize deformation along the fault and near its terminations. Our data indicate that the Jalpatagua fault terminates at both ends into extensional regions. The western termination occurs near the Amatitlan caldera and the southern extension of the Guatemala City graben, as no through-going structures were observed to continue west into the active volcanic arc. Along the Jalpatagua fault, new and updated GPS site velocities are consistent with a slip rate of 7.1 ± 1.8 mm yr−1. Minor faulting along the central section of the fault includes: (1) N-S–striking normal faults accommodating E-W elongation; and (2) four sets of strike-slip faults (oriented 330°, 020°, 055°, and 295°, parallel to the Jalpatagua fault trace). Minor fault arrays support dextral movement along a major fault in the orientation of the Jalpatagua fault. GPS and fault data indicate that the Jalpatagua fault terminates to the east near the Guatemala–El Salvador border. Data delineate a pull-apart basin southeast of the fault termination, which is undergoing transtension as the Jalpatagua fault transitions into the El Salvador fault system to the east. Within the basin, minor faulting and lineations trend to the NW and accommodate NE-directed elongation. This faulting differs from E-W elongation observed along the Jalpatagua fault and is more similar to minor faults within the El Salvador fault system.&quot;,&quot;publisher&quot;:&quot;Geological Society of America&quot;,&quot;issue&quot;:&quot;1&quot;,&quot;volume&quot;:&quot;17&quot;,&quot;container-title-short&quot;:&quot;&quot;},&quot;isTemporary&quot;:false},{&quot;id&quot;:&quot;95cb3b61-14e8-314b-bb50-6e5ab1c03683&quot;,&quot;itemData&quot;:{&quot;type&quot;:&quot;article-journal&quot;,&quot;id&quot;:&quot;95cb3b61-14e8-314b-bb50-6e5ab1c03683&quot;,&quot;title&quot;:&quot;The Evolution of the Cocos‐North America‐Caribbean Triple Junction from Detrital Zircon Analysis&quot;,&quot;author&quot;:[{&quot;family&quot;:&quot;Parolari&quot;,&quot;given&quot;:&quot;Mattia&quot;,&quot;parse-names&quot;:false,&quot;dropping-particle&quot;:&quot;&quot;,&quot;non-dropping-particle&quot;:&quot;&quot;},{&quot;family&quot;:&quot;Hernández‐Vergara&quot;,&quot;given&quot;:&quot;Rogelio&quot;,&quot;parse-names&quot;:false,&quot;dropping-particle&quot;:&quot;&quot;,&quot;non-dropping-particle&quot;:&quot;&quot;},{&quot;family&quot;:&quot;Fitz‐Díaz&quot;,&quot;given&quot;:&quot;Elisa&quot;,&quot;parse-names&quot;:false,&quot;dropping-particle&quot;:&quot;&quot;,&quot;non-dropping-particle&quot;:&quot;&quot;},{&quot;family&quot;:&quot;Serrano‐López&quot;,&quot;given&quot;:&quot;Gabriel&quot;,&quot;parse-names&quot;:false,&quot;dropping-particle&quot;:&quot;&quot;,&quot;non-dropping-particle&quot;:&quot;&quot;},{&quot;family&quot;:&quot;Gómez‐Tuena&quot;,&quot;given&quot;:&quot;Arturo&quot;,&quot;parse-names&quot;:false,&quot;dropping-particle&quot;:&quot;&quot;,&quot;non-dropping-particle&quot;:&quot;&quot;},{&quot;family&quot;:&quot;Albiter‐Díaz&quot;,&quot;given&quot;:&quot;Apolinar&quot;,&quot;parse-names&quot;:false,&quot;dropping-particle&quot;:&quot;&quot;,&quot;non-dropping-particle&quot;:&quot;&quot;},{&quot;family&quot;:&quot;Meza‐Fematt&quot;,&quot;given&quot;:&quot;David&quot;,&quot;parse-names&quot;:false,&quot;dropping-particle&quot;:&quot;&quot;,&quot;non-dropping-particle&quot;:&quot;&quot;},{&quot;family&quot;:&quot;Cavazos‐Tovar&quot;,&quot;given&quot;:&quot;José G.&quot;,&quot;parse-names&quot;:false,&quot;dropping-particle&quot;:&quot;&quot;,&quot;non-dropping-particle&quot;:&quot;&quot;}],&quot;container-title&quot;:&quot;Tectonics&quot;,&quot;DOI&quot;:&quot;10.1029/2024tc008676&quot;,&quot;ISSN&quot;:&quot;0278-7407&quot;,&quot;issued&quot;:{&quot;date-parts&quot;:[[2025,8]]},&quot;abstract&quot;:&quot;The tectonic framework and Cenozoic evolution of the Cocos–North America–Caribbean (Co–NA–Ca) triple junction remain subjects of major geological importance due to their complexity and regional impact. New U–Pb zircon geochronology of detrital sediments and detailed structural and geomorphic mapping from southern Chiapas, Mexico, provide insights into the magmatic and tectonic evolution of this plate boundary section. We identify the Escuintla Shear Zone as a lithospheric boundary separating the Chortís Block from North America, connecting eastward to the Motagua Fault and westward to the Tonalá Shear Zone. This structure has functioned as a pathway for Miocene arc magmatism and currently separates pre‐Jurassic crystalline rocks to the north from the Huixtla Intrusive Suite to the south—a set of plutons recording protracted magmatic activity from the Cretaceous. Structural and geochronological data show that the Escuintla and Tonalá shear zones accommodated left‐lateral motion during the Miocene and were later reactivated as brittle faults, probably during the late Neogene. By integrating new zircon data with previously reported magmatic ages, we refine the timing and rate of the eastward Chortís Block migration (∼21.5 km/m.y.), estimating a total displacement of ∼1,050 km since the Cretaceous. Our results provide new constraints on the crustal architecture and tectonic history of the region and highlight the role of long‐lived strike‐slip faulting in controlling the spatial organization of arc magmatism and deformation. This region represents a structural node in the diffuse boundary between the Cocos, North American, and Caribbean plates— possibly acting as a true triple junction during recent geological times.The region where the Cocos, North American, and Caribbean plates meet is one of the most complex tectonic settings in the Americas. In this study, we use zircon crystals from river sediments and detailed structural mapping in southern Chiapas, Mexico, to understand how this area has evolved over millions of years. We show that major fault zones in the region were active during Miocene times and later reactivated as brittle faults, shaping the boundary between distinct crustal blocks. Our results suggest that the Chortis block migrated eastward at a rate of approximately 21.5 km per million years since the Late Cretaceous, from southern Mexico to its present position in Central America, also driving the southeastward migration of arc magmatism. These findings indicate that the region may have acted as a triple junction in the past and remains a structurally important node within this broad and diffuse plate boundary zone.   Magmatic pulses in southern Chiapas reflect eastward Chortís block migration, constrained by U‐Pb zircon ages and syntectonic deformation   U‐Pb zircon ages and timing of sinistral shear zones along the southern Mexican margin refine the Chortís block's displacement rate (21.5 km/m.y.)   The sinistral Escuintla Shear Zone is a lithospheric boundary separating the Chortís block from North America, similar to the Motagua fault   &quot;,&quot;publisher&quot;:&quot;American Geophysical Union (AGU)&quot;,&quot;issue&quot;:&quot;8&quot;,&quot;volume&quot;:&quot;44&quot;,&quot;container-title-short&quot;:&quot;Tectonics&quot;},&quot;isTemporary&quot;:false}]},{&quot;citationID&quot;:&quot;MENDELEY_CITATION_6c6db01b-b763-4422-9c97-28a88ad5b2db&quot;,&quot;properties&quot;:{&quot;noteIndex&quot;:0},&quot;isEdited&quot;:false,&quot;manualOverride&quot;:{&quot;isManuallyOverridden&quot;:false,&quot;citeprocText&quot;:&quot;(Gamboa-Canté et al. 2025)&quot;,&quot;manualOverrideText&quot;:&quot;&quot;},&quot;citationTag&quot;:&quot;MENDELEY_CITATION_v3_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&quot;,&quot;citationItems&quot;:[{&quot;id&quot;:&quot;72b933b8-12ce-3802-aba7-8f68955b411f&quot;,&quot;itemData&quot;:{&quot;type&quot;:&quot;article-journal&quot;,&quot;id&quot;:&quot;72b933b8-12ce-3802-aba7-8f68955b411f&quot;,&quot;title&quot;:&quot;Overview of seismic hazard studies in Central America: A comparative analysis of results&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 María&quot;,&quot;given&quot;:&quot;Belén&quot;,&quot;parse-names&quot;:false,&quot;dropping-particle&quot;:&quot;&quot;,&quot;non-dropping-particle&quot;:&quot;&quot;}],&quot;container-title&quot;:&quot;Journal of South American Earth Sciences&quot;,&quot;container-title-short&quot;:&quot;J. South Am. Earth Sci.&quot;,&quot;DOI&quot;:&quot;10.1016/j.jsames.2025.105630&quot;,&quot;ISSN&quot;:&quot;08959811&quot;,&quot;issued&quot;:{&quot;date-parts&quot;:[[2025,10,1]]},&quot;abstract&quot;:&quot;We present an overview of seismic hazard studies in Central America, evaluating all the probabilistic seismic hazard studies (PSHA) published at the national and regional scale, as well as an updated model recently developed (Gamboa-Canté et al., 2025). The key factors in the study for obtaining the updated model are the use of a regional earthquake catalog from 1520 to 2020; the implementation of the last seismic zoning for the region, taking into account the change of the subduction angle along the Central America trench; the implementation of the scaling relationships specific to the Central American upper-plate, and the more suitable ground motion models (GMM) for the region identified using local data. We use the updated model as a reference, comparing the results with previous seismic hazard studies. As a general conclusion, we find that seismic hazard studies undertaken over the last 10 years period at regional or national scales point to an increase in the hazard compared to studies in previous periods, with maximum PGA values now reaching around 0.8g–1.0g for a return period of 475 years in the Costa Rica peninsulas and south of Guatemala. The updated seismic hazard map is consistent with the latest local models generated for each country in the region with variability in PGA values of less than 20 %, although there are some local exceptions. The advantage of the updated map is that it reflects the trend of increasing hazard expressed in recent local studies, but it is a regional map, there is no lack of continuity at the borders between countries, as occurs when a regional map is configured from national maps. We suggest that this regional hazard map be used for Central America (Gamboa-Canté et al., 2025) as a reference map for updating the seismic hazard models or seismic codes of the countries.&quot;,&quot;publisher&quot;:&quot;Elsevier Ltd&quot;,&quot;volume&quot;:&quot;164&quot;},&quot;isTemporary&quot;:false}]},{&quot;citationID&quot;:&quot;MENDELEY_CITATION_583d33ee-9df3-4f9e-aba5-4629f008e990&quot;,&quot;properties&quot;:{&quot;noteIndex&quot;:0},&quot;isEdited&quot;:false,&quot;manualOverride&quot;:{&quot;isManuallyOverridden&quot;:false,&quot;citeprocText&quot;:&quot;(Kiremidjian et al. 1977; Villagran et al. 1997; Benito et al. 2012; Kalakonas et al. 2020; Gamboa-Canté et al. 2025)&quot;,&quot;manualOverrideText&quot;:&quot;&quot;},&quot;citationTag&quot;:&quot;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&quot;,&quot;citationItems&quot;:[{&quot;id&quot;:&quot;42f3cb9c-c2fa-3af3-ba5f-ecfcc902e0fe&quot;,&quot;itemData&quot;:{&quot;type&quot;:&quot;report&quot;,&quot;id&quot;:&quot;42f3cb9c-c2fa-3af3-ba5f-ecfcc902e0fe&quot;,&quot;title&quot;:&quot;Seismic hazard mapping for Guatemala&quot;,&quot;author&quot;:[{&quot;family&quot;:&quot;Kiremidjian&quot;,&quot;given&quot;:&quot;Anne S&quot;,&quot;parse-names&quot;:false,&quot;dropping-particle&quot;:&quot;&quot;,&quot;non-dropping-particle&quot;:&quot;&quot;},{&quot;family&quot;:&quot;Shah&quot;,&quot;given&quot;:&quot;Haresh C&quot;,&quot;parse-names&quot;:false,&quot;dropping-particle&quot;:&quot;&quot;,&quot;non-dropping-particle&quot;:&quot;&quot;},{&quot;family&quot;:&quot;Lubetin&quot;,&quot;given&quot;:&quot;Lester&quot;,&quot;parse-names&quot;:false,&quot;dropping-particle&quot;:&quot;&quot;,&quot;non-dropping-particle&quot;:&quot;&quot;}],&quot;URL&quot;:&quot;http://blume.stanford.edu&quot;,&quot;issued&quot;:{&quot;date-parts&quot;:[[1977,5]]},&quot;publisher-place&quot;:&quot;California&quot;,&quot;number-of-pages&quot;:&quot;1-211&quot;,&quot;container-title-short&quot;:&quot;&quot;},&quot;isTemporary&quot;:false},{&quot;id&quot;:&quot;5a74aeca-5df2-371d-9f71-cc024f8d0aa3&quot;,&quot;itemData&quot;:{&quot;type&quot;:&quot;article-journal&quot;,&quot;id&quot;:&quot;5a74aeca-5df2-371d-9f71-cc024f8d0aa3&quot;,&quot;title&quot;:&quot;Exploring the impact of epistemic uncertainty on a regional probabilistic seismic risk assessment model&quot;,&quot;author&quot;:[{&quot;family&quot;:&quot;Kalakonas&quot;,&quot;given&quot;:&quot;Petros&quot;,&quot;parse-names&quot;:false,&quot;dropping-particle&quot;:&quot;&quot;,&quot;non-dropping-particle&quot;:&quot;&quot;},{&quot;family&quot;:&quot;Silva&quot;,&quot;given&quot;:&quot;Vitor&quot;,&quot;parse-names&quot;:false,&quot;dropping-particle&quot;:&quot;&quot;,&quot;non-dropping-particle&quot;:&quot;&quot;},{&quot;family&quot;:&quot;Mouyiannou&quot;,&quot;given&quot;:&quot;Amaryllis&quot;,&quot;parse-names&quot;:false,&quot;dropping-particle&quot;:&quot;&quot;,&quot;non-dropping-particle&quot;:&quot;&quot;},{&quot;family&quot;:&quot;Rao&quot;,&quot;given&quot;:&quot;Anirudh&quot;,&quot;parse-names&quot;:false,&quot;dropping-particle&quot;:&quot;&quot;,&quot;non-dropping-particle&quot;:&quot;&quot;}],&quot;container-title&quot;:&quot;Natural Hazards&quot;,&quot;DOI&quot;:&quot;10.1007/s11069-020-04201-7&quot;,&quot;ISSN&quot;:&quot;15730840&quot;,&quot;issued&quot;:{&quot;date-parts&quot;:[[2020,10,1]]},&quot;page&quot;:&quot;997-1020&quot;,&quot;abstract&quot;:&quot;Probabilistic earthquake loss models are widely used in the (re)insurance industry to assess the seismic risk of portfolios of assets and to inform pricing mechanisms for (re)insurance contracts, as well as by international and national organizations with the remit to assess and reduce disaster risk. Such models include components characterizing the seismicity of the region, the ground motion intensity, the building inventory, and the vulnerability of the assets exposed to ground shaking. Each component is characterized by a large uncertainty, which can be classified as aleatory or epistemic. Modern seismic risk assessment models often neglect some sources of uncertainty, which can lead to biased loss estimates or to an underestimation of the existing uncertainty. This study focuses on exploring and quantifying the impact of a number of sources of uncertainties from each component of an earthquake loss model to the loss estimates. To this end, the residential exposure of Guatemala and Guatemala City were used as case studies. Moreover, a comparison of the predicted losses for an insured portfolio in the country between OpenQuake-engine and a vendor catastrophe platform was performed, assessing the potential application of OpenQuake in the (re)insurance industry. The findings from this study suggest that the uncertainty in the hazard component has the most significant effect on the loss estimates.&quot;,&quot;publisher&quot;:&quot;Springer Science+Business Media B.V.&quot;,&quot;issue&quot;:&quot;1&quot;,&quot;volume&quot;:&quot;104&quot;,&quot;container-title-short&quot;:&quot;&quot;},&quot;isTemporary&quot;:false},{&quot;id&quot;:&quot;c753d702-2423-3c7b-869e-54f795bf8212&quot;,&quot;itemData&quot;:{&quot;type&quot;:&quot;report&quot;,&quot;id&quot;:&quot;c753d702-2423-3c7b-869e-54f795bf8212&quot;,&quot;title&quot;:&quot;Seismic Hazard Assessment for Guatemala City&quot;,&quot;author&quot;:[{&quot;family&quot;:&quot;Villagran&quot;,&quot;given&quot;:&quot;M&quot;,&quot;parse-names&quot;:false,&quot;dropping-particle&quot;:&quot;&quot;,&quot;non-dropping-particle&quot;:&quot;&quot;},{&quot;family&quot;:&quot;Lindholm&quot;,&quot;given&quot;:&quot;C&quot;,&quot;parse-names&quot;:false,&quot;dropping-particle&quot;:&quot;&quot;,&quot;non-dropping-particle&quot;:&quot;&quot;},{&quot;family&quot;:&quot;Dahle&quot;,&quot;given&quot;:&quot;A&quot;,&quot;parse-names&quot;:false,&quot;dropping-particle&quot;:&quot;&quot;,&quot;non-dropping-particle&quot;:&quot;&quot;},{&quot;family&quot;:&quot;Cowan&quot;,&quot;given&quot;:&quot;H&quot;,&quot;parse-names&quot;:false,&quot;dropping-particle&quot;:&quot;&quot;,&quot;non-dropping-particle&quot;:&quot;&quot;},{&quot;family&quot;:&quot;Bungum&quot;,&quot;given&quot;:&quot;H&quot;,&quot;parse-names&quot;:false,&quot;dropping-particle&quot;:&quot;&quot;,&quot;non-dropping-particle&quot;:&quot;&quot;}],&quot;container-title&quot;:&quot;NaturalHazards&quot;,&quot;issued&quot;:{&quot;date-parts&quot;:[[1997]]},&quot;number-of-pages&quot;:&quot;189-205&quot;,&quot;abstract&quot;:&quot;Guatemala is one of the Central American countries that for some years now have been participating in a regional program for natural hazard assessment and disaster reduction, funded by the Nordic countries and coordinated by a regional institution (CEPREDENAC*). Recent work related to seismic hazard has included the standardization, reporting and processing of seismicity data across the borders, followed by regional hazard modeling. The work presented here for Guatemala City represents a step from a regional to a more local level, based on reevaluation of historical seismicity, geological data related to active faults, and attenuation relations recently derived from analysis of strong motion records from the region. The site specific hazard calculations indicate that expected values of peak ground acceleration are ranging from less than 2 to more than 6 m s-z, corresponding to annual exceedence probabilities ranging from 0.1 to 0.001, respectively.&quot;,&quot;publisher&quot;:&quot;Kluwer Academic Publishers&quot;,&quot;volume&quot;:&quot;14&quot;,&quot;container-title-short&quot;:&quot;&quot;},&quot;isTemporary&quot;:false},{&quot;id&quot;:&quot;324851cc-4ba0-3454-8769-2771abc31fd0&quot;,&quot;itemData&quot;:{&quot;type&quot;:&quot;article-journal&quot;,&quot;id&quot;:&quot;324851cc-4ba0-3454-8769-2771abc31fd0&quot;,&quot;title&quot;:&quot;A new evaluation of seismic hazard for the Central America region&quot;,&quot;author&quot;:[{&quot;family&quot;:&quot;Benito&quot;,&quot;given&quot;:&quot;M. B.&quot;,&quot;parse-names&quot;:false,&quot;dropping-particle&quot;:&quot;&quot;,&quot;non-dropping-particle&quot;:&quot;&quot;},{&quot;family&quot;:&quot;Lindholm&quot;,&quot;given&quot;:&quot;C.&quot;,&quot;parse-names&quot;:false,&quot;dropping-particle&quot;:&quot;&quot;,&quot;non-dropping-particle&quot;:&quot;&quot;},{&quot;family&quot;:&quot;Camacho&quot;,&quot;given&quot;:&quot;E.&quot;,&quot;parse-names&quot;:false,&quot;dropping-particle&quot;:&quot;&quot;,&quot;non-dropping-particle&quot;:&quot;&quot;},{&quot;family&quot;:&quot;Climent&quot;,&quot;given&quot;:&quot;A.&quot;,&quot;parse-names&quot;:false,&quot;dropping-particle&quot;:&quot;&quot;,&quot;non-dropping-particle&quot;:&quot;&quot;},{&quot;family&quot;:&quot;Marroquín&quot;,&quot;given&quot;:&quot;G.&quot;,&quot;parse-names&quot;:false,&quot;dropping-particle&quot;:&quot;&quot;,&quot;non-dropping-particle&quot;:&quot;&quot;},{&quot;family&quot;:&quot;Molina&quot;,&quot;given&quot;:&quot;E.&quot;,&quot;parse-names&quot;:false,&quot;dropping-particle&quot;:&quot;&quot;,&quot;non-dropping-particle&quot;:&quot;&quot;},{&quot;family&quot;:&quot;Rojas&quot;,&quot;given&quot;:&quot;W.&quot;,&quot;parse-names&quot;:false,&quot;dropping-particle&quot;:&quot;&quot;,&quot;non-dropping-particle&quot;:&quot;&quot;},{&quot;family&quot;:&quot;Escobar&quot;,&quot;given&quot;:&quot;J. J.&quot;,&quot;parse-names&quot;:false,&quot;dropping-particle&quot;:&quot;&quot;,&quot;non-dropping-particle&quot;:&quot;&quot;},{&quot;family&quot;:&quot;Talavera&quot;,&quot;given&quot;:&quot;E.&quot;,&quot;parse-names&quot;:false,&quot;dropping-particle&quot;:&quot;&quot;,&quot;non-dropping-particle&quot;:&quot;&quot;},{&quot;family&quot;:&quot;Alvarado&quot;,&quot;given&quot;:&quot;G. E.&quot;,&quot;parse-names&quot;:false,&quot;dropping-particle&quot;:&quot;&quot;,&quot;non-dropping-particle&quot;:&quot;&quot;},{&quot;family&quot;:&quot;Torres&quot;,&quot;given&quot;:&quot;Y.&quot;,&quot;parse-names&quot;:false,&quot;dropping-particle&quot;:&quot;&quot;,&quot;non-dropping-particle&quot;:&quot;&quot;}],&quot;container-title&quot;:&quot;Bulletin of the Seismological Society of America&quot;,&quot;DOI&quot;:&quot;10.1785/0120110015&quot;,&quot;ISSN&quot;:&quot;00371106&quot;,&quot;issued&quot;:{&quot;date-parts&quot;:[[2012,4]]},&quot;page&quot;:&quot;504-523&quot;,&quot;abstract&quot;:&quot;A new evaluation of seismic hazard in Central America has been carried out as part of the cooperation project named RESIS II under the auspices of the Norway Cooperation Agency (NORAD). Several seismic-hazard experts from Costa Rica, Guatemala, Honduras, Nicaragua, El Salvador, Panamá, Norway, and Spain participated in the study, which was aimed at obtaining results suitable for seismic design purposes. The analysis started with a thorough revision of the national seismic catalogs from which a catalog for Central America has been compiled and homogenized to moment magnitude, M w. Seismotectonic models proposed for the region were revised, and a new regional zonation was proposed, taking into account seismotectonic data, seismicity, focal mechanisms, and GPS observations. Besides, ground-motion prediction equations (GMPEs) for subduction, volcanic, and crustal zones were revised, and the most suitable ones were calibrated with Central American strongmotion data. Subsequently, a seismic-hazard analysis was developed in terms of peak ground acceleration (PGA) and spectral accelerations SA (T) for periods of 0.1, 0.2, 0.5, 1, and 2 s, by means of the probabilistic seismic-hazard assessment (PSHA) approach. As a result, different hazard maps were obtained for the quoted parameters, together with uniform hazard spectra (UHS) for six of the capital cities of Central America. Disaggregation was also carried out in these capitals for the target motion given by the PGA and SA (1 s) and obtained for return periods of 500 years and 2500 years. Therefore, the control earthquakes for motions of short and long periods were derived. This is the first study developed in Central America at a regional scale after 10 years.&quot;,&quot;issue&quot;:&quot;2&quot;,&quot;volume&quot;:&quot;102&quot;,&quot;container-title-short&quot;:&quot;&quot;},&quot;isTemporary&quot;:false},{&quot;id&quot;:&quot;72b933b8-12ce-3802-aba7-8f68955b411f&quot;,&quot;itemData&quot;:{&quot;type&quot;:&quot;article-journal&quot;,&quot;id&quot;:&quot;72b933b8-12ce-3802-aba7-8f68955b411f&quot;,&quot;title&quot;:&quot;Overview of seismic hazard studies in Central America: A comparative analysis of results&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 María&quot;,&quot;given&quot;:&quot;Belén&quot;,&quot;parse-names&quot;:false,&quot;dropping-particle&quot;:&quot;&quot;,&quot;non-dropping-particle&quot;:&quot;&quot;}],&quot;container-title&quot;:&quot;Journal of South American Earth Sciences&quot;,&quot;container-title-short&quot;:&quot;J. South Am. Earth Sci.&quot;,&quot;DOI&quot;:&quot;10.1016/j.jsames.2025.105630&quot;,&quot;ISSN&quot;:&quot;08959811&quot;,&quot;issued&quot;:{&quot;date-parts&quot;:[[2025,10,1]]},&quot;abstract&quot;:&quot;We present an overview of seismic hazard studies in Central America, evaluating all the probabilistic seismic hazard studies (PSHA) published at the national and regional scale, as well as an updated model recently developed (Gamboa-Canté et al., 2025). The key factors in the study for obtaining the updated model are the use of a regional earthquake catalog from 1520 to 2020; the implementation of the last seismic zoning for the region, taking into account the change of the subduction angle along the Central America trench; the implementation of the scaling relationships specific to the Central American upper-plate, and the more suitable ground motion models (GMM) for the region identified using local data. We use the updated model as a reference, comparing the results with previous seismic hazard studies. As a general conclusion, we find that seismic hazard studies undertaken over the last 10 years period at regional or national scales point to an increase in the hazard compared to studies in previous periods, with maximum PGA values now reaching around 0.8g–1.0g for a return period of 475 years in the Costa Rica peninsulas and south of Guatemala. The updated seismic hazard map is consistent with the latest local models generated for each country in the region with variability in PGA values of less than 20 %, although there are some local exceptions. The advantage of the updated map is that it reflects the trend of increasing hazard expressed in recent local studies, but it is a regional map, there is no lack of continuity at the borders between countries, as occurs when a regional map is configured from national maps. We suggest that this regional hazard map be used for Central America (Gamboa-Canté et al., 2025) as a reference map for updating the seismic hazard models or seismic codes of the countries.&quot;,&quot;publisher&quot;:&quot;Elsevier Ltd&quot;,&quot;volume&quot;:&quot;164&quot;},&quot;isTemporary&quot;:false}]},{&quot;citationID&quot;:&quot;MENDELEY_CITATION_a4cc4b6e-c163-4b28-9aed-15a082dbe6c5&quot;,&quot;properties&quot;:{&quot;noteIndex&quot;:0},&quot;isEdited&quot;:false,&quot;manualOverride&quot;:{&quot;isManuallyOverridden&quot;:false,&quot;citeprocText&quot;:&quot;(Chartier et al. 2019; Visini et al. 2020; Tavakolizadeh et al. 2024)&quot;,&quot;manualOverrideText&quot;:&quot;&quot;},&quot;citationTag&quot;:&quot;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&quot;,&quot;citationItems&quot;:[{&quot;id&quot;:&quot;8652f02e-8e88-3b60-94fc-92a0c51cc560&quot;,&quot;itemData&quot;:{&quot;type&quot;:&quot;article-journal&quot;,&quot;id&quot;:&quot;8652f02e-8e88-3b60-94fc-92a0c51cc560&quot;,&quot;title&quot;:&quot;FaultQuake: An open-source Python tool for estimating Seismic Activity Rates in faults&quot;,&quot;author&quot;:[{&quot;family&quot;:&quot;Tavakolizadeh&quot;,&quot;given&quot;:&quot;Nasrin&quot;,&quot;parse-names&quot;:false,&quot;dropping-particle&quot;:&quot;&quot;,&quot;non-dropping-particle&quot;:&quot;&quot;},{&quot;family&quot;:&quot;Mohammadigheymasi&quot;,&quot;given&quot;:&quot;Hamzeh&quot;,&quot;parse-names&quot;:false,&quot;dropping-particle&quot;:&quot;&quot;,&quot;non-dropping-particle&quot;:&quot;&quot;},{&quot;family&quot;:&quot;Visini&quot;,&quot;given&quot;:&quot;Francesco&quot;,&quot;parse-names&quot;:false,&quot;dropping-particle&quot;:&quot;&quot;,&quot;non-dropping-particle&quot;:&quot;&quot;},{&quot;family&quot;:&quot;Pombo&quot;,&quot;given&quot;:&quot;Nuno&quot;,&quot;parse-names&quot;:false,&quot;dropping-particle&quot;:&quot;&quot;,&quot;non-dropping-particle&quot;:&quot;&quot;}],&quot;container-title&quot;:&quot;Computers &amp; Geosciences&quot;,&quot;DOI&quot;:&quot;10.1016/j.cageo.2024.105659&quot;,&quot;ISSN&quot;:&quot;00983004&quot;,&quot;URL&quot;:&quot;https://linkinghub.elsevier.com/retrieve/pii/S0098300424001420&quot;,&quot;issued&quot;:{&quot;date-parts&quot;:[[2024,9]]},&quot;page&quot;:&quot;105659&quot;,&quot;volume&quot;:&quot;191&quot;,&quot;container-title-short&quot;:&quot;Comput. Geosci.&quot;},&quot;isTemporary&quot;:false},{&quot;id&quot;:&quot;a9ffb47d-b606-3952-b52e-e3599eedd0d1&quot;,&quot;itemData&quot;:{&quot;type&quot;:&quot;article-journal&quot;,&quot;id&quot;:&quot;a9ffb47d-b606-3952-b52e-e3599eedd0d1&quot;,&quot;title&quot;:&quot;Computational tools for relaxing the fault segmentation in probabilistic seismic hazard modelling in complex fault systems&quot;,&quot;author&quot;:[{&quot;family&quot;:&quot;Visini&quot;,&quot;given&quot;:&quot;F.&quot;,&quot;parse-names&quot;:false,&quot;dropping-particle&quot;:&quot;&quot;,&quot;non-dropping-particle&quot;:&quot;&quot;},{&quot;family&quot;:&quot;Valentini&quot;,&quot;given&quot;:&quot;A.&quot;,&quot;parse-names&quot;:false,&quot;dropping-particle&quot;:&quot;&quot;,&quot;non-dropping-particle&quot;:&quot;&quot;},{&quot;family&quot;:&quot;Chartier&quot;,&quot;given&quot;:&quot;T.&quot;,&quot;parse-names&quot;:false,&quot;dropping-particle&quot;:&quot;&quot;,&quot;non-dropping-particle&quot;:&quot;&quot;},{&quot;family&quot;:&quot;Scotti&quot;,&quot;given&quot;:&quot;O.&quot;,&quot;parse-names&quot;:false,&quot;dropping-particle&quot;:&quot;&quot;,&quot;non-dropping-particle&quot;:&quot;&quot;},{&quot;family&quot;:&quot;Pace&quot;,&quot;given&quot;:&quot;B.&quot;,&quot;parse-names&quot;:false,&quot;dropping-particle&quot;:&quot;&quot;,&quot;non-dropping-particle&quot;:&quot;&quot;}],&quot;container-title&quot;:&quot;Pure and Applied Geophysics&quot;,&quot;DOI&quot;:&quot;10.1007/s00024-019-02114-6&quot;,&quot;ISSN&quot;:&quot;14209136&quot;,&quot;issued&quot;:{&quot;date-parts&quot;:[[2020,5,1]]},&quot;page&quot;:&quot;1855-1877&quot;,&quot;abstract&quot;:&quot;Use of faults in seismic hazard models allows us to capture the recurrence of large-magnitude events and therefore improve the reliability of probabilistic seismic hazard assessment (PSHA). In the past decades, fault segmentation provided an important framework for quantifying fault-based PSHA. Recent complex coseismic ruptures (e.g., 2010 Mw 7.1 Canterbury, 2012 Mw 8.6 Sumatra, 2016 Mw 7.8 Kaikōura, 2016 Mw 6.5 central Italy) have shown the need to consider different possible combinations of rupture scenarios in PSHA. Here we present two new methodologies that model rates of ruptures along complex fault systems, one based on a floating rupture approach (FRESH) and another one based on assumed rupture scenarios (SUNFISH). They represent alternatives to a recently proposed approach (SHERIFS), and further step to overcome the segmented and un-segmented approaches commonly used in PSHA in Europe. Differences among SHERIFS, SUNFiSH and FRESH are related to the way slip rate, rupture geometries and magnitude–frequency distributions are modelled. To quantify the differences between these three methodologies, we compared PSHA results based on geometries and slip rates of a fault system located in northeastern Italy, assuming a given maximum magnitude and the same seismic moment rate target. Differences up to 20–30% in the peak ground acceleration at 2% and 10% in 50 years are observed. Finally, we show that the three methodologies are able to solve for the long-term rate of ruptures with resulting PSHA that reflect the fault system geometry and slip rates, without any assumption on segment boundaries. Using fault-based approaches in PSHA requires collecting as much local geological information as possible. Now that multi-fault rupture approaches are available, simplifying assumptions often made to model complex fault systems (uniform slip rate, segmentation hypothesis) are no longer necessary. On the other hand, local data collection should be strongly encouraged to better characterize the actual fault slip rate variability and the complex 3D geometries.&quot;,&quot;publisher&quot;:&quot;Birkhauser&quot;,&quot;issue&quot;:&quot;5&quot;,&quot;volume&quot;:&quot;177&quot;,&quot;container-title-short&quot;:&quot;Pure Appl. Geophys.&quot;},&quot;isTemporary&quot;:false},{&quot;id&quot;:&quot;ec2620eb-050a-3471-bb36-add3f9669dc4&quot;,&quot;itemData&quot;:{&quot;type&quot;:&quot;article-journal&quot;,&quot;id&quot;:&quot;ec2620eb-050a-3471-bb36-add3f9669dc4&quot;,&quot;title&quot;:&quot;Sherifs: Open-source code for computing earthquake rates in fault systems and constructing hazard models&quot;,&quot;author&quot;:[{&quot;family&quot;:&quot;Chartier&quot;,&quot;given&quot;:&quot;Thomas&quot;,&quot;parse-names&quot;:false,&quot;dropping-particle&quot;:&quot;&quot;,&quot;non-dropping-particle&quot;:&quot;&quot;},{&quot;family&quot;:&quot;Scotti&quot;,&quot;given&quot;:&quot;Oona&quot;,&quot;parse-names&quot;:false,&quot;dropping-particle&quot;:&quot;&quot;,&quot;non-dropping-particle&quot;:&quot;&quot;},{&quot;family&quot;:&quot;Lyon-Caen&quot;,&quot;given&quot;:&quot;Hélène&quot;,&quot;parse-names&quot;:false,&quot;dropping-particle&quot;:&quot;&quot;,&quot;non-dropping-particle&quot;:&quot;&quot;}],&quot;container-title&quot;:&quot;Seismological Research Letters&quot;,&quot;DOI&quot;:&quot;10.1785/0220180332&quot;,&quot;ISSN&quot;:&quot;19382057&quot;,&quot;issued&quot;:{&quot;date-parts&quot;:[[2019,7,1]]},&quot;page&quot;:&quot;1678-1688&quot;,&quot;abstract&quot;:&quot;Modeling the seismic potential of active faults and their associated epistemic uncertainties is a fundamental step of probabilistic seismic-hazard assessment (PSHA). Seismic hazard and earthquake rate in fault systems (SHERIFS) is an open-source python code that builds hazard models including earthquake ruptures involving several fault sections or fault-to-fault (FtF) ruptures. It contains user-friendly tools to calculate the annual rate of FtF ruptures in a fault system based on the slip-rate estimates and accounting for associated background seismicity. SHERIFS applies a forward incremental approach following three rules: (1) the FtF ruptures allowed in the fault system are defined as input by the user and explored randomly, (2) the magnitude–frequency distribution of the modeled seismicity in the fault system must follow an imposed shape, and (3) the slip-rate budget attributed to each fault section must be preserved in the calculation if the first two rules allow it. Indeed, in some cases, a fraction of the slip-rate budget must be considered as being spent in non-mainshock events such as creep or postseismic slip. Background seismicity rates are defined by the hazard modeler as the ratio of seismicity occurring on the modelled faults for different ranges of magnitude. Given a coherent set of input hypotheses, SHERIFS allows end users to build the seismic-hazard fault model thanks to an interactive user-friendly interface. It aims to help interactions between field data collectors and hazard modelers to explore and weight epistemic uncertainties affecting the input hypotheses. To do so, SHERIFS includes tools to compare modeled earthquake rates with the available local data (earthquake catalog and paleoseismological data). This comparison can be used to weigh different hypotheses explored in a logic tree and discard the hypotheses that are not in agreement with the data. SHERIFS’s outputs are in a format that can be used directly as inputs for PSHA in the OpenQuake engine (Pagani et al., 2014).&quot;,&quot;publisher&quot;:&quot;Seismological Society of America&quot;,&quot;issue&quot;:&quot;4&quot;,&quot;volume&quot;:&quot;90&quot;,&quot;container-title-short&quot;:&quot;&quot;},&quot;isTemporary&quot;:false}]},{&quot;citationID&quot;:&quot;MENDELEY_CITATION_9e9e6a1f-d325-4868-8ede-e54e181e0331&quot;,&quot;properties&quot;:{&quot;noteIndex&quot;:0},&quot;isEdited&quot;:false,&quot;manualOverride&quot;:{&quot;isManuallyOverridden&quot;:false,&quot;citeprocText&quot;:&quot;(Authemayou et al. 2012)&quot;,&quot;manualOverrideText&quot;:&quot;&quot;},&quot;citationTag&quot;:&quot;MENDELEY_CITATION_v3_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&quot;,&quot;citationItems&quot;:[{&quot;id&quot;:&quot;8019cad9-60ed-3b81-b0ea-7942f0b3d5c7&quot;,&quot;itemData&quot;:{&quot;type&quot;:&quot;article-journal&quot;,&quot;id&quot;:&quot;8019cad9-60ed-3b81-b0ea-7942f0b3d5c7&quot;,&quot;title&quot;:&quot;Quaternary seismo-tectonic activity of the Polochic Fault, Guatemala&quot;,&quot;author&quot;:[{&quot;family&quot;:&quot;Authemayou&quot;,&quot;given&quot;:&quot;Christine&quot;,&quot;parse-names&quot;:false,&quot;dropping-particle&quot;:&quot;&quot;,&quot;non-dropping-particle&quot;:&quot;&quot;},{&quot;family&quot;:&quot;Brocard&quot;,&quot;given&quot;:&quot;Gilles&quot;,&quot;parse-names&quot;:false,&quot;dropping-particle&quot;:&quot;&quot;,&quot;non-dropping-particle&quot;:&quot;&quot;},{&quot;family&quot;:&quot;Teyssier&quot;,&quot;given&quot;:&quot;Christian&quot;,&quot;parse-names&quot;:false,&quot;dropping-particle&quot;:&quot;&quot;,&quot;non-dropping-particle&quot;:&quot;&quot;},{&quot;family&quot;:&quot;Suski&quot;,&quot;given&quot;:&quot;Barbara&quot;,&quot;parse-names&quot;:false,&quot;dropping-particle&quot;:&quot;&quot;,&quot;non-dropping-particle&quot;:&quot;&quot;},{&quot;family&quot;:&quot;Cosenza&quot;,&quot;given&quot;:&quot;Beatriz&quot;,&quot;parse-names&quot;:false,&quot;dropping-particle&quot;:&quot;&quot;,&quot;non-dropping-particle&quot;:&quot;&quot;},{&quot;family&quot;:&quot;Morán-Ical&quot;,&quot;given&quot;:&quot;Sergio&quot;,&quot;parse-names&quot;:false,&quot;dropping-particle&quot;:&quot;&quot;,&quot;non-dropping-particle&quot;:&quot;&quot;},{&quot;family&quot;:&quot;González-Véliz&quot;,&quot;given&quot;:&quot;Claussen Walther&quot;,&quot;parse-names&quot;:false,&quot;dropping-particle&quot;:&quot;&quot;,&quot;non-dropping-particle&quot;:&quot;&quot;},{&quot;family&quot;:&quot;Aguilar-Hengstenberg&quot;,&quot;given&quot;:&quot;Miguel Angel&quot;,&quot;parse-names&quot;:false,&quot;dropping-particle&quot;:&quot;&quot;,&quot;non-dropping-particle&quot;:&quot;&quot;},{&quot;family&quot;:&quot;Holliger&quot;,&quot;given&quot;:&quot;Klaus&quot;,&quot;parse-names&quot;:false,&quot;dropping-particle&quot;:&quot;&quot;,&quot;non-dropping-particle&quot;:&quot;&quot;}],&quot;container-title&quot;:&quot;Journal of Geophysical Research: Solid Earth&quot;,&quot;container-title-short&quot;:&quot;J. Geophys. Res. Solid Earth&quot;,&quot;DOI&quot;:&quot;10.1029/2012JB009444&quot;,&quot;ISSN&quot;:&quot;21699356&quot;,&quot;issued&quot;:{&quot;date-parts&quot;:[[2012,7,1]]},&quot;abstract&quot;:&quot;The Polochic-Motagua fault system is part of the sinistral transform boundary between the North American and Caribbean plates in Guatemala and the associated seismic activity poses a threat to ̃70% of the country's population. The aim of this study is to constrain the Late Quaternary activity of the Polochic fault by determining the active structure geometry and quantifying recent displacement rates as well as paleo-seismic events. Slip rates have been estimated from offsets of Quaternary volcanic markers and alluvial fan using in situ cosmogenic 36Cl exposure dating. Holocene left-lateral slip rate and Mid-Pleistocene vertical slip rate have been estimated to 4.8 ±2.3 mm/y and 0.3 ±0.06 mm/y, respectively, on the central part of the Polochic fault. The horizontal slip rate is within the range of longer-term geological slip rates and short-term GPS-based estimates. In addition, the non-negligible vertical motion participates in the uplift of the block north of the fault and seems to be a manifestation of the regional, far-field stress regime. We excavated the first trench for paleo-seismological study on the Polochic fault in which we distinguish four large paleo-seismic events since 17 ky during which the Polochic fault ruptured the ground surface. © 2012. American Geophysical Union.&quot;,&quot;publisher&quot;:&quot;Blackwell Publishing Ltd&quot;,&quot;issue&quot;:&quot;7&quot;,&quot;volume&quot;:&quot;117&quot;},&quot;isTemporary&quot;:false}]},{&quot;citationID&quot;:&quot;MENDELEY_CITATION_d69356f3-35cf-48b0-907a-5572b1f3f35a&quot;,&quot;properties&quot;:{&quot;noteIndex&quot;:0},&quot;isEdited&quot;:false,&quot;manualOverride&quot;:{&quot;isManuallyOverridden&quot;:true,&quot;citeprocText&quot;:&quot;(Ellis et al. 2015, 2019; Garnier et al. 2021, 2022)&quot;,&quot;manualOverrideText&quot;:&quot;(e.g., Ellis et al. 2015, 2019; Garnier et al. 2021, 2022)&quot;},&quot;citationTag&quot;:&quot;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&quot;,&quot;citationItems&quot;:[{&quot;id&quot;:&quot;4447e6d1-823a-3b61-b593-dfc2e72b6fe4&quot;,&quot;itemData&quot;:{&quot;type&quot;:&quot;article-journal&quot;,&quot;id&quot;:&quot;4447e6d1-823a-3b61-b593-dfc2e72b6fe4&quot;,&quot;title&quot;:&quot;Geodetic slip solutions for the Mw= 7.4 Champerico (Guatemala) earthquake of 2012 November 7 and its postseismic deformation&quot;,&quot;author&quot;:[{&quot;family&quot;:&quot;Ellis&quot;,&quot;given&quot;:&quot;Andria P.&quot;,&quot;parse-names&quot;:false,&quot;dropping-particle&quot;:&quot;&quot;,&quot;non-dropping-particle&quot;:&quot;&quot;},{&quot;family&quot;:&quot;Demets&quot;,&quot;given&quot;:&quot;Charles&quot;,&quot;parse-names&quot;:false,&quot;dropping-particle&quot;:&quot;&quot;,&quot;non-dropping-particle&quot;:&quot;&quot;},{&quot;family&quot;:&quot;Briole&quot;,&quot;given&quot;:&quot;Pierre&quot;,&quot;parse-names&quot;:false,&quot;dropping-particle&quot;:&quot;&quot;,&quot;non-dropping-particle&quot;:&quot;&quot;},{&quot;family&quot;:&quot;Molina&quot;,&quot;given&quot;:&quot;Enrique&quot;,&quot;parse-names&quot;:false,&quot;dropping-particle&quot;:&quot;&quot;,&quot;non-dropping-particle&quot;:&quot;&quot;},{&quot;family&quot;:&quot;Flores&quot;,&quot;given&quot;:&quot;Omar&quot;,&quot;parse-names&quot;:false,&quot;dropping-particle&quot;:&quot;&quot;,&quot;non-dropping-particle&quot;:&quot;&quot;},{&quot;family&quot;:&quot;Rivera&quot;,&quot;given&quot;:&quot;Jeffrey&quot;,&quot;parse-names&quot;:false,&quot;dropping-particle&quot;:&quot;&quot;,&quot;non-dropping-particle&quot;:&quot;&quot;},{&quot;family&quot;:&quot;Lasserre&quot;,&quot;given&quot;:&quot;Cécile&quot;,&quot;parse-names&quot;:false,&quot;dropping-particle&quot;:&quot;&quot;,&quot;non-dropping-particle&quot;:&quot;&quot;},{&quot;family&quot;:&quot;Lyon-Caen&quot;,&quot;given&quot;:&quot;Hélène&quot;,&quot;parse-names&quot;:false,&quot;dropping-particle&quot;:&quot;&quot;,&quot;non-dropping-particle&quot;:&quot;&quot;},{&quot;family&quot;:&quot;Lord&quot;,&quot;given&quot;:&quot;Neal&quot;,&quot;parse-names&quot;:false,&quot;dropping-particle&quot;:&quot;&quot;,&quot;non-dropping-particle&quot;:&quot;&quot;}],&quot;container-title&quot;:&quot;Geophysical Journal International&quot;,&quot;container-title-short&quot;:&quot;Geophys. J. Int.&quot;,&quot;DOI&quot;:&quot;10.1093/gji/ggu484&quot;,&quot;ISSN&quot;:&quot;1365246X&quot;,&quot;issued&quot;:{&quot;date-parts&quot;:[[2015,5,1]]},&quot;page&quot;:&quot;856-868&quot;,&quot;abstract&quot;:&quot;As the first large subduction thrust earthquake off the coast of western Guatemala in the past several decades, the 2012 November 7 Mw = 7.4 earthquake offers the first opportunity to study coseismic and postseismic behaviour along a segment of the Middle America trench where frictional coupling makes a transition from weak coupling off the coast of El Salvador to strong coupling in southern Mexico. We use measurements at 19 continuous GPS sites in Guatemala, El Salvador and Mexico to estimate the coseismic slip and postseismic deformation of the November 2012 Champerico (Guatemala) earthquake. An inversion of the coseismic offsets, which range up to ∼47 mm at the surface near the epicentre, indicates that up to ∼2 m of coseismic slip occurred on a ∼30 × 30 km rupture area between ∼10 and 30 km depth, which is near the global CMT centroid. The geodetic moment of 13 × 1019 N m and corresponding magnitude of 7.4 both agree well with independent seismological estimates. Transient postseismic deformation that was recorded at 11 GPS sites is attributable to a combination of fault afterslip and viscoelastic flow in the lower crust and/or mantle. Modelling of the viscoelastic deformation suggests that it constituted no more than ∼30 per cent of the short-term postseismic deformation. GPS observations that extend six months after the earthquake are well fit by a model in which most afterslip occurred at the same depth or directly downdip from the rupture zone and released energy equivalent to no more than ∼20 per cent of the coseismic moment. An independent seismological slip solution that features more highly concentrated coseismic slip than our own fits the GPS offsets well if its slip centroid is translated ∼50 km to the west to a position close to our slip centroid. The geodetic and seismologic slip solutions thus suggest bounds of 2-7 m for the peak slip along a region of the interface no larger than 30 × 30 km.&quot;,&quot;publisher&quot;:&quot;Oxford University Press&quot;,&quot;issue&quot;:&quot;2&quot;,&quot;volume&quot;:&quot;201&quot;},&quot;isTemporary&quot;:false},{&quot;id&quot;:&quot;6f7aa43a-6228-358f-8661-e022b7fda775&quot;,&quot;itemData&quot;:{&quot;type&quot;:&quot;article-journal&quot;,&quot;id&quot;:&quot;6f7aa43a-6228-358f-8661-e022b7fda775&quot;,&quot;title&quot;:&quot;GPS constraints on deformation in northern Central America from 1999 to 2017, Part 2: Block rotations and fault slip rates, fault locking and distributed deformation&quot;,&quot;author&quot;:[{&quot;family&quot;:&quot;Ellis&quot;,&quot;given&quot;:&quot;A.&quot;,&quot;parse-names&quot;:false,&quot;dropping-particle&quot;:&quot;&quot;,&quot;non-dropping-particle&quot;:&quot;&quot;},{&quot;family&quot;:&quot;DeMets&quot;,&quot;given&quot;:&quot;C.&quot;,&quot;parse-names&quot;:false,&quot;dropping-particle&quot;:&quot;&quot;,&quot;non-dropping-particle&quot;:&quot;&quot;},{&quot;family&quot;:&quot;McCaffrey&quot;,&quot;given&quot;:&quot;Robert&quot;,&quot;parse-names&quot;:false,&quot;dropping-particle&quot;:&quot;&quot;,&quot;non-dropping-particle&quot;:&quot;&quot;},{&quot;family&quot;:&quot;Briole&quot;,&quot;given&quot;:&quot;P.&quot;,&quot;parse-names&quot;:false,&quot;dropping-particle&quot;:&quot;&quot;,&quot;non-dropping-particle&quot;:&quot;&quot;},{&quot;family&quot;:&quot;Cosenza Muralles&quot;,&quot;given&quot;:&quot;Beatriz&quot;,&quot;parse-names&quot;:false,&quot;dropping-particle&quot;:&quot;&quot;,&quot;non-dropping-particle&quot;:&quot;&quot;},{&quot;family&quot;:&quot;Flores&quot;,&quot;given&quot;:&quot;Omar&quot;,&quot;parse-names&quot;:false,&quot;dropping-particle&quot;:&quot;&quot;,&quot;non-dropping-particle&quot;:&quot;&quot;},{&quot;family&quot;:&quot;Guzmán-Speziale&quot;,&quot;given&quot;:&quot;Marco&quot;,&quot;parse-names&quot;:false,&quot;dropping-particle&quot;:&quot;&quot;,&quot;non-dropping-particle&quot;:&quot;&quot;},{&quot;family&quot;:&quot;Hernández&quot;,&quot;given&quot;:&quot;Douglas&quot;,&quot;parse-names&quot;:false,&quot;dropping-particle&quot;:&quot;&quot;,&quot;non-dropping-particle&quot;:&quot;&quot;},{&quot;family&quot;:&quot;Kostoglodov&quot;,&quot;given&quot;:&quot;Vladimir&quot;,&quot;parse-names&quot;:false,&quot;dropping-particle&quot;:&quot;&quot;,&quot;non-dropping-particle&quot;:&quot;&quot;},{&quot;family&quot;:&quot;LaFemina&quot;,&quot;given&quot;:&quot;Peter&quot;,&quot;parse-names&quot;:false,&quot;dropping-particle&quot;:&quot;&quot;,&quot;non-dropping-particle&quot;:&quot;&quot;},{&quot;family&quot;:&quot;Lord&quot;,&quot;given&quot;:&quot;Neal&quot;,&quot;parse-names&quot;:false,&quot;dropping-particle&quot;:&quot;&quot;,&quot;non-dropping-particle&quot;:&quot;&quot;},{&quot;family&quot;:&quot;Lasserre&quot;,&quot;given&quot;:&quot;Cecile&quot;,&quot;parse-names&quot;:false,&quot;dropping-particle&quot;:&quot;&quot;,&quot;non-dropping-particle&quot;:&quot;&quot;},{&quot;family&quot;:&quot;Lyon-Caen&quot;,&quot;given&quot;:&quot;Helène&quot;,&quot;parse-names&quot;:false,&quot;dropping-particle&quot;:&quot;&quot;,&quot;non-dropping-particle&quot;:&quot;&quot;},{&quot;family&quot;:&quot;Rodriguez Maradiaga&quot;,&quot;given&quot;:&quot;Manuel&quot;,&quot;parse-names&quot;:false,&quot;dropping-particle&quot;:&quot;&quot;,&quot;non-dropping-particle&quot;:&quot;&quot;},{&quot;family&quot;:&quot;Molina&quot;,&quot;given&quot;:&quot;Enrique&quot;,&quot;parse-names&quot;:false,&quot;dropping-particle&quot;:&quot;&quot;,&quot;non-dropping-particle&quot;:&quot;&quot;},{&quot;family&quot;:&quot;Rivera&quot;,&quot;given&quot;:&quot;Jeffrey&quot;,&quot;parse-names&quot;:false,&quot;dropping-particle&quot;:&quot;&quot;,&quot;non-dropping-particle&quot;:&quot;&quot;},{&quot;family&quot;:&quot;Rogers&quot;,&quot;given&quot;:&quot;Robert&quot;,&quot;parse-names&quot;:false,&quot;dropping-particle&quot;:&quot;&quot;,&quot;non-dropping-particle&quot;:&quot;&quot;},{&quot;family&quot;:&quot;Staller&quot;,&quot;given&quot;:&quot;Alejandra&quot;,&quot;parse-names&quot;:false,&quot;dropping-particle&quot;:&quot;&quot;,&quot;non-dropping-particle&quot;:&quot;&quot;},{&quot;family&quot;:&quot;Tikoff&quot;,&quot;given&quot;:&quot;Basil&quot;,&quot;parse-names&quot;:false,&quot;dropping-particle&quot;:&quot;&quot;,&quot;non-dropping-particle&quot;:&quot;&quot;}],&quot;container-title&quot;:&quot;Geophysical Journal International&quot;,&quot;container-title-short&quot;:&quot;Geophys. J. Int.&quot;,&quot;DOI&quot;:&quot;10.1093/gji/ggz173&quot;,&quot;ISSN&quot;:&quot;1365246X&quot;,&quot;issued&quot;:{&quot;date-parts&quot;:[[2019,5,2]]},&quot;page&quot;:&quot;729-754&quot;,&quot;abstract&quot;:&quot;We describe a new elastic-kinematic model for the present tectonics of northern Central America and southern Mexico, where the Motagua-Polochic fault zone, Middle America subduction zone and faults in theCentral America volcanic arc pose significant seismic hazards. The newmodel,which consists of the angular velocities for eight plates and blocks, interseismic locking solutions for some of the block-bounding faults and strain-rate tensors for three blocks with significant internal deformation, optimizes the fit to regional fault azimuths and earthquake slip directions and a new 200+ station GPS velocity field that has been corrected for the coseismic and post-seismic effects of three large regional earthquakes in 2009 and 2012. From our new observations and modelling thereof, we find evidence for the following: (1) 13±1 mm yr-1 of ≈E-W stretching between undeformed Caribbean plate in central Honduras and a location ≈50 km west of the Guatemala City graben; (2) accommodation of the above extension via slow W-To-WNW motions of newly defined Chortis and Ipala blocks and distributed ENE-WSW stretching within both blocks; (3) 80 per cent of Chortis-North America platemotion in eastern Guatemala occurs on the Motagua fault versus only 20 per cent on the Polochic fault; (4) Motagua fault slip rates that decrease westwards from 14 ±1.5 mm yr-1 to 9-10 ±2 mm yr-1 to less than 2 mm yr-1 in eastern Guatemala, central Guatemala and west of the Guatemala City graben, respectively; (5) Slip rates along Central America volcanic arc faults that decrease from 12.5 ±1.0 mm yr-1 in Nicaragua to 10 ±1.3 mm yr-1 in central El Salvador to 7.6 ±2.1 mm yr-1 on the Jalpatagua fault of southern Guatemala to 2-3 mm yr-1 or less across the volcanic arc west of Guatemala City; (6) a transition near the Mexico-Guatemala border from moderate-To-high locking of the subduction interface offshore from southern Mexico to low locking below the Central America forearc sliver; (7) Subduction of the Cocos plate beneath the Central America forearc sliver up to 10 mm yr-1 faster than and 7-8 clockwise from all previous estimates; (8) 12±6 mm yr-1 of E-W extension across the newly defined Fonseca block. A pattern of misfits to the velocities of sites in northern Guatemala and southern Mexico may be caused by distributed deformation in this region or shortcomings with our model and/or assumptions. The primary factors that control the regional deformation appear to include the arcuate geometry of the Motagua fault, low locking of the Middle America subduction interface, slow-To-no motion between the leading edge of the Central America forearc sliver and North America plate and a rheologically weak volcanic arc.&quot;,&quot;publisher&quot;:&quot;Oxford University Press&quot;,&quot;issue&quot;:&quot;2&quot;,&quot;volume&quot;:&quot;218&quot;},&quot;isTemporary&quot;:false},{&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id&quot;:&quot;3042c6de-911f-327a-8e4f-714c4aed4b17&quot;,&quot;itemData&quot;:{&quot;type&quot;:&quot;article-journal&quot;,&quot;id&quot;:&quot;3042c6de-911f-327a-8e4f-714c4aed4b17&quot;,&quot;title&quot;:&quot;An integrated structural and GPS study of the Jalpatagua fault, southeastern Guatemala&quot;,&quot;author&quot;:[{&quot;family&quot;:&quot;Garnier&quot;,&quot;given&quot;:&quot;Bridget&quot;,&quot;parse-names&quot;:false,&quot;dropping-particle&quot;:&quot;&quot;,&quot;non-dropping-particle&quot;:&quot;&quot;},{&quot;family&quot;:&quot;Tl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Douglas&quot;,&quot;parse-names&quot;:false,&quot;dropping-particle&quot;:&quot;&quot;,&quot;non-dropping-particle&quot;:&quot;&quot;},{&quot;family&quot;:&quot;Marroquin&quot;,&quot;given&quot;:&quot;Griselda&quot;,&quot;parse-names&quot;:false,&quot;dropping-particle&quot;:&quot;&quot;,&quot;non-dropping-particle&quot;:&quot;&quot;},{&quot;family&quot;:&quot;Mixco&quot;,&quot;given&quot;:&quot;Luis&quot;,&quot;parse-names&quot;:false,&quot;dropping-particle&quot;:&quot;&quot;,&quot;non-dropping-particle&quot;:&quot;&quot;},{&quot;family&quot;:&quot;Hernandez&quot;,&quot;given&quot;:&quot;Walter&quot;,&quot;parse-names&quot;:false,&quot;dropping-particle&quot;:&quot;&quot;,&quot;non-dropping-particle&quot;:&quot;&quot;}],&quot;container-title&quot;:&quot;Geosphere&quot;,&quot;DOI&quot;:&quot;10.1130/GES02243.1&quot;,&quot;ISSN&quot;:&quot;1553040X&quot;,&quot;issued&quot;:{&quot;date-parts&quot;:[[2021]]},&quot;page&quot;:&quot;201-225&quot;,&quot;abstract&quot;:&quot;The Jalpatagua fault in Guatemala accommodates dextral movement of the Central America forearc. We present new global positioning system (GPS) data, minor fault analysis, geochronological analyses, and analysis of lineaments to characterize deformation along the fault and near its terminations. Our data indicate that the Jalpatagua fault terminates at both ends into extensional regions. The western termination occurs near the Amatitlan caldera and the southern extension of the Guatemala City graben, as no through-going structures were observed to continue west into the active volcanic arc. Along the Jalpatagua fault, new and updated GPS site velocities are consistent with a slip rate of 7.1 ± 1.8 mm yr−1. Minor faulting along the central section of the fault includes: (1) N-S–striking normal faults accommodating E-W elongation; and (2) four sets of strike-slip faults (oriented 330°, 020°, 055°, and 295°, parallel to the Jalpatagua fault trace). Minor fault arrays support dextral movement along a major fault in the orientation of the Jalpatagua fault. GPS and fault data indicate that the Jalpatagua fault terminates to the east near the Guatemala–El Salvador border. Data delineate a pull-apart basin southeast of the fault termination, which is undergoing transtension as the Jalpatagua fault transitions into the El Salvador fault system to the east. Within the basin, minor faulting and lineations trend to the NW and accommodate NE-directed elongation. This faulting differs from E-W elongation observed along the Jalpatagua fault and is more similar to minor faults within the El Salvador fault system.&quot;,&quot;publisher&quot;:&quot;Geological Society of America&quot;,&quot;issue&quot;:&quot;1&quot;,&quot;volume&quot;:&quot;17&quot;,&quot;container-title-short&quot;:&quot;&quot;},&quot;isTemporary&quot;:false}]},{&quot;citationID&quot;:&quot;MENDELEY_CITATION_e41f5a2e-6ef2-4371-850e-26dd664f3b88&quot;,&quot;properties&quot;:{&quot;noteIndex&quot;:0},&quot;isEdited&quot;:false,&quot;manualOverride&quot;:{&quot;isManuallyOverridden&quot;:false,&quot;citeprocText&quot;:&quot;(Garnier et al. 2021, 2022; Maurer et al. 2025)&quot;,&quot;manualOverrideText&quot;:&quot;&quot;},&quot;citationTag&quot;:&quot;MENDELEY_CITATION_v3_eyJjaXRhdGlvbklEIjoiTUVOREVMRVlfQ0lUQVRJT05fZTQxZjVhMmUtNmVmMi00MzcxLTg1MGUtMjZkZDY2NGYzYjg4IiwicHJvcGVydGllcyI6eyJub3RlSW5kZXgiOjB9LCJpc0VkaXRlZCI6ZmFsc2UsIm1hbnVhbE92ZXJyaWRlIjp7ImlzTWFudWFsbHlPdmVycmlkZGVuIjpmYWxzZSwiY2l0ZXByb2NUZXh0IjoiKEdhcm5pZXIgZXQgYWwuIDIwMjEsIDIwMjI7IE1hdXJlciBldCBhbC4gMjAyNSkiLCJtYW51YWxPdmVycmlkZVRleHQiOiI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Sx7ImlkIjoiMzA0MmM2ZGUtOTExZi0zMjdhLThlNGYtNzE0YzRhZWQ0YjE3IiwiaXRlbURhdGEiOnsidHlwZSI6ImFydGljbGUtam91cm5hbCIsImlkIjoiMzA0MmM2ZGUtOTExZi0zMjdhLThlNGYtNzE0YzRhZWQ0YjE3IiwidGl0bGUiOiJBbiBpbnRlZ3JhdGVkIHN0cnVjdHVyYWwgYW5kIEdQUyBzdHVkeSBvZiB0aGUgSmFscGF0YWd1YSBmYXVsdCwgc291dGhlYXN0ZXJuIEd1YXRlbWFsYSIsImF1dGhvciI6W3siZmFtaWx5IjoiR2FybmllciIsImdpdmVuIjoiQnJpZGdldCIsInBhcnNlLW5hbWVzIjpmYWxzZSwiZHJvcHBpbmctcGFydGljbGUiOiIiLCJub24tZHJvcHBpbmctcGFydGljbGUiOiIifSx7ImZhbWlseSI6IlRs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&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id&quot;:&quot;3042c6de-911f-327a-8e4f-714c4aed4b17&quot;,&quot;itemData&quot;:{&quot;type&quot;:&quot;article-journal&quot;,&quot;id&quot;:&quot;3042c6de-911f-327a-8e4f-714c4aed4b17&quot;,&quot;title&quot;:&quot;An integrated structural and GPS study of the Jalpatagua fault, southeastern Guatemala&quot;,&quot;author&quot;:[{&quot;family&quot;:&quot;Garnier&quot;,&quot;given&quot;:&quot;Bridget&quot;,&quot;parse-names&quot;:false,&quot;dropping-particle&quot;:&quot;&quot;,&quot;non-dropping-particle&quot;:&quot;&quot;},{&quot;family&quot;:&quot;Tl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Douglas&quot;,&quot;parse-names&quot;:false,&quot;dropping-particle&quot;:&quot;&quot;,&quot;non-dropping-particle&quot;:&quot;&quot;},{&quot;family&quot;:&quot;Marroquin&quot;,&quot;given&quot;:&quot;Griselda&quot;,&quot;parse-names&quot;:false,&quot;dropping-particle&quot;:&quot;&quot;,&quot;non-dropping-particle&quot;:&quot;&quot;},{&quot;family&quot;:&quot;Mixco&quot;,&quot;given&quot;:&quot;Luis&quot;,&quot;parse-names&quot;:false,&quot;dropping-particle&quot;:&quot;&quot;,&quot;non-dropping-particle&quot;:&quot;&quot;},{&quot;family&quot;:&quot;Hernandez&quot;,&quot;given&quot;:&quot;Walter&quot;,&quot;parse-names&quot;:false,&quot;dropping-particle&quot;:&quot;&quot;,&quot;non-dropping-particle&quot;:&quot;&quot;}],&quot;container-title&quot;:&quot;Geosphere&quot;,&quot;DOI&quot;:&quot;10.1130/GES02243.1&quot;,&quot;ISSN&quot;:&quot;1553040X&quot;,&quot;issued&quot;:{&quot;date-parts&quot;:[[2021]]},&quot;page&quot;:&quot;201-225&quot;,&quot;abstract&quot;:&quot;The Jalpatagua fault in Guatemala accommodates dextral movement of the Central America forearc. We present new global positioning system (GPS) data, minor fault analysis, geochronological analyses, and analysis of lineaments to characterize deformation along the fault and near its terminations. Our data indicate that the Jalpatagua fault terminates at both ends into extensional regions. The western termination occurs near the Amatitlan caldera and the southern extension of the Guatemala City graben, as no through-going structures were observed to continue west into the active volcanic arc. Along the Jalpatagua fault, new and updated GPS site velocities are consistent with a slip rate of 7.1 ± 1.8 mm yr−1. Minor faulting along the central section of the fault includes: (1) N-S–striking normal faults accommodating E-W elongation; and (2) four sets of strike-slip faults (oriented 330°, 020°, 055°, and 295°, parallel to the Jalpatagua fault trace). Minor fault arrays support dextral movement along a major fault in the orientation of the Jalpatagua fault. GPS and fault data indicate that the Jalpatagua fault terminates to the east near the Guatemala–El Salvador border. Data delineate a pull-apart basin southeast of the fault termination, which is undergoing transtension as the Jalpatagua fault transitions into the El Salvador fault system to the east. Within the basin, minor faulting and lineations trend to the NW and accommodate NE-directed elongation. This faulting differs from E-W elongation observed along the Jalpatagua fault and is more similar to minor faults within the El Salvador fault system.&quot;,&quot;publisher&quot;:&quot;Geological Society of America&quot;,&quot;issue&quot;:&quot;1&quot;,&quot;volume&quot;:&quot;17&quot;,&quot;container-title-short&quot;:&quot;&quot;},&quot;isTemporary&quot;:false},{&quot;id&quot;:&quot;f722b328-2ddf-335b-8fa4-bbb274a1c821&quot;,&quot;itemData&quot;:{&quot;type&quot;:&quot;article-journal&quot;,&quot;id&quot;:&quot;f722b328-2ddf-335b-8fa4-bbb274a1c821&quot;,&quot;title&quot;:&quot;Deformation and earthquake potential on the North America - Caribbean - Cocos triple junction in Guatemala&quot;,&quot;author&quot;:[{&quot;family&quot;:&quot;Maurer&quot;,&quot;given&quot;:&quot;Jeremy&quot;,&quot;parse-names&quot;:false,&quot;dropping-particle&quot;:&quot;&quot;,&quot;non-dropping-particle&quot;:&quot;&quot;},{&quot;family&quot;:&quot;Eckert&quot;,&quot;given&quot;:&quot;Andreas&quot;,&quot;parse-names&quot;:false,&quot;dropping-particle&quot;:&quot;&quot;,&quot;non-dropping-particle&quot;:&quot;&quot;},{&quot;family&quot;:&quot;Sun&quot;,&quot;given&quot;:&quot;Qiaoqi&quot;,&quot;parse-names&quot;:false,&quot;dropping-particle&quot;:&quot;&quot;,&quot;non-dropping-particle&quot;:&quot;&quot;},{&quot;family&quot;:&quot;Obrist-Farner&quot;,&quot;given&quot;:&quot;Jonathan&quot;,&quot;parse-names&quot;:false,&quot;dropping-particle&quot;:&quot;&quot;,&quot;non-dropping-particle&quot;:&quot;&quot;}],&quot;container-title&quot;:&quot;ESS Open Archive&quot;,&quot;DOI&quot;:&quot;10.22541/essoar.175336982.28467707/v1&quot;,&quot;URL&quot;:&quot;https://essopenarchive.org/users/525948/articles/1318429-deformation-and-earthquake-potential-on-the-north-america-caribbean-cocos-triple-junction-in-guatemala?commit=7f5f1e2d7106b330b63af4b714048799b3eff3fd&quot;,&quot;issued&quot;:{&quot;date-parts&quot;:[[2025,7,24]]},&quot;container-title-short&quot;:&quot;&quot;},&quot;isTemporary&quot;:false}]},{&quot;citationID&quot;:&quot;MENDELEY_CITATION_fa08c017-848e-40ed-825c-a573d17f2589&quot;,&quot;properties&quot;:{&quot;noteIndex&quot;:0},&quot;isEdited&quot;:false,&quot;manualOverride&quot;:{&quot;isManuallyOverridden&quot;:false,&quot;citeprocText&quot;:&quot;(Gamboa-Canté et al. 2025)&quot;,&quot;manualOverrideText&quot;:&quot;&quot;},&quot;citationTag&quot;:&quot;MENDELEY_CITATION_v3_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&quot;,&quot;citationItems&quot;:[{&quot;id&quot;:&quot;72b933b8-12ce-3802-aba7-8f68955b411f&quot;,&quot;itemData&quot;:{&quot;type&quot;:&quot;article-journal&quot;,&quot;id&quot;:&quot;72b933b8-12ce-3802-aba7-8f68955b411f&quot;,&quot;title&quot;:&quot;Overview of seismic hazard studies in Central America: A comparative analysis of results&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 María&quot;,&quot;given&quot;:&quot;Belén&quot;,&quot;parse-names&quot;:false,&quot;dropping-particle&quot;:&quot;&quot;,&quot;non-dropping-particle&quot;:&quot;&quot;}],&quot;container-title&quot;:&quot;Journal of South American Earth Sciences&quot;,&quot;container-title-short&quot;:&quot;J. South Am. Earth Sci.&quot;,&quot;DOI&quot;:&quot;10.1016/j.jsames.2025.105630&quot;,&quot;ISSN&quot;:&quot;08959811&quot;,&quot;issued&quot;:{&quot;date-parts&quot;:[[2025,10,1]]},&quot;abstract&quot;:&quot;We present an overview of seismic hazard studies in Central America, evaluating all the probabilistic seismic hazard studies (PSHA) published at the national and regional scale, as well as an updated model recently developed (Gamboa-Canté et al., 2025). The key factors in the study for obtaining the updated model are the use of a regional earthquake catalog from 1520 to 2020; the implementation of the last seismic zoning for the region, taking into account the change of the subduction angle along the Central America trench; the implementation of the scaling relationships specific to the Central American upper-plate, and the more suitable ground motion models (GMM) for the region identified using local data. We use the updated model as a reference, comparing the results with previous seismic hazard studies. As a general conclusion, we find that seismic hazard studies undertaken over the last 10 years period at regional or national scales point to an increase in the hazard compared to studies in previous periods, with maximum PGA values now reaching around 0.8g–1.0g for a return period of 475 years in the Costa Rica peninsulas and south of Guatemala. The updated seismic hazard map is consistent with the latest local models generated for each country in the region with variability in PGA values of less than 20 %, although there are some local exceptions. The advantage of the updated map is that it reflects the trend of increasing hazard expressed in recent local studies, but it is a regional map, there is no lack of continuity at the borders between countries, as occurs when a regional map is configured from national maps. We suggest that this regional hazard map be used for Central America (Gamboa-Canté et al., 2025) as a reference map for updating the seismic hazard models or seismic codes of the countries.&quot;,&quot;publisher&quot;:&quot;Elsevier Ltd&quot;,&quot;volume&quot;:&quot;164&quot;},&quot;isTemporary&quot;:false}]},{&quot;citationID&quot;:&quot;MENDELEY_CITATION_9dfde009-3be5-45b6-bc4a-b7c7034ad9ca&quot;,&quot;properties&quot;:{&quot;noteIndex&quot;:0},&quot;isEdited&quot;:false,&quot;manualOverride&quot;:{&quot;isManuallyOverridden&quot;:true,&quot;citeprocText&quot;:&quot;(Alvarado et al. 2017)&quot;,&quot;manualOverrideText&quot;:&quot;Alvarado et al. (2017)&quot;},&quot;citationTag&quot;:&quot;MENDELEY_CITATION_v3_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&quot;,&quot;citationItems&quot;:[{&quot;id&quot;:&quot;a383ac92-8892-3732-a6b6-a2949a053f8d&quot;,&quot;itemData&quot;:{&quot;type&quot;:&quot;article-journal&quot;,&quot;id&quot;:&quot;a383ac92-8892-3732-a6b6-a2949a053f8d&quot;,&quot;title&quot;:&quot;The new Central American seismic hazard zonation: Mutual consensus based on up to day seismotectonic framework&quot;,&quot;author&quot;:[{&quot;family&quot;:&quot;Alvarado&quot;,&quot;given&quot;:&quot;Guillermo E.&quot;,&quot;parse-names&quot;:false,&quot;dropping-particle&quot;:&quot;&quot;,&quot;non-dropping-particle&quot;:&quot;&quot;},{&quot;family&quot;:&quot;Benito&quot;,&quot;given&quot;:&quot;Belén&quot;,&quot;parse-names&quot;:false,&quot;dropping-particle&quot;:&quot;&quot;,&quot;non-dropping-particle&quot;:&quot;&quot;},{&quot;family&quot;:&quot;Staller&quot;,&quot;given&quot;:&quot;Alejandra&quot;,&quot;parse-names&quot;:false,&quot;dropping-particle&quot;:&quot;&quot;,&quot;non-dropping-particle&quot;:&quot;&quot;},{&quot;family&quot;:&quot;Climent&quot;,&quot;given&quot;:&quot;Álvaro&quot;,&quot;parse-names&quot;:false,&quot;dropping-particle&quot;:&quot;&quot;,&quot;non-dropping-particle&quot;:&quot;&quot;},{&quot;family&quot;:&quot;Camacho&quot;,&quot;given&quot;:&quot;Eduardo&quot;,&quot;parse-names&quot;:false,&quot;dropping-particle&quot;:&quot;&quot;,&quot;non-dropping-particle&quot;:&quot;&quot;},{&quot;family&quot;:&quot;Rojas&quot;,&quot;given&quot;:&quot;Wilfredo&quot;,&quot;parse-names&quot;:false,&quot;dropping-particle&quot;:&quot;&quot;,&quot;non-dropping-particle&quot;:&quot;&quot;},{&quot;family&quot;:&quot;Marroquín&quot;,&quot;given&quot;:&quot;Griselda&quot;,&quot;parse-names&quot;:false,&quot;dropping-particle&quot;:&quot;&quot;,&quot;non-dropping-particle&quot;:&quot;&quot;},{&quot;family&quot;:&quot;Molina&quot;,&quot;given&quot;:&quot;Enrique&quot;,&quot;parse-names&quot;:false,&quot;dropping-particle&quot;:&quot;&quot;,&quot;non-dropping-particle&quot;:&quot;&quot;},{&quot;family&quot;:&quot;Talavera&quot;,&quot;given&quot;:&quot;J. Emilio&quot;,&quot;parse-names&quot;:false,&quot;dropping-particle&quot;:&quot;&quot;,&quot;non-dropping-particle&quot;:&quot;&quot;},{&quot;family&quot;:&quot;Martínez-Cuevas&quot;,&quot;given&quot;:&quot;Sandra&quot;,&quot;parse-names&quot;:false,&quot;dropping-particle&quot;:&quot;&quot;,&quot;non-dropping-particle&quot;:&quot;&quot;},{&quot;family&quot;:&quot;Lindholm&quot;,&quot;given&quot;:&quot;Conrad&quot;,&quot;parse-names&quot;:false,&quot;dropping-particle&quot;:&quot;&quot;,&quot;non-dropping-particle&quot;:&quot;&quot;}],&quot;container-title&quot;:&quot;Tectonophysics&quot;,&quot;DOI&quot;:&quot;10.1016/j.tecto.2017.10.013&quot;,&quot;ISSN&quot;:&quot;00401951&quot;,&quot;issued&quot;:{&quot;date-parts&quot;:[[2017,11,28]]},&quot;page&quot;:&quot;462-476&quot;,&quot;abstract&quot;:&quot;Central America is one of the most active seismic zones in the World, due to the interaction of five tectonic plates (North America, Caribbean, Coco, Nazca and South America), and its internal deformation, which generates almost one destructive earthquakes (5.4 ≤ Mw ≤ 8.1) every year. A new seismological zonation for Central America is proposed based on seismotectonic framework, a geological context (tectonic and geological maps), geophysical and geodetic evidence (gravimetric maps, magnetometric, GPS observations), and previous works. As a main source of data a depurated earthquake catalog was collected covering the period from 1522 to 2015. This catalog was homogenized to a moment magnitude scale (Mw). After a careful analysis of all the integrated geological and seismological information, the seismogenic zones were established into seismic areas defined by similar patterns of faulting, seismicity, and rupture mechanism. The tectonic environment has required considering seismic zones in two particular seismological regimes: a) crustal faulting (including local faults, major fracture zones of plate boundary limits, and thrust fault of deformed belts) and b) subduction, taking into account the change in the subduction angle along the trench, and the type and location of the rupture. The seismicity in the subduction zone is divided into interplate and intraplate inslab seismicity. The regional seismic zonation proposed for the whole of Central America, include local seismic zonations, avoiding discontinuities at the national boundaries, because of a consensus between the 7 countries, based on the cooperative work of specialists on Central American seismotectonics and related topics.&quot;,&quot;publisher&quot;:&quot;Elsevier B.V.&quot;,&quot;volume&quot;:&quot;721&quot;,&quot;container-title-short&quot;:&quot;Tectonophysics&quot;},&quot;isTemporary&quot;:false}]},{&quot;citationID&quot;:&quot;MENDELEY_CITATION_20ad996e-d8af-4b46-a51d-3b8165c48385&quot;,&quot;properties&quot;:{&quot;noteIndex&quot;:0},&quot;isEdited&quot;:false,&quot;manualOverride&quot;:{&quot;isManuallyOverridden&quot;:false,&quot;citeprocText&quot;:&quot;(Garnier et al. 2022; Maurer et al. 2025)&quot;,&quot;manualOverrideText&quot;:&quot;&quot;},&quot;citationTag&quot;:&quot;MENDELEY_CITATION_v3_eyJjaXRhdGlvbklEIjoiTUVOREVMRVlfQ0lUQVRJT05fMjBhZDk5NmUtZDhhZi00YjQ2LWE1MWQtM2I4MTY1YzQ4Mzg1IiwicHJvcGVydGllcyI6eyJub3RlSW5kZXgiOjB9LCJpc0VkaXRlZCI6ZmFsc2UsIm1hbnVhbE92ZXJyaWRlIjp7ImlzTWFudWFsbHlPdmVycmlkZGVuIjpmYWxzZSwiY2l0ZXByb2NUZXh0IjoiKEdhcm5pZXIgZXQgYWwuIDIwMjI7IE1hdXJlciBldCBhbC4gMjAyNSkiLCJtYW51YWxPdmVycmlkZVRleHQiOiI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&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id&quot;:&quot;f722b328-2ddf-335b-8fa4-bbb274a1c821&quot;,&quot;itemData&quot;:{&quot;type&quot;:&quot;article-journal&quot;,&quot;id&quot;:&quot;f722b328-2ddf-335b-8fa4-bbb274a1c821&quot;,&quot;title&quot;:&quot;Deformation and earthquake potential on the North America - Caribbean - Cocos triple junction in Guatemala&quot;,&quot;author&quot;:[{&quot;family&quot;:&quot;Maurer&quot;,&quot;given&quot;:&quot;Jeremy&quot;,&quot;parse-names&quot;:false,&quot;dropping-particle&quot;:&quot;&quot;,&quot;non-dropping-particle&quot;:&quot;&quot;},{&quot;family&quot;:&quot;Eckert&quot;,&quot;given&quot;:&quot;Andreas&quot;,&quot;parse-names&quot;:false,&quot;dropping-particle&quot;:&quot;&quot;,&quot;non-dropping-particle&quot;:&quot;&quot;},{&quot;family&quot;:&quot;Sun&quot;,&quot;given&quot;:&quot;Qiaoqi&quot;,&quot;parse-names&quot;:false,&quot;dropping-particle&quot;:&quot;&quot;,&quot;non-dropping-particle&quot;:&quot;&quot;},{&quot;family&quot;:&quot;Obrist-Farner&quot;,&quot;given&quot;:&quot;Jonathan&quot;,&quot;parse-names&quot;:false,&quot;dropping-particle&quot;:&quot;&quot;,&quot;non-dropping-particle&quot;:&quot;&quot;}],&quot;container-title&quot;:&quot;ESS Open Archive&quot;,&quot;DOI&quot;:&quot;10.22541/essoar.175336982.28467707/v1&quot;,&quot;URL&quot;:&quot;https://essopenarchive.org/users/525948/articles/1318429-deformation-and-earthquake-potential-on-the-north-america-caribbean-cocos-triple-junction-in-guatemala?commit=7f5f1e2d7106b330b63af4b714048799b3eff3fd&quot;,&quot;issued&quot;:{&quot;date-parts&quot;:[[2025,7,24]]},&quot;container-title-short&quot;:&quot;&quot;},&quot;isTemporary&quot;:false}]},{&quot;citationID&quot;:&quot;MENDELEY_CITATION_16aa4d3a-f159-478b-ab11-c6c7bf1fc411&quot;,&quot;properties&quot;:{&quot;noteIndex&quot;:0},&quot;isEdited&quot;:false,&quot;manualOverride&quot;:{&quot;isManuallyOverridden&quot;:true,&quot;citeprocText&quot;:&quot;(Avouac 2015; Michel et al. 2023)&quot;,&quot;manualOverrideText&quot;:&quot;(e.g., Avouac 2015; Michel et al. 2023)&quot;},&quot;citationTag&quot;:&quot;MENDELEY_CITATION_v3_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&quot;,&quot;citationItems&quot;:[{&quot;id&quot;:&quot;82cff335-164e-3f07-bd8a-0910252e999f&quot;,&quot;itemData&quot;:{&quot;type&quot;:&quot;article-journal&quot;,&quot;id&quot;:&quot;82cff335-164e-3f07-bd8a-0910252e999f&quot;,&quot;title&quot;:&quot;From geodetic imaging of seismic and aseismic fault slip to dynamic modeling of the seismic cycle&quot;,&quot;author&quot;:[{&quot;family&quot;:&quot;Avouac&quot;,&quot;given&quot;:&quot;Jean Philippe&quot;,&quot;parse-names&quot;:false,&quot;dropping-particle&quot;:&quot;&quot;,&quot;non-dropping-particle&quot;:&quot;&quot;}],&quot;container-title&quot;:&quot;Annual Review of Earth and Planetary Sciences&quot;,&quot;DOI&quot;:&quot;10.1146/annurev-earth-060614-105302&quot;,&quot;ISSN&quot;:&quot;00846597&quot;,&quot;issued&quot;:{&quot;date-parts&quot;:[[2015,5,30]]},&quot;page&quot;:&quot;233-271&quot;,&quot;abstract&quot;:&quot;Understanding the partitioning of seismic and aseismic fault slip is central to seismotectonics as it ultimately determines the seismic potential of faults. Thanks to advances in tectonic geodesy, it is now possible to develop kinematic models of the spatiotemporal evolution of slip over the seismic cycle and to determine the budget of seismic and aseismic slip. Studies of subduction zones and continental faults have shown that aseismic creep is common and sometimes prevalent within the seismogenic depth range. Interseismic coupling is generally observed to be spatially heterogeneous, defining locked patches of stress accumulation, to be released in future earthquakes or aseismic transients, surrounded by creeping areas. Clay-rich tectonites, high temperature, and elevated pore-fluid pressure seem to be key factors promoting aseismic creep. The generally logarithmic time evolution of afterslip is a distinctive feature of creeping faults that suggests a logarithmic dependency of fault friction on slip rate, as observed in laboratory friction experiments. Most faults can be considered to be paved with interlaced patches where the friction law is either rate-strengthening, inhibiting seismic rupture propagation, or rate-weakening, allowing for earthquake nucleation. The rate-weakening patches act as asperities on which stress builds up in the interseismic period; they might rupture collectively in a variety of ways. The pattern of interseismic coupling can help constrain the return period of the maximum- magnitude earthquake based on the requirement that seismic and aseismic slip sum to match long-term slip. Dynamic models of the seismic cycle based on this conceptual model can be tuned to reproduce geodetic and seismological observations. The promise and pitfalls of using such models to assess seismic hazard are discussed.&quot;,&quot;publisher&quot;:&quot;Annual Reviews Inc.&quot;,&quot;volume&quot;:&quot;43&quot;,&quot;container-title-short&quot;:&quot;Annu. Rev. Earth Planet. Sci.&quot;},&quot;isTemporary&quot;:false},{&quot;id&quot;:&quot;2bacf7d2-53d1-385e-a6fe-c1132f0676d0&quot;,&quot;itemData&quot;:{&quot;type&quot;:&quot;article-journal&quot;,&quot;id&quot;:&quot;2bacf7d2-53d1-385e-a6fe-c1132f0676d0&quot;,&quot;title&quot;:&quot;Seismogenic potential of the subduction zone in northern Chile&quot;,&quot;author&quot;:[{&quot;family&quot;:&quot;Michel&quot;,&quot;given&quot;:&quot;Sylvain&quot;,&quot;parse-names&quot;:false,&quot;dropping-particle&quot;:&quot;&quot;,&quot;non-dropping-particle&quot;:&quot;&quot;},{&quot;family&quot;:&quot;Jolivet&quot;,&quot;given&quot;:&quot;Romain&quot;,&quot;parse-names&quot;:false,&quot;dropping-particle&quot;:&quot;&quot;,&quot;non-dropping-particle&quot;:&quot;&quot;},{&quot;family&quot;:&quot;Jara&quot;,&quot;given&quot;:&quot;Jorge&quot;,&quot;parse-names&quot;:false,&quot;dropping-particle&quot;:&quot;&quot;,&quot;non-dropping-particle&quot;:&quot;&quot;},{&quot;family&quot;:&quot;Rollins&quot;,&quot;given&quot;:&quot;Chris&quot;,&quot;parse-names&quot;:false,&quot;dropping-particle&quot;:&quot;&quot;,&quot;non-dropping-particle&quot;:&quot;&quot;}],&quot;container-title&quot;:&quot;Bulletin of the Seismological Society of America&quot;,&quot;DOI&quot;:&quot;10.1785/0120220142&quot;,&quot;ISSN&quot;:&quot;19433573&quot;,&quot;issued&quot;:{&quot;date-parts&quot;:[[2023,6,1]]},&quot;page&quot;:&quot;1013-1024&quot;,&quot;abstract&quot;:&quot;The northern Chile region of the Nazca subduction zone ruptured in an Mw ∼8:5–9:0 earthquake in 1877, which induced a tsunami. The various magnitude estimates of this event are based on the evaluation of historical records, seismic intensities, and/or tide gauge infor-mation; however, its actual along-strike extent is debated. Based on geodetic data, the previous studies have suggested that this region has the potential for an Mw 8.2–8.8 event. We re-evaluate the seismic potential of the region, accounting for the buildup rate of moment deficit along the megathrust, the earthquake magnitude–frequency distribution, and the physics of earthquakes. We combine an improved probabilistic estimate of moment deficit rate with results from dynamic models of the earthquake cycle, testing, in particular, the influence of a potential aseismic barrier near the city of Iquique, which may influence the extent and magnitude of large events in this region. We find that Mw 8.8 is the most probable maximum magnitude earthquake in the region, and that the potential barrier likely has a limited impact considering uncertainties. We discuss the effect of the moment deficit rate on the fault, the b-value, and the importance of postseismic processes on our results.&quot;,&quot;publisher&quot;:&quot;Seismological Society of America&quot;,&quot;issue&quot;:&quot;3&quot;,&quot;volume&quot;:&quot;113&quot;,&quot;container-title-short&quot;:&quot;&quot;},&quot;isTemporary&quot;:false}]},{&quot;citationID&quot;:&quot;MENDELEY_CITATION_8b392b3e-79e7-49fb-91b5-a10152ea313e&quot;,&quot;properties&quot;:{&quot;noteIndex&quot;:0},&quot;isEdited&quot;:false,&quot;manualOverride&quot;:{&quot;isManuallyOverridden&quot;:true,&quot;citeprocText&quot;:&quot;(Gutenberg and Richter 1944)&quot;,&quot;manualOverrideText&quot;:&quot;Gutenberg and Richter (1944)&quot;},&quot;citationTag&quot;:&quot;MENDELEY_CITATION_v3_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&quot;,&quot;citationItems&quot;:[{&quot;id&quot;:&quot;3cdfd7aa-35ae-332e-87f1-98e9472ded13&quot;,&quot;itemData&quot;:{&quot;type&quot;:&quot;article-journal&quot;,&quot;id&quot;:&quot;3cdfd7aa-35ae-332e-87f1-98e9472ded13&quot;,&quot;title&quot;:&quot;Frequency of earthquakes in California&quot;,&quot;author&quot;:[{&quot;family&quot;:&quot;Gutenberg&quot;,&quot;given&quot;:&quot;B&quot;,&quot;parse-names&quot;:false,&quot;dropping-particle&quot;:&quot;&quot;,&quot;non-dropping-particle&quot;:&quot;&quot;},{&quot;family&quot;:&quot;Richter&quot;,&quot;given&quot;:&quot;C F&quot;,&quot;parse-names&quot;:false,&quot;dropping-particle&quot;:&quot;&quot;,&quot;non-dropping-particle&quot;:&quot;&quot;}],&quot;container-title&quot;:&quot;Bulletin of the Seismological Society of America&quot;,&quot;URL&quot;:&quot;https://pubs.geoscienceworld.org/ssa/bssa/article-pdf/34/4/185/2690674/BSSA0340040185.pdf&quot;,&quot;issued&quot;:{&quot;date-parts&quot;:[[1944]]},&quot;page&quot;:&quot;73-131&quot;,&quot;volume&quot;:&quot;47&quot;,&quot;container-title-short&quot;:&quot;&quot;},&quot;isTemporary&quot;:false}]},{&quot;citationID&quot;:&quot;MENDELEY_CITATION_b6ab4a76-6d92-432c-94d9-f5197294d081&quot;,&quot;properties&quot;:{&quot;noteIndex&quot;:0},&quot;isEdited&quot;:false,&quot;manualOverride&quot;:{&quot;isManuallyOverridden&quot;:false,&quot;citeprocText&quot;:&quot;(Molnar 1979; Anderson and Luco 1983; Youngs and Coppersmith 1985; Kagan and Jackson 2016)&quot;,&quot;manualOverrideText&quot;:&quot;&quot;},&quot;citationTag&quot;:&quot;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&quot;,&quot;citationItems&quot;:[{&quot;id&quot;:&quot;c7aa2d39-1cd8-3f42-b99c-fcb6dbe2999d&quot;,&quot;itemData&quot;:{&quot;type&quot;:&quot;article-journal&quot;,&quot;id&quot;:&quot;c7aa2d39-1cd8-3f42-b99c-fcb6dbe2999d&quot;,&quot;title&quot;:&quot;Consequences of slip rate constraints on earthquake occurrence relations&quot;,&quot;author&quot;:[{&quot;family&quot;:&quot;Anderson&quot;,&quot;given&quot;:&quot;John G&quot;,&quot;parse-names&quot;:false,&quot;dropping-particle&quot;:&quot;&quot;,&quot;non-dropping-particle&quot;:&quot;&quot;},{&quot;family&quot;:&quot;Luco&quot;,&quot;given&quot;:&quot;J Enrique&quot;,&quot;parse-names&quot;:false,&quot;dropping-particle&quot;:&quot;&quot;,&quot;non-dropping-particle&quot;:&quot;&quot;}],&quot;container-title&quot;:&quot;Bulletin of the Seismological Society of America&quot;,&quot;URL&quot;:&quot;http://pubs.geoscienceworld.org/ssa/bssa/article-pdf/73/2/471/5331484/bssa0730020471.pdf&quot;,&quot;issued&quot;:{&quot;date-parts&quot;:[[1983]]},&quot;page&quot;:&quot;471-496&quot;,&quot;abstract&quot;:&quot;Three functional forms for earthquake occurrence relations are compared, and slip rate constraints on each are derived. Constrained occurrence relations referred to total fault area, to rupture area of the maximum magnitude earthquake , and to a particular site along the fault and are presented and discussed. The slip rate constraints provide a means to estimate Mmax from occurrence rates of small magnitude earthquakes, ~r a means to estimate the threshold of observations in a qualitative earthquake catalog, a~ well as a means to estimate occurrence rates when Mmax is obtained from other considerations. This paper shows examples of these three types of applications. The relations considered are\&quot; NI(M) is such that the cumulative occurrence rate of earthquakes with magnitude greater than M is an exponential function truncated at Mm~x; N2(M) is such that the corresponding incremental occurrence rate is a truncated exponential function; and N3(M) is such that the corresponding incremental occurrence rate is an exponential function plus a constant which causes the rate to go to zero at Mm~x. A speculative model for the magnitudes of the earthquakes at Pallett Creek observed by Sieh (1978a) suggests that N2(M) is more appropriate than NI(M) or N3(M) for these earthquakes.&quot;,&quot;issue&quot;:&quot;2&quot;,&quot;volume&quot;:&quot;73&quot;,&quot;container-title-short&quot;:&quot;&quot;},&quot;isTemporary&quot;:false},{&quot;id&quot;:&quot;4e3f1c72-9074-39e2-ab79-177f4dcb47d4&quot;,&quot;itemData&quot;:{&quot;type&quot;:&quot;article-journal&quot;,&quot;id&quot;:&quot;4e3f1c72-9074-39e2-ab79-177f4dcb47d4&quot;,&quot;title&quot;:&quot;Implications of fault slip rates and earthquake recurrence models to probabilistic seismic hazard estimates&quot;,&quot;author&quot;:[{&quot;family&quot;:&quot;Youngs&quot;,&quot;given&quot;:&quot;Robert R&quot;,&quot;parse-names&quot;:false,&quot;dropping-particle&quot;:&quot;&quot;,&quot;non-dropping-particle&quot;:&quot;&quot;},{&quot;family&quot;:&quot;Coppersmith&quot;,&quot;given&quot;:&quot;Kevin J&quot;,&quot;parse-names&quot;:false,&quot;dropping-particle&quot;:&quot;&quot;,&quot;non-dropping-particle&quot;:&quot;&quot;}],&quot;container-title&quot;:&quot;Bulletin of the Seismological Society of America&quot;,&quot;DOI&quot;:&quot;10.1785/BSSA0750040939&quot;,&quot;ISBN&quot;:&quot;0750040939&quot;,&quot;URL&quot;:&quot;http://pubs.geoscienceworld.org/ssa/bssa/article-pdf/75/4/939/5332825/bssa0750040939.pdf&quot;,&quot;issued&quot;:{&quot;date-parts&quot;:[[1985]]},&quot;page&quot;:&quot;939-964&quot;,&quot;abstract&quot;:&quot;Increasingly, fault slip rates are being used to constrain earthquake recurrence relationships for site-specific probabilistic seismic hazard (ground motion) assessments. This paper shows the sensitivity of seismic hazard assessments to variations in recurrence models and parameters that incorporate fault slip rates. Two models are considered to describe the partitioning of the slip rate or seismic moment rate into various magnitude earthquakes: an exponential magnitude distribution and a characteristic earthquake distribution. Assuming an expon~,.ltial distribution, the activity rate, N(m°), is constrained by the upper bound magnitude, m u, the b-value for the region and the fault slip rate, S. For a given S, variations in m u and b-value have significant effects on recurrence and computed hazard, depending on whether the assumption is made that the seismicity rate is constant or the moment rate is constant. There is increasing evidence that the characteristic earthquake model is more appropriate for individual faults than the exponential magnitude distribution. Based on seismicity data from areas having repeated large earthquakes, a generalized recurrence density function is developed, and the resulting recurrence relationship requires only m u, b-value, and S, A comparison of the recurrence relationships from this model with the historical seismicity and paleoseism-icity data on the Wasatch and San Andreas faults shows a good match. The computed hazard based on the characteristic earthquake model differs from that obtained for the exponential model as a function of the fault-to-site distance and the acceleration level. One check on the recurrence models using slip rate is to compare over large regions activity rates based on seismicity data and slip rate data. Such a comparison in the western Transverse Ranges shows a reasonable match for both the exponential and characteristic earthquake models in the moderate-to-large magnitude range.&quot;,&quot;issue&quot;:&quot;4&quot;,&quot;volume&quot;:&quot;75&quot;,&quot;container-title-short&quot;:&quot;&quot;},&quot;isTemporary&quot;:false},{&quot;id&quot;:&quot;86c59500-1bd4-32e4-a5cc-ff9f75760e6e&quot;,&quot;itemData&quot;:{&quot;type&quot;:&quot;article-journal&quot;,&quot;id&quot;:&quot;86c59500-1bd4-32e4-a5cc-ff9f75760e6e&quot;,&quot;title&quot;:&quot;Earthquake recurrence intervals and plate tectonics&quot;,&quot;author&quot;:[{&quot;family&quot;:&quot;Molnar&quot;,&quot;given&quot;:&quot;Peter&quot;,&quot;parse-names&quot;:false,&quot;dropping-particle&quot;:&quot;&quot;,&quot;non-dropping-particle&quot;:&quot;&quot;}],&quot;container-title&quot;:&quot;Bulletin of the Seismological Society of America&quot;,&quot;DOI&quot;:&quot;10.1785/BSSA0690010115&quot;,&quot;issued&quot;:{&quot;date-parts&quot;:[[1979]]},&quot;page&quot;:&quot;115-133&quot;,&quot;abstract&quot;:&quot;The frequency of occurrence of earthquakes with different seismic moments is expressed in terms of the rate of slip on a fault and to the largest seismic moment likely to occur in the region. Beginning from the Gutenberg-Richter empirical expression relating the relative recurrence of events with different magnitudes and using another empirical relation between magnitude and seismic moment, the relative number of events with seismic moment greater than or equal to Mo is given by N(Mo) = aM 0-/3. p can be determined from parameters in these empirical expressions. From average rates of slip on faults, this expression can be used to give the recurrence rates for events of different seismic moment: a= (1-P)Mo-:i, /Momax•-P where Momax is the maximum possible seismic moment in a region, and Mo-:i:-is the average rate of occurrence of the seismic moment. On a fault of area A, with shear modulus µ, and long-term average rate of slip v, Mo-:i:-= µAv. A similar expression can be given for a for regions where deformation is distributed over a broad area without a major throughgoing fault. Using rates of convergence at island arcs determined from plate motions for the last 5 m.y., the calculated frequency of occurrence of earthquakes with large seismic moments agrees well with the historic record. At present, uncertainties in the requisite parameters and in assumptions on which the recurrence relation is based, however, make such an approach only marginally better than reliance on the historic record alone. With more data constraining p, the largest possible seismic moments, the role of fault creep, and long-term rates of slip or deformation , however, this approach to seismic risk should be a more reliable predictor of recurrence rates than the existing historic record. As an example, the formulas are applied to the southeastern Caribbean.&quot;,&quot;issue&quot;:&quot;1&quot;,&quot;volume&quot;:&quot;69&quot;,&quot;container-title-short&quot;:&quot;&quot;},&quot;isTemporary&quot;:false},{&quot;id&quot;:&quot;432e39e1-a702-37cc-836b-d100e0f2dada&quot;,&quot;itemData&quot;:{&quot;type&quot;:&quot;article-journal&quot;,&quot;id&quot;:&quot;432e39e1-a702-37cc-836b-d100e0f2dada&quot;,&quot;title&quot;:&quot;Earthquake rate and magnitude distributions of great earthquakes for use in global forecasts&quot;,&quot;author&quot;:[{&quot;family&quot;:&quot;Kagan&quot;,&quot;given&quot;:&quot;Yan Y.&quot;,&quot;parse-names&quot;:false,&quot;dropping-particle&quot;:&quot;&quot;,&quot;non-dropping-particle&quot;:&quot;&quot;},{&quot;family&quot;:&quot;Jackson&quot;,&quot;given&quot;:&quot;David D.&quot;,&quot;parse-names&quot;:false,&quot;dropping-particle&quot;:&quot;&quot;,&quot;non-dropping-particle&quot;:&quot;&quot;}],&quot;container-title&quot;:&quot;Geophysical Journal International&quot;,&quot;container-title-short&quot;:&quot;Geophys. J. Int.&quot;,&quot;DOI&quot;:&quot;10.1093/gji/ggw161&quot;,&quot;ISSN&quot;:&quot;1365246X&quot;,&quot;issued&quot;:{&quot;date-parts&quot;:[[2016,7,1]]},&quot;page&quot;:&quot;630-643&quot;,&quot;abstract&quot;:&quot;We have obtained new results in the statistical analysis of global earthquake catalogues with special attention to the largest earthquakes, and we examined the statistical behaviour of earthquake rate variations. These results can serve as an input for updating our recent earthquake forecast, known as the 'Global Earthquake Activity Rate 1' model (GEAR1), which is based on past earthquakes and geodetic strain rates. The GEAR1 forecast is expressed as the rate density of all earthquakes above magnitude 5.8 within 70 km of sea level everywhere on earth at 0.1 × 0.1 degree resolution, and it is currently being tested by the Collaboratory for Study of Earthquake Predictability. The seismic component of the present model is based on a smoothed version of the Global Centroid Moment Tensor (GCMT) catalogue from 1977 through 2013. The tectonic component is based on the Global Strain Rate Map, a 'General Earthquake Model' (GEM) product. The forecast was optimized to fit the GCMT data from 2005 through 2012, but it also fit well the earthquake locations from 1918 to 1976 reported in the International Seismological Centre-Global Earthquake Model (ISC-GEM) global catalogue of instrumental and pre-instrumental magnitude determinations. We have improved the recent forecast by optimizing the treatment of larger magnitudes and including a longer duration (1918-2011) ISC-GEM catalogue of large earthquakes to estimate smoothed seismicity. We revised our estimates of upper magnitude limits, described as corner magnitudes, based on the massive earthquakes since 2004 and the seismic moment conservation principle. The new corner magnitude estimates are somewhat larger than but consistent with our previous estimates. For major subduction zones we find the best estimates of corner magnitude to be in the range 8.9 to 9.6 and consistent with a uniform average of 9.35. Statistical estimates tend to grow with time as larger earthquakes occur. However, by using the moment conservation principle that equates the seismic moment rate with the tectonic moment rate inferred from geodesy and geology, we obtain a consistent estimate of the corner moment largely independent of seismic history. These evaluations confirm the above-mentioned corner magnitude value. The new estimates of corner magnitudes are important both for the forecast part based on seismicity as well as the part based on geodetic strain rates. We examine rate variations as expressed by annual earthquake numbers. Earthquakes larger than magnitude 6.5 obey the Poisson distribution. For smaller events the negative-binomial distribution fits much better because it allows for earthquake clustering.&quot;,&quot;publisher&quot;:&quot;Oxford University Press&quot;,&quot;issue&quot;:&quot;1&quot;,&quot;volume&quot;:&quot;206&quot;},&quot;isTemporary&quot;:false}]},{&quot;citationID&quot;:&quot;MENDELEY_CITATION_5e6c39c0-ff93-4b6b-95eb-2eb8bad415df&quot;,&quot;properties&quot;:{&quot;noteIndex&quot;:0},&quot;isEdited&quot;:false,&quot;manualOverride&quot;:{&quot;isManuallyOverridden&quot;:true,&quot;citeprocText&quot;:&quot;(Brune 1968)&quot;,&quot;manualOverrideText&quot;:&quot;Brune (1968)&quot;},&quot;citationTag&quot;:&quot;MENDELEY_CITATION_v3_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&quot;,&quot;citationItems&quot;:[{&quot;id&quot;:&quot;957808b7-88ac-367a-af20-9c6548575946&quot;,&quot;itemData&quot;:{&quot;type&quot;:&quot;article-journal&quot;,&quot;id&quot;:&quot;957808b7-88ac-367a-af20-9c6548575946&quot;,&quot;title&quot;:&quot;Seismic moment, seismicity, and rate of slip along major fault zones&quot;,&quot;author&quot;:[{&quot;family&quot;:&quot;Brune&quot;,&quot;given&quot;:&quot;James N.&quot;,&quot;parse-names&quot;:false,&quot;dropping-particle&quot;:&quot;&quot;,&quot;non-dropping-particle&quot;:&quot;&quot;}],&quot;container-title&quot;:&quot;Journal of Geophysical Research&quot;,&quot;DOI&quot;:&quot;10.1029/jb073i002p00777&quot;,&quot;issued&quot;:{&quot;date-parts&quot;:[[1968,1,15]]},&quot;page&quot;:&quot;777-784&quot;,&quot;abstract&quot;:&quot;A straightforward method for computing rates of slip from earthquakes in major fault zones is presented. The slip rate is calculated from the sum of moments for the earthquakes. Rates obtained are in approximate agreement with rates obtained from geodetic measurements or magnetic anomalies, provided that long time samples are considered and provided that adjustments are made in the vertical extent of the zone of earthquake generation. For some fault zones, particularly deep island arc shear zones, strain is perhaps being relieved by steady creep, whereas, in other fault zones, e.g., the San Andreas, strain is accumulating for a large earthquake. The zone of earthquake generation for oceanic transform faults may be as little as 5 km in vertical extent.&quot;,&quot;publisher&quot;:&quot;American Geophysical Union (AGU)&quot;,&quot;issue&quot;:&quot;2&quot;,&quot;volume&quot;:&quot;73&quot;,&quot;container-title-short&quot;:&quot;J. Geophys. Res.&quot;},&quot;isTemporary&quot;:false}]},{&quot;citationID&quot;:&quot;MENDELEY_CITATION_69ec3f72-913b-47e4-bf1c-465d9b35e861&quot;,&quot;properties&quot;:{&quot;noteIndex&quot;:0},&quot;isEdited&quot;:false,&quot;manualOverride&quot;:{&quot;isManuallyOverridden&quot;:false,&quot;citeprocText&quot;:&quot;(Arroyo-Solórzano et al. 2025)&quot;,&quot;manualOverrideText&quot;:&quot;&quot;},&quot;citationTag&quot;:&quot;MENDELEY_CITATION_v3_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&quot;,&quot;citationItems&quot;:[{&quot;id&quot;:&quot;9598bd7c-d5a1-33cc-8a49-48a418683a6d&quot;,&quot;itemData&quot;:{&quot;type&quot;:&quot;article-journal&quot;,&quot;id&quot;:&quot;9598bd7c-d5a1-33cc-8a49-48a418683a6d&quot;,&quot;title&quot;:&quot;Impact of geodetic information, subduction zone segmentation, and slow-slip events in probabilistic seismic hazard: A case study for Costa Rica&quot;,&quot;author&quot;:[{&quot;family&quot;:&quot;Arroyo-Solórzano&quot;,&quot;given&quot;:&quot;Mario&quot;,&quot;parse-names&quot;:false,&quot;dropping-particle&quot;:&quot;&quot;,&quot;non-dropping-particle&quot;:&quot;&quot;},{&quot;family&quot;:&quot;Jara&quot;,&quot;given&quot;:&quot;Jorge&quot;,&quot;parse-names&quot;:false,&quot;dropping-particle&quot;:&quot;&quot;,&quot;non-dropping-particle&quot;:&quot;&quot;},{&quot;family&quot;:&quot;Weatherill&quot;,&quot;given&quot;:&quot;Graeme&quot;,&quot;parse-names&quot;:false,&quot;dropping-particle&quot;:&quot;&quot;,&quot;non-dropping-particle&quot;:&quot;&quot;},{&quot;family&quot;:&quot;González&quot;,&quot;given&quot;:&quot;Álvaro&quot;,&quot;parse-names&quot;:false,&quot;dropping-particle&quot;:&quot;&quot;,&quot;non-dropping-particle&quot;:&quot;&quot;},{&quot;family&quot;:&quot;Hidalgo-Leiva&quot;,&quot;given&quot;:&quot;Diego A&quot;,&quot;parse-names&quot;:false,&quot;dropping-particle&quot;:&quot;&quot;,&quot;non-dropping-particle&quot;:&quot;&quot;},{&quot;family&quot;:&quot;Cotton&quot;,&quot;given&quot;:&quot;Fabrice&quot;,&quot;parse-names&quot;:false,&quot;dropping-particle&quot;:&quot;&quot;,&quot;non-dropping-particle&quot;:&quot;&quot;}],&quot;container-title&quot;:&quot;Geophysical Journal International&quot;,&quot;container-title-short&quot;:&quot;Geophys. J. Int.&quot;,&quot;DOI&quot;:&quot;10.1093/gji/ggaf204&quot;,&quot;ISSN&quot;:&quot;0956-540X&quot;,&quot;issued&quot;:{&quot;date-parts&quot;:[[2025,6,17]]},&quot;page&quot;:&quot;1-33&quot;,&quot;abstract&quot;:&quot;A Slow-Slip Event (SSE) is a slow release of tectonic stress along a fault zone, over periods ranging from hours to months. SSEs have been recorded in most of the geodetically well-instrumented subduction zones. Although these transient events observed by geodesy are typically excluded from probabilistic seismic hazard analysis (PSHA), they might play a crucial role in the seismic cycle by reducing the seismic slip rate (slip rate discounting the aseismic process). This effective reduction implies that incorporating SSEs into PSHA may improve the reliability of hazard assessments. Costa Rica, located at the southern end of the Middle American Trench, hosts large earthquakes as well as SSEs. Shallow and deep SSEs have long been detected at the Nicoya peninsula, in northern Costa Rica, and recently, also in the southern part of the country at the Osa peninsula. In this study, we first collect geodetic and SSE observations in Costa Rica. Then, we propose a method to incorporate them into PSHA, based on identifying regions where SSEs occur, inferring slip deficits and estimating seismic slip rates in each subduction segment. Next, we analyze the implications for PSHA and its epistemic uncertainty, using these seismic slip rates, the resulting seismic moment rate budgets, and determining earthquake rates and maximum magnitudes with different approaches. Finally, we compute a countrywide PSHA following the 2022 Costa Rica Seismic Hazard Model (CRSHM 2022) but modifying the seismic source characterization using geodetic information for the regions where SSEs occur. Compared to the CRSHM 2022, this approach leads to reductions of the resulting peak ground acceleration at return period of 475 years (PGA-475) of up to ∼15 per cent in the Nicoya peninsula, but also to an increase up to ∼40 per cent in the Central Pacific region and ∼30 per cent in the Osa peninsula. Moreover, we find that, under a geodetic-based approach and disregarding SSEs, the PGA-475 would increase by up to ∼10 per cent. Our novel approach underscores the relevance of incorporating geodetic observations and particularly SSEs into PSHA, especially in subduction margins near the coast.&quot;,&quot;publisher&quot;:&quot;Oxford University Press (OUP)&quot;,&quot;volume&quot;:&quot;242&quot;},&quot;isTemporary&quot;:false}]},{&quot;citationID&quot;:&quot;MENDELEY_CITATION_fccfa8a4-c438-481c-b7b5-5614d63b5040&quot;,&quot;properties&quot;:{&quot;noteIndex&quot;:0},&quot;isEdited&quot;:false,&quot;manualOverride&quot;:{&quot;isManuallyOverridden&quot;:true,&quot;citeprocText&quot;:&quot;(Chartier et al. 2019)&quot;,&quot;manualOverrideText&quot;:&quot;Chartier et al. (2019)&quot;},&quot;citationTag&quot;:&quot;MENDELEY_CITATION_v3_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&quot;,&quot;citationItems&quot;:[{&quot;id&quot;:&quot;ec2620eb-050a-3471-bb36-add3f9669dc4&quot;,&quot;itemData&quot;:{&quot;type&quot;:&quot;article-journal&quot;,&quot;id&quot;:&quot;ec2620eb-050a-3471-bb36-add3f9669dc4&quot;,&quot;title&quot;:&quot;Sherifs: Open-source code for computing earthquake rates in fault systems and constructing hazard models&quot;,&quot;author&quot;:[{&quot;family&quot;:&quot;Chartier&quot;,&quot;given&quot;:&quot;Thomas&quot;,&quot;parse-names&quot;:false,&quot;dropping-particle&quot;:&quot;&quot;,&quot;non-dropping-particle&quot;:&quot;&quot;},{&quot;family&quot;:&quot;Scotti&quot;,&quot;given&quot;:&quot;Oona&quot;,&quot;parse-names&quot;:false,&quot;dropping-particle&quot;:&quot;&quot;,&quot;non-dropping-particle&quot;:&quot;&quot;},{&quot;family&quot;:&quot;Lyon-Caen&quot;,&quot;given&quot;:&quot;Hélène&quot;,&quot;parse-names&quot;:false,&quot;dropping-particle&quot;:&quot;&quot;,&quot;non-dropping-particle&quot;:&quot;&quot;}],&quot;container-title&quot;:&quot;Seismological Research Letters&quot;,&quot;DOI&quot;:&quot;10.1785/0220180332&quot;,&quot;ISSN&quot;:&quot;19382057&quot;,&quot;issued&quot;:{&quot;date-parts&quot;:[[2019,7,1]]},&quot;page&quot;:&quot;1678-1688&quot;,&quot;abstract&quot;:&quot;Modeling the seismic potential of active faults and their associated epistemic uncertainties is a fundamental step of probabilistic seismic-hazard assessment (PSHA). Seismic hazard and earthquake rate in fault systems (SHERIFS) is an open-source python code that builds hazard models including earthquake ruptures involving several fault sections or fault-to-fault (FtF) ruptures. It contains user-friendly tools to calculate the annual rate of FtF ruptures in a fault system based on the slip-rate estimates and accounting for associated background seismicity. SHERIFS applies a forward incremental approach following three rules: (1) the FtF ruptures allowed in the fault system are defined as input by the user and explored randomly, (2) the magnitude–frequency distribution of the modeled seismicity in the fault system must follow an imposed shape, and (3) the slip-rate budget attributed to each fault section must be preserved in the calculation if the first two rules allow it. Indeed, in some cases, a fraction of the slip-rate budget must be considered as being spent in non-mainshock events such as creep or postseismic slip. Background seismicity rates are defined by the hazard modeler as the ratio of seismicity occurring on the modelled faults for different ranges of magnitude. Given a coherent set of input hypotheses, SHERIFS allows end users to build the seismic-hazard fault model thanks to an interactive user-friendly interface. It aims to help interactions between field data collectors and hazard modelers to explore and weight epistemic uncertainties affecting the input hypotheses. To do so, SHERIFS includes tools to compare modeled earthquake rates with the available local data (earthquake catalog and paleoseismological data). This comparison can be used to weigh different hypotheses explored in a logic tree and discard the hypotheses that are not in agreement with the data. SHERIFS’s outputs are in a format that can be used directly as inputs for PSHA in the OpenQuake engine (Pagani et al., 2014).&quot;,&quot;publisher&quot;:&quot;Seismological Society of America&quot;,&quot;issue&quot;:&quot;4&quot;,&quot;volume&quot;:&quot;90&quot;,&quot;container-title-short&quot;:&quot;&quot;},&quot;isTemporary&quot;:false}]},{&quot;citationID&quot;:&quot;MENDELEY_CITATION_292d6ab1-f946-4eef-969b-41f35e2d983f&quot;,&quot;properties&quot;:{&quot;noteIndex&quot;:0},&quot;isEdited&quot;:false,&quot;manualOverride&quot;:{&quot;isManuallyOverridden&quot;:true,&quot;citeprocText&quot;:&quot;(Alvarado et al. 2017)&quot;,&quot;manualOverrideText&quot;:&quot;Alvarado et al. (2017)&quot;},&quot;citationTag&quot;:&quot;MENDELEY_CITATION_v3_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&quot;,&quot;citationItems&quot;:[{&quot;id&quot;:&quot;a383ac92-8892-3732-a6b6-a2949a053f8d&quot;,&quot;itemData&quot;:{&quot;type&quot;:&quot;article-journal&quot;,&quot;id&quot;:&quot;a383ac92-8892-3732-a6b6-a2949a053f8d&quot;,&quot;title&quot;:&quot;The new Central American seismic hazard zonation: Mutual consensus based on up to day seismotectonic framework&quot;,&quot;author&quot;:[{&quot;family&quot;:&quot;Alvarado&quot;,&quot;given&quot;:&quot;Guillermo E.&quot;,&quot;parse-names&quot;:false,&quot;dropping-particle&quot;:&quot;&quot;,&quot;non-dropping-particle&quot;:&quot;&quot;},{&quot;family&quot;:&quot;Benito&quot;,&quot;given&quot;:&quot;Belén&quot;,&quot;parse-names&quot;:false,&quot;dropping-particle&quot;:&quot;&quot;,&quot;non-dropping-particle&quot;:&quot;&quot;},{&quot;family&quot;:&quot;Staller&quot;,&quot;given&quot;:&quot;Alejandra&quot;,&quot;parse-names&quot;:false,&quot;dropping-particle&quot;:&quot;&quot;,&quot;non-dropping-particle&quot;:&quot;&quot;},{&quot;family&quot;:&quot;Climent&quot;,&quot;given&quot;:&quot;Álvaro&quot;,&quot;parse-names&quot;:false,&quot;dropping-particle&quot;:&quot;&quot;,&quot;non-dropping-particle&quot;:&quot;&quot;},{&quot;family&quot;:&quot;Camacho&quot;,&quot;given&quot;:&quot;Eduardo&quot;,&quot;parse-names&quot;:false,&quot;dropping-particle&quot;:&quot;&quot;,&quot;non-dropping-particle&quot;:&quot;&quot;},{&quot;family&quot;:&quot;Rojas&quot;,&quot;given&quot;:&quot;Wilfredo&quot;,&quot;parse-names&quot;:false,&quot;dropping-particle&quot;:&quot;&quot;,&quot;non-dropping-particle&quot;:&quot;&quot;},{&quot;family&quot;:&quot;Marroquín&quot;,&quot;given&quot;:&quot;Griselda&quot;,&quot;parse-names&quot;:false,&quot;dropping-particle&quot;:&quot;&quot;,&quot;non-dropping-particle&quot;:&quot;&quot;},{&quot;family&quot;:&quot;Molina&quot;,&quot;given&quot;:&quot;Enrique&quot;,&quot;parse-names&quot;:false,&quot;dropping-particle&quot;:&quot;&quot;,&quot;non-dropping-particle&quot;:&quot;&quot;},{&quot;family&quot;:&quot;Talavera&quot;,&quot;given&quot;:&quot;J. Emilio&quot;,&quot;parse-names&quot;:false,&quot;dropping-particle&quot;:&quot;&quot;,&quot;non-dropping-particle&quot;:&quot;&quot;},{&quot;family&quot;:&quot;Martínez-Cuevas&quot;,&quot;given&quot;:&quot;Sandra&quot;,&quot;parse-names&quot;:false,&quot;dropping-particle&quot;:&quot;&quot;,&quot;non-dropping-particle&quot;:&quot;&quot;},{&quot;family&quot;:&quot;Lindholm&quot;,&quot;given&quot;:&quot;Conrad&quot;,&quot;parse-names&quot;:false,&quot;dropping-particle&quot;:&quot;&quot;,&quot;non-dropping-particle&quot;:&quot;&quot;}],&quot;container-title&quot;:&quot;Tectonophysics&quot;,&quot;DOI&quot;:&quot;10.1016/j.tecto.2017.10.013&quot;,&quot;ISSN&quot;:&quot;00401951&quot;,&quot;issued&quot;:{&quot;date-parts&quot;:[[2017,11,28]]},&quot;page&quot;:&quot;462-476&quot;,&quot;abstract&quot;:&quot;Central America is one of the most active seismic zones in the World, due to the interaction of five tectonic plates (North America, Caribbean, Coco, Nazca and South America), and its internal deformation, which generates almost one destructive earthquakes (5.4 ≤ Mw ≤ 8.1) every year. A new seismological zonation for Central America is proposed based on seismotectonic framework, a geological context (tectonic and geological maps), geophysical and geodetic evidence (gravimetric maps, magnetometric, GPS observations), and previous works. As a main source of data a depurated earthquake catalog was collected covering the period from 1522 to 2015. This catalog was homogenized to a moment magnitude scale (Mw). After a careful analysis of all the integrated geological and seismological information, the seismogenic zones were established into seismic areas defined by similar patterns of faulting, seismicity, and rupture mechanism. The tectonic environment has required considering seismic zones in two particular seismological regimes: a) crustal faulting (including local faults, major fracture zones of plate boundary limits, and thrust fault of deformed belts) and b) subduction, taking into account the change in the subduction angle along the trench, and the type and location of the rupture. The seismicity in the subduction zone is divided into interplate and intraplate inslab seismicity. The regional seismic zonation proposed for the whole of Central America, include local seismic zonations, avoiding discontinuities at the national boundaries, because of a consensus between the 7 countries, based on the cooperative work of specialists on Central American seismotectonics and related topics.&quot;,&quot;publisher&quot;:&quot;Elsevier B.V.&quot;,&quot;volume&quot;:&quot;721&quot;,&quot;container-title-short&quot;:&quot;Tectonophysics&quot;},&quot;isTemporary&quot;:false}]},{&quot;citationID&quot;:&quot;MENDELEY_CITATION_bf3b6f49-dd53-4023-8df0-5d9c1a92e91e&quot;,&quot;properties&quot;:{&quot;noteIndex&quot;:0},&quot;isEdited&quot;:false,&quot;manualOverride&quot;:{&quot;isManuallyOverridden&quot;:true,&quot;citeprocText&quot;:&quot;(Garnier et al. 2022)&quot;,&quot;manualOverrideText&quot;:&quot;Garnier et al. (2022)&quot;},&quot;citationTag&quot;:&quot;MENDELEY_CITATION_v3_eyJjaXRhdGlvbklEIjoiTUVOREVMRVlfQ0lUQVRJT05fYmYzYjZmNDktZGQ1My00MDIzLThkZjAtNWQ5YzFhOTJlOTFlIiwicHJvcGVydGllcyI6eyJub3RlSW5kZXgiOjB9LCJpc0VkaXRlZCI6ZmFsc2UsIm1hbnVhbE92ZXJyaWRlIjp7ImlzTWFudWFsbHlPdmVycmlkZGVuIjp0cnVlLCJjaXRlcHJvY1RleHQiOiIoR2FybmllciBldCBhbC4gMjAyMikiLCJtYW51YWxPdmVycmlkZVRleHQiOiJHYXJuaWVyIGV0IGFsLiAoMjAyMik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V19&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3d935870-98ff-4bb9-b1f0-eab0761932aa&quot;,&quot;properties&quot;:{&quot;noteIndex&quot;:0},&quot;isEdited&quot;:false,&quot;manualOverride&quot;:{&quot;isManuallyOverridden&quot;:true,&quot;citeprocText&quot;:&quot;(Rodríguez-Lomelí and García-Mayordomo 2019)&quot;,&quot;manualOverrideText&quot;:&quot;Rodríguez-Lomelí and García-Mayordomo (2019)&quot;},&quot;citationTag&quot;:&quot;MENDELEY_CITATION_v3_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&quot;,&quot;citationItems&quot;:[{&quot;id&quot;:&quot;9ad0351f-1faa-3b57-a271-42078d44536b&quot;,&quot;itemData&quot;:{&quot;type&quot;:&quot;article-journal&quot;,&quot;id&quot;:&quot;9ad0351f-1faa-3b57-a271-42078d44536b&quot;,&quot;title&quot;:&quot;Seismic hazard at a triple plate junction: the state of Chiapas (México)&quot;,&quot;author&quot;:[{&quot;family&quot;:&quot;Rodríguez-Lomelí&quot;,&quot;given&quot;:&quot;A. G.&quot;,&quot;parse-names&quot;:false,&quot;dropping-particle&quot;:&quot;&quot;,&quot;non-dropping-particle&quot;:&quot;&quot;},{&quot;family&quot;:&quot;García-Mayordomo&quot;,&quot;given&quot;:&quot;J.&quot;,&quot;parse-names&quot;:false,&quot;dropping-particle&quot;:&quot;&quot;,&quot;non-dropping-particle&quot;:&quot;&quot;}],&quot;container-title&quot;:&quot;Natural Hazards&quot;,&quot;DOI&quot;:&quot;10.1007/s11069-019-03710-4&quot;,&quot;ISSN&quot;:&quot;15730840&quot;,&quot;issued&quot;:{&quot;date-parts&quot;:[[2019,7,15]]},&quot;page&quot;:&quot;1297-1325&quot;,&quot;abstract&quot;:&quot;The state of Chiapas (SE México) conforms a territory of complex tectonics and high seismic activity. The interaction among the Cocos, North American and Caribbean tectonic plates, as well as the active crustal deformation inside Chiapas, determines a variety of seismogenic sources of distinct characteristics and particular strong ground motion attenuation. This situation makes the assessment of seismic hazard in the region a challenging task. In this work, we follow the methodology of probabilistic seismic hazard analysis, starting from the compilation of an earthquake catalogue, and the definition of seismogenic source-zones based on the particular seismotectonics of the region: plate-subduction-related sources (interface and intraslab zones), active crustal deformation zones and the shear zone between the North American and Caribbean plates formed by the Motagua, Polochic and Ixcán faults. The latter source is modelled in two different configurations: one single source-zone and three distinct ones. We select three ground motion prediction equations (GMPEs) recommended for South and Central America, plus two Mexican ones. We combine the GMPEs with the source-zone models in a logic tree scheme and produce hazard maps in terms of peak ground acceleration and spectral acceleration for the 500-, 1000- and 2500-year return periods, as well as uniform hazard spectra for the towns of Tuxtla Gutiérrez, Tapachula and San Cristóbal. We obtain higher values in comparison with previous seismic hazard studies and particularly much higher than the output of the Prodisis v.2.3 software for seismic design in México. Our results are consistent with those of neighbouring Guatemala obtained in a recent study for Central America.&quot;,&quot;publisher&quot;:&quot;Springer Netherlands&quot;,&quot;issue&quot;:&quot;3&quot;,&quot;volume&quot;:&quot;97&quot;,&quot;container-title-short&quot;:&quot;&quot;},&quot;isTemporary&quot;:false}]},{&quot;citationID&quot;:&quot;MENDELEY_CITATION_9748a220-ed65-4e1f-9d01-93906e6fbb5e&quot;,&quot;properties&quot;:{&quot;noteIndex&quot;:0},&quot;isEdited&quot;:false,&quot;manualOverride&quot;:{&quot;isManuallyOverridden&quot;:false,&quot;citeprocText&quot;:&quot;(Molnar 1979; Anderson and Luco 1983; Youngs and Coppersmith 1985)&quot;,&quot;manualOverrideText&quot;:&quot;&quot;},&quot;citationTag&quot;:&quot;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&quot;,&quot;citationItems&quot;:[{&quot;id&quot;:&quot;c7aa2d39-1cd8-3f42-b99c-fcb6dbe2999d&quot;,&quot;itemData&quot;:{&quot;type&quot;:&quot;article-journal&quot;,&quot;id&quot;:&quot;c7aa2d39-1cd8-3f42-b99c-fcb6dbe2999d&quot;,&quot;title&quot;:&quot;Consequences of slip rate constraints on earthquake occurrence relations&quot;,&quot;author&quot;:[{&quot;family&quot;:&quot;Anderson&quot;,&quot;given&quot;:&quot;John G&quot;,&quot;parse-names&quot;:false,&quot;dropping-particle&quot;:&quot;&quot;,&quot;non-dropping-particle&quot;:&quot;&quot;},{&quot;family&quot;:&quot;Luco&quot;,&quot;given&quot;:&quot;J Enrique&quot;,&quot;parse-names&quot;:false,&quot;dropping-particle&quot;:&quot;&quot;,&quot;non-dropping-particle&quot;:&quot;&quot;}],&quot;container-title&quot;:&quot;Bulletin of the Seismological Society of America&quot;,&quot;URL&quot;:&quot;http://pubs.geoscienceworld.org/ssa/bssa/article-pdf/73/2/471/5331484/bssa0730020471.pdf&quot;,&quot;issued&quot;:{&quot;date-parts&quot;:[[1983]]},&quot;page&quot;:&quot;471-496&quot;,&quot;abstract&quot;:&quot;Three functional forms for earthquake occurrence relations are compared, and slip rate constraints on each are derived. Constrained occurrence relations referred to total fault area, to rupture area of the maximum magnitude earthquake , and to a particular site along the fault and are presented and discussed. The slip rate constraints provide a means to estimate Mmax from occurrence rates of small magnitude earthquakes, ~r a means to estimate the threshold of observations in a qualitative earthquake catalog, a~ well as a means to estimate occurrence rates when Mmax is obtained from other considerations. This paper shows examples of these three types of applications. The relations considered are\&quot; NI(M) is such that the cumulative occurrence rate of earthquakes with magnitude greater than M is an exponential function truncated at Mm~x; N2(M) is such that the corresponding incremental occurrence rate is a truncated exponential function; and N3(M) is such that the corresponding incremental occurrence rate is an exponential function plus a constant which causes the rate to go to zero at Mm~x. A speculative model for the magnitudes of the earthquakes at Pallett Creek observed by Sieh (1978a) suggests that N2(M) is more appropriate than NI(M) or N3(M) for these earthquakes.&quot;,&quot;issue&quot;:&quot;2&quot;,&quot;volume&quot;:&quot;73&quot;,&quot;container-title-short&quot;:&quot;&quot;},&quot;isTemporary&quot;:false},{&quot;id&quot;:&quot;4e3f1c72-9074-39e2-ab79-177f4dcb47d4&quot;,&quot;itemData&quot;:{&quot;type&quot;:&quot;article-journal&quot;,&quot;id&quot;:&quot;4e3f1c72-9074-39e2-ab79-177f4dcb47d4&quot;,&quot;title&quot;:&quot;Implications of fault slip rates and earthquake recurrence models to probabilistic seismic hazard estimates&quot;,&quot;author&quot;:[{&quot;family&quot;:&quot;Youngs&quot;,&quot;given&quot;:&quot;Robert R&quot;,&quot;parse-names&quot;:false,&quot;dropping-particle&quot;:&quot;&quot;,&quot;non-dropping-particle&quot;:&quot;&quot;},{&quot;family&quot;:&quot;Coppersmith&quot;,&quot;given&quot;:&quot;Kevin J&quot;,&quot;parse-names&quot;:false,&quot;dropping-particle&quot;:&quot;&quot;,&quot;non-dropping-particle&quot;:&quot;&quot;}],&quot;container-title&quot;:&quot;Bulletin of the Seismological Society of America&quot;,&quot;DOI&quot;:&quot;10.1785/BSSA0750040939&quot;,&quot;ISBN&quot;:&quot;0750040939&quot;,&quot;URL&quot;:&quot;http://pubs.geoscienceworld.org/ssa/bssa/article-pdf/75/4/939/5332825/bssa0750040939.pdf&quot;,&quot;issued&quot;:{&quot;date-parts&quot;:[[1985]]},&quot;page&quot;:&quot;939-964&quot;,&quot;abstract&quot;:&quot;Increasingly, fault slip rates are being used to constrain earthquake recurrence relationships for site-specific probabilistic seismic hazard (ground motion) assessments. This paper shows the sensitivity of seismic hazard assessments to variations in recurrence models and parameters that incorporate fault slip rates. Two models are considered to describe the partitioning of the slip rate or seismic moment rate into various magnitude earthquakes: an exponential magnitude distribution and a characteristic earthquake distribution. Assuming an expon~,.ltial distribution, the activity rate, N(m°), is constrained by the upper bound magnitude, m u, the b-value for the region and the fault slip rate, S. For a given S, variations in m u and b-value have significant effects on recurrence and computed hazard, depending on whether the assumption is made that the seismicity rate is constant or the moment rate is constant. There is increasing evidence that the characteristic earthquake model is more appropriate for individual faults than the exponential magnitude distribution. Based on seismicity data from areas having repeated large earthquakes, a generalized recurrence density function is developed, and the resulting recurrence relationship requires only m u, b-value, and S, A comparison of the recurrence relationships from this model with the historical seismicity and paleoseism-icity data on the Wasatch and San Andreas faults shows a good match. The computed hazard based on the characteristic earthquake model differs from that obtained for the exponential model as a function of the fault-to-site distance and the acceleration level. One check on the recurrence models using slip rate is to compare over large regions activity rates based on seismicity data and slip rate data. Such a comparison in the western Transverse Ranges shows a reasonable match for both the exponential and characteristic earthquake models in the moderate-to-large magnitude range.&quot;,&quot;issue&quot;:&quot;4&quot;,&quot;volume&quot;:&quot;75&quot;,&quot;container-title-short&quot;:&quot;&quot;},&quot;isTemporary&quot;:false},{&quot;id&quot;:&quot;86c59500-1bd4-32e4-a5cc-ff9f75760e6e&quot;,&quot;itemData&quot;:{&quot;type&quot;:&quot;article-journal&quot;,&quot;id&quot;:&quot;86c59500-1bd4-32e4-a5cc-ff9f75760e6e&quot;,&quot;title&quot;:&quot;Earthquake recurrence intervals and plate tectonics&quot;,&quot;author&quot;:[{&quot;family&quot;:&quot;Molnar&quot;,&quot;given&quot;:&quot;Peter&quot;,&quot;parse-names&quot;:false,&quot;dropping-particle&quot;:&quot;&quot;,&quot;non-dropping-particle&quot;:&quot;&quot;}],&quot;container-title&quot;:&quot;Bulletin of the Seismological Society of America&quot;,&quot;DOI&quot;:&quot;10.1785/BSSA0690010115&quot;,&quot;issued&quot;:{&quot;date-parts&quot;:[[1979]]},&quot;page&quot;:&quot;115-133&quot;,&quot;abstract&quot;:&quot;The frequency of occurrence of earthquakes with different seismic moments is expressed in terms of the rate of slip on a fault and to the largest seismic moment likely to occur in the region. Beginning from the Gutenberg-Richter empirical expression relating the relative recurrence of events with different magnitudes and using another empirical relation between magnitude and seismic moment, the relative number of events with seismic moment greater than or equal to Mo is given by N(Mo) = aM 0-/3. p can be determined from parameters in these empirical expressions. From average rates of slip on faults, this expression can be used to give the recurrence rates for events of different seismic moment: a= (1-P)Mo-:i, /Momax•-P where Momax is the maximum possible seismic moment in a region, and Mo-:i:-is the average rate of occurrence of the seismic moment. On a fault of area A, with shear modulus µ, and long-term average rate of slip v, Mo-:i:-= µAv. A similar expression can be given for a for regions where deformation is distributed over a broad area without a major throughgoing fault. Using rates of convergence at island arcs determined from plate motions for the last 5 m.y., the calculated frequency of occurrence of earthquakes with large seismic moments agrees well with the historic record. At present, uncertainties in the requisite parameters and in assumptions on which the recurrence relation is based, however, make such an approach only marginally better than reliance on the historic record alone. With more data constraining p, the largest possible seismic moments, the role of fault creep, and long-term rates of slip or deformation , however, this approach to seismic risk should be a more reliable predictor of recurrence rates than the existing historic record. As an example, the formulas are applied to the southeastern Caribbean.&quot;,&quot;issue&quot;:&quot;1&quot;,&quot;volume&quot;:&quot;69&quot;,&quot;container-title-short&quot;:&quot;&quot;},&quot;isTemporary&quot;:false}]},{&quot;citationID&quot;:&quot;MENDELEY_CITATION_6570fd10-0daf-446b-a422-1cd71dcea81b&quot;,&quot;properties&quot;:{&quot;noteIndex&quot;:0},&quot;isEdited&quot;:false,&quot;manualOverride&quot;:{&quot;isManuallyOverridden&quot;:true,&quot;citeprocText&quot;:&quot;(Molnar 1979)&quot;,&quot;manualOverrideText&quot;:&quot;Molnar (1979)&quot;},&quot;citationTag&quot;:&quot;MENDELEY_CITATION_v3_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&quot;,&quot;citationItems&quot;:[{&quot;id&quot;:&quot;86c59500-1bd4-32e4-a5cc-ff9f75760e6e&quot;,&quot;itemData&quot;:{&quot;type&quot;:&quot;article-journal&quot;,&quot;id&quot;:&quot;86c59500-1bd4-32e4-a5cc-ff9f75760e6e&quot;,&quot;title&quot;:&quot;Earthquake recurrence intervals and plate tectonics&quot;,&quot;author&quot;:[{&quot;family&quot;:&quot;Molnar&quot;,&quot;given&quot;:&quot;Peter&quot;,&quot;parse-names&quot;:false,&quot;dropping-particle&quot;:&quot;&quot;,&quot;non-dropping-particle&quot;:&quot;&quot;}],&quot;container-title&quot;:&quot;Bulletin of the Seismological Society of America&quot;,&quot;DOI&quot;:&quot;10.1785/BSSA0690010115&quot;,&quot;issued&quot;:{&quot;date-parts&quot;:[[1979]]},&quot;page&quot;:&quot;115-133&quot;,&quot;abstract&quot;:&quot;The frequency of occurrence of earthquakes with different seismic moments is expressed in terms of the rate of slip on a fault and to the largest seismic moment likely to occur in the region. Beginning from the Gutenberg-Richter empirical expression relating the relative recurrence of events with different magnitudes and using another empirical relation between magnitude and seismic moment, the relative number of events with seismic moment greater than or equal to Mo is given by N(Mo) = aM 0-/3. p can be determined from parameters in these empirical expressions. From average rates of slip on faults, this expression can be used to give the recurrence rates for events of different seismic moment: a= (1-P)Mo-:i, /Momax•-P where Momax is the maximum possible seismic moment in a region, and Mo-:i:-is the average rate of occurrence of the seismic moment. On a fault of area A, with shear modulus µ, and long-term average rate of slip v, Mo-:i:-= µAv. A similar expression can be given for a for regions where deformation is distributed over a broad area without a major throughgoing fault. Using rates of convergence at island arcs determined from plate motions for the last 5 m.y., the calculated frequency of occurrence of earthquakes with large seismic moments agrees well with the historic record. At present, uncertainties in the requisite parameters and in assumptions on which the recurrence relation is based, however, make such an approach only marginally better than reliance on the historic record alone. With more data constraining p, the largest possible seismic moments, the role of fault creep, and long-term rates of slip or deformation , however, this approach to seismic risk should be a more reliable predictor of recurrence rates than the existing historic record. As an example, the formulas are applied to the southeastern Caribbean.&quot;,&quot;issue&quot;:&quot;1&quot;,&quot;volume&quot;:&quot;69&quot;,&quot;container-title-short&quot;:&quot;&quot;},&quot;isTemporary&quot;:false}]},{&quot;citationID&quot;:&quot;MENDELEY_CITATION_fcc7e936-e39d-45e2-b577-0f9db6257ad0&quot;,&quot;properties&quot;:{&quot;noteIndex&quot;:0},&quot;isEdited&quot;:false,&quot;manualOverride&quot;:{&quot;isManuallyOverridden&quot;:false,&quot;citeprocText&quot;:&quot;(Avouac 2015)&quot;,&quot;manualOverrideText&quot;:&quot;&quot;},&quot;citationTag&quot;:&quot;MENDELEY_CITATION_v3_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&quot;,&quot;citationItems&quot;:[{&quot;id&quot;:&quot;82cff335-164e-3f07-bd8a-0910252e999f&quot;,&quot;itemData&quot;:{&quot;type&quot;:&quot;article-journal&quot;,&quot;id&quot;:&quot;82cff335-164e-3f07-bd8a-0910252e999f&quot;,&quot;title&quot;:&quot;From geodetic imaging of seismic and aseismic fault slip to dynamic modeling of the seismic cycle&quot;,&quot;author&quot;:[{&quot;family&quot;:&quot;Avouac&quot;,&quot;given&quot;:&quot;Jean Philippe&quot;,&quot;parse-names&quot;:false,&quot;dropping-particle&quot;:&quot;&quot;,&quot;non-dropping-particle&quot;:&quot;&quot;}],&quot;container-title&quot;:&quot;Annual Review of Earth and Planetary Sciences&quot;,&quot;DOI&quot;:&quot;10.1146/annurev-earth-060614-105302&quot;,&quot;ISSN&quot;:&quot;00846597&quot;,&quot;issued&quot;:{&quot;date-parts&quot;:[[2015,5,30]]},&quot;page&quot;:&quot;233-271&quot;,&quot;abstract&quot;:&quot;Understanding the partitioning of seismic and aseismic fault slip is central to seismotectonics as it ultimately determines the seismic potential of faults. Thanks to advances in tectonic geodesy, it is now possible to develop kinematic models of the spatiotemporal evolution of slip over the seismic cycle and to determine the budget of seismic and aseismic slip. Studies of subduction zones and continental faults have shown that aseismic creep is common and sometimes prevalent within the seismogenic depth range. Interseismic coupling is generally observed to be spatially heterogeneous, defining locked patches of stress accumulation, to be released in future earthquakes or aseismic transients, surrounded by creeping areas. Clay-rich tectonites, high temperature, and elevated pore-fluid pressure seem to be key factors promoting aseismic creep. The generally logarithmic time evolution of afterslip is a distinctive feature of creeping faults that suggests a logarithmic dependency of fault friction on slip rate, as observed in laboratory friction experiments. Most faults can be considered to be paved with interlaced patches where the friction law is either rate-strengthening, inhibiting seismic rupture propagation, or rate-weakening, allowing for earthquake nucleation. The rate-weakening patches act as asperities on which stress builds up in the interseismic period; they might rupture collectively in a variety of ways. The pattern of interseismic coupling can help constrain the return period of the maximum- magnitude earthquake based on the requirement that seismic and aseismic slip sum to match long-term slip. Dynamic models of the seismic cycle based on this conceptual model can be tuned to reproduce geodetic and seismological observations. The promise and pitfalls of using such models to assess seismic hazard are discussed.&quot;,&quot;publisher&quot;:&quot;Annual Reviews Inc.&quot;,&quot;volume&quot;:&quot;43&quot;,&quot;container-title-short&quot;:&quot;Annu. Rev. Earth Planet. Sci.&quot;},&quot;isTemporary&quot;:false}]},{&quot;citationID&quot;:&quot;MENDELEY_CITATION_d1e2bc0d-09f6-4800-93dc-0dd72619fca5&quot;,&quot;properties&quot;:{&quot;noteIndex&quot;:0},&quot;isEdited&quot;:false,&quot;manualOverride&quot;:{&quot;isManuallyOverridden&quot;:true,&quot;citeprocText&quot;:&quot;(Scholz and Campos 2012)&quot;,&quot;manualOverrideText&quot;:&quot;Scholz and Campos 2012)&quot;},&quot;citationTag&quot;:&quot;MENDELEY_CITATION_v3_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&quot;,&quot;citationItems&quot;:[{&quot;id&quot;:&quot;6d9475a6-2412-39e7-94c7-3ed5dfe1744b&quot;,&quot;itemData&quot;:{&quot;type&quot;:&quot;article-journal&quot;,&quot;id&quot;:&quot;6d9475a6-2412-39e7-94c7-3ed5dfe1744b&quot;,&quot;title&quot;:&quot;The seismic coupling of subduction zones revisited&quot;,&quot;author&quot;:[{&quot;family&quot;:&quot;Scholz&quot;,&quot;given&quot;:&quot;Christopher H.&quot;,&quot;parse-names&quot;:false,&quot;dropping-particle&quot;:&quot;&quot;,&quot;non-dropping-particle&quot;:&quot;&quot;},{&quot;family&quot;:&quot;Campos&quot;,&quot;given&quot;:&quot;Jaime&quot;,&quot;parse-names&quot;:false,&quot;dropping-particle&quot;:&quot;&quot;,&quot;non-dropping-particle&quot;:&quot;&quot;}],&quot;container-title&quot;:&quot;Journal of Geophysical Research: Solid Earth&quot;,&quot;DOI&quot;:&quot;10.1029/2011JB009003&quot;,&quot;ISSN&quot;:&quot;21699356&quot;,&quot;issued&quot;:{&quot;date-parts&quot;:[[2012,5,1]]},&quot;abstract&quot;:&quot;The nature of seismic coupling for many of the world's subduction zones has been reevaluated. Geodetic estimates of seismic coupling obtained from GPS measurements of upper plate deformation during the interseismic period are summarized. We compared those with new estimates of seismic coupling obtained from seismological data. The results show that with a few notable exceptions the two methods agree to within about 10%. The seismological estimates have been greatly improved over those made 20-30 years ago because of an abundance of paleoseismological data that greatly extend the temporal record of great subduction earthquakes and by the occurrence, in the intervening years, of an unusual number of great and giant earthquakes that have filled in some of the most critical holes in the seismic record. The data also, again with a few notable exceptions, support the frictional instability theory of seismic coupling, and in particular, the test of that theory made by Scholz and Campos (1995). Overall, the results support their prediction that high coupling occurs for subduction zones subjected to high normal forces with a switch to low coupling occurring fairly abruptly as the normal force decreases below a critical value. There is also considerable variation of coupling within individual subduction zones. Earthquake asperities correlate with areas of high coupling and hence have a semblance of permanence, but the rupture zones and asperity distributions of great earthquakes may differ greatly between seismic cycles because of differences in the phase of seismic flux accumulation. Copyright 2012 by the American Geophysical Union.&quot;,&quot;publisher&quot;:&quot;Blackwell Publishing Ltd&quot;,&quot;issue&quot;:&quot;5&quot;,&quot;volume&quot;:&quot;117&quot;,&quot;container-title-short&quot;:&quot;J. Geophys. Res. Solid Earth&quot;},&quot;isTemporary&quot;:false}]},{&quot;citationID&quot;:&quot;MENDELEY_CITATION_3ae9cfff-f5c0-4775-87da-26cad82192c5&quot;,&quot;properties&quot;:{&quot;noteIndex&quot;:0},&quot;isEdited&quot;:false,&quot;manualOverride&quot;:{&quot;isManuallyOverridden&quot;:false,&quot;citeprocText&quot;:&quot;(Allen and Hayes 2017; Thingbaijam et al. 2017)&quot;,&quot;manualOverrideText&quot;:&quot;&quot;},&quot;citationTag&quot;:&quot;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&quot;,&quot;citationItems&quot;:[{&quot;id&quot;:&quot;94963519-12da-3e2f-b3a3-14de8e551f12&quot;,&quot;itemData&quot;:{&quot;type&quot;:&quot;article-journal&quot;,&quot;id&quot;:&quot;94963519-12da-3e2f-b3a3-14de8e551f12&quot;,&quot;title&quot;:&quot;Alternative rupture-scaling relationships for subduction interface and other offshore environments&quot;,&quot;author&quot;:[{&quot;family&quot;:&quot;Allen&quot;,&quot;given&quot;:&quot;Trevor I.&quot;,&quot;parse-names&quot;:false,&quot;dropping-particle&quot;:&quot;&quot;,&quot;non-dropping-particle&quot;:&quot;&quot;},{&quot;family&quot;:&quot;Hayes&quot;,&quot;given&quot;:&quot;Gavin P.&quot;,&quot;parse-names&quot;:false,&quot;dropping-particle&quot;:&quot;&quot;,&quot;non-dropping-particle&quot;:&quot;&quot;}],&quot;container-title&quot;:&quot;Bulletin of the Seismological Society of America&quot;,&quot;DOI&quot;:&quot;10.1785/0120160255&quot;,&quot;ISSN&quot;:&quot;19433573&quot;,&quot;issued&quot;:{&quot;date-parts&quot;:[[2017]]},&quot;page&quot;:&quot;1240-1253&quot;,&quot;abstract&quot;:&quot;Alternative fault-rupture-scaling relationships are developed for Mw 7.1-9.5 subduction interface earthquakes using a new database of consistently derived finitefault rupture models from teleseismic inversion. Scaling relationships are derived for rupture area, rupture length, rupture width, maximum slip, and average slip. These relationships apply width saturation for large-magnitude interface earthquakes (approximately Mw &gt; 8:6) for which the physical characteristics of subduction zones limit the depth extent of seismogenic rupture, and consequently, the down-dip limit of strong ground motion generation. On average, the down-dip rupture width for interface earthquakes saturates near 200 km (196 km on average). Accordingly, the reinterpretation of rupture-area scaling for subduction interface earthquakes through the use of a bilinear scaling model suggests that rupture asperity area is less well correlated with magnitude for earthquakes Mw &gt; 8:6. Consequently, the size of great-magnitude earthquakes appears to be more strongly controlled by the average slip across asperities. The sensitivity of the interface scaling relationships is evaluated against geographic region (or subduction zone) and average dip along the rupture interface to assess the need for correction factors. Although regional perturbations in fault-rupture scaling could be identified, statistical significance analyses suggest there is little rationale for implementing regional correction factors based on the limited number of interface rupture models available for each region. Fault-rupture-scaling relationships are also developed for intraslab (within the subducting slab), extensional outer-rise and offshore strike-slip environments. For these environments, the rupture width and area scaling properties yield smaller dimensions than interface ruptures for the corresponding magnitude. However, average and maximum slip metrics yield larger values than interface events. These observations reflect both the narrower fault widths and higher stress drops in these faulting environments. Although expressing significantly different rupture-scaling properties from earthquakes in subduction environments, the characteristics of offshore strike-slip earthquake ruptures compare similarly to commonly used rupture-scaling relationships for onshore strike-slip earthquakes.&quot;,&quot;publisher&quot;:&quot;Seismological Society of America&quot;,&quot;issue&quot;:&quot;3&quot;,&quot;volume&quot;:&quot;107&quot;,&quot;container-title-short&quot;:&quot;&quot;},&quot;isTemporary&quot;:false},{&quot;id&quot;:&quot;8a48a15f-f792-3b3a-924e-2b9f2802729d&quot;,&quot;itemData&quot;:{&quot;type&quot;:&quot;article-journal&quot;,&quot;id&quot;:&quot;8a48a15f-f792-3b3a-924e-2b9f2802729d&quot;,&quot;title&quot;:&quot;New empirical earthquake source-scaling laws&quot;,&quot;author&quot;:[{&quot;family&quot;:&quot;Thingbaijam&quot;,&quot;given&quot;:&quot;Kiran Kumar S.&quot;,&quot;parse-names&quot;:false,&quot;dropping-particle&quot;:&quot;&quot;,&quot;non-dropping-particle&quot;:&quot;&quot;},{&quot;family&quot;:&quot;Mai&quot;,&quot;given&quot;:&quot;P. Martin&quot;,&quot;parse-names&quot;:false,&quot;dropping-particle&quot;:&quot;&quot;,&quot;non-dropping-particle&quot;:&quot;&quot;},{&quot;family&quot;:&quot;Goda&quot;,&quot;given&quot;:&quot;Katsuichiro&quot;,&quot;parse-names&quot;:false,&quot;dropping-particle&quot;:&quot;&quot;,&quot;non-dropping-particle&quot;:&quot;&quot;}],&quot;container-title&quot;:&quot;Bulletin of the Seismological Society of America&quot;,&quot;DOI&quot;:&quot;10.1785/0120170017&quot;,&quot;ISSN&quot;:&quot;19433573&quot;,&quot;issued&quot;:{&quot;date-parts&quot;:[[2017,10,1]]},&quot;page&quot;:&quot;2225-2246&quot;,&quot;abstract&quot;:&quot;We develop new empirical scaling laws for rupture width W, rupture length L, rupture area A, and average slip D, based on a large database of rupture models. The database incorporates recent earthquake source models in a wide magnitude range (Mw 5.4–9.2) and events of various faulting styles. We apply general orthogonal regression, instead of ordinary least-squares regression, to account for measurement errors of all variables and to obtain mutually self-consistent relationships. We observe that L grows more rapidly with Mw compared to W. The fault-aspect ratio (L/W) tends to increase with fault dip, which generally increases from reverse-faulting, to normal-faulting, to strike-slip events. At the same time, subduction-inter-face earthquakes have significantly higher W (hence a larger rupture area A) compared to other faulting regimes. For strike-slip events, the growth of W with Mw is strongly inhibited, whereas the scaling of L agrees with the L-model behavior (D correlated with L). However, at a regional scale for which seismogenic depth is essentially fixed, the scaling behavior corresponds to the W model (D not correlated with L). Self-similar scaling behavior with Mw − log10 A is observed to be consistent for all the cases, except for normal-faulting events. Interestingly, the ratio D/W (a proxy for average stress drop) tends to increase with Mw, except for shallow crustal reverse-faulting events, suggesting the possibility of scale-dependent stress drop. The observed variations in source-scaling properties for different faulting regimes can be interpreted in terms of geological and seismological factors. We find substantial differences between our new scaling relationships and those of previous studies. Therefore, our study provides critical updates on source-scaling relations needed in seismic–tsunami-hazard analysis and engineering applications.&quot;,&quot;publisher&quot;:&quot;Seismological Society of America&quot;,&quot;issue&quot;:&quot;5&quot;,&quot;volume&quot;:&quot;107&quot;,&quot;container-title-short&quot;:&quot;&quot;},&quot;isTemporary&quot;:false}]},{&quot;citationID&quot;:&quot;MENDELEY_CITATION_bb3ec005-32bf-4ef7-b0fe-1572d974efe6&quot;,&quot;properties&quot;:{&quot;noteIndex&quot;:0},&quot;isEdited&quot;:false,&quot;manualOverride&quot;:{&quot;isManuallyOverridden&quot;:true,&quot;citeprocText&quot;:&quot;(Garnier et al. 2022)&quot;,&quot;manualOverrideText&quot;:&quot;Garnier et al. (2022)&quot;},&quot;citationTag&quot;:&quot;MENDELEY_CITATION_v3_eyJjaXRhdGlvbklEIjoiTUVOREVMRVlfQ0lUQVRJT05fYmIzZWMwMDUtMzJiZi00ZWY3LWIwZmUtMTU3MmQ5NzRlZmU2IiwicHJvcGVydGllcyI6eyJub3RlSW5kZXgiOjB9LCJpc0VkaXRlZCI6ZmFsc2UsIm1hbnVhbE92ZXJyaWRlIjp7ImlzTWFudWFsbHlPdmVycmlkZGVuIjp0cnVlLCJjaXRlcHJvY1RleHQiOiIoR2FybmllciBldCBhbC4gMjAyMikiLCJtYW51YWxPdmVycmlkZVRleHQiOiJHYXJuaWVyIGV0IGFsLiAoMjAyMik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V19&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364a2c9d-62a9-4006-bb87-1896cbe9215c&quot;,&quot;properties&quot;:{&quot;noteIndex&quot;:0},&quot;isEdited&quot;:false,&quot;manualOverride&quot;:{&quot;isManuallyOverridden&quot;:true,&quot;citeprocText&quot;:&quot;(Maurer et al. 2025)&quot;,&quot;manualOverrideText&quot;:&quot;Maurer et al. (2025)&quot;},&quot;citationTag&quot;:&quot;MENDELEY_CITATION_v3_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&quot;,&quot;citationItems&quot;:[{&quot;id&quot;:&quot;f722b328-2ddf-335b-8fa4-bbb274a1c821&quot;,&quot;itemData&quot;:{&quot;type&quot;:&quot;article-journal&quot;,&quot;id&quot;:&quot;f722b328-2ddf-335b-8fa4-bbb274a1c821&quot;,&quot;title&quot;:&quot;Deformation and earthquake potential on the North America - Caribbean - Cocos triple junction in Guatemala&quot;,&quot;author&quot;:[{&quot;family&quot;:&quot;Maurer&quot;,&quot;given&quot;:&quot;Jeremy&quot;,&quot;parse-names&quot;:false,&quot;dropping-particle&quot;:&quot;&quot;,&quot;non-dropping-particle&quot;:&quot;&quot;},{&quot;family&quot;:&quot;Eckert&quot;,&quot;given&quot;:&quot;Andreas&quot;,&quot;parse-names&quot;:false,&quot;dropping-particle&quot;:&quot;&quot;,&quot;non-dropping-particle&quot;:&quot;&quot;},{&quot;family&quot;:&quot;Sun&quot;,&quot;given&quot;:&quot;Qiaoqi&quot;,&quot;parse-names&quot;:false,&quot;dropping-particle&quot;:&quot;&quot;,&quot;non-dropping-particle&quot;:&quot;&quot;},{&quot;family&quot;:&quot;Obrist-Farner&quot;,&quot;given&quot;:&quot;Jonathan&quot;,&quot;parse-names&quot;:false,&quot;dropping-particle&quot;:&quot;&quot;,&quot;non-dropping-particle&quot;:&quot;&quot;}],&quot;container-title&quot;:&quot;ESS Open Archive&quot;,&quot;DOI&quot;:&quot;10.22541/essoar.175336982.28467707/v1&quot;,&quot;URL&quot;:&quot;https://essopenarchive.org/users/525948/articles/1318429-deformation-and-earthquake-potential-on-the-north-america-caribbean-cocos-triple-junction-in-guatemala?commit=7f5f1e2d7106b330b63af4b714048799b3eff3fd&quot;,&quot;issued&quot;:{&quot;date-parts&quot;:[[2025,7,24]]},&quot;container-title-short&quot;:&quot;&quot;},&quot;isTemporary&quot;:false}]},{&quot;citationID&quot;:&quot;MENDELEY_CITATION_ea632065-5fd7-4822-b0db-762c258a2fbb&quot;,&quot;properties&quot;:{&quot;noteIndex&quot;:0},&quot;isEdited&quot;:false,&quot;manualOverride&quot;:{&quot;isManuallyOverridden&quot;:false,&quot;citeprocText&quot;:&quot;(Field et al. 2014; Chartier et al. 2019; El Kadri et al. 2025)&quot;,&quot;manualOverrideText&quot;:&quot;&quot;},&quot;citationTag&quot;:&quot;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&quot;,&quot;citationItems&quot;:[{&quot;id&quot;:&quot;35004190-5631-316e-af2e-0a744755c5e3&quot;,&quot;itemData&quot;:{&quot;type&quot;:&quot;article-journal&quot;,&quot;id&quot;:&quot;35004190-5631-316e-af2e-0a744755c5e3&quot;,&quot;title&quot;:&quot;Uniform California Earthquake Rupture Forecast, Version 3 (UCERF3)—The Time‐Independent Model&quot;,&quot;author&quot;:[{&quot;family&quot;:&quot;Field&quot;,&quot;given&quot;:&quot;Edward H&quot;,&quot;parse-names&quot;:false,&quot;dropping-particle&quot;:&quot;&quot;,&quot;non-dropping-particle&quot;:&quot;&quot;},{&quot;family&quot;:&quot;Arrowsmith&quot;,&quot;given&quot;:&quot;Ramon J&quot;,&quot;parse-names&quot;:false,&quot;dropping-particle&quot;:&quot;&quot;,&quot;non-dropping-particle&quot;:&quot;&quot;},{&quot;family&quot;:&quot;Biasi&quot;,&quot;given&quot;:&quot;Glenn P&quot;,&quot;parse-names&quot;:false,&quot;dropping-particle&quot;:&quot;&quot;,&quot;non-dropping-particle&quot;:&quot;&quot;},{&quot;family&quot;:&quot;Bird&quot;,&quot;given&quot;:&quot;Peter&quot;,&quot;parse-names&quot;:false,&quot;dropping-particle&quot;:&quot;&quot;,&quot;non-dropping-particle&quot;:&quot;&quot;},{&quot;family&quot;:&quot;Dawson&quot;,&quot;given&quot;:&quot;Timothy E&quot;,&quot;parse-names&quot;:false,&quot;dropping-particle&quot;:&quot;&quot;,&quot;non-dropping-particle&quot;:&quot;&quot;},{&quot;family&quot;:&quot;Felzer&quot;,&quot;given&quot;:&quot;Karen R&quot;,&quot;parse-names&quot;:false,&quot;dropping-particle&quot;:&quot;&quot;,&quot;non-dropping-particle&quot;:&quot;&quot;},{&quot;family&quot;:&quot;Jackson&quot;,&quot;given&quot;:&quot;David D&quot;,&quot;parse-names&quot;:false,&quot;dropping-particle&quot;:&quot;&quot;,&quot;non-dropping-particle&quot;:&quot;&quot;},{&quot;family&quot;:&quot;Johnson&quot;,&quot;given&quot;:&quot;Kaj M&quot;,&quot;parse-names&quot;:false,&quot;dropping-particle&quot;:&quot;&quot;,&quot;non-dropping-particle&quot;:&quot;&quot;},{&quot;family&quot;:&quot;Jordan&quot;,&quot;given&quot;:&quot;Thomas H&quot;,&quot;parse-names&quot;:false,&quot;dropping-particle&quot;:&quot;&quot;,&quot;non-dropping-particle&quot;:&quot;&quot;},{&quot;family&quot;:&quot;Madden&quot;,&quot;given&quot;:&quot;Christopher&quot;,&quot;parse-names&quot;:false,&quot;dropping-particle&quot;:&quot;&quot;,&quot;non-dropping-particle&quot;:&quot;&quot;},{&quot;family&quot;:&quot;Michael&quot;,&quot;given&quot;:&quot;Andrew J&quot;,&quot;parse-names&quot;:false,&quot;dropping-particle&quot;:&quot;&quot;,&quot;non-dropping-particle&quot;:&quot;&quot;},{&quot;family&quot;:&quot;Milner&quot;,&quot;given&quot;:&quot;Kevin R&quot;,&quot;parse-names&quot;:false,&quot;dropping-particle&quot;:&quot;&quot;,&quot;non-dropping-particle&quot;:&quot;&quot;},{&quot;family&quot;:&quot;Page&quot;,&quot;given&quot;:&quot;Morgan T&quot;,&quot;parse-names&quot;:false,&quot;dropping-particle&quot;:&quot;&quot;,&quot;non-dropping-particle&quot;:&quot;&quot;},{&quot;family&quot;:&quot;Parsons&quot;,&quot;given&quot;:&quot;Tom&quot;,&quot;parse-names&quot;:false,&quot;dropping-particle&quot;:&quot;&quot;,&quot;non-dropping-particle&quot;:&quot;&quot;},{&quot;family&quot;:&quot;Powers&quot;,&quot;given&quot;:&quot;Peter M&quot;,&quot;parse-names&quot;:false,&quot;dropping-particle&quot;:&quot;&quot;,&quot;non-dropping-particle&quot;:&quot;&quot;},{&quot;family&quot;:&quot;Shaw&quot;,&quot;given&quot;:&quot;Bruce E&quot;,&quot;parse-names&quot;:false,&quot;dropping-particle&quot;:&quot;&quot;,&quot;non-dropping-particle&quot;:&quot;&quot;},{&quot;family&quot;:&quot;Thatcher&quot;,&quot;given&quot;:&quot;Wayne R&quot;,&quot;parse-names&quot;:false,&quot;dropping-particle&quot;:&quot;&quot;,&quot;non-dropping-particle&quot;:&quot;&quot;},{&quot;family&quot;:&quot;Weldon II&quot;,&quot;given&quot;:&quot;Ray J&quot;,&quot;parse-names&quot;:false,&quot;dropping-particle&quot;:&quot;&quot;,&quot;non-dropping-particle&quot;:&quot;&quot;},{&quot;family&quot;:&quot;Zeng&quot;,&quot;given&quot;:&quot;Yuehua&quot;,&quot;parse-names&quot;:false,&quot;dropping-particle&quot;:&quot;&quot;,&quot;non-dropping-particle&quot;:&quot;&quot;}],&quot;container-title&quot;:&quot;Bulletin of the Seismological Society of America&quot;,&quot;DOI&quot;:&quot;10.1785/0120130164&quot;,&quot;ISSN&quot;:&quot;0037-1106&quot;,&quot;URL&quot;:&quot;https://doi.org/10.1785/0120130164&quot;,&quot;issued&quot;:{&quot;date-parts&quot;:[[2014,6,1]]},&quot;page&quot;:&quot;1122-1180&quot;,&quot;abstract&quot;:&quot;The 2014 Working Group on California Earthquake Probabilities (WGCEP14) present the time‐independent component of the Uniform California Earthquake Rupture Forecast, Version 3 (UCERF3), which provides authoritative estimates of the magnitude, location, and time‐averaged frequency of potentially damaging earthquakes in California. The primary achievements have been to relax fault segmentation and include multifault ruptures, both limitations of UCERF2. The rates of all earthquakes are solved for simultaneously and from a broader range of data, using a system‐level inversion that is both conceptually simple and extensible. The inverse problem is large and underdetermined, so a range of models is sampled using an efficient simulated annealing algorithm. The approach is more derivative than prescriptive (e.g., magnitude–frequency distributions are no longer assumed), so new analysis tools were developed for exploring solutions. Epistemic uncertainties were also accounted for using 1440 alternative logic‐tree branches, necessitating access to supercomputers. The most influential uncertainties include alternative deformation models (fault slip rates), a new smoothed seismicity algorithm, alternative values for the total rate of Mw≥5 events, and different scaling relationships, virtually all of which are new. As a notable first, three deformation models are based on kinematically consistent inversions of geodetic and geologic data, also providing slip‐rate constraints on faults previously excluded due to lack of geologic data. The grand inversion constitutes a system‐level framework for testing hypotheses and balancing the influence of different experts. For example, we demonstrate serious challenges with the Gutenberg–Richter hypothesis for individual faults. UCERF3 is still an approximation of the system, however, and the range of models is limited (e.g., constrained to stay close to UCERF2). Nevertheless, UCERF3 removes the apparent UCERF2 overprediction of M 6.5–7 earthquake rates and also includes types of multifault ruptures seen in nature. Although UCERF3 fits the data better than UCERF2 overall, there may be areas that warrant further site‐specific investigation. Supporting products may be of general interest, and we list key assumptions and avenues for future model improvements.&quot;,&quot;issue&quot;:&quot;3&quot;,&quot;volume&quot;:&quot;104&quot;,&quot;container-title-short&quot;:&quot;&quot;},&quot;isTemporary&quot;:false},{&quot;id&quot;:&quot;ec2620eb-050a-3471-bb36-add3f9669dc4&quot;,&quot;itemData&quot;:{&quot;type&quot;:&quot;article-journal&quot;,&quot;id&quot;:&quot;ec2620eb-050a-3471-bb36-add3f9669dc4&quot;,&quot;title&quot;:&quot;Sherifs: Open-source code for computing earthquake rates in fault systems and constructing hazard models&quot;,&quot;author&quot;:[{&quot;family&quot;:&quot;Chartier&quot;,&quot;given&quot;:&quot;Thomas&quot;,&quot;parse-names&quot;:false,&quot;dropping-particle&quot;:&quot;&quot;,&quot;non-dropping-particle&quot;:&quot;&quot;},{&quot;family&quot;:&quot;Scotti&quot;,&quot;given&quot;:&quot;Oona&quot;,&quot;parse-names&quot;:false,&quot;dropping-particle&quot;:&quot;&quot;,&quot;non-dropping-particle&quot;:&quot;&quot;},{&quot;family&quot;:&quot;Lyon-Caen&quot;,&quot;given&quot;:&quot;Hélène&quot;,&quot;parse-names&quot;:false,&quot;dropping-particle&quot;:&quot;&quot;,&quot;non-dropping-particle&quot;:&quot;&quot;}],&quot;container-title&quot;:&quot;Seismological Research Letters&quot;,&quot;DOI&quot;:&quot;10.1785/0220180332&quot;,&quot;ISSN&quot;:&quot;19382057&quot;,&quot;issued&quot;:{&quot;date-parts&quot;:[[2019,7,1]]},&quot;page&quot;:&quot;1678-1688&quot;,&quot;abstract&quot;:&quot;Modeling the seismic potential of active faults and their associated epistemic uncertainties is a fundamental step of probabilistic seismic-hazard assessment (PSHA). Seismic hazard and earthquake rate in fault systems (SHERIFS) is an open-source python code that builds hazard models including earthquake ruptures involving several fault sections or fault-to-fault (FtF) ruptures. It contains user-friendly tools to calculate the annual rate of FtF ruptures in a fault system based on the slip-rate estimates and accounting for associated background seismicity. SHERIFS applies a forward incremental approach following three rules: (1) the FtF ruptures allowed in the fault system are defined as input by the user and explored randomly, (2) the magnitude–frequency distribution of the modeled seismicity in the fault system must follow an imposed shape, and (3) the slip-rate budget attributed to each fault section must be preserved in the calculation if the first two rules allow it. Indeed, in some cases, a fraction of the slip-rate budget must be considered as being spent in non-mainshock events such as creep or postseismic slip. Background seismicity rates are defined by the hazard modeler as the ratio of seismicity occurring on the modelled faults for different ranges of magnitude. Given a coherent set of input hypotheses, SHERIFS allows end users to build the seismic-hazard fault model thanks to an interactive user-friendly interface. It aims to help interactions between field data collectors and hazard modelers to explore and weight epistemic uncertainties affecting the input hypotheses. To do so, SHERIFS includes tools to compare modeled earthquake rates with the available local data (earthquake catalog and paleoseismological data). This comparison can be used to weigh different hypotheses explored in a logic tree and discard the hypotheses that are not in agreement with the data. SHERIFS’s outputs are in a format that can be used directly as inputs for PSHA in the OpenQuake engine (Pagani et al., 2014).&quot;,&quot;publisher&quot;:&quot;Seismological Society of America&quot;,&quot;issue&quot;:&quot;4&quot;,&quot;volume&quot;:&quot;90&quot;,&quot;container-title-short&quot;:&quot;&quot;},&quot;isTemporary&quot;:false},{&quot;id&quot;:&quot;02cf75d9-e54f-3569-920b-a63555bb6a5e&quot;,&quot;itemData&quot;:{&quot;type&quot;:&quot;article-journal&quot;,&quot;id&quot;:&quot;02cf75d9-e54f-3569-920b-a63555bb6a5e&quot;,&quot;title&quot;:&quot;Implementation of an interconnected fault system in probabilistic seismic hazard assessment (PSHA): the Levant fault system&quot;,&quot;author&quot;:[{&quot;family&quot;:&quot;Kadri&quot;,&quot;given&quot;:&quot;Sarah&quot;,&quot;parse-names&quot;:false,&quot;dropping-particle&quot;:&quot;&quot;,&quot;non-dropping-particle&quot;:&quot;El&quot;},{&quot;family&quot;:&quot;Beauval&quot;,&quot;given&quot;:&quot;Céline&quot;,&quot;parse-names&quot;:false,&quot;dropping-particle&quot;:&quot;&quot;,&quot;non-dropping-particle&quot;:&quot;&quot;},{&quot;family&quot;:&quot;Brax&quot;,&quot;given&quot;:&quot;Marlène&quot;,&quot;parse-names&quot;:false,&quot;dropping-particle&quot;:&quot;&quot;,&quot;non-dropping-particle&quot;:&quot;&quot;},{&quot;family&quot;:&quot;Klinger&quot;,&quot;given&quot;:&quot;Yann&quot;,&quot;parse-names&quot;:false,&quot;dropping-particle&quot;:&quot;&quot;,&quot;non-dropping-particle&quot;:&quot;&quot;}],&quot;container-title&quot;:&quot;Natural Hazards and Earth System Sciences&quot;,&quot;DOI&quot;:&quot;10.5194/nhess-25-3397-2025&quot;,&quot;ISSN&quot;:&quot;16849981&quot;,&quot;issued&quot;:{&quot;date-parts&quot;:[[2025,9,15]]},&quot;page&quot;:&quot;3397-3419&quot;,&quot;abstract&quot;:&quot;The Levant fault system (LFS), a 1200 km long left-lateral strike-slip fault connecting the Red Sea to the East Anatolian fault, is a major source of seismic hazard in the Middle East. In this study, we focus on improving regional probabilistic seismic hazard assessment (PSHA) models by considering the interconnected nature of the LFS, which challenges the traditional approach of treating faults as isolated segments. We analyze the segmentation of the fault system and identify 43 sections with lengths varying from 5 to 39 km along the main and secondary strands. Applying the SHERIFS (Seismic Hazard and Earthquake Rate In Fault Systems) algorithm, we develop an interconnected fault model that allows for complex ruptures, making assumptions about which sections can break together. At first, using a maximum magnitude of 7.5 for the system and considering that ruptures cannot pass major discontinuities, we compare the classical and interconnected fault models through the seismic rates and associated hazard results. We show that the interconnected fault model leads on average to increased hazard along the branch faults and to lower hazard along the main strand, with respect to the classical implementation. Next, we show that in order for the maximum-magnitude earthquake to be more realistic (∼ 7.9), the connectivity of the LFS fault system must be fully released. At a 475-year return period, hazard levels obtained at the peak ground acceleration (PGA) are above 0.3 g for all sites within ∼ 20 km of faults, with peak values around 0.5 g along specific sections. At 0.2 s spectral acceleration, hazard values exceed 0.8 g along all fault segments. This study highlights the importance of incorporating complex fault interactions into seismic hazard models.&quot;,&quot;publisher&quot;:&quot;Copernicus Publications&quot;,&quot;issue&quot;:&quot;9&quot;,&quot;volume&quot;:&quot;25&quot;,&quot;container-title-short&quot;:&quot;&quot;},&quot;isTemporary&quot;:false}]},{&quot;citationID&quot;:&quot;MENDELEY_CITATION_637449ab-a6a8-4c75-97fd-a16393127eba&quot;,&quot;properties&quot;:{&quot;noteIndex&quot;:0},&quot;isEdited&quot;:false,&quot;manualOverride&quot;:{&quot;isManuallyOverridden&quot;:false,&quot;citeprocText&quot;:&quot;(Arroyo-Solórzano et al. 2024)&quot;,&quot;manualOverrideText&quot;:&quot;&quot;},&quot;citationTag&quot;:&quot;MENDELEY_CITATION_v3_eyJjaXRhdGlvbklEIjoiTUVOREVMRVlfQ0lUQVRJT05fNjM3NDQ5YWItYTZhOC00Yzc1LTk3ZmQtYTE2MzkzMTI3ZWJhIiwicHJvcGVydGllcyI6eyJub3RlSW5kZXgiOjB9LCJpc0VkaXRlZCI6ZmFsc2UsIm1hbnVhbE92ZXJyaWRlIjp7ImlzTWFudWFsbHlPdmVycmlkZGVuIjpmYWxzZSwiY2l0ZXByb2NUZXh0IjoiKEFycm95by1Tb2zDs3J6YW5vIGV0IGFsLiAyMDI0KSIsIm1hbnVhbE92ZXJyaWRlVGV4dCI6Ii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1dfQ==&quot;,&quot;citationItems&quot;:[{&quot;id&quot;:&quot;0b2cc835-2682-3029-a71f-2035f628ab57&quot;,&quot;itemData&quot;:{&quot;type&quot;:&quot;article-journal&quot;,&quot;id&quot;:&quot;0b2cc835-2682-3029-a71f-2035f628ab57&quot;,&quot;title&quot;:&quot;Empirical earthquake source scaling relations for maximum magnitudes estimations in Central America&quot;,&quot;author&quot;:[{&quot;family&quot;:&quot;Arroyo-Solórzano&quot;,&quot;given&quot;:&quot;Mario&quot;,&quot;parse-names&quot;:false,&quot;dropping-particle&quot;:&quot;&quot;,&quot;non-dropping-particle&quot;:&quot;&quot;},{&quot;family&quot;:&quot;Benito&quot;,&quot;given&quot;:&quot;María Belen&quot;,&quot;parse-names&quot;:false,&quot;dropping-particle&quot;:&quot;&quot;,&quot;non-dropping-particle&quot;:&quot;&quot;},{&quot;family&quot;:&quot;Alvarado&quot;,&quot;given&quot;:&quot;Guillermo E.&quot;,&quot;parse-names&quot;:false,&quot;dropping-particle&quot;:&quot;&quot;,&quot;non-dropping-particle&quot;:&quot;&quot;},{&quot;family&quot;:&quot;Climent&quot;,&quot;given&quot;:&quot;Alvaro&quot;,&quot;parse-names&quot;:false,&quot;dropping-particle&quot;:&quot;&quot;,&quot;non-dropping-particle&quot;:&quot;&quot;}],&quot;container-title&quot;:&quot;Bulletin of the Seismological Society of America&quot;,&quot;DOI&quot;:&quot;10.1785/0120230100&quot;,&quot;ISSN&quot;:&quot;19433573&quot;,&quot;issued&quot;:{&quot;date-parts&quot;:[[2024,6,1]]},&quot;page&quot;:&quot;1539-1567&quot;,&quot;abstract&quot;:&quot;Central America is a seismically active region where six tectonic plates (North America, Caribbean, Cocos, Nazca, Panama, and South America) interact in a subduction zone with transform faults and two triple points. This complex tectonic setting makes the maximum magnitude—Mmax —estimation a challenging task, with the crustal fault earthquakes being the most damaging in the seismic history of Central America. The empirical source scaling relations (ESSR) allow the Mmax of faults to be determined from rupture parameters. In this study, we use a dataset of well-characterized earthquakes in the region, comprising 64 events from 1972 to 2021 with magnitudes between Mw 4.1 and 7.7. The dataset incorporates records of rupture parameters (length, width, area, slip, and magnitude) and information on the faults and aftershocks associated. This database is an important product in itself, and through its use we determine which global relations fit best to our data via a residual analysis. Moreover, based on the best-quality records, we develop scaling relations for Central America (CA-ESSR) for rupture length, width, and area. These new relations were tested and compared with recent earthquakes, and logic trees are proposed to combine the CA-ESSR and the best-fit global relations. Therefore, we estimate the Mmax for 30 faults using the logic tree for rupture length, considering a total rupture of the fault and multifault scenarios. Our results suggest that in Central America rupture areas larger than other regions are required to generate the same magnitudes. We associate this with the shear modulus (μ), which seems to be lower (∼ 30% less) than the global mean values for crustal rocks. Furthermore, considering multifault ruptures, we found several fault systems with potential Mmax ≥ Mw 7.0. These findings contribute to a better understanding of regional seismotec-tonics and to the efficient characterization of fault rupture models for seismic hazards.&quot;,&quot;publisher&quot;:&quot;Seismological Society of America&quot;,&quot;issue&quot;:&quot;3&quot;,&quot;volume&quot;:&quot;114&quot;,&quot;container-title-short&quot;:&quot;&quot;},&quot;isTemporary&quot;:false}]},{&quot;citationID&quot;:&quot;MENDELEY_CITATION_6ef3b540-5869-4bd5-b3ef-03cf45f19db6&quot;,&quot;properties&quot;:{&quot;noteIndex&quot;:0},&quot;isEdited&quot;:false,&quot;manualOverride&quot;:{&quot;isManuallyOverridden&quot;:false,&quot;citeprocText&quot;:&quot;(Tavakolizadeh et al. 2025)&quot;,&quot;manualOverrideText&quot;:&quot;&quot;},&quot;citationTag&quot;:&quot;MENDELEY_CITATION_v3_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&quot;,&quot;citationItems&quot;:[{&quot;id&quot;:&quot;0e226162-755b-35d0-ad58-32dabf4c23d2&quot;,&quot;itemData&quot;:{&quot;type&quot;:&quot;article-journal&quot;,&quot;id&quot;:&quot;0e226162-755b-35d0-ad58-32dabf4c23d2&quot;,&quot;title&quot;:&quot;FQSHA: An open-source Python software for fault-based seismic hazard assessment&quot;,&quot;author&quot;:[{&quot;family&quot;:&quot;Tavakolizadeh&quot;,&quot;given&quot;:&quot;Nasrin&quot;,&quot;parse-names&quot;:false,&quot;dropping-particle&quot;:&quot;&quot;,&quot;non-dropping-particle&quot;:&quot;&quot;},{&quot;family&quot;:&quot;Mohammadigheymasi&quot;,&quot;given&quot;:&quot;Hamzeh&quot;,&quot;parse-names&quot;:false,&quot;dropping-particle&quot;:&quot;&quot;,&quot;non-dropping-particle&quot;:&quot;&quot;},{&quot;family&quot;:&quot;Pombo&quot;,&quot;given&quot;:&quot;Nuno&quot;,&quot;parse-names&quot;:false,&quot;dropping-particle&quot;:&quot;&quot;,&quot;non-dropping-particle&quot;:&quot;&quot;}],&quot;container-title&quot;:&quot;SoftwareX&quot;,&quot;container-title-short&quot;:&quot;SoftwareX&quot;,&quot;DOI&quot;:&quot;10.1016/j.softx.2025.102339&quot;,&quot;ISSN&quot;:&quot;23527110&quot;,&quot;issued&quot;:{&quot;date-parts&quot;:[[2025,12,1]]},&quot;abstract&quot;:&quot;The PyQt framework facilitates the development of desktop applications, offering an effective environment for implementing scientific algorithms while leveraging the flexibility of Python. In this paper, we introduce FQSHA, a PyQt5-based application designed to streamline the workflow of fault-based Seismic Activity Rate (SAR) calculation and seismic hazard assessment. The primary aim is to provide a unified and user-friendly interface that makes these processes more accessible. FQSHA enables users to perform hazard calculations and map the results from scratch using minimal input data and requiring only basic knowledge of hazard computation engines. The SAR calculation core (FaultQuake) is seamlessly integrated with the hazard assessment engine (OpenQuake), offering additional flexibility to customize input parameters for hazard analysis. This integration supports an end-to-end workflow within a single software utilizing a user-friendly GUI. We present the architecture of FQSHA and demonstrate its capabilities through a hands-on example, which is publicly available on GitHub.&quot;,&quot;publisher&quot;:&quot;Elsevier B.V.&quot;,&quot;volume&quot;:&quot;32&quot;},&quot;isTemporary&quot;:false}]},{&quot;citationID&quot;:&quot;MENDELEY_CITATION_6695acbb-ac8a-43b3-8d9d-a18453a3d37b&quot;,&quot;properties&quot;:{&quot;noteIndex&quot;:0},&quot;isEdited&quot;:false,&quot;manualOverride&quot;:{&quot;isManuallyOverridden&quot;:false,&quot;citeprocText&quot;:&quot;(Bungum 2007)&quot;,&quot;manualOverrideText&quot;:&quot;&quot;},&quot;citationTag&quot;:&quot;MENDELEY_CITATION_v3_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&quot;,&quot;citationItems&quot;:[{&quot;id&quot;:&quot;25eebee8-1dbb-36c8-8095-4c8feeaa308d&quot;,&quot;itemData&quot;:{&quot;type&quot;:&quot;article-journal&quot;,&quot;id&quot;:&quot;25eebee8-1dbb-36c8-8095-4c8feeaa308d&quot;,&quot;title&quot;:&quot;Numerical modelling of fault activities&quot;,&quot;author&quot;:[{&quot;family&quot;:&quot;Bungum&quot;,&quot;given&quot;:&quot;Hilmar&quot;,&quot;parse-names&quot;:false,&quot;dropping-particle&quot;:&quot;&quot;,&quot;non-dropping-particle&quot;:&quot;&quot;}],&quot;container-title&quot;:&quot;Computers and Geosciences&quot;,&quot;DOI&quot;:&quot;10.1016/j.cageo.2006.10.011&quot;,&quot;ISSN&quot;:&quot;00983004&quot;,&quot;issued&quot;:{&quot;date-parts&quot;:[[2007,6]]},&quot;page&quot;:&quot;808-820&quot;,&quot;abstract&quot;:&quot;There is a fundamental connection between crustal strain (deformation) rates and seismic activity. To this end two FORTRAN utility programs have been developed, aimed at estimating the seismicity on a fault in cases when this cannot be done directly, or as a comparison with observed data. The first program (\&quot;moment_slip\&quot;) is one in which seismicity is derived from the rate of seismic slip, based on published models for the connection between slip rates and seismic activity. The size of the fault is essential here, constraining the maximum magnitude. The slope of the frequency-magnitude distribution and its functional form are other important controlling parameters. The key physical concept in this connection is seismic moment release, which is related to magnitude through specified moment-magnitude relationships. For cases when slip rates are not available a second program (\&quot;moment_rate\&quot;) has been developed, aimed at computing the recurrence rate from an estimate of the moment release, inferred for example from historical and/or recent seismicity in the region in which the fault is located. A number of sensitivity tests demonstrate the relative importance of the different assumptions and parameters. © 2007 Elsevier Ltd. All rights reserved.&quot;,&quot;issue&quot;:&quot;6&quot;,&quot;volume&quot;:&quot;33&quot;,&quot;container-title-short&quot;:&quot;Comput. Geosci.&quot;},&quot;isTemporary&quot;:false}]},{&quot;citationID&quot;:&quot;MENDELEY_CITATION_30eea724-80da-46eb-83e8-a6bf924cf129&quot;,&quot;properties&quot;:{&quot;noteIndex&quot;:0},&quot;isEdited&quot;:false,&quot;manualOverride&quot;:{&quot;isManuallyOverridden&quot;:false,&quot;citeprocText&quot;:&quot;(Bungum 2007; Pace et al. 2016; Tavakolizadeh et al. 2024)&quot;,&quot;manualOverrideText&quot;:&quot;&quot;},&quot;citationTag&quot;:&quot;MENDELEY_CITATION_v3_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&quot;,&quot;citationItems&quot;:[{&quot;id&quot;:&quot;25eebee8-1dbb-36c8-8095-4c8feeaa308d&quot;,&quot;itemData&quot;:{&quot;type&quot;:&quot;article-journal&quot;,&quot;id&quot;:&quot;25eebee8-1dbb-36c8-8095-4c8feeaa308d&quot;,&quot;title&quot;:&quot;Numerical modelling of fault activities&quot;,&quot;author&quot;:[{&quot;family&quot;:&quot;Bungum&quot;,&quot;given&quot;:&quot;Hilmar&quot;,&quot;parse-names&quot;:false,&quot;dropping-particle&quot;:&quot;&quot;,&quot;non-dropping-particle&quot;:&quot;&quot;}],&quot;container-title&quot;:&quot;Computers and Geosciences&quot;,&quot;DOI&quot;:&quot;10.1016/j.cageo.2006.10.011&quot;,&quot;ISSN&quot;:&quot;00983004&quot;,&quot;issued&quot;:{&quot;date-parts&quot;:[[2007,6]]},&quot;page&quot;:&quot;808-820&quot;,&quot;abstract&quot;:&quot;There is a fundamental connection between crustal strain (deformation) rates and seismic activity. To this end two FORTRAN utility programs have been developed, aimed at estimating the seismicity on a fault in cases when this cannot be done directly, or as a comparison with observed data. The first program (\&quot;moment_slip\&quot;) is one in which seismicity is derived from the rate of seismic slip, based on published models for the connection between slip rates and seismic activity. The size of the fault is essential here, constraining the maximum magnitude. The slope of the frequency-magnitude distribution and its functional form are other important controlling parameters. The key physical concept in this connection is seismic moment release, which is related to magnitude through specified moment-magnitude relationships. For cases when slip rates are not available a second program (\&quot;moment_rate\&quot;) has been developed, aimed at computing the recurrence rate from an estimate of the moment release, inferred for example from historical and/or recent seismicity in the region in which the fault is located. A number of sensitivity tests demonstrate the relative importance of the different assumptions and parameters. © 2007 Elsevier Ltd. All rights reserved.&quot;,&quot;issue&quot;:&quot;6&quot;,&quot;volume&quot;:&quot;33&quot;,&quot;container-title-short&quot;:&quot;Comput. Geosci.&quot;},&quot;isTemporary&quot;:false},{&quot;id&quot;:&quot;3672aaa6-4b2c-387d-9ba9-4cde8045a19a&quot;,&quot;itemData&quot;:{&quot;type&quot;:&quot;article-journal&quot;,&quot;id&quot;:&quot;3672aaa6-4b2c-387d-9ba9-4cde8045a19a&quot;,&quot;title&quot;:&quot;FiSH: MATLAB Tools to Turn Fault Data into Seismic-Hazard Models&quot;,&quot;author&quot;:[{&quot;family&quot;:&quot;Pace&quot;,&quot;given&quot;:&quot;B.&quot;,&quot;parse-names&quot;:false,&quot;dropping-particle&quot;:&quot;&quot;,&quot;non-dropping-particle&quot;:&quot;&quot;},{&quot;family&quot;:&quot;Visini&quot;,&quot;given&quot;:&quot;F.&quot;,&quot;parse-names&quot;:false,&quot;dropping-particle&quot;:&quot;&quot;,&quot;non-dropping-particle&quot;:&quot;&quot;},{&quot;family&quot;:&quot;Peruzza&quot;,&quot;given&quot;:&quot;L.&quot;,&quot;parse-names&quot;:false,&quot;dropping-particle&quot;:&quot;&quot;,&quot;non-dropping-particle&quot;:&quot;&quot;}],&quot;container-title&quot;:&quot;Seismological Research Letters&quot;,&quot;DOI&quot;:&quot;10.1785/0220150189&quot;,&quot;ISSN&quot;:&quot;19382057&quot;,&quot;issued&quot;:{&quot;date-parts&quot;:[[2016,3,1]]},&quot;page&quot;:&quot;374-386&quot;,&quot;abstract&quot;:&quot;Faults have been increasingly integrated into seismic-hazard assessments. We have developed a package of MATLAB (http://www.mathworks.com/products/matlab, last accessed January 2016) tools (called FiSH), designed to help seismic-hazard modelers analyze fault data. These tools enable the derivation of expected earthquake rates, given common fault data, and allow researchers to test the consistency between the magnitude-frequency distributions (MFDs) assigned to a fault and some available observations. The basic assumption of FiSH is that the geometric and kinematic features of a fault are the expression of its seismogenic potential. Three tools have been designed to integrate the variable levels of information available: (1) the first tool allows users to convert fault geometry and slip rates into a global budget of the seismic moment released in a given time frame, taking uncertainties into account; (2) the second tool computes the recurrence parameters and associated uncertainties from historical and/or paleoseismological data; and (3) the third tool outputs time-independent or time-dependent earthquake rates for different MFD models. We present a test case to illustrate the capabilities of FiSH, on the Paganica normal fault in central Italy that ruptured during the 2009 L-Aquila earthquake sequence (mainshock Mw 6.3). The source codes are open, and we encourage users to handle the scripts, communicate with us regarding bugs, and/or suggest further improvements. Our intent is to distribute these tools in order to help researchers to pinpoint potential inconsistencies and obtain reliable fault-based seismic- hazard evaluations.&quot;,&quot;publisher&quot;:&quot;Seismological Society of America&quot;,&quot;issue&quot;:&quot;2A&quot;,&quot;volume&quot;:&quot;87&quot;,&quot;container-title-short&quot;:&quot;&quot;},&quot;isTemporary&quot;:false},{&quot;id&quot;:&quot;8652f02e-8e88-3b60-94fc-92a0c51cc560&quot;,&quot;itemData&quot;:{&quot;type&quot;:&quot;article-journal&quot;,&quot;id&quot;:&quot;8652f02e-8e88-3b60-94fc-92a0c51cc560&quot;,&quot;title&quot;:&quot;FaultQuake: An open-source Python tool for estimating Seismic Activity Rates in faults&quot;,&quot;author&quot;:[{&quot;family&quot;:&quot;Tavakolizadeh&quot;,&quot;given&quot;:&quot;Nasrin&quot;,&quot;parse-names&quot;:false,&quot;dropping-particle&quot;:&quot;&quot;,&quot;non-dropping-particle&quot;:&quot;&quot;},{&quot;family&quot;:&quot;Mohammadigheymasi&quot;,&quot;given&quot;:&quot;Hamzeh&quot;,&quot;parse-names&quot;:false,&quot;dropping-particle&quot;:&quot;&quot;,&quot;non-dropping-particle&quot;:&quot;&quot;},{&quot;family&quot;:&quot;Visini&quot;,&quot;given&quot;:&quot;Francesco&quot;,&quot;parse-names&quot;:false,&quot;dropping-particle&quot;:&quot;&quot;,&quot;non-dropping-particle&quot;:&quot;&quot;},{&quot;family&quot;:&quot;Pombo&quot;,&quot;given&quot;:&quot;Nuno&quot;,&quot;parse-names&quot;:false,&quot;dropping-particle&quot;:&quot;&quot;,&quot;non-dropping-particle&quot;:&quot;&quot;}],&quot;container-title&quot;:&quot;Computers &amp; Geosciences&quot;,&quot;DOI&quot;:&quot;10.1016/j.cageo.2024.105659&quot;,&quot;ISSN&quot;:&quot;00983004&quot;,&quot;URL&quot;:&quot;https://linkinghub.elsevier.com/retrieve/pii/S0098300424001420&quot;,&quot;issued&quot;:{&quot;date-parts&quot;:[[2024,9]]},&quot;page&quot;:&quot;105659&quot;,&quot;volume&quot;:&quot;191&quot;,&quot;container-title-short&quot;:&quot;Comput. Geosci.&quot;},&quot;isTemporary&quot;:false}]},{&quot;citationID&quot;:&quot;MENDELEY_CITATION_85fa4388-52e8-47c5-8064-44222eec594a&quot;,&quot;properties&quot;:{&quot;noteIndex&quot;:0},&quot;isEdited&quot;:false,&quot;manualOverride&quot;:{&quot;isManuallyOverridden&quot;:false,&quot;citeprocText&quot;:&quot;(Rivas-Medina et al. 2018; Chartier et al. 2019)&quot;,&quot;manualOverrideText&quot;:&quot;&quot;},&quot;citationTag&quot;:&quot;MENDELEY_CITATION_v3_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&quot;,&quot;citationItems&quot;:[{&quot;id&quot;:&quot;ec2620eb-050a-3471-bb36-add3f9669dc4&quot;,&quot;itemData&quot;:{&quot;type&quot;:&quot;article-journal&quot;,&quot;id&quot;:&quot;ec2620eb-050a-3471-bb36-add3f9669dc4&quot;,&quot;title&quot;:&quot;Sherifs: Open-source code for computing earthquake rates in fault systems and constructing hazard models&quot;,&quot;author&quot;:[{&quot;family&quot;:&quot;Chartier&quot;,&quot;given&quot;:&quot;Thomas&quot;,&quot;parse-names&quot;:false,&quot;dropping-particle&quot;:&quot;&quot;,&quot;non-dropping-particle&quot;:&quot;&quot;},{&quot;family&quot;:&quot;Scotti&quot;,&quot;given&quot;:&quot;Oona&quot;,&quot;parse-names&quot;:false,&quot;dropping-particle&quot;:&quot;&quot;,&quot;non-dropping-particle&quot;:&quot;&quot;},{&quot;family&quot;:&quot;Lyon-Caen&quot;,&quot;given&quot;:&quot;Hélène&quot;,&quot;parse-names&quot;:false,&quot;dropping-particle&quot;:&quot;&quot;,&quot;non-dropping-particle&quot;:&quot;&quot;}],&quot;container-title&quot;:&quot;Seismological Research Letters&quot;,&quot;DOI&quot;:&quot;10.1785/0220180332&quot;,&quot;ISSN&quot;:&quot;19382057&quot;,&quot;issued&quot;:{&quot;date-parts&quot;:[[2019,7,1]]},&quot;page&quot;:&quot;1678-1688&quot;,&quot;abstract&quot;:&quot;Modeling the seismic potential of active faults and their associated epistemic uncertainties is a fundamental step of probabilistic seismic-hazard assessment (PSHA). Seismic hazard and earthquake rate in fault systems (SHERIFS) is an open-source python code that builds hazard models including earthquake ruptures involving several fault sections or fault-to-fault (FtF) ruptures. It contains user-friendly tools to calculate the annual rate of FtF ruptures in a fault system based on the slip-rate estimates and accounting for associated background seismicity. SHERIFS applies a forward incremental approach following three rules: (1) the FtF ruptures allowed in the fault system are defined as input by the user and explored randomly, (2) the magnitude–frequency distribution of the modeled seismicity in the fault system must follow an imposed shape, and (3) the slip-rate budget attributed to each fault section must be preserved in the calculation if the first two rules allow it. Indeed, in some cases, a fraction of the slip-rate budget must be considered as being spent in non-mainshock events such as creep or postseismic slip. Background seismicity rates are defined by the hazard modeler as the ratio of seismicity occurring on the modelled faults for different ranges of magnitude. Given a coherent set of input hypotheses, SHERIFS allows end users to build the seismic-hazard fault model thanks to an interactive user-friendly interface. It aims to help interactions between field data collectors and hazard modelers to explore and weight epistemic uncertainties affecting the input hypotheses. To do so, SHERIFS includes tools to compare modeled earthquake rates with the available local data (earthquake catalog and paleoseismological data). This comparison can be used to weigh different hypotheses explored in a logic tree and discard the hypotheses that are not in agreement with the data. SHERIFS’s outputs are in a format that can be used directly as inputs for PSHA in the OpenQuake engine (Pagani et al., 2014).&quot;,&quot;publisher&quot;:&quot;Seismological Society of America&quot;,&quot;issue&quot;:&quot;4&quot;,&quot;volume&quot;:&quot;90&quot;,&quot;container-title-short&quot;:&quot;&quot;},&quot;isTemporary&quot;:false},{&quot;id&quot;:&quot;d469410a-512d-39b2-bbb7-fde4f031fdf7&quot;,&quot;itemData&quot;:{&quot;type&quot;:&quot;article-journal&quot;,&quot;id&quot;:&quot;d469410a-512d-39b2-bbb7-fde4f031fdf7&quot;,&quot;title&quot;:&quot;Approach for combining fault and area sources in seismic hazard assessment: Application in south-eastern Spain&quot;,&quot;author&quot;:[{&quot;family&quot;:&quot;Rivas-Medina&quot;,&quot;given&quot;:&quot;Alicia&quot;,&quot;parse-names&quot;:false,&quot;dropping-particle&quot;:&quot;&quot;,&quot;non-dropping-particle&quot;:&quot;&quot;},{&quot;family&quot;:&quot;Benito&quot;,&quot;given&quot;:&quot;Belen&quot;,&quot;parse-names&quot;:false,&quot;dropping-particle&quot;:&quot;&quot;,&quot;non-dropping-particle&quot;:&quot;&quot;},{&quot;family&quot;:&quot;Miguel Gaspar-Escribano&quot;,&quot;given&quot;:&quot;Jorge&quot;,&quot;parse-names&quot;:false,&quot;dropping-particle&quot;:&quot;&quot;,&quot;non-dropping-particle&quot;:&quot;&quot;}],&quot;container-title&quot;:&quot;Natural Hazards and Earth System Sciences&quot;,&quot;DOI&quot;:&quot;10.5194/nhess-18-2809-2018&quot;,&quot;ISSN&quot;:&quot;16849981&quot;,&quot;issued&quot;:{&quot;date-parts&quot;:[[2018,10,30]]},&quot;page&quot;:&quot;2809-2823&quot;,&quot;abstract&quot;:&quot;This paper presents a methodological approach to seismic hazard assessment based on a hybrid source model composed of faults as independent entities and zones containing residual seismicity. The seismic potential of both types of sources is derived from different data: for the zones, the recurrence model is estimated from the seismic catalogue. For fault sources, it is inferred from slip rates derived from palaeoseismicity and GNSS (Global Navigation Satellite System) measurements. Distributing the seismic potential associated with each source is a key question when considering hybrid zone and fault models, and this is normally resolved using one of two possible alternatives: (1) considering a characteristic earthquake model for the fault and assigning the remaining magnitudes to the zone, or (2) establishing a cut-off magnitude, above which the seisms are assigned to the fault and below which they are considered to have occurred in the zone. This paper presents an approach to distributing seismic potential between zones and faults without restricting the magnitudes for each type of source, precluding the need to establish cut-off values beforehand. This is the essential difference between our approach and other approaches that have been applied previously. The proposed approach is applied in southern Spain, a region of low-to-moderate seismicity where faults move slowly. The results obtained are contrasted with the results of a seismic hazard method based exclusively on the zone model. Using the hybrid approach, acceleration values show a concentration of expected accelerations around fault traces, which is not appreciated in the classic approach using only zones.&quot;,&quot;publisher&quot;:&quot;Copernicus GmbH&quot;,&quot;issue&quot;:&quot;11&quot;,&quot;volume&quot;:&quot;18&quot;,&quot;container-title-short&quot;:&quot;&quot;},&quot;isTemporary&quot;:false}]},{&quot;citationID&quot;:&quot;MENDELEY_CITATION_b6f2fdc8-23b6-40c8-82b4-acdb8e38e828&quot;,&quot;properties&quot;:{&quot;noteIndex&quot;:0},&quot;isEdited&quot;:false,&quot;manualOverride&quot;:{&quot;isManuallyOverridden&quot;:true,&quot;citeprocText&quot;:&quot;(Rivas-Medina et al. 2018)&quot;,&quot;manualOverrideText&quot;:&quot;Rivas-Medina et al. (2018)&quot;},&quot;citationTag&quot;:&quot;MENDELEY_CITATION_v3_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&quot;,&quot;citationItems&quot;:[{&quot;id&quot;:&quot;d469410a-512d-39b2-bbb7-fde4f031fdf7&quot;,&quot;itemData&quot;:{&quot;type&quot;:&quot;article-journal&quot;,&quot;id&quot;:&quot;d469410a-512d-39b2-bbb7-fde4f031fdf7&quot;,&quot;title&quot;:&quot;Approach for combining fault and area sources in seismic hazard assessment: Application in south-eastern Spain&quot;,&quot;author&quot;:[{&quot;family&quot;:&quot;Rivas-Medina&quot;,&quot;given&quot;:&quot;Alicia&quot;,&quot;parse-names&quot;:false,&quot;dropping-particle&quot;:&quot;&quot;,&quot;non-dropping-particle&quot;:&quot;&quot;},{&quot;family&quot;:&quot;Benito&quot;,&quot;given&quot;:&quot;Belen&quot;,&quot;parse-names&quot;:false,&quot;dropping-particle&quot;:&quot;&quot;,&quot;non-dropping-particle&quot;:&quot;&quot;},{&quot;family&quot;:&quot;Miguel Gaspar-Escribano&quot;,&quot;given&quot;:&quot;Jorge&quot;,&quot;parse-names&quot;:false,&quot;dropping-particle&quot;:&quot;&quot;,&quot;non-dropping-particle&quot;:&quot;&quot;}],&quot;container-title&quot;:&quot;Natural Hazards and Earth System Sciences&quot;,&quot;DOI&quot;:&quot;10.5194/nhess-18-2809-2018&quot;,&quot;ISSN&quot;:&quot;16849981&quot;,&quot;issued&quot;:{&quot;date-parts&quot;:[[2018,10,30]]},&quot;page&quot;:&quot;2809-2823&quot;,&quot;abstract&quot;:&quot;This paper presents a methodological approach to seismic hazard assessment based on a hybrid source model composed of faults as independent entities and zones containing residual seismicity. The seismic potential of both types of sources is derived from different data: for the zones, the recurrence model is estimated from the seismic catalogue. For fault sources, it is inferred from slip rates derived from palaeoseismicity and GNSS (Global Navigation Satellite System) measurements. Distributing the seismic potential associated with each source is a key question when considering hybrid zone and fault models, and this is normally resolved using one of two possible alternatives: (1) considering a characteristic earthquake model for the fault and assigning the remaining magnitudes to the zone, or (2) establishing a cut-off magnitude, above which the seisms are assigned to the fault and below which they are considered to have occurred in the zone. This paper presents an approach to distributing seismic potential between zones and faults without restricting the magnitudes for each type of source, precluding the need to establish cut-off values beforehand. This is the essential difference between our approach and other approaches that have been applied previously. The proposed approach is applied in southern Spain, a region of low-to-moderate seismicity where faults move slowly. The results obtained are contrasted with the results of a seismic hazard method based exclusively on the zone model. Using the hybrid approach, acceleration values show a concentration of expected accelerations around fault traces, which is not appreciated in the classic approach using only zones.&quot;,&quot;publisher&quot;:&quot;Copernicus GmbH&quot;,&quot;issue&quot;:&quot;11&quot;,&quot;volume&quot;:&quot;18&quot;,&quot;container-title-short&quot;:&quot;&quot;},&quot;isTemporary&quot;:false}]},{&quot;citationID&quot;:&quot;MENDELEY_CITATION_7ee604d9-3ca9-47ed-95fc-4228218980ac&quot;,&quot;properties&quot;:{&quot;noteIndex&quot;:0},&quot;isEdited&quot;:false,&quot;manualOverride&quot;:{&quot;isManuallyOverridden&quot;:false,&quot;citeprocText&quot;:&quot;(Gamboa-Canté et al. 2024a, 2025)&quot;,&quot;manualOverrideText&quot;:&quot;&quot;},&quot;citationTag&quot;:&quot;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&quot;,&quot;citationItems&quot;:[{&quot;id&quot;:&quot;897c00e9-2328-363e-9149-e11acfa3aee8&quot;,&quot;itemData&quot;:{&quot;type&quot;:&quot;article-journal&quot;,&quot;id&quot;:&quot;897c00e9-2328-363e-9149-e11acfa3aee8&quot;,&quot;title&quot;:&quot;Seismicity in Central America (1520–2020) and Earthquake catalog compilation for seismic hazard assessments&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Benito&quot;,&quot;given&quot;:&quot;Belén&quot;,&quot;parse-names&quot;:false,&quot;dropping-particle&quot;:&quot;&quot;,&quot;non-dropping-particle&quot;:&quot;&quot;},{&quot;family&quot;:&quot;Aguilar&quot;,&quot;given&quot;:&quot;Jorge&quot;,&quot;parse-names&quot;:false,&quot;dropping-particle&quot;:&quot;&quot;,&quot;non-dropping-particle&quot;:&quot;&quot;},{&quot;family&quot;:&quot;Arroyo&quot;,&quot;given&quot;:&quot;Ivonne G.&quot;,&quot;parse-names&quot;:false,&quot;dropping-particle&quot;:&quot;&quot;,&quot;non-dropping-particle&quot;:&quot;&quot;},{&quot;family&quot;:&quot;Camacho-Astigarrabia&quot;,&quot;given&quot;:&quot;Eduardo&quot;,&quot;parse-names&quot;:false,&quot;dropping-particle&quot;:&quot;&quot;,&quot;non-dropping-particle&quot;:&quot;&quot;},{&quot;family&quot;:&quot;Castro&quot;,&quot;given&quot;:&quot;Diego&quot;,&quot;parse-names&quot;:false,&quot;dropping-particle&quot;:&quot;&quot;,&quot;non-dropping-particle&quot;:&quot;&quot;},{&quot;family&quot;:&quot;Flores&quot;,&quot;given&quot;:&quot;Omar&quot;,&quot;parse-names&quot;:false,&quot;dropping-particle&quot;:&quot;&quot;,&quot;non-dropping-particle&quot;:&quot;&quot;},{&quot;family&quot;:&quot;Linkimer&quot;,&quot;given&quot;:&quot;Lepolt&quot;,&quot;parse-names&quot;:false,&quot;dropping-particle&quot;:&quot;&quot;,&quot;non-dropping-particle&quot;:&quot;&quot;},{&quot;family&quot;:&quot;Marroquin&quot;,&quot;given&quot;:&quot;Martha Griselda&quot;,&quot;parse-names&quot;:false,&quot;dropping-particle&quot;:&quot;&quot;,&quot;non-dropping-particle&quot;:&quot;&quot;},{&quot;family&quot;:&quot;Mixco-Durán&quot;,&quot;given&quot;:&quot;Luis&quot;,&quot;parse-names&quot;:false,&quot;dropping-particle&quot;:&quot;&quot;,&quot;non-dropping-particle&quot;:&quot;&quot;},{&quot;family&quot;:&quot;Strauch&quot;,&quot;given&quot;:&quot;Wilfried&quot;,&quot;parse-names&quot;:false,&quot;dropping-particle&quot;:&quot;&quot;,&quot;non-dropping-particle&quot;:&quot;&quot;},{&quot;family&quot;:&quot;Talavera&quot;,&quot;given&quot;:&quot;Emilio&quot;,&quot;parse-names&quot;:false,&quot;dropping-particle&quot;:&quot;&quot;,&quot;non-dropping-particle&quot;:&quot;&quot;},{&quot;family&quot;:&quot;Valle&quot;,&quot;given&quot;:&quot;Gerson&quot;,&quot;parse-names&quot;:false,&quot;dropping-particle&quot;:&quot;&quot;,&quot;non-dropping-particle&quot;:&quot;&quot;},{&quot;family&quot;:&quot;Yani-Quiyuch&quot;,&quot;given&quot;:&quot;Robin&quot;,&quot;parse-names&quot;:false,&quot;dropping-particle&quot;:&quot;&quot;,&quot;non-dropping-particle&quot;:&quot;&quot;}],&quot;container-title&quot;:&quot;Bulletin of Earthquake Engineering&quot;,&quot;DOI&quot;:&quot;10.1007/s10518-024-02059-9&quot;,&quot;ISSN&quot;:&quot;15731456&quot;,&quot;issued&quot;:{&quot;date-parts&quot;:[[2024,12,1]]},&quot;page&quot;:&quot;7201-7234&quot;,&quot;abstract&quot;:&quot;Central America is a seismically active region located in a tectonic setting dominated by the subduction zone between the Cocos and Caribbean plates, transform boundaries between the North American and Caribbean plates, and local or crustal faulting with some of the most important fault systems aligned with the volcanic arc. Combining seismic data from various Central American seismic agency catalogs covering the period from 1520 to 2020, we present an updated regional earthquake catalog for the region. Fourteen databases containing seismic events from local and regional agencies were collected for different time periods, homogenized to moment magnitude (Mw), and subsequently unified using a prioritization criteria approach. We analyzed to the data to identify and remove duplicate earthquakes, prioritizing records with the lowest RMS value, depth consistent with their location based on the region’s crustal thickness, and magnitudes in accordance with historical reports or bibliographic sources. Additionally, significant seismic events (Mw ≥ 6.0) were carefully reviewed based on their epicentral locations and magnitudes, according on reliable publications. The earthquake catalog compiled includes a total of 260 548 earthquakes, for which we conducted a descriptive, spatiotemporal statistical analysis, as well as estimations of the magnitude of completeness (Mc) and declustering. Among the most important results, we highlight recent completeness periods for magnitudes Mw &lt; 5.0. Geographically, seismic zones with better Mc are directly related to either good seismic network coverage or high seismicity rates in the region. As regards declustering, the Reasenberg declustering method considers several main shocks with ~ 76% of the earthquakes compared to the initial catalog and the Uhrhammer method considers ~ 51% as main shocks.&quot;,&quot;publisher&quot;:&quot;Springer Science and Business Media B.V.&quot;,&quot;issue&quot;:&quot;15&quot;,&quot;volume&quot;:&quot;22&quot;,&quot;container-title-short&quot;:&quot;&quot;},&quot;isTemporary&quot;:false},{&quot;id&quot;:&quot;72b933b8-12ce-3802-aba7-8f68955b411f&quot;,&quot;itemData&quot;:{&quot;type&quot;:&quot;article-journal&quot;,&quot;id&quot;:&quot;72b933b8-12ce-3802-aba7-8f68955b411f&quot;,&quot;title&quot;:&quot;Overview of seismic hazard studies in Central America: A comparative analysis of results&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 María&quot;,&quot;given&quot;:&quot;Belén&quot;,&quot;parse-names&quot;:false,&quot;dropping-particle&quot;:&quot;&quot;,&quot;non-dropping-particle&quot;:&quot;&quot;}],&quot;container-title&quot;:&quot;Journal of South American Earth Sciences&quot;,&quot;container-title-short&quot;:&quot;J. South Am. Earth Sci.&quot;,&quot;DOI&quot;:&quot;10.1016/j.jsames.2025.105630&quot;,&quot;ISSN&quot;:&quot;08959811&quot;,&quot;issued&quot;:{&quot;date-parts&quot;:[[2025,10,1]]},&quot;abstract&quot;:&quot;We present an overview of seismic hazard studies in Central America, evaluating all the probabilistic seismic hazard studies (PSHA) published at the national and regional scale, as well as an updated model recently developed (Gamboa-Canté et al., 2025). The key factors in the study for obtaining the updated model are the use of a regional earthquake catalog from 1520 to 2020; the implementation of the last seismic zoning for the region, taking into account the change of the subduction angle along the Central America trench; the implementation of the scaling relationships specific to the Central American upper-plate, and the more suitable ground motion models (GMM) for the region identified using local data. We use the updated model as a reference, comparing the results with previous seismic hazard studies. As a general conclusion, we find that seismic hazard studies undertaken over the last 10 years period at regional or national scales point to an increase in the hazard compared to studies in previous periods, with maximum PGA values now reaching around 0.8g–1.0g for a return period of 475 years in the Costa Rica peninsulas and south of Guatemala. The updated seismic hazard map is consistent with the latest local models generated for each country in the region with variability in PGA values of less than 20 %, although there are some local exceptions. The advantage of the updated map is that it reflects the trend of increasing hazard expressed in recent local studies, but it is a regional map, there is no lack of continuity at the borders between countries, as occurs when a regional map is configured from national maps. We suggest that this regional hazard map be used for Central America (Gamboa-Canté et al., 2025) as a reference map for updating the seismic hazard models or seismic codes of the countries.&quot;,&quot;publisher&quot;:&quot;Elsevier Ltd&quot;,&quot;volume&quot;:&quot;164&quot;},&quot;isTemporary&quot;:false}]},{&quot;citationID&quot;:&quot;MENDELEY_CITATION_ebe5706b-d5d1-4ce1-8abf-b2eef1cd0d31&quot;,&quot;properties&quot;:{&quot;noteIndex&quot;:0},&quot;isEdited&quot;:false,&quot;manualOverride&quot;:{&quot;isManuallyOverridden&quot;:true,&quot;citeprocText&quot;:&quot;(Reasenberg 1985)&quot;,&quot;manualOverrideText&quot;:&quot;Reasenberg (1985)&quot;},&quot;citationTag&quot;:&quot;MENDELEY_CITATION_v3_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&quot;,&quot;citationItems&quot;:[{&quot;id&quot;:&quot;30ff4ccf-d99c-3b7e-99bc-cfe3fb51d401&quot;,&quot;itemData&quot;:{&quot;type&quot;:&quot;article-journal&quot;,&quot;id&quot;:&quot;30ff4ccf-d99c-3b7e-99bc-cfe3fb51d401&quot;,&quot;title&quot;:&quot;Second‐order moment of central California seismicity, 1969–1982&quot;,&quot;author&quot;:[{&quot;family&quot;:&quot;Reasenberg&quot;,&quot;given&quot;:&quot;Paul&quot;,&quot;parse-names&quot;:false,&quot;dropping-particle&quot;:&quot;&quot;,&quot;non-dropping-particle&quot;:&quot;&quot;}],&quot;container-title&quot;:&quot;Journal of Geophysical Research: Solid Earth&quot;,&quot;container-title-short&quot;:&quot;J. Geophys. Res. Solid Earth&quot;,&quot;DOI&quot;:&quot;10.1029/jb090ib07p05479&quot;,&quot;ISSN&quot;:&quot;0148-0227&quot;,&quot;issued&quot;:{&quot;date-parts&quot;:[[1985,6,10]]},&quot;page&quot;:&quot;5479-5495&quot;,&quot;abstract&quot;:&quot; The second‐order moment (cross‐correlation function) of earthquakes in the U.S. Geological Survey central California catalog between 1969 and 1982 was calculated with respect to a magnitude threshold M ≥ 4.0 over interevent distances up to 80 km and interevent times up to 320 days. The statistical procedure results in a representation of the spatial‐temporal structure of the catalog associated with M ≥ 4.0 earthquakes and is capable of revealing patterns too weak to be detected in the space‐time distribution of seismicity for individual earthquake sequences. A method is introduced for identifying aftershocks based on a physical two‐parameter model of the earthquake interaction process. The results show that the aftershock process dominates the second‐order moment and may even obscure the statistical expression of a precursory process. A concentration of foreshocks within 15 km and 3 days of M ≥ 4.0 main shocks exhibits an apparent migration toward the main shock loci with velocity 2.6–5.3 km/d. This concentration may be related to an observed tendency for M ≥ 4.0 events to cluster (auto‐correlate) over this interevent range. With the identified aftershocks removed, the residual catalog is Poissonion in space and time. When two M ≥ 4.0 earthquakes occur within 80 km and 40 days of each other, aftershock productivity appears to be relatively enhanced in the earlier sequence. This suggests that aftershock populations are not solely dependent on their main shocks and that unusually productive aftershock sequences may be predictors of future moderate earthquakes. &quot;,&quot;publisher&quot;:&quot;American Geophysical Union (AGU)&quot;,&quot;issue&quot;:&quot;B7&quot;,&quot;volume&quot;:&quot;90&quot;},&quot;isTemporary&quot;:false}]},{&quot;citationID&quot;:&quot;MENDELEY_CITATION_350bf75f-d1cb-48d3-b93b-618d7a4f1173&quot;,&quot;properties&quot;:{&quot;noteIndex&quot;:0},&quot;isEdited&quot;:false,&quot;manualOverride&quot;:{&quot;isManuallyOverridden&quot;:true,&quot;citeprocText&quot;:&quot;(Gardner and Knopoff 1974)&quot;,&quot;manualOverrideText&quot;:&quot;Gardner and Knopoff (1974)&quot;},&quot;citationTag&quot;:&quot;MENDELEY_CITATION_v3_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&quot;,&quot;citationItems&quot;:[{&quot;id&quot;:&quot;e7e0ab36-7e63-3149-961e-115c761495a5&quot;,&quot;itemData&quot;:{&quot;type&quot;:&quot;article-journal&quot;,&quot;id&quot;:&quot;e7e0ab36-7e63-3149-961e-115c761495a5&quot;,&quot;title&quot;:&quot;Is the sequence of earthquakes in southern California, with aftershocks removed, Poissonian?&quot;,&quot;author&quot;:[{&quot;family&quot;:&quot;Gardner&quot;,&quot;given&quot;:&quot;J K&quot;,&quot;parse-names&quot;:false,&quot;dropping-particle&quot;:&quot;&quot;,&quot;non-dropping-particle&quot;:&quot;&quot;},{&quot;family&quot;:&quot;Knopoff&quot;,&quot;given&quot;:&quot;L&quot;,&quot;parse-names&quot;:false,&quot;dropping-particle&quot;:&quot;&quot;,&quot;non-dropping-particle&quot;:&quot;&quot;}],&quot;container-title&quot;:&quot;Bulletin of the Seismological Society of America&quot;,&quot;DOI&quot;:&quot;10.1785/BSSA0640051363&quot;,&quot;URL&quot;:&quot;http://pubs.geoscienceworld.org/ssa/bssa/article-pdf/64/5/1363/5318629/bssa0640051363.pdf&quot;,&quot;issued&quot;:{&quot;date-parts&quot;:[[1974]]},&quot;page&quot;:&quot;1363-1367&quot;,&quot;abstract&quot;:&quot;Yes.&quot;,&quot;issue&quot;:&quot;5&quot;,&quot;volume&quot;:&quot;64&quot;,&quot;container-title-short&quot;:&quot;&quot;},&quot;isTemporary&quot;:false}]},{&quot;citationID&quot;:&quot;MENDELEY_CITATION_2579d882-81dd-4651-a1fa-ad0a7165ac3e&quot;,&quot;properties&quot;:{&quot;noteIndex&quot;:0},&quot;isEdited&quot;:false,&quot;manualOverride&quot;:{&quot;isManuallyOverridden&quot;:false,&quot;citeprocText&quot;:&quot;(Uhrhammer 1986)&quot;,&quot;manualOverrideText&quot;:&quot;&quot;},&quot;citationTag&quot;:&quot;MENDELEY_CITATION_v3_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&quot;,&quot;citationItems&quot;:[{&quot;id&quot;:&quot;9c0d90fb-c1a0-370a-84f0-5cec0db6ee48&quot;,&quot;itemData&quot;:{&quot;type&quot;:&quot;article-journal&quot;,&quot;id&quot;:&quot;9c0d90fb-c1a0-370a-84f0-5cec0db6ee48&quot;,&quot;title&quot;:&quot;Characteristics of northern and southern California seismicity&quot;,&quot;author&quot;:[{&quot;family&quot;:&quot;Uhrhammer&quot;,&quot;given&quot;:&quot;R&quot;,&quot;parse-names&quot;:false,&quot;dropping-particle&quot;:&quot;&quot;,&quot;non-dropping-particle&quot;:&quot;&quot;}],&quot;container-title&quot;:&quot;Earthquake Notes&quot;,&quot;issued&quot;:{&quot;date-parts&quot;:[[1986]]},&quot;page&quot;:&quot;1-21&quot;,&quot;issue&quot;:&quot; 57&quot;,&quot;container-title-short&quot;:&quot;&quot;},&quot;isTemporary&quot;:false}]},{&quot;citationID&quot;:&quot;MENDELEY_CITATION_0744008e-b1c9-4927-89dd-0e26fdebba70&quot;,&quot;properties&quot;:{&quot;noteIndex&quot;:0},&quot;isEdited&quot;:false,&quot;manualOverride&quot;:{&quot;isManuallyOverridden&quot;:true,&quot;citeprocText&quot;:&quot;(Garnier et al. 2022)&quot;,&quot;manualOverrideText&quot;:&quot;Garnier et al. (2022)&quot;},&quot;citationTag&quot;:&quot;MENDELEY_CITATION_v3_eyJjaXRhdGlvbklEIjoiTUVOREVMRVlfQ0lUQVRJT05fMDc0NDAwOGUtYjFjOS00OTI3LTg5ZGQtMGUyNmZkZWJiYTcwIiwicHJvcGVydGllcyI6eyJub3RlSW5kZXgiOjB9LCJpc0VkaXRlZCI6ZmFsc2UsIm1hbnVhbE92ZXJyaWRlIjp7ImlzTWFudWFsbHlPdmVycmlkZGVuIjp0cnVlLCJjaXRlcHJvY1RleHQiOiIoR2FybmllciBldCBhbC4gMjAyMikiLCJtYW51YWxPdmVycmlkZVRleHQiOiJHYXJuaWVyIGV0IGFsLiAoMjAyMik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V19&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f38c413f-0efe-4690-bb19-2a1af9ccf7f7&quot;,&quot;properties&quot;:{&quot;noteIndex&quot;:0},&quot;isEdited&quot;:false,&quot;manualOverride&quot;:{&quot;isManuallyOverridden&quot;:false,&quot;citeprocText&quot;:&quot;(Maurer et al. 2025)&quot;,&quot;manualOverrideText&quot;:&quot;&quot;},&quot;citationTag&quot;:&quot;MENDELEY_CITATION_v3_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&quot;,&quot;citationItems&quot;:[{&quot;id&quot;:&quot;f722b328-2ddf-335b-8fa4-bbb274a1c821&quot;,&quot;itemData&quot;:{&quot;type&quot;:&quot;article-journal&quot;,&quot;id&quot;:&quot;f722b328-2ddf-335b-8fa4-bbb274a1c821&quot;,&quot;title&quot;:&quot;Deformation and earthquake potential on the North America - Caribbean - Cocos triple junction in Guatemala&quot;,&quot;author&quot;:[{&quot;family&quot;:&quot;Maurer&quot;,&quot;given&quot;:&quot;Jeremy&quot;,&quot;parse-names&quot;:false,&quot;dropping-particle&quot;:&quot;&quot;,&quot;non-dropping-particle&quot;:&quot;&quot;},{&quot;family&quot;:&quot;Eckert&quot;,&quot;given&quot;:&quot;Andreas&quot;,&quot;parse-names&quot;:false,&quot;dropping-particle&quot;:&quot;&quot;,&quot;non-dropping-particle&quot;:&quot;&quot;},{&quot;family&quot;:&quot;Sun&quot;,&quot;given&quot;:&quot;Qiaoqi&quot;,&quot;parse-names&quot;:false,&quot;dropping-particle&quot;:&quot;&quot;,&quot;non-dropping-particle&quot;:&quot;&quot;},{&quot;family&quot;:&quot;Obrist-Farner&quot;,&quot;given&quot;:&quot;Jonathan&quot;,&quot;parse-names&quot;:false,&quot;dropping-particle&quot;:&quot;&quot;,&quot;non-dropping-particle&quot;:&quot;&quot;}],&quot;container-title&quot;:&quot;ESS Open Archive&quot;,&quot;DOI&quot;:&quot;10.22541/essoar.175336982.28467707/v1&quot;,&quot;URL&quot;:&quot;https://essopenarchive.org/users/525948/articles/1318429-deformation-and-earthquake-potential-on-the-north-america-caribbean-cocos-triple-junction-in-guatemala?commit=7f5f1e2d7106b330b63af4b714048799b3eff3fd&quot;,&quot;issued&quot;:{&quot;date-parts&quot;:[[2025,7,24]]},&quot;container-title-short&quot;:&quot;&quot;},&quot;isTemporary&quot;:false}]},{&quot;citationID&quot;:&quot;MENDELEY_CITATION_6a555d5c-235a-44da-b43d-ca37f21136a3&quot;,&quot;properties&quot;:{&quot;noteIndex&quot;:0},&quot;isEdited&quot;:false,&quot;manualOverride&quot;:{&quot;isManuallyOverridden&quot;:false,&quot;citeprocText&quot;:&quot;(Franco et al. 2012)&quot;,&quot;manualOverrideText&quot;:&quot;&quot;},&quot;citationTag&quot;:&quot;MENDELEY_CITATION_v3_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&quot;,&quot;citationItems&quot;:[{&quot;id&quot;:&quot;6e00eb88-9e61-3860-b224-9d00e843bd2d&quot;,&quot;itemData&quot;:{&quot;type&quot;:&quot;article-journal&quot;,&quot;id&quot;:&quot;6e00eb88-9e61-3860-b224-9d00e843bd2d&quot;,&quot;title&quot;:&quot;Fault kinematics in northern Central America and coupling along the subduction interface of the Cocos Plate, from GPS data in Chiapas (Mexico), Guatemala and El Salvador&quot;,&quot;author&quot;:[{&quot;family&quot;:&quot;Franco&quot;,&quot;given&quot;:&quot;A.&quot;,&quot;parse-names&quot;:false,&quot;dropping-particle&quot;:&quot;&quot;,&quot;non-dropping-particle&quot;:&quot;&quot;},{&quot;family&quot;:&quot;Lasserre&quot;,&quot;given&quot;:&quot;C.&quot;,&quot;parse-names&quot;:false,&quot;dropping-particle&quot;:&quot;&quot;,&quot;non-dropping-particle&quot;:&quot;&quot;},{&quot;family&quot;:&quot;Lyon-Caen&quot;,&quot;given&quot;:&quot;H.&quot;,&quot;parse-names&quot;:false,&quot;dropping-particle&quot;:&quot;&quot;,&quot;non-dropping-particle&quot;:&quot;&quot;},{&quot;family&quot;:&quot;Kostoglodov&quot;,&quot;given&quot;:&quot;V.&quot;,&quot;parse-names&quot;:false,&quot;dropping-particle&quot;:&quot;&quot;,&quot;non-dropping-particle&quot;:&quot;&quot;},{&quot;family&quot;:&quot;Molina&quot;,&quot;given&quot;:&quot;E.&quot;,&quot;parse-names&quot;:false,&quot;dropping-particle&quot;:&quot;&quot;,&quot;non-dropping-particle&quot;:&quot;&quot;},{&quot;family&quot;:&quot;Guzman-Speziale&quot;,&quot;given&quot;:&quot;M.&quot;,&quot;parse-names&quot;:false,&quot;dropping-particle&quot;:&quot;&quot;,&quot;non-dropping-particle&quot;:&quot;&quot;},{&quot;family&quot;:&quot;Monterosso&quot;,&quot;given&quot;:&quot;D.&quot;,&quot;parse-names&quot;:false,&quot;dropping-particle&quot;:&quot;&quot;,&quot;non-dropping-particle&quot;:&quot;&quot;},{&quot;family&quot;:&quot;Robles&quot;,&quot;given&quot;:&quot;V.&quot;,&quot;parse-names&quot;:false,&quot;dropping-particle&quot;:&quot;&quot;,&quot;non-dropping-particle&quot;:&quot;&quot;},{&quot;family&quot;:&quot;Figueroa&quot;,&quot;given&quot;:&quot;C.&quot;,&quot;parse-names&quot;:false,&quot;dropping-particle&quot;:&quot;&quot;,&quot;non-dropping-particle&quot;:&quot;&quot;},{&quot;family&quot;:&quot;Amaya&quot;,&quot;given&quot;:&quot;W.&quot;,&quot;parse-names&quot;:false,&quot;dropping-particle&quot;:&quot;&quot;,&quot;non-dropping-particle&quot;:&quot;&quot;},{&quot;family&quot;:&quot;Barrier&quot;,&quot;given&quot;:&quot;E.&quot;,&quot;parse-names&quot;:false,&quot;dropping-particle&quot;:&quot;&quot;,&quot;non-dropping-particle&quot;:&quot;&quot;},{&quot;family&quot;:&quot;Chiquin&quot;,&quot;given&quot;:&quot;L.&quot;,&quot;parse-names&quot;:false,&quot;dropping-particle&quot;:&quot;&quot;,&quot;non-dropping-particle&quot;:&quot;&quot;},{&quot;family&quot;:&quot;Moran&quot;,&quot;given&quot;:&quot;S.&quot;,&quot;parse-names&quot;:false,&quot;dropping-particle&quot;:&quot;&quot;,&quot;non-dropping-particle&quot;:&quot;&quot;},{&quot;family&quot;:&quot;Flores&quot;,&quot;given&quot;:&quot;O.&quot;,&quot;parse-names&quot;:false,&quot;dropping-particle&quot;:&quot;&quot;,&quot;non-dropping-particle&quot;:&quot;&quot;},{&quot;family&quot;:&quot;Romero&quot;,&quot;given&quot;:&quot;J.&quot;,&quot;parse-names&quot;:false,&quot;dropping-particle&quot;:&quot;&quot;,&quot;non-dropping-particle&quot;:&quot;&quot;},{&quot;family&quot;:&quot;Santiago&quot;,&quot;given&quot;:&quot;J. A.&quot;,&quot;parse-names&quot;:false,&quot;dropping-particle&quot;:&quot;&quot;,&quot;non-dropping-particle&quot;:&quot;&quot;},{&quot;family&quot;:&quot;Manea&quot;,&quot;given&quot;:&quot;M.&quot;,&quot;parse-names&quot;:false,&quot;dropping-particle&quot;:&quot;&quot;,&quot;non-dropping-particle&quot;:&quot;&quot;},{&quot;family&quot;:&quot;Manea&quot;,&quot;given&quot;:&quot;V. C.&quot;,&quot;parse-names&quot;:false,&quot;dropping-particle&quot;:&quot;&quot;,&quot;non-dropping-particle&quot;:&quot;&quot;}],&quot;container-title&quot;:&quot;Geophysical Journal International&quot;,&quot;DOI&quot;:&quot;10.1111/j.1365-246X.2012.05390.x&quot;,&quot;ISSN&quot;:&quot;0956540X&quot;,&quot;issued&quot;:{&quot;date-parts&quot;:[[2012,6]]},&quot;page&quot;:&quot;1223-1236&quot;,&quot;abstract&quot;:&quot;New GPS measurements in Chiapas (Mexico), Guatemala and El Salvador are used to constrain the fault kinematics in the North America (NA), Caribbean (CA) and Cocos (CO) plates triple junction area. The regional GPS velocity field is first analysed in terms of strain partitioning across the major volcano-tectonic structures, using elastic half-space modelling, then inverted through a block model. We show the dominant role of the Motagua Fault with respect to the Polochic Fault in the accommodation of the present-day deformation associated with the NA and CA relative motion. The NA/CA motion decreases from 18-22 mmyr-1 in eastern Guatemala to 14-20 mmyr-1 in central Guatemala (assuming a uniform locking depth of 14-28 km), down to a few millimetres per year in western Guatemala. As a consequence, the western tip of the CA Plate deforms internally, with ≃9 mmyr-1 of east-west extension (≃5 mmyr-1 across the Guatemala city graben alone). Up to 15 mmyr-1 of dextral motion can be accommodated across the volcanic arc in El Salvador and southeastern Guatemala. The arc seems to mark the northern boundary of an independent forearc sliver (AR), pinned to the NA plate. The inversion of the velocity field shows that a four-block (NA, CA, CO and AR) model, that combines relative block rotations with elastic deformation at the block boundaries, can account for most of the GPS observations and constrain the overall kinematics of the active structures. This regional modelling also evidences lateral variations of coupling at the CO subduction interface, with a fairly high-coupling (≃0.6) offshore Chiapas and low-coupling (≃0.25) offshore Guatemala and El Salvador. © 2012 The Authors Geophysical Journal International © 2012 RAS.&quot;,&quot;issue&quot;:&quot;3&quot;,&quot;volume&quot;:&quot;189&quot;,&quot;container-title-short&quot;:&quot;Geophys. J. Int.&quot;},&quot;isTemporary&quot;:false}]},{&quot;citationID&quot;:&quot;MENDELEY_CITATION_4a9c1787-d8b3-4290-a1ae-7de271deace6&quot;,&quot;properties&quot;:{&quot;noteIndex&quot;:0},&quot;isEdited&quot;:false,&quot;manualOverride&quot;:{&quot;isManuallyOverridden&quot;:true,&quot;citeprocText&quot;:&quot;(Garnier et al. 2022)&quot;,&quot;manualOverrideText&quot;:&quot;Garnier et al. (2022)&quot;},&quot;citationTag&quot;:&quot;MENDELEY_CITATION_v3_eyJjaXRhdGlvbklEIjoiTUVOREVMRVlfQ0lUQVRJT05fNGE5YzE3ODctZDhiMy00MjkwLWExYWUtN2RlMjcxZGVhY2U2IiwicHJvcGVydGllcyI6eyJub3RlSW5kZXgiOjB9LCJpc0VkaXRlZCI6ZmFsc2UsIm1hbnVhbE92ZXJyaWRlIjp7ImlzTWFudWFsbHlPdmVycmlkZGVuIjp0cnVlLCJjaXRlcHJvY1RleHQiOiIoR2FybmllciBldCBhbC4gMjAyMikiLCJtYW51YWxPdmVycmlkZVRleHQiOiJHYXJuaWVyIGV0IGFsLiAoMjAyMik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V19&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c5b1efb6-16de-4117-a864-4da779809bd4&quot;,&quot;properties&quot;:{&quot;noteIndex&quot;:0},&quot;isEdited&quot;:false,&quot;manualOverride&quot;:{&quot;isManuallyOverridden&quot;:false,&quot;citeprocText&quot;:&quot;(Maurer et al. 2025)&quot;,&quot;manualOverrideText&quot;:&quot;&quot;},&quot;citationTag&quot;:&quot;MENDELEY_CITATION_v3_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&quot;,&quot;citationItems&quot;:[{&quot;id&quot;:&quot;f722b328-2ddf-335b-8fa4-bbb274a1c821&quot;,&quot;itemData&quot;:{&quot;type&quot;:&quot;article-journal&quot;,&quot;id&quot;:&quot;f722b328-2ddf-335b-8fa4-bbb274a1c821&quot;,&quot;title&quot;:&quot;Deformation and earthquake potential on the North America - Caribbean - Cocos triple junction in Guatemala&quot;,&quot;author&quot;:[{&quot;family&quot;:&quot;Maurer&quot;,&quot;given&quot;:&quot;Jeremy&quot;,&quot;parse-names&quot;:false,&quot;dropping-particle&quot;:&quot;&quot;,&quot;non-dropping-particle&quot;:&quot;&quot;},{&quot;family&quot;:&quot;Eckert&quot;,&quot;given&quot;:&quot;Andreas&quot;,&quot;parse-names&quot;:false,&quot;dropping-particle&quot;:&quot;&quot;,&quot;non-dropping-particle&quot;:&quot;&quot;},{&quot;family&quot;:&quot;Sun&quot;,&quot;given&quot;:&quot;Qiaoqi&quot;,&quot;parse-names&quot;:false,&quot;dropping-particle&quot;:&quot;&quot;,&quot;non-dropping-particle&quot;:&quot;&quot;},{&quot;family&quot;:&quot;Obrist-Farner&quot;,&quot;given&quot;:&quot;Jonathan&quot;,&quot;parse-names&quot;:false,&quot;dropping-particle&quot;:&quot;&quot;,&quot;non-dropping-particle&quot;:&quot;&quot;}],&quot;container-title&quot;:&quot;ESS Open Archive&quot;,&quot;DOI&quot;:&quot;10.22541/essoar.175336982.28467707/v1&quot;,&quot;URL&quot;:&quot;https://essopenarchive.org/users/525948/articles/1318429-deformation-and-earthquake-potential-on-the-north-america-caribbean-cocos-triple-junction-in-guatemala?commit=7f5f1e2d7106b330b63af4b714048799b3eff3fd&quot;,&quot;issued&quot;:{&quot;date-parts&quot;:[[2025,7,24]]},&quot;container-title-short&quot;:&quot;&quot;},&quot;isTemporary&quot;:false}]},{&quot;citationID&quot;:&quot;MENDELEY_CITATION_ec6ac006-891f-4f92-9079-3e7fef4c844a&quot;,&quot;properties&quot;:{&quot;noteIndex&quot;:0},&quot;isEdited&quot;:false,&quot;manualOverride&quot;:{&quot;isManuallyOverridden&quot;:true,&quot;citeprocText&quot;:&quot;(Garnier et al. 2022)&quot;,&quot;manualOverrideText&quot;:&quot;Garnier et al. (2022)&quot;},&quot;citationTag&quot;:&quot;MENDELEY_CITATION_v3_eyJjaXRhdGlvbklEIjoiTUVOREVMRVlfQ0lUQVRJT05fZWM2YWMwMDYtODkxZi00ZjkyLTkwNzktM2U3ZmVmNGM4NDRhIiwicHJvcGVydGllcyI6eyJub3RlSW5kZXgiOjB9LCJpc0VkaXRlZCI6ZmFsc2UsIm1hbnVhbE92ZXJyaWRlIjp7ImlzTWFudWFsbHlPdmVycmlkZGVuIjp0cnVlLCJjaXRlcHJvY1RleHQiOiIoR2FybmllciBldCBhbC4gMjAyMikiLCJtYW51YWxPdmVycmlkZVRleHQiOiJHYXJuaWVyIGV0IGFsLiAoMjAyMik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V19&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94a3a2d8-3490-40de-9535-6cb8c37d879c&quot;,&quot;properties&quot;:{&quot;noteIndex&quot;:0},&quot;isEdited&quot;:false,&quot;manualOverride&quot;:{&quot;isManuallyOverridden&quot;:false,&quot;citeprocText&quot;:&quot;(Rivas-Medina et al. 2018)&quot;,&quot;manualOverrideText&quot;:&quot;&quot;},&quot;citationTag&quot;:&quot;MENDELEY_CITATION_v3_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&quot;,&quot;citationItems&quot;:[{&quot;id&quot;:&quot;d469410a-512d-39b2-bbb7-fde4f031fdf7&quot;,&quot;itemData&quot;:{&quot;type&quot;:&quot;article-journal&quot;,&quot;id&quot;:&quot;d469410a-512d-39b2-bbb7-fde4f031fdf7&quot;,&quot;title&quot;:&quot;Approach for combining fault and area sources in seismic hazard assessment: Application in south-eastern Spain&quot;,&quot;author&quot;:[{&quot;family&quot;:&quot;Rivas-Medina&quot;,&quot;given&quot;:&quot;Alicia&quot;,&quot;parse-names&quot;:false,&quot;dropping-particle&quot;:&quot;&quot;,&quot;non-dropping-particle&quot;:&quot;&quot;},{&quot;family&quot;:&quot;Benito&quot;,&quot;given&quot;:&quot;Belen&quot;,&quot;parse-names&quot;:false,&quot;dropping-particle&quot;:&quot;&quot;,&quot;non-dropping-particle&quot;:&quot;&quot;},{&quot;family&quot;:&quot;Miguel Gaspar-Escribano&quot;,&quot;given&quot;:&quot;Jorge&quot;,&quot;parse-names&quot;:false,&quot;dropping-particle&quot;:&quot;&quot;,&quot;non-dropping-particle&quot;:&quot;&quot;}],&quot;container-title&quot;:&quot;Natural Hazards and Earth System Sciences&quot;,&quot;DOI&quot;:&quot;10.5194/nhess-18-2809-2018&quot;,&quot;ISSN&quot;:&quot;16849981&quot;,&quot;issued&quot;:{&quot;date-parts&quot;:[[2018,10,30]]},&quot;page&quot;:&quot;2809-2823&quot;,&quot;abstract&quot;:&quot;This paper presents a methodological approach to seismic hazard assessment based on a hybrid source model composed of faults as independent entities and zones containing residual seismicity. The seismic potential of both types of sources is derived from different data: for the zones, the recurrence model is estimated from the seismic catalogue. For fault sources, it is inferred from slip rates derived from palaeoseismicity and GNSS (Global Navigation Satellite System) measurements. Distributing the seismic potential associated with each source is a key question when considering hybrid zone and fault models, and this is normally resolved using one of two possible alternatives: (1) considering a characteristic earthquake model for the fault and assigning the remaining magnitudes to the zone, or (2) establishing a cut-off magnitude, above which the seisms are assigned to the fault and below which they are considered to have occurred in the zone. This paper presents an approach to distributing seismic potential between zones and faults without restricting the magnitudes for each type of source, precluding the need to establish cut-off values beforehand. This is the essential difference between our approach and other approaches that have been applied previously. The proposed approach is applied in southern Spain, a region of low-to-moderate seismicity where faults move slowly. The results obtained are contrasted with the results of a seismic hazard method based exclusively on the zone model. Using the hybrid approach, acceleration values show a concentration of expected accelerations around fault traces, which is not appreciated in the classic approach using only zones.&quot;,&quot;publisher&quot;:&quot;Copernicus GmbH&quot;,&quot;issue&quot;:&quot;11&quot;,&quot;volume&quot;:&quot;18&quot;,&quot;container-title-short&quot;:&quot;&quot;},&quot;isTemporary&quot;:false}]},{&quot;citationID&quot;:&quot;MENDELEY_CITATION_8ad4636c-31d7-42cc-a2fc-46dad87a732f&quot;,&quot;properties&quot;:{&quot;noteIndex&quot;:0},&quot;isEdited&quot;:false,&quot;manualOverride&quot;:{&quot;isManuallyOverridden&quot;:false,&quot;citeprocText&quot;:&quot;(Gamboa-Canté et al. 2024b)&quot;,&quot;manualOverrideText&quot;:&quot;&quot;},&quot;citationTag&quot;:&quot;MENDELEY_CITATION_v3_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&quot;,&quot;citationItems&quot;:[{&quot;id&quot;:&quot;556fcfe5-23c0-3c86-addd-1b8d34f15429&quot;,&quot;itemData&quot;:{&quot;type&quot;:&quot;article-journal&quot;,&quot;id&quot;:&quot;556fcfe5-23c0-3c86-addd-1b8d34f15429&quot;,&quot;title&quot;:&quot;Sensitivity Analysis on the Impact of Input Parameters on Seismic Hazard Results: A Case Study of Central America&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quot;,&quot;given&quot;:&quot;Belén&quot;,&quot;parse-names&quot;:false,&quot;dropping-particle&quot;:&quot;&quot;,&quot;non-dropping-particle&quot;:&quot;&quot;}],&quot;container-title&quot;:&quot;Geosciences&quot;,&quot;container-title-short&quot;:&quot;Geosciences (Basel).&quot;,&quot;DOI&quot;:&quot;10.3390/geosciences15010004&quot;,&quot;ISSN&quot;:&quot;2076-3263&quot;,&quot;URL&quot;:&quot;https://www.mdpi.com/2076-3263/15/1/4&quot;,&quot;issued&quot;:{&quot;date-parts&quot;:[[2024,12,29]]},&quot;page&quot;:&quot;4&quot;,&quot;abstract&quot;:&quot;&lt;p&gt;We present a sensitivity analysis on the impact of input parameters and methods used on the results of a probabilistic seismic hazard assessment (PSHA). The accurate estimation of the parameters in recurrence models (declustering and fitting methods), along with the selection of scaling relationships for determining maximum magnitude and the selection of ground motion models (GMMs), enhance control over epistemic uncertainties when constructing the logic tree, minimizing final calculation errors and producing credible results for the study region. This study focuses on Central America, utilizing recent data from seismic, geological, and geophysical studies to improve uncertainty analyses through classic statistical methods. The results demonstrate that proper fitting of the recurrence model can stabilize acceleration variations regardless of the declustering method or b-value fitting method used. Regarding scaling relationships, their low impact on the final results is noted, provided the models are tailored to the tectonic regime under study. Finally, it is shown that the GMM contributes the most variability to seismic hazard results; therefore, their selection should be conditioned on calibration with observed data through residual analysis where region-specific models are not available.&lt;/p&gt;&quot;,&quot;issue&quot;:&quot;1&quot;,&quot;volume&quot;:&quot;15&quot;},&quot;isTemporary&quot;:false}]},{&quot;citationID&quot;:&quot;MENDELEY_CITATION_dd7f4607-c333-4e6a-bce1-19045f4fcb46&quot;,&quot;properties&quot;:{&quot;noteIndex&quot;:0},&quot;isEdited&quot;:false,&quot;manualOverride&quot;:{&quot;isManuallyOverridden&quot;:false,&quot;citeprocText&quot;:&quot;(Plafker 1976)&quot;,&quot;manualOverrideText&quot;:&quot;&quot;},&quot;citationTag&quot;:&quot;MENDELEY_CITATION_v3_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&quot;,&quot;citationItems&quot;:[{&quot;id&quot;:&quot;5a7d67bb-186e-3a09-bf63-9074801456c4&quot;,&quot;itemData&quot;:{&quot;type&quot;:&quot;article-journal&quot;,&quot;id&quot;:&quot;5a7d67bb-186e-3a09-bf63-9074801456c4&quot;,&quot;title&quot;:&quot;Tectonic Aspects of the Guaten Earthquake of 4 February 1 George&quot;,&quot;author&quot;:[{&quot;family&quot;:&quot;Plafker&quot;,&quot;given&quot;:&quot;George&quot;,&quot;parse-names&quot;:false,&quot;dropping-particle&quot;:&quot;&quot;,&quot;non-dropping-particle&quot;:&quot;&quot;}],&quot;container-title&quot;:&quot;Science&quot;,&quot;issued&quot;:{&quot;date-parts&quot;:[[1976]]},&quot;page&quot;:&quot;1202-1208&quot;,&quot;issue&quot;:&quot;4259&quot;,&quot;volume&quot;:&quot;193&quot;,&quot;container-title-short&quot;:&quot;Science (1979).&quot;},&quot;isTemporary&quot;:false}]},{&quot;citationID&quot;:&quot;MENDELEY_CITATION_941f8150-75a0-496a-8054-aa0f8f31d073&quot;,&quot;properties&quot;:{&quot;noteIndex&quot;:0},&quot;isEdited&quot;:false,&quot;manualOverride&quot;:{&quot;isManuallyOverridden&quot;:false,&quot;citeprocText&quot;:&quot;(Garnier et al. 2021)&quot;,&quot;manualOverrideText&quot;:&quot;&quot;},&quot;citationTag&quot;:&quot;MENDELEY_CITATION_v3_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&quot;,&quot;citationItems&quot;:[{&quot;id&quot;:&quot;3042c6de-911f-327a-8e4f-714c4aed4b17&quot;,&quot;itemData&quot;:{&quot;type&quot;:&quot;article-journal&quot;,&quot;id&quot;:&quot;3042c6de-911f-327a-8e4f-714c4aed4b17&quot;,&quot;title&quot;:&quot;An integrated structural and GPS study of the Jalpatagua fault, southeastern Guatemala&quot;,&quot;author&quot;:[{&quot;family&quot;:&quot;Garnier&quot;,&quot;given&quot;:&quot;Bridget&quot;,&quot;parse-names&quot;:false,&quot;dropping-particle&quot;:&quot;&quot;,&quot;non-dropping-particle&quot;:&quot;&quot;},{&quot;family&quot;:&quot;Tl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Douglas&quot;,&quot;parse-names&quot;:false,&quot;dropping-particle&quot;:&quot;&quot;,&quot;non-dropping-particle&quot;:&quot;&quot;},{&quot;family&quot;:&quot;Marroquin&quot;,&quot;given&quot;:&quot;Griselda&quot;,&quot;parse-names&quot;:false,&quot;dropping-particle&quot;:&quot;&quot;,&quot;non-dropping-particle&quot;:&quot;&quot;},{&quot;family&quot;:&quot;Mixco&quot;,&quot;given&quot;:&quot;Luis&quot;,&quot;parse-names&quot;:false,&quot;dropping-particle&quot;:&quot;&quot;,&quot;non-dropping-particle&quot;:&quot;&quot;},{&quot;family&quot;:&quot;Hernandez&quot;,&quot;given&quot;:&quot;Walter&quot;,&quot;parse-names&quot;:false,&quot;dropping-particle&quot;:&quot;&quot;,&quot;non-dropping-particle&quot;:&quot;&quot;}],&quot;container-title&quot;:&quot;Geosphere&quot;,&quot;DOI&quot;:&quot;10.1130/GES02243.1&quot;,&quot;ISSN&quot;:&quot;1553040X&quot;,&quot;issued&quot;:{&quot;date-parts&quot;:[[2021]]},&quot;page&quot;:&quot;201-225&quot;,&quot;abstract&quot;:&quot;The Jalpatagua fault in Guatemala accommodates dextral movement of the Central America forearc. We present new global positioning system (GPS) data, minor fault analysis, geochronological analyses, and analysis of lineaments to characterize deformation along the fault and near its terminations. Our data indicate that the Jalpatagua fault terminates at both ends into extensional regions. The western termination occurs near the Amatitlan caldera and the southern extension of the Guatemala City graben, as no through-going structures were observed to continue west into the active volcanic arc. Along the Jalpatagua fault, new and updated GPS site velocities are consistent with a slip rate of 7.1 ± 1.8 mm yr−1. Minor faulting along the central section of the fault includes: (1) N-S–striking normal faults accommodating E-W elongation; and (2) four sets of strike-slip faults (oriented 330°, 020°, 055°, and 295°, parallel to the Jalpatagua fault trace). Minor fault arrays support dextral movement along a major fault in the orientation of the Jalpatagua fault. GPS and fault data indicate that the Jalpatagua fault terminates to the east near the Guatemala–El Salvador border. Data delineate a pull-apart basin southeast of the fault termination, which is undergoing transtension as the Jalpatagua fault transitions into the El Salvador fault system to the east. Within the basin, minor faulting and lineations trend to the NW and accommodate NE-directed elongation. This faulting differs from E-W elongation observed along the Jalpatagua fault and is more similar to minor faults within the El Salvador fault system.&quot;,&quot;publisher&quot;:&quot;Geological Society of America&quot;,&quot;issue&quot;:&quot;1&quot;,&quot;volume&quot;:&quot;17&quot;,&quot;container-title-short&quot;:&quot;&quot;},&quot;isTemporary&quot;:false}]},{&quot;citationID&quot;:&quot;MENDELEY_CITATION_1e8f5631-28d2-4af7-83d1-12cd64fbd528&quot;,&quot;properties&quot;:{&quot;noteIndex&quot;:0},&quot;isEdited&quot;:false,&quot;manualOverride&quot;:{&quot;isManuallyOverridden&quot;:true,&quot;citeprocText&quot;:&quot;(Garnier et al. 2022)&quot;,&quot;manualOverrideText&quot;:&quot;Garnier et al. (2022)&quot;},&quot;citationTag&quot;:&quot;MENDELEY_CITATION_v3_eyJjaXRhdGlvbklEIjoiTUVOREVMRVlfQ0lUQVRJT05fMWU4ZjU2MzEtMjhkMi00YWY3LTgzZDEtMTJjZDY0ZmJkNTI4IiwicHJvcGVydGllcyI6eyJub3RlSW5kZXgiOjB9LCJpc0VkaXRlZCI6ZmFsc2UsIm1hbnVhbE92ZXJyaWRlIjp7ImlzTWFudWFsbHlPdmVycmlkZGVuIjp0cnVlLCJjaXRlcHJvY1RleHQiOiIoR2FybmllciBldCBhbC4gMjAyMikiLCJtYW51YWxPdmVycmlkZVRleHQiOiJHYXJuaWVyIGV0IGFsLiAoMjAyMik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V19&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f65d7660-b136-410c-b752-510d4ca2fdca&quot;,&quot;properties&quot;:{&quot;noteIndex&quot;:0},&quot;isEdited&quot;:false,&quot;manualOverride&quot;:{&quot;isManuallyOverridden&quot;:true,&quot;citeprocText&quot;:&quot;(Maurer et al. 2025)&quot;,&quot;manualOverrideText&quot;:&quot;Maurer et al. (2025)&quot;},&quot;citationTag&quot;:&quot;MENDELEY_CITATION_v3_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&quot;,&quot;citationItems&quot;:[{&quot;id&quot;:&quot;f722b328-2ddf-335b-8fa4-bbb274a1c821&quot;,&quot;itemData&quot;:{&quot;type&quot;:&quot;article-journal&quot;,&quot;id&quot;:&quot;f722b328-2ddf-335b-8fa4-bbb274a1c821&quot;,&quot;title&quot;:&quot;Deformation and earthquake potential on the North America - Caribbean - Cocos triple junction in Guatemala&quot;,&quot;author&quot;:[{&quot;family&quot;:&quot;Maurer&quot;,&quot;given&quot;:&quot;Jeremy&quot;,&quot;parse-names&quot;:false,&quot;dropping-particle&quot;:&quot;&quot;,&quot;non-dropping-particle&quot;:&quot;&quot;},{&quot;family&quot;:&quot;Eckert&quot;,&quot;given&quot;:&quot;Andreas&quot;,&quot;parse-names&quot;:false,&quot;dropping-particle&quot;:&quot;&quot;,&quot;non-dropping-particle&quot;:&quot;&quot;},{&quot;family&quot;:&quot;Sun&quot;,&quot;given&quot;:&quot;Qiaoqi&quot;,&quot;parse-names&quot;:false,&quot;dropping-particle&quot;:&quot;&quot;,&quot;non-dropping-particle&quot;:&quot;&quot;},{&quot;family&quot;:&quot;Obrist-Farner&quot;,&quot;given&quot;:&quot;Jonathan&quot;,&quot;parse-names&quot;:false,&quot;dropping-particle&quot;:&quot;&quot;,&quot;non-dropping-particle&quot;:&quot;&quot;}],&quot;container-title&quot;:&quot;ESS Open Archive&quot;,&quot;DOI&quot;:&quot;10.22541/essoar.175336982.28467707/v1&quot;,&quot;URL&quot;:&quot;https://essopenarchive.org/users/525948/articles/1318429-deformation-and-earthquake-potential-on-the-north-america-caribbean-cocos-triple-junction-in-guatemala?commit=7f5f1e2d7106b330b63af4b714048799b3eff3fd&quot;,&quot;issued&quot;:{&quot;date-parts&quot;:[[2025,7,24]]},&quot;container-title-short&quot;:&quot;&quot;},&quot;isTemporary&quot;:false}]},{&quot;citationID&quot;:&quot;MENDELEY_CITATION_b8690159-b88e-4ed9-a0cc-8955a0f712ff&quot;,&quot;properties&quot;:{&quot;noteIndex&quot;:0},&quot;isEdited&quot;:false,&quot;manualOverride&quot;:{&quot;isManuallyOverridden&quot;:true,&quot;citeprocText&quot;:&quot;(Garnier et al. 2022)&quot;,&quot;manualOverrideText&quot;:&quot;Garnier et al. (2022)&quot;},&quot;citationTag&quot;:&quot;MENDELEY_CITATION_v3_eyJjaXRhdGlvbklEIjoiTUVOREVMRVlfQ0lUQVRJT05fYjg2OTAxNTktYjg4ZS00ZWQ5LWEwY2MtODk1NWEwZjcxMmZmIiwicHJvcGVydGllcyI6eyJub3RlSW5kZXgiOjB9LCJpc0VkaXRlZCI6ZmFsc2UsIm1hbnVhbE92ZXJyaWRlIjp7ImlzTWFudWFsbHlPdmVycmlkZGVuIjp0cnVlLCJjaXRlcHJvY1RleHQiOiIoR2FybmllciBldCBhbC4gMjAyMikiLCJtYW51YWxPdmVycmlkZVRleHQiOiJHYXJuaWVyIGV0IGFsLiAoMjAyMik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V19&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2b60e3d8-073d-4b08-b84a-99ce3920a729&quot;,&quot;properties&quot;:{&quot;noteIndex&quot;:0},&quot;isEdited&quot;:false,&quot;manualOverride&quot;:{&quot;isManuallyOverridden&quot;:true,&quot;citeprocText&quot;:&quot;(Garnier et al. 2022)&quot;,&quot;manualOverrideText&quot;:&quot;Garnier et al. (2022)&quot;},&quot;citationTag&quot;:&quot;MENDELEY_CITATION_v3_eyJjaXRhdGlvbklEIjoiTUVOREVMRVlfQ0lUQVRJT05fMmI2MGUzZDgtMDczZC00YjA4LWI4NGEtOTljZTM5MjBhNzI5IiwicHJvcGVydGllcyI6eyJub3RlSW5kZXgiOjB9LCJpc0VkaXRlZCI6ZmFsc2UsIm1hbnVhbE92ZXJyaWRlIjp7ImlzTWFudWFsbHlPdmVycmlkZGVuIjp0cnVlLCJjaXRlcHJvY1RleHQiOiIoR2FybmllciBldCBhbC4gMjAyMikiLCJtYW51YWxPdmVycmlkZVRleHQiOiJHYXJuaWVyIGV0IGFsLiAoMjAyMik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V19&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63147a03-7430-401d-bf2a-3b98ed0f842d&quot;,&quot;properties&quot;:{&quot;noteIndex&quot;:0},&quot;isEdited&quot;:false,&quot;manualOverride&quot;:{&quot;isManuallyOverridden&quot;:true,&quot;citeprocText&quot;:&quot;(Garnier et al. 2021; Arroyo-Solórzano et al. 2024)&quot;,&quot;manualOverrideText&quot;:&quot;(~Mw 6.9; Garnier et al. 2021; Arroyo-Solórzano et al. 2024)&quot;},&quot;citationTag&quot;:&quot;MENDELEY_CITATION_v3_eyJjaXRhdGlvbklEIjoiTUVOREVMRVlfQ0lUQVRJT05fNjMxNDdhMDMtNzQzMC00MDFkLWJmMmEtM2I5OGVkMGY4NDJkIiwicHJvcGVydGllcyI6eyJub3RlSW5kZXgiOjB9LCJpc0VkaXRlZCI6ZmFsc2UsIm1hbnVhbE92ZXJyaWRlIjp7ImlzTWFudWFsbHlPdmVycmlkZGVuIjp0cnVlLCJjaXRlcHJvY1RleHQiOiIoR2FybmllciBldCBhbC4gMjAyMTsgQXJyb3lvLVNvbMOzcnphbm8gZXQgYWwuIDIwMjQpIiwibWFudWFsT3ZlcnJpZGVUZXh0IjoiKH5NdyA2Ljk7IEdhcm5pZXIgZXQgYWwuIDIwMjE7IEFycm95by1Tb2zDs3J6YW5vIGV0IGFsLiAyMDI0KS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&quot;,&quot;citationItems&quot;:[{&quot;id&quot;:&quot;0b2cc835-2682-3029-a71f-2035f628ab57&quot;,&quot;itemData&quot;:{&quot;type&quot;:&quot;article-journal&quot;,&quot;id&quot;:&quot;0b2cc835-2682-3029-a71f-2035f628ab57&quot;,&quot;title&quot;:&quot;Empirical earthquake source scaling relations for maximum magnitudes estimations in Central America&quot;,&quot;author&quot;:[{&quot;family&quot;:&quot;Arroyo-Solórzano&quot;,&quot;given&quot;:&quot;Mario&quot;,&quot;parse-names&quot;:false,&quot;dropping-particle&quot;:&quot;&quot;,&quot;non-dropping-particle&quot;:&quot;&quot;},{&quot;family&quot;:&quot;Benito&quot;,&quot;given&quot;:&quot;María Belen&quot;,&quot;parse-names&quot;:false,&quot;dropping-particle&quot;:&quot;&quot;,&quot;non-dropping-particle&quot;:&quot;&quot;},{&quot;family&quot;:&quot;Alvarado&quot;,&quot;given&quot;:&quot;Guillermo E.&quot;,&quot;parse-names&quot;:false,&quot;dropping-particle&quot;:&quot;&quot;,&quot;non-dropping-particle&quot;:&quot;&quot;},{&quot;family&quot;:&quot;Climent&quot;,&quot;given&quot;:&quot;Alvaro&quot;,&quot;parse-names&quot;:false,&quot;dropping-particle&quot;:&quot;&quot;,&quot;non-dropping-particle&quot;:&quot;&quot;}],&quot;container-title&quot;:&quot;Bulletin of the Seismological Society of America&quot;,&quot;DOI&quot;:&quot;10.1785/0120230100&quot;,&quot;ISSN&quot;:&quot;19433573&quot;,&quot;issued&quot;:{&quot;date-parts&quot;:[[2024,6,1]]},&quot;page&quot;:&quot;1539-1567&quot;,&quot;abstract&quot;:&quot;Central America is a seismically active region where six tectonic plates (North America, Caribbean, Cocos, Nazca, Panama, and South America) interact in a subduction zone with transform faults and two triple points. This complex tectonic setting makes the maximum magnitude—Mmax —estimation a challenging task, with the crustal fault earthquakes being the most damaging in the seismic history of Central America. The empirical source scaling relations (ESSR) allow the Mmax of faults to be determined from rupture parameters. In this study, we use a dataset of well-characterized earthquakes in the region, comprising 64 events from 1972 to 2021 with magnitudes between Mw 4.1 and 7.7. The dataset incorporates records of rupture parameters (length, width, area, slip, and magnitude) and information on the faults and aftershocks associated. This database is an important product in itself, and through its use we determine which global relations fit best to our data via a residual analysis. Moreover, based on the best-quality records, we develop scaling relations for Central America (CA-ESSR) for rupture length, width, and area. These new relations were tested and compared with recent earthquakes, and logic trees are proposed to combine the CA-ESSR and the best-fit global relations. Therefore, we estimate the Mmax for 30 faults using the logic tree for rupture length, considering a total rupture of the fault and multifault scenarios. Our results suggest that in Central America rupture areas larger than other regions are required to generate the same magnitudes. We associate this with the shear modulus (μ), which seems to be lower (∼ 30% less) than the global mean values for crustal rocks. Furthermore, considering multifault ruptures, we found several fault systems with potential Mmax ≥ Mw 7.0. These findings contribute to a better understanding of regional seismotec-tonics and to the efficient characterization of fault rupture models for seismic hazards.&quot;,&quot;publisher&quot;:&quot;Seismological Society of America&quot;,&quot;issue&quot;:&quot;3&quot;,&quot;volume&quot;:&quot;114&quot;,&quot;container-title-short&quot;:&quot;&quot;},&quot;isTemporary&quot;:false},{&quot;id&quot;:&quot;3042c6de-911f-327a-8e4f-714c4aed4b17&quot;,&quot;itemData&quot;:{&quot;type&quot;:&quot;article-journal&quot;,&quot;id&quot;:&quot;3042c6de-911f-327a-8e4f-714c4aed4b17&quot;,&quot;title&quot;:&quot;An integrated structural and GPS study of the Jalpatagua fault, southeastern Guatemala&quot;,&quot;author&quot;:[{&quot;family&quot;:&quot;Garnier&quot;,&quot;given&quot;:&quot;Bridget&quot;,&quot;parse-names&quot;:false,&quot;dropping-particle&quot;:&quot;&quot;,&quot;non-dropping-particle&quot;:&quot;&quot;},{&quot;family&quot;:&quot;Tl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Douglas&quot;,&quot;parse-names&quot;:false,&quot;dropping-particle&quot;:&quot;&quot;,&quot;non-dropping-particle&quot;:&quot;&quot;},{&quot;family&quot;:&quot;Marroquin&quot;,&quot;given&quot;:&quot;Griselda&quot;,&quot;parse-names&quot;:false,&quot;dropping-particle&quot;:&quot;&quot;,&quot;non-dropping-particle&quot;:&quot;&quot;},{&quot;family&quot;:&quot;Mixco&quot;,&quot;given&quot;:&quot;Luis&quot;,&quot;parse-names&quot;:false,&quot;dropping-particle&quot;:&quot;&quot;,&quot;non-dropping-particle&quot;:&quot;&quot;},{&quot;family&quot;:&quot;Hernandez&quot;,&quot;given&quot;:&quot;Walter&quot;,&quot;parse-names&quot;:false,&quot;dropping-particle&quot;:&quot;&quot;,&quot;non-dropping-particle&quot;:&quot;&quot;}],&quot;container-title&quot;:&quot;Geosphere&quot;,&quot;DOI&quot;:&quot;10.1130/GES02243.1&quot;,&quot;ISSN&quot;:&quot;1553040X&quot;,&quot;issued&quot;:{&quot;date-parts&quot;:[[2021]]},&quot;page&quot;:&quot;201-225&quot;,&quot;abstract&quot;:&quot;The Jalpatagua fault in Guatemala accommodates dextral movement of the Central America forearc. We present new global positioning system (GPS) data, minor fault analysis, geochronological analyses, and analysis of lineaments to characterize deformation along the fault and near its terminations. Our data indicate that the Jalpatagua fault terminates at both ends into extensional regions. The western termination occurs near the Amatitlan caldera and the southern extension of the Guatemala City graben, as no through-going structures were observed to continue west into the active volcanic arc. Along the Jalpatagua fault, new and updated GPS site velocities are consistent with a slip rate of 7.1 ± 1.8 mm yr−1. Minor faulting along the central section of the fault includes: (1) N-S–striking normal faults accommodating E-W elongation; and (2) four sets of strike-slip faults (oriented 330°, 020°, 055°, and 295°, parallel to the Jalpatagua fault trace). Minor fault arrays support dextral movement along a major fault in the orientation of the Jalpatagua fault. GPS and fault data indicate that the Jalpatagua fault terminates to the east near the Guatemala–El Salvador border. Data delineate a pull-apart basin southeast of the fault termination, which is undergoing transtension as the Jalpatagua fault transitions into the El Salvador fault system to the east. Within the basin, minor faulting and lineations trend to the NW and accommodate NE-directed elongation. This faulting differs from E-W elongation observed along the Jalpatagua fault and is more similar to minor faults within the El Salvador fault system.&quot;,&quot;publisher&quot;:&quot;Geological Society of America&quot;,&quot;issue&quot;:&quot;1&quot;,&quot;volume&quot;:&quot;17&quot;,&quot;container-title-short&quot;:&quot;&quot;},&quot;isTemporary&quot;:false}]},{&quot;citationID&quot;:&quot;MENDELEY_CITATION_1462b321-6c5c-436b-838e-d732181e9f79&quot;,&quot;properties&quot;:{&quot;noteIndex&quot;:0},&quot;isEdited&quot;:false,&quot;manualOverride&quot;:{&quot;isManuallyOverridden&quot;:true,&quot;citeprocText&quot;:&quot;(Alvarado et al. 2017)&quot;,&quot;manualOverrideText&quot;:&quot;(~Mw 7.0; Alvarado et al. 2017)&quot;},&quot;citationTag&quot;:&quot;MENDELEY_CITATION_v3_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&quot;,&quot;citationItems&quot;:[{&quot;id&quot;:&quot;a383ac92-8892-3732-a6b6-a2949a053f8d&quot;,&quot;itemData&quot;:{&quot;type&quot;:&quot;article-journal&quot;,&quot;id&quot;:&quot;a383ac92-8892-3732-a6b6-a2949a053f8d&quot;,&quot;title&quot;:&quot;The new Central American seismic hazard zonation: Mutual consensus based on up to day seismotectonic framework&quot;,&quot;author&quot;:[{&quot;family&quot;:&quot;Alvarado&quot;,&quot;given&quot;:&quot;Guillermo E.&quot;,&quot;parse-names&quot;:false,&quot;dropping-particle&quot;:&quot;&quot;,&quot;non-dropping-particle&quot;:&quot;&quot;},{&quot;family&quot;:&quot;Benito&quot;,&quot;given&quot;:&quot;Belén&quot;,&quot;parse-names&quot;:false,&quot;dropping-particle&quot;:&quot;&quot;,&quot;non-dropping-particle&quot;:&quot;&quot;},{&quot;family&quot;:&quot;Staller&quot;,&quot;given&quot;:&quot;Alejandra&quot;,&quot;parse-names&quot;:false,&quot;dropping-particle&quot;:&quot;&quot;,&quot;non-dropping-particle&quot;:&quot;&quot;},{&quot;family&quot;:&quot;Climent&quot;,&quot;given&quot;:&quot;Álvaro&quot;,&quot;parse-names&quot;:false,&quot;dropping-particle&quot;:&quot;&quot;,&quot;non-dropping-particle&quot;:&quot;&quot;},{&quot;family&quot;:&quot;Camacho&quot;,&quot;given&quot;:&quot;Eduardo&quot;,&quot;parse-names&quot;:false,&quot;dropping-particle&quot;:&quot;&quot;,&quot;non-dropping-particle&quot;:&quot;&quot;},{&quot;family&quot;:&quot;Rojas&quot;,&quot;given&quot;:&quot;Wilfredo&quot;,&quot;parse-names&quot;:false,&quot;dropping-particle&quot;:&quot;&quot;,&quot;non-dropping-particle&quot;:&quot;&quot;},{&quot;family&quot;:&quot;Marroquín&quot;,&quot;given&quot;:&quot;Griselda&quot;,&quot;parse-names&quot;:false,&quot;dropping-particle&quot;:&quot;&quot;,&quot;non-dropping-particle&quot;:&quot;&quot;},{&quot;family&quot;:&quot;Molina&quot;,&quot;given&quot;:&quot;Enrique&quot;,&quot;parse-names&quot;:false,&quot;dropping-particle&quot;:&quot;&quot;,&quot;non-dropping-particle&quot;:&quot;&quot;},{&quot;family&quot;:&quot;Talavera&quot;,&quot;given&quot;:&quot;J. Emilio&quot;,&quot;parse-names&quot;:false,&quot;dropping-particle&quot;:&quot;&quot;,&quot;non-dropping-particle&quot;:&quot;&quot;},{&quot;family&quot;:&quot;Martínez-Cuevas&quot;,&quot;given&quot;:&quot;Sandra&quot;,&quot;parse-names&quot;:false,&quot;dropping-particle&quot;:&quot;&quot;,&quot;non-dropping-particle&quot;:&quot;&quot;},{&quot;family&quot;:&quot;Lindholm&quot;,&quot;given&quot;:&quot;Conrad&quot;,&quot;parse-names&quot;:false,&quot;dropping-particle&quot;:&quot;&quot;,&quot;non-dropping-particle&quot;:&quot;&quot;}],&quot;container-title&quot;:&quot;Tectonophysics&quot;,&quot;DOI&quot;:&quot;10.1016/j.tecto.2017.10.013&quot;,&quot;ISSN&quot;:&quot;00401951&quot;,&quot;issued&quot;:{&quot;date-parts&quot;:[[2017,11,28]]},&quot;page&quot;:&quot;462-476&quot;,&quot;abstract&quot;:&quot;Central America is one of the most active seismic zones in the World, due to the interaction of five tectonic plates (North America, Caribbean, Coco, Nazca and South America), and its internal deformation, which generates almost one destructive earthquakes (5.4 ≤ Mw ≤ 8.1) every year. A new seismological zonation for Central America is proposed based on seismotectonic framework, a geological context (tectonic and geological maps), geophysical and geodetic evidence (gravimetric maps, magnetometric, GPS observations), and previous works. As a main source of data a depurated earthquake catalog was collected covering the period from 1522 to 2015. This catalog was homogenized to a moment magnitude scale (Mw). After a careful analysis of all the integrated geological and seismological information, the seismogenic zones were established into seismic areas defined by similar patterns of faulting, seismicity, and rupture mechanism. The tectonic environment has required considering seismic zones in two particular seismological regimes: a) crustal faulting (including local faults, major fracture zones of plate boundary limits, and thrust fault of deformed belts) and b) subduction, taking into account the change in the subduction angle along the trench, and the type and location of the rupture. The seismicity in the subduction zone is divided into interplate and intraplate inslab seismicity. The regional seismic zonation proposed for the whole of Central America, include local seismic zonations, avoiding discontinuities at the national boundaries, because of a consensus between the 7 countries, based on the cooperative work of specialists on Central American seismotectonics and related topics.&quot;,&quot;publisher&quot;:&quot;Elsevier B.V.&quot;,&quot;volume&quot;:&quot;721&quot;,&quot;container-title-short&quot;:&quot;Tectonophysics&quot;},&quot;isTemporary&quot;:false}]},{&quot;citationID&quot;:&quot;MENDELEY_CITATION_ac91fb3c-9913-4d9d-9159-8de5e59060b3&quot;,&quot;properties&quot;:{&quot;noteIndex&quot;:0},&quot;isEdited&quot;:false,&quot;manualOverride&quot;:{&quot;isManuallyOverridden&quot;:true,&quot;citeprocText&quot;:&quot;(Maurer et al. 2025)&quot;,&quot;manualOverrideText&quot;:&quot;(~Mw 7.4-7.7 Maurer et al. 2025)&quot;},&quot;citationTag&quot;:&quot;MENDELEY_CITATION_v3_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&quot;,&quot;citationItems&quot;:[{&quot;id&quot;:&quot;f722b328-2ddf-335b-8fa4-bbb274a1c821&quot;,&quot;itemData&quot;:{&quot;type&quot;:&quot;article-journal&quot;,&quot;id&quot;:&quot;f722b328-2ddf-335b-8fa4-bbb274a1c821&quot;,&quot;title&quot;:&quot;Deformation and earthquake potential on the North America - Caribbean - Cocos triple junction in Guatemala&quot;,&quot;author&quot;:[{&quot;family&quot;:&quot;Maurer&quot;,&quot;given&quot;:&quot;Jeremy&quot;,&quot;parse-names&quot;:false,&quot;dropping-particle&quot;:&quot;&quot;,&quot;non-dropping-particle&quot;:&quot;&quot;},{&quot;family&quot;:&quot;Eckert&quot;,&quot;given&quot;:&quot;Andreas&quot;,&quot;parse-names&quot;:false,&quot;dropping-particle&quot;:&quot;&quot;,&quot;non-dropping-particle&quot;:&quot;&quot;},{&quot;family&quot;:&quot;Sun&quot;,&quot;given&quot;:&quot;Qiaoqi&quot;,&quot;parse-names&quot;:false,&quot;dropping-particle&quot;:&quot;&quot;,&quot;non-dropping-particle&quot;:&quot;&quot;},{&quot;family&quot;:&quot;Obrist-Farner&quot;,&quot;given&quot;:&quot;Jonathan&quot;,&quot;parse-names&quot;:false,&quot;dropping-particle&quot;:&quot;&quot;,&quot;non-dropping-particle&quot;:&quot;&quot;}],&quot;container-title&quot;:&quot;ESS Open Archive&quot;,&quot;DOI&quot;:&quot;10.22541/essoar.175336982.28467707/v1&quot;,&quot;URL&quot;:&quot;https://essopenarchive.org/users/525948/articles/1318429-deformation-and-earthquake-potential-on-the-north-america-caribbean-cocos-triple-junction-in-guatemala?commit=7f5f1e2d7106b330b63af4b714048799b3eff3fd&quot;,&quot;issued&quot;:{&quot;date-parts&quot;:[[2025,7,24]]},&quot;container-title-short&quot;:&quot;&quot;},&quot;isTemporary&quot;:false}]},{&quot;citationID&quot;:&quot;MENDELEY_CITATION_ed4d1d40-01b8-446d-89fb-363a7b693a7e&quot;,&quot;properties&quot;:{&quot;noteIndex&quot;:0},&quot;isEdited&quot;:false,&quot;manualOverride&quot;:{&quot;isManuallyOverridden&quot;:false,&quot;citeprocText&quot;:&quot;(Gamboa-Canté et al. 2025)&quot;,&quot;manualOverrideText&quot;:&quot;&quot;},&quot;citationTag&quot;:&quot;MENDELEY_CITATION_v3_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&quot;,&quot;citationItems&quot;:[{&quot;id&quot;:&quot;72b933b8-12ce-3802-aba7-8f68955b411f&quot;,&quot;itemData&quot;:{&quot;type&quot;:&quot;article-journal&quot;,&quot;id&quot;:&quot;72b933b8-12ce-3802-aba7-8f68955b411f&quot;,&quot;title&quot;:&quot;Overview of seismic hazard studies in Central America: A comparative analysis of results&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 María&quot;,&quot;given&quot;:&quot;Belén&quot;,&quot;parse-names&quot;:false,&quot;dropping-particle&quot;:&quot;&quot;,&quot;non-dropping-particle&quot;:&quot;&quot;}],&quot;container-title&quot;:&quot;Journal of South American Earth Sciences&quot;,&quot;container-title-short&quot;:&quot;J. South Am. Earth Sci.&quot;,&quot;DOI&quot;:&quot;10.1016/j.jsames.2025.105630&quot;,&quot;ISSN&quot;:&quot;08959811&quot;,&quot;issued&quot;:{&quot;date-parts&quot;:[[2025,10,1]]},&quot;abstract&quot;:&quot;We present an overview of seismic hazard studies in Central America, evaluating all the probabilistic seismic hazard studies (PSHA) published at the national and regional scale, as well as an updated model recently developed (Gamboa-Canté et al., 2025). The key factors in the study for obtaining the updated model are the use of a regional earthquake catalog from 1520 to 2020; the implementation of the last seismic zoning for the region, taking into account the change of the subduction angle along the Central America trench; the implementation of the scaling relationships specific to the Central American upper-plate, and the more suitable ground motion models (GMM) for the region identified using local data. We use the updated model as a reference, comparing the results with previous seismic hazard studies. As a general conclusion, we find that seismic hazard studies undertaken over the last 10 years period at regional or national scales point to an increase in the hazard compared to studies in previous periods, with maximum PGA values now reaching around 0.8g–1.0g for a return period of 475 years in the Costa Rica peninsulas and south of Guatemala. The updated seismic hazard map is consistent with the latest local models generated for each country in the region with variability in PGA values of less than 20 %, although there are some local exceptions. The advantage of the updated map is that it reflects the trend of increasing hazard expressed in recent local studies, but it is a regional map, there is no lack of continuity at the borders between countries, as occurs when a regional map is configured from national maps. We suggest that this regional hazard map be used for Central America (Gamboa-Canté et al., 2025) as a reference map for updating the seismic hazard models or seismic codes of the countries.&quot;,&quot;publisher&quot;:&quot;Elsevier Ltd&quot;,&quot;volume&quot;:&quot;164&quot;},&quot;isTemporary&quot;:false}]},{&quot;citationID&quot;:&quot;MENDELEY_CITATION_f9792383-2ca4-4e50-9a26-688d1a4732a2&quot;,&quot;properties&quot;:{&quot;noteIndex&quot;:0},&quot;isEdited&quot;:false,&quot;manualOverride&quot;:{&quot;isManuallyOverridden&quot;:true,&quot;citeprocText&quot;:&quot;(Esteva 1967; Cornell 1968)&quot;,&quot;manualOverrideText&quot;:&quot;(Cornell 1968)&quot;},&quot;citationTag&quot;:&quot;MENDELEY_CITATION_v3_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&quot;,&quot;citationItems&quot;:[{&quot;id&quot;:&quot;67aadb79-f804-36f5-9758-e63dd9710b6a&quot;,&quot;itemData&quot;:{&quot;type&quot;:&quot;article-journal&quot;,&quot;id&quot;:&quot;67aadb79-f804-36f5-9758-e63dd9710b6a&quot;,&quot;title&quot;:&quot;Engineering seismic risk analysis&quot;,&quot;author&quot;:[{&quot;family&quot;:&quot;Cornell&quot;,&quot;given&quot;:&quot;A&quot;,&quot;parse-names&quot;:false,&quot;dropping-particle&quot;:&quot;&quot;,&quot;non-dropping-particle&quot;:&quot;&quot;}],&quot;container-title&quot;:&quot;Bulletin of the Seismological Society of America (BSSA)&quot;,&quot;DOI&quot;:&quot;10.1785/BSSA0580051583&quot;,&quot;issued&quot;:{&quot;date-parts&quot;:[[1968]]},&quot;page&quot;:&quot;1583-1606&quot;,&quot;issue&quot;:&quot;5&quot;,&quot;volume&quot;:&quot;58&quot;,&quot;container-title-short&quot;:&quot;&quot;},&quot;isTemporary&quot;:false},{&quot;id&quot;:&quot;ab5613e6-2ed3-368b-afc3-6926f3e61a44&quot;,&quot;itemData&quot;:{&quot;type&quot;:&quot;paper-conference&quot;,&quot;id&quot;:&quot;ab5613e6-2ed3-368b-afc3-6926f3e61a44&quot;,&quot;title&quot;:&quot;Criteria for the construction of spectra for seismic design.&quot;,&quot;author&quot;:[{&quot;family&quot;:&quot;Esteva&quot;,&quot;given&quot;:&quot;L&quot;,&quot;parse-names&quot;:false,&quot;dropping-particle&quot;:&quot;&quot;,&quot;non-dropping-particle&quot;:&quot;&quot;}],&quot;container-title&quot;:&quot;Third Panamerican Symposium on Structure&quot;,&quot;issued&quot;:{&quot;date-parts&quot;:[[1967]]},&quot;container-title-short&quot;:&quot;&quot;},&quot;isTemporary&quot;:false}]},{&quot;citationID&quot;:&quot;MENDELEY_CITATION_4c97e3e9-6605-4fb5-bfe3-a11dde6f7203&quot;,&quot;properties&quot;:{&quot;noteIndex&quot;:0},&quot;isEdited&quot;:false,&quot;manualOverride&quot;:{&quot;isManuallyOverridden&quot;:false,&quot;citeprocText&quot;:&quot;(Gamboa-Canté et al. 2024a)&quot;,&quot;manualOverrideText&quot;:&quot;&quot;},&quot;citationTag&quot;:&quot;MENDELEY_CITATION_v3_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&quot;,&quot;citationItems&quot;:[{&quot;id&quot;:&quot;897c00e9-2328-363e-9149-e11acfa3aee8&quot;,&quot;itemData&quot;:{&quot;type&quot;:&quot;article-journal&quot;,&quot;id&quot;:&quot;897c00e9-2328-363e-9149-e11acfa3aee8&quot;,&quot;title&quot;:&quot;Seismicity in Central America (1520–2020) and Earthquake catalog compilation for seismic hazard assessments&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Benito&quot;,&quot;given&quot;:&quot;Belén&quot;,&quot;parse-names&quot;:false,&quot;dropping-particle&quot;:&quot;&quot;,&quot;non-dropping-particle&quot;:&quot;&quot;},{&quot;family&quot;:&quot;Aguilar&quot;,&quot;given&quot;:&quot;Jorge&quot;,&quot;parse-names&quot;:false,&quot;dropping-particle&quot;:&quot;&quot;,&quot;non-dropping-particle&quot;:&quot;&quot;},{&quot;family&quot;:&quot;Arroyo&quot;,&quot;given&quot;:&quot;Ivonne G.&quot;,&quot;parse-names&quot;:false,&quot;dropping-particle&quot;:&quot;&quot;,&quot;non-dropping-particle&quot;:&quot;&quot;},{&quot;family&quot;:&quot;Camacho-Astigarrabia&quot;,&quot;given&quot;:&quot;Eduardo&quot;,&quot;parse-names&quot;:false,&quot;dropping-particle&quot;:&quot;&quot;,&quot;non-dropping-particle&quot;:&quot;&quot;},{&quot;family&quot;:&quot;Castro&quot;,&quot;given&quot;:&quot;Diego&quot;,&quot;parse-names&quot;:false,&quot;dropping-particle&quot;:&quot;&quot;,&quot;non-dropping-particle&quot;:&quot;&quot;},{&quot;family&quot;:&quot;Flores&quot;,&quot;given&quot;:&quot;Omar&quot;,&quot;parse-names&quot;:false,&quot;dropping-particle&quot;:&quot;&quot;,&quot;non-dropping-particle&quot;:&quot;&quot;},{&quot;family&quot;:&quot;Linkimer&quot;,&quot;given&quot;:&quot;Lepolt&quot;,&quot;parse-names&quot;:false,&quot;dropping-particle&quot;:&quot;&quot;,&quot;non-dropping-particle&quot;:&quot;&quot;},{&quot;family&quot;:&quot;Marroquin&quot;,&quot;given&quot;:&quot;Martha Griselda&quot;,&quot;parse-names&quot;:false,&quot;dropping-particle&quot;:&quot;&quot;,&quot;non-dropping-particle&quot;:&quot;&quot;},{&quot;family&quot;:&quot;Mixco-Durán&quot;,&quot;given&quot;:&quot;Luis&quot;,&quot;parse-names&quot;:false,&quot;dropping-particle&quot;:&quot;&quot;,&quot;non-dropping-particle&quot;:&quot;&quot;},{&quot;family&quot;:&quot;Strauch&quot;,&quot;given&quot;:&quot;Wilfried&quot;,&quot;parse-names&quot;:false,&quot;dropping-particle&quot;:&quot;&quot;,&quot;non-dropping-particle&quot;:&quot;&quot;},{&quot;family&quot;:&quot;Talavera&quot;,&quot;given&quot;:&quot;Emilio&quot;,&quot;parse-names&quot;:false,&quot;dropping-particle&quot;:&quot;&quot;,&quot;non-dropping-particle&quot;:&quot;&quot;},{&quot;family&quot;:&quot;Valle&quot;,&quot;given&quot;:&quot;Gerson&quot;,&quot;parse-names&quot;:false,&quot;dropping-particle&quot;:&quot;&quot;,&quot;non-dropping-particle&quot;:&quot;&quot;},{&quot;family&quot;:&quot;Yani-Quiyuch&quot;,&quot;given&quot;:&quot;Robin&quot;,&quot;parse-names&quot;:false,&quot;dropping-particle&quot;:&quot;&quot;,&quot;non-dropping-particle&quot;:&quot;&quot;}],&quot;container-title&quot;:&quot;Bulletin of Earthquake Engineering&quot;,&quot;DOI&quot;:&quot;10.1007/s10518-024-02059-9&quot;,&quot;ISSN&quot;:&quot;15731456&quot;,&quot;issued&quot;:{&quot;date-parts&quot;:[[2024,12,1]]},&quot;page&quot;:&quot;7201-7234&quot;,&quot;abstract&quot;:&quot;Central America is a seismically active region located in a tectonic setting dominated by the subduction zone between the Cocos and Caribbean plates, transform boundaries between the North American and Caribbean plates, and local or crustal faulting with some of the most important fault systems aligned with the volcanic arc. Combining seismic data from various Central American seismic agency catalogs covering the period from 1520 to 2020, we present an updated regional earthquake catalog for the region. Fourteen databases containing seismic events from local and regional agencies were collected for different time periods, homogenized to moment magnitude (Mw), and subsequently unified using a prioritization criteria approach. We analyzed to the data to identify and remove duplicate earthquakes, prioritizing records with the lowest RMS value, depth consistent with their location based on the region’s crustal thickness, and magnitudes in accordance with historical reports or bibliographic sources. Additionally, significant seismic events (Mw ≥ 6.0) were carefully reviewed based on their epicentral locations and magnitudes, according on reliable publications. The earthquake catalog compiled includes a total of 260 548 earthquakes, for which we conducted a descriptive, spatiotemporal statistical analysis, as well as estimations of the magnitude of completeness (Mc) and declustering. Among the most important results, we highlight recent completeness periods for magnitudes Mw &lt; 5.0. Geographically, seismic zones with better Mc are directly related to either good seismic network coverage or high seismicity rates in the region. As regards declustering, the Reasenberg declustering method considers several main shocks with ~ 76% of the earthquakes compared to the initial catalog and the Uhrhammer method considers ~ 51% as main shocks.&quot;,&quot;publisher&quot;:&quot;Springer Science and Business Media B.V.&quot;,&quot;issue&quot;:&quot;15&quot;,&quot;volume&quot;:&quot;22&quot;,&quot;container-title-short&quot;:&quot;&quot;},&quot;isTemporary&quot;:false}]},{&quot;citationID&quot;:&quot;MENDELEY_CITATION_2e409cd6-7c2d-4825-ac4e-380fa88398d4&quot;,&quot;properties&quot;:{&quot;noteIndex&quot;:0},&quot;isEdited&quot;:false,&quot;manualOverride&quot;:{&quot;isManuallyOverridden&quot;:false,&quot;citeprocText&quot;:&quot;(Gamboa-Canté et al. 2024b)&quot;,&quot;manualOverrideText&quot;:&quot;&quot;},&quot;citationTag&quot;:&quot;MENDELEY_CITATION_v3_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&quot;,&quot;citationItems&quot;:[{&quot;id&quot;:&quot;556fcfe5-23c0-3c86-addd-1b8d34f15429&quot;,&quot;itemData&quot;:{&quot;type&quot;:&quot;article-journal&quot;,&quot;id&quot;:&quot;556fcfe5-23c0-3c86-addd-1b8d34f15429&quot;,&quot;title&quot;:&quot;Sensitivity Analysis on the Impact of Input Parameters on Seismic Hazard Results: A Case Study of Central America&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quot;,&quot;given&quot;:&quot;Belén&quot;,&quot;parse-names&quot;:false,&quot;dropping-particle&quot;:&quot;&quot;,&quot;non-dropping-particle&quot;:&quot;&quot;}],&quot;container-title&quot;:&quot;Geosciences&quot;,&quot;container-title-short&quot;:&quot;Geosciences (Basel).&quot;,&quot;DOI&quot;:&quot;10.3390/geosciences15010004&quot;,&quot;ISSN&quot;:&quot;2076-3263&quot;,&quot;URL&quot;:&quot;https://www.mdpi.com/2076-3263/15/1/4&quot;,&quot;issued&quot;:{&quot;date-parts&quot;:[[2024,12,29]]},&quot;page&quot;:&quot;4&quot;,&quot;abstract&quot;:&quot;&lt;p&gt;We present a sensitivity analysis on the impact of input parameters and methods used on the results of a probabilistic seismic hazard assessment (PSHA). The accurate estimation of the parameters in recurrence models (declustering and fitting methods), along with the selection of scaling relationships for determining maximum magnitude and the selection of ground motion models (GMMs), enhance control over epistemic uncertainties when constructing the logic tree, minimizing final calculation errors and producing credible results for the study region. This study focuses on Central America, utilizing recent data from seismic, geological, and geophysical studies to improve uncertainty analyses through classic statistical methods. The results demonstrate that proper fitting of the recurrence model can stabilize acceleration variations regardless of the declustering method or b-value fitting method used. Regarding scaling relationships, their low impact on the final results is noted, provided the models are tailored to the tectonic regime under study. Finally, it is shown that the GMM contributes the most variability to seismic hazard results; therefore, their selection should be conditioned on calibration with observed data through residual analysis where region-specific models are not available.&lt;/p&gt;&quot;,&quot;issue&quot;:&quot;1&quot;,&quot;volume&quot;:&quot;15&quot;},&quot;isTemporary&quot;:false}]},{&quot;citationID&quot;:&quot;MENDELEY_CITATION_ae558b04-d20e-425b-9069-44b4861d8dda&quot;,&quot;properties&quot;:{&quot;noteIndex&quot;:0},&quot;isEdited&quot;:false,&quot;manualOverride&quot;:{&quot;isManuallyOverridden&quot;:false,&quot;citeprocText&quot;:&quot;(Alvarado et al. 2017)&quot;,&quot;manualOverrideText&quot;:&quot;&quot;},&quot;citationTag&quot;:&quot;MENDELEY_CITATION_v3_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&quot;,&quot;citationItems&quot;:[{&quot;id&quot;:&quot;a383ac92-8892-3732-a6b6-a2949a053f8d&quot;,&quot;itemData&quot;:{&quot;type&quot;:&quot;article-journal&quot;,&quot;id&quot;:&quot;a383ac92-8892-3732-a6b6-a2949a053f8d&quot;,&quot;title&quot;:&quot;The new Central American seismic hazard zonation: Mutual consensus based on up to day seismotectonic framework&quot;,&quot;author&quot;:[{&quot;family&quot;:&quot;Alvarado&quot;,&quot;given&quot;:&quot;Guillermo E.&quot;,&quot;parse-names&quot;:false,&quot;dropping-particle&quot;:&quot;&quot;,&quot;non-dropping-particle&quot;:&quot;&quot;},{&quot;family&quot;:&quot;Benito&quot;,&quot;given&quot;:&quot;Belén&quot;,&quot;parse-names&quot;:false,&quot;dropping-particle&quot;:&quot;&quot;,&quot;non-dropping-particle&quot;:&quot;&quot;},{&quot;family&quot;:&quot;Staller&quot;,&quot;given&quot;:&quot;Alejandra&quot;,&quot;parse-names&quot;:false,&quot;dropping-particle&quot;:&quot;&quot;,&quot;non-dropping-particle&quot;:&quot;&quot;},{&quot;family&quot;:&quot;Climent&quot;,&quot;given&quot;:&quot;Álvaro&quot;,&quot;parse-names&quot;:false,&quot;dropping-particle&quot;:&quot;&quot;,&quot;non-dropping-particle&quot;:&quot;&quot;},{&quot;family&quot;:&quot;Camacho&quot;,&quot;given&quot;:&quot;Eduardo&quot;,&quot;parse-names&quot;:false,&quot;dropping-particle&quot;:&quot;&quot;,&quot;non-dropping-particle&quot;:&quot;&quot;},{&quot;family&quot;:&quot;Rojas&quot;,&quot;given&quot;:&quot;Wilfredo&quot;,&quot;parse-names&quot;:false,&quot;dropping-particle&quot;:&quot;&quot;,&quot;non-dropping-particle&quot;:&quot;&quot;},{&quot;family&quot;:&quot;Marroquín&quot;,&quot;given&quot;:&quot;Griselda&quot;,&quot;parse-names&quot;:false,&quot;dropping-particle&quot;:&quot;&quot;,&quot;non-dropping-particle&quot;:&quot;&quot;},{&quot;family&quot;:&quot;Molina&quot;,&quot;given&quot;:&quot;Enrique&quot;,&quot;parse-names&quot;:false,&quot;dropping-particle&quot;:&quot;&quot;,&quot;non-dropping-particle&quot;:&quot;&quot;},{&quot;family&quot;:&quot;Talavera&quot;,&quot;given&quot;:&quot;J. Emilio&quot;,&quot;parse-names&quot;:false,&quot;dropping-particle&quot;:&quot;&quot;,&quot;non-dropping-particle&quot;:&quot;&quot;},{&quot;family&quot;:&quot;Martínez-Cuevas&quot;,&quot;given&quot;:&quot;Sandra&quot;,&quot;parse-names&quot;:false,&quot;dropping-particle&quot;:&quot;&quot;,&quot;non-dropping-particle&quot;:&quot;&quot;},{&quot;family&quot;:&quot;Lindholm&quot;,&quot;given&quot;:&quot;Conrad&quot;,&quot;parse-names&quot;:false,&quot;dropping-particle&quot;:&quot;&quot;,&quot;non-dropping-particle&quot;:&quot;&quot;}],&quot;container-title&quot;:&quot;Tectonophysics&quot;,&quot;DOI&quot;:&quot;10.1016/j.tecto.2017.10.013&quot;,&quot;ISSN&quot;:&quot;00401951&quot;,&quot;issued&quot;:{&quot;date-parts&quot;:[[2017,11,28]]},&quot;page&quot;:&quot;462-476&quot;,&quot;abstract&quot;:&quot;Central America is one of the most active seismic zones in the World, due to the interaction of five tectonic plates (North America, Caribbean, Coco, Nazca and South America), and its internal deformation, which generates almost one destructive earthquakes (5.4 ≤ Mw ≤ 8.1) every year. A new seismological zonation for Central America is proposed based on seismotectonic framework, a geological context (tectonic and geological maps), geophysical and geodetic evidence (gravimetric maps, magnetometric, GPS observations), and previous works. As a main source of data a depurated earthquake catalog was collected covering the period from 1522 to 2015. This catalog was homogenized to a moment magnitude scale (Mw). After a careful analysis of all the integrated geological and seismological information, the seismogenic zones were established into seismic areas defined by similar patterns of faulting, seismicity, and rupture mechanism. The tectonic environment has required considering seismic zones in two particular seismological regimes: a) crustal faulting (including local faults, major fracture zones of plate boundary limits, and thrust fault of deformed belts) and b) subduction, taking into account the change in the subduction angle along the trench, and the type and location of the rupture. The seismicity in the subduction zone is divided into interplate and intraplate inslab seismicity. The regional seismic zonation proposed for the whole of Central America, include local seismic zonations, avoiding discontinuities at the national boundaries, because of a consensus between the 7 countries, based on the cooperative work of specialists on Central American seismotectonics and related topics.&quot;,&quot;publisher&quot;:&quot;Elsevier B.V.&quot;,&quot;volume&quot;:&quot;721&quot;,&quot;container-title-short&quot;:&quot;Tectonophysics&quot;},&quot;isTemporary&quot;:false}]},{&quot;citationID&quot;:&quot;MENDELEY_CITATION_5d81b8a3-b9d8-4eeb-8281-b6619891d233&quot;,&quot;properties&quot;:{&quot;noteIndex&quot;:0},&quot;isEdited&quot;:false,&quot;manualOverride&quot;:{&quot;isManuallyOverridden&quot;:false,&quot;citeprocText&quot;:&quot;(Arroyo-Solórzano et al. 2024)&quot;,&quot;manualOverrideText&quot;:&quot;&quot;},&quot;citationTag&quot;:&quot;MENDELEY_CITATION_v3_eyJjaXRhdGlvbklEIjoiTUVOREVMRVlfQ0lUQVRJT05fNWQ4MWI4YTMtYjlkOC00ZWViLTgyODEtYjY2MTk4OTFkMjMzIiwicHJvcGVydGllcyI6eyJub3RlSW5kZXgiOjB9LCJpc0VkaXRlZCI6ZmFsc2UsIm1hbnVhbE92ZXJyaWRlIjp7ImlzTWFudWFsbHlPdmVycmlkZGVuIjpmYWxzZSwiY2l0ZXByb2NUZXh0IjoiKEFycm95by1Tb2zDs3J6YW5vIGV0IGFsLiAyMDI0KSIsIm1hbnVhbE92ZXJyaWRlVGV4dCI6Ii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1dfQ==&quot;,&quot;citationItems&quot;:[{&quot;id&quot;:&quot;0b2cc835-2682-3029-a71f-2035f628ab57&quot;,&quot;itemData&quot;:{&quot;type&quot;:&quot;article-journal&quot;,&quot;id&quot;:&quot;0b2cc835-2682-3029-a71f-2035f628ab57&quot;,&quot;title&quot;:&quot;Empirical earthquake source scaling relations for maximum magnitudes estimations in Central America&quot;,&quot;author&quot;:[{&quot;family&quot;:&quot;Arroyo-Solórzano&quot;,&quot;given&quot;:&quot;Mario&quot;,&quot;parse-names&quot;:false,&quot;dropping-particle&quot;:&quot;&quot;,&quot;non-dropping-particle&quot;:&quot;&quot;},{&quot;family&quot;:&quot;Benito&quot;,&quot;given&quot;:&quot;María Belen&quot;,&quot;parse-names&quot;:false,&quot;dropping-particle&quot;:&quot;&quot;,&quot;non-dropping-particle&quot;:&quot;&quot;},{&quot;family&quot;:&quot;Alvarado&quot;,&quot;given&quot;:&quot;Guillermo E.&quot;,&quot;parse-names&quot;:false,&quot;dropping-particle&quot;:&quot;&quot;,&quot;non-dropping-particle&quot;:&quot;&quot;},{&quot;family&quot;:&quot;Climent&quot;,&quot;given&quot;:&quot;Alvaro&quot;,&quot;parse-names&quot;:false,&quot;dropping-particle&quot;:&quot;&quot;,&quot;non-dropping-particle&quot;:&quot;&quot;}],&quot;container-title&quot;:&quot;Bulletin of the Seismological Society of America&quot;,&quot;DOI&quot;:&quot;10.1785/0120230100&quot;,&quot;ISSN&quot;:&quot;19433573&quot;,&quot;issued&quot;:{&quot;date-parts&quot;:[[2024,6,1]]},&quot;page&quot;:&quot;1539-1567&quot;,&quot;abstract&quot;:&quot;Central America is a seismically active region where six tectonic plates (North America, Caribbean, Cocos, Nazca, Panama, and South America) interact in a subduction zone with transform faults and two triple points. This complex tectonic setting makes the maximum magnitude—Mmax —estimation a challenging task, with the crustal fault earthquakes being the most damaging in the seismic history of Central America. The empirical source scaling relations (ESSR) allow the Mmax of faults to be determined from rupture parameters. In this study, we use a dataset of well-characterized earthquakes in the region, comprising 64 events from 1972 to 2021 with magnitudes between Mw 4.1 and 7.7. The dataset incorporates records of rupture parameters (length, width, area, slip, and magnitude) and information on the faults and aftershocks associated. This database is an important product in itself, and through its use we determine which global relations fit best to our data via a residual analysis. Moreover, based on the best-quality records, we develop scaling relations for Central America (CA-ESSR) for rupture length, width, and area. These new relations were tested and compared with recent earthquakes, and logic trees are proposed to combine the CA-ESSR and the best-fit global relations. Therefore, we estimate the Mmax for 30 faults using the logic tree for rupture length, considering a total rupture of the fault and multifault scenarios. Our results suggest that in Central America rupture areas larger than other regions are required to generate the same magnitudes. We associate this with the shear modulus (μ), which seems to be lower (∼ 30% less) than the global mean values for crustal rocks. Furthermore, considering multifault ruptures, we found several fault systems with potential Mmax ≥ Mw 7.0. These findings contribute to a better understanding of regional seismotec-tonics and to the efficient characterization of fault rupture models for seismic hazards.&quot;,&quot;publisher&quot;:&quot;Seismological Society of America&quot;,&quot;issue&quot;:&quot;3&quot;,&quot;volume&quot;:&quot;114&quot;,&quot;container-title-short&quot;:&quot;&quot;},&quot;isTemporary&quot;:false}]},{&quot;citationID&quot;:&quot;MENDELEY_CITATION_e8e26216-b2e4-4428-a0a1-c340a7112869&quot;,&quot;properties&quot;:{&quot;noteIndex&quot;:0},&quot;isEdited&quot;:false,&quot;manualOverride&quot;:{&quot;isManuallyOverridden&quot;:false,&quot;citeprocText&quot;:&quot;(Mixco 2020; Hidalgo-Leiva et al. 2023)&quot;,&quot;manualOverrideText&quot;:&quot;&quot;},&quot;citationTag&quot;:&quot;MENDELEY_CITATION_v3_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&quot;,&quot;citationItems&quot;:[{&quot;id&quot;:&quot;8bb6b3d8-d477-3ed6-9aa7-95290f765c19&quot;,&quot;itemData&quot;:{&quot;type&quot;:&quot;report&quot;,&quot;id&quot;:&quot;8bb6b3d8-d477-3ed6-9aa7-95290f765c19&quot;,&quot;title&quot;:&quot;Evaluación probabilística de amenaza sísmica de El Salvador&quot;,&quot;author&quot;:[{&quot;family&quot;:&quot;Mixco&quot;,&quot;given&quot;:&quot;Luis&quot;,&quot;parse-names&quot;:false,&quot;dropping-particle&quot;:&quot;&quot;,&quot;non-dropping-particle&quot;:&quot;&quot;}],&quot;issued&quot;:{&quot;date-parts&quot;:[[2020]]},&quot;publisher-place&quot;:&quot;San Salvador, El Salvador&quot;,&quot;number-of-pages&quot;:&quot;1-143&quot;,&quot;container-title-short&quot;:&quot;&quot;},&quot;isTemporary&quot;:false},{&quot;id&quot;:&quot;3eed6f1d-569f-3642-a738-e4a117caa723&quot;,&quot;itemData&quot;:{&quot;type&quot;:&quot;article-journal&quot;,&quot;id&quot;:&quot;3eed6f1d-569f-3642-a738-e4a117caa723&quot;,&quot;title&quot;:&quot;The 2022 Seismic Hazard Model for Costa Rica&quot;,&quot;author&quot;:[{&quot;family&quot;:&quot;Hidalgo-Leiva&quot;,&quot;given&quot;:&quot;Diego A.&quot;,&quot;parse-names&quot;:false,&quot;dropping-particle&quot;:&quot;&quot;,&quot;non-dropping-particle&quot;:&quot;&quot;},{&quot;family&quot;:&quot;Linkimer&quot;,&quot;given&quot;:&quot;Lepolt&quot;,&quot;parse-names&quot;:false,&quot;dropping-particle&quot;:&quot;&quot;,&quot;non-dropping-particle&quot;:&quot;&quot;},{&quot;family&quot;:&quot;Arroyo&quot;,&quot;given&quot;:&quot;Ivonne G.&quot;,&quot;parse-names&quot;:false,&quot;dropping-particle&quot;:&quot;&quot;,&quot;non-dropping-particle&quot;:&quot;&quot;},{&quot;family&quot;:&quot;Arroyo-Solórzano&quot;,&quot;given&quot;:&quot;Mario&quot;,&quot;parse-names&quot;:false,&quot;dropping-particle&quot;:&quot;&quot;,&quot;non-dropping-particle&quot;:&quot;&quot;},{&quot;family&quot;:&quot;Piedra&quot;,&quot;given&quot;:&quot;Rosey&quot;,&quot;parse-names&quot;:false,&quot;dropping-particle&quot;:&quot;&quot;,&quot;non-dropping-particle&quot;:&quot;&quot;},{&quot;family&quot;:&quot;Climent&quot;,&quot;given&quot;:&quot;Alvaro&quot;,&quot;parse-names&quot;:false,&quot;dropping-particle&quot;:&quot;&quot;,&quot;non-dropping-particle&quot;:&quot;&quot;},{&quot;family&quot;:&quot;Díaz&quot;,&quot;given&quot;:&quot;Víctor Schmidt&quot;,&quot;parse-names&quot;:false,&quot;dropping-particle&quot;:&quot;&quot;,&quot;non-dropping-particle&quot;:&quot;&quot;},{&quot;family&quot;:&quot;Esquivel&quot;,&quot;given&quot;:&quot;Luis Carlos&quot;,&quot;parse-names&quot;:false,&quot;dropping-particle&quot;:&quot;&quot;,&quot;non-dropping-particle&quot;:&quot;&quot;},{&quot;family&quot;:&quot;Alvarado&quot;,&quot;given&quot;:&quot;Guillermo E.&quot;,&quot;parse-names&quot;:false,&quot;dropping-particle&quot;:&quot;&quot;,&quot;non-dropping-particle&quot;:&quot;&quot;},{&quot;family&quot;:&quot;Castillo&quot;,&quot;given&quot;:&quot;Rolando&quot;,&quot;parse-names&quot;:false,&quot;dropping-particle&quot;:&quot;&quot;,&quot;non-dropping-particle&quot;:&quot;&quot;},{&quot;family&quot;:&quot;Carranza-Morales&quot;,&quot;given&quot;:&quot;Marco E.&quot;,&quot;parse-names&quot;:false,&quot;dropping-particle&quot;:&quot;&quot;,&quot;non-dropping-particle&quot;:&quot;&quot;},{&quot;family&quot;:&quot;Cerdas-Guntanis&quot;,&quot;given&quot;:&quot;Laura&quot;,&quot;parse-names&quot;:false,&quot;dropping-particle&quot;:&quot;&quot;,&quot;non-dropping-particle&quot;:&quot;&quot;},{&quot;family&quot;:&quot;Escalante-Meza&quot;,&quot;given&quot;:&quot;Jimena&quot;,&quot;parse-names&quot;:false,&quot;dropping-particle&quot;:&quot;&quot;,&quot;non-dropping-particle&quot;:&quot;&quot;},{&quot;family&quot;:&quot;Lobo&quot;,&quot;given&quot;:&quot;Sergio&quot;,&quot;parse-names&quot;:false,&quot;dropping-particle&quot;:&quot;&quot;,&quot;non-dropping-particle&quot;:&quot;&quot;},{&quot;family&quot;:&quot;Rodríguez&quot;,&quot;given&quot;:&quot;María José&quot;,&quot;parse-names&quot;:false,&quot;dropping-particle&quot;:&quot;&quot;,&quot;non-dropping-particle&quot;:&quot;&quot;},{&quot;family&quot;:&quot;Rojas&quot;,&quot;given&quot;:&quot;Wilfredo&quot;,&quot;parse-names&quot;:false,&quot;dropping-particle&quot;:&quot;&quot;,&quot;non-dropping-particle&quot;:&quot;&quot;}],&quot;container-title&quot;:&quot;Bulletin of the Seismological Society of America&quot;,&quot;DOI&quot;:&quot;10.1785/0120220119&quot;,&quot;ISSN&quot;:&quot;19433573&quot;,&quot;issued&quot;:{&quot;date-parts&quot;:[[2023,2,1]]},&quot;page&quot;:&quot;23-40&quot;,&quot;abstract&quot;:&quot;Costa Rica is located at the boundary of four tectonic plates where the regularity of destructive earthquakes highlights the necessity of seismic hazard estimations. This study contains the most recent Probabilistic Seismic Hazard Assessment (PSHA) for Costa Rica, calculated with the largest and the most updated earthquake database from both—the Earthquake Engineering Laboratory and the National Seismological Network of the University of Costa Rica. For the PSHA, we updated the seismicity parameters for the upper plate, sub-duction interplate, and intraslab tectonic domains, characterized the upper-plate zones by percentages of fault types, and used weighted ground-motion models for each of the tectonic domains. The resulted maps of peak ground acceleration (PGA) at return periods of 475 yr (PGA-475) and 2475 yr, as well as the spectral accelerations, show geographic trends that allow for the division of the country in four seismic hazard levels: (1) extremely high for the Nicoya, Osa, and Burica peninsulas, situated directly above the subduction interplate, where the PGA-475 could be 0.55–1.20g; (2) very high for most of the Guanacaste Province, where the PGA-475 may be 0.55–0.70g; (3) high for most of the country (∼41%) with PGA-475 values of 0.40–0.55g, including Central Costa Rica and the capital city of San Jose; and (4) moderate for the Talamanca Cordillera and Northern Costa Rica, with PGA-475 up to 0.40g. These ground-motion values are 0.1–0.6g higher than the previous PSHA for the Pacific peninsulas, Guanacaste, and the southeastern Caribbean. Further, hazard curves, uniform hazard spectra, and a hazard disaggregation indicate that the seismic hazard is lower but more complex in San Jose than in Liberia—the largest city in Guanacaste.&quot;,&quot;publisher&quot;:&quot;Seismological Society of America&quot;,&quot;issue&quot;:&quot;1&quot;,&quot;volume&quot;:&quot;113&quot;,&quot;container-title-short&quot;:&quot;&quot;},&quot;isTemporary&quot;:false}]},{&quot;citationID&quot;:&quot;MENDELEY_CITATION_f6d6e0f6-56a1-4766-9169-8dc6c6f9c09f&quot;,&quot;properties&quot;:{&quot;noteIndex&quot;:0},&quot;isEdited&quot;:false,&quot;manualOverride&quot;:{&quot;isManuallyOverridden&quot;:false,&quot;citeprocText&quot;:&quot;(Pagani et al. 2014)&quot;,&quot;manualOverrideText&quot;:&quot;&quot;},&quot;citationTag&quot;:&quot;MENDELEY_CITATION_v3_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&quot;,&quot;citationItems&quot;:[{&quot;id&quot;:&quot;9a79ee1a-755d-32c2-ae77-985ae4f80912&quot;,&quot;itemData&quot;:{&quot;type&quot;:&quot;article-journal&quot;,&quot;id&quot;:&quot;9a79ee1a-755d-32c2-ae77-985ae4f80912&quot;,&quot;title&quot;:&quot;Openquake engine: An open hazard (and risk) software for the global earthquake model&quot;,&quot;author&quot;:[{&quot;family&quot;:&quot;Pagani&quot;,&quot;given&quot;:&quot;M.&quot;,&quot;parse-names&quot;:false,&quot;dropping-particle&quot;:&quot;&quot;,&quot;non-dropping-particle&quot;:&quot;&quot;},{&quot;family&quot;:&quot;Monelli&quot;,&quot;given&quot;:&quot;D.&quot;,&quot;parse-names&quot;:false,&quot;dropping-particle&quot;:&quot;&quot;,&quot;non-dropping-particle&quot;:&quot;&quot;},{&quot;family&quot;:&quot;Weatherill&quot;,&quot;given&quot;:&quot;G.&quot;,&quot;parse-names&quot;:false,&quot;dropping-particle&quot;:&quot;&quot;,&quot;non-dropping-particle&quot;:&quot;&quot;},{&quot;family&quot;:&quot;Danciu&quot;,&quot;given&quot;:&quot;L.&quot;,&quot;parse-names&quot;:false,&quot;dropping-particle&quot;:&quot;&quot;,&quot;non-dropping-particle&quot;:&quot;&quot;},{&quot;family&quot;:&quot;Crowley&quot;,&quot;given&quot;:&quot;H.&quot;,&quot;parse-names&quot;:false,&quot;dropping-particle&quot;:&quot;&quot;,&quot;non-dropping-particle&quot;:&quot;&quot;},{&quot;family&quot;:&quot;Silva&quot;,&quot;given&quot;:&quot;V.&quot;,&quot;parse-names&quot;:false,&quot;dropping-particle&quot;:&quot;&quot;,&quot;non-dropping-particle&quot;:&quot;&quot;},{&quot;family&quot;:&quot;Henshaw&quot;,&quot;given&quot;:&quot;P.&quot;,&quot;parse-names&quot;:false,&quot;dropping-particle&quot;:&quot;&quot;,&quot;non-dropping-particle&quot;:&quot;&quot;},{&quot;family&quot;:&quot;Butler&quot;,&quot;given&quot;:&quot;L.&quot;,&quot;parse-names&quot;:false,&quot;dropping-particle&quot;:&quot;&quot;,&quot;non-dropping-particle&quot;:&quot;&quot;},{&quot;family&quot;:&quot;Nastasi&quot;,&quot;given&quot;:&quot;M.&quot;,&quot;parse-names&quot;:false,&quot;dropping-particle&quot;:&quot;&quot;,&quot;non-dropping-particle&quot;:&quot;&quot;},{&quot;family&quot;:&quot;Panzeri&quot;,&quot;given&quot;:&quot;L.&quot;,&quot;parse-names&quot;:false,&quot;dropping-particle&quot;:&quot;&quot;,&quot;non-dropping-particle&quot;:&quot;&quot;},{&quot;family&quot;:&quot;Simionato&quot;,&quot;given&quot;:&quot;M.&quot;,&quot;parse-names&quot;:false,&quot;dropping-particle&quot;:&quot;&quot;,&quot;non-dropping-particle&quot;:&quot;&quot;},{&quot;family&quot;:&quot;Vigano&quot;,&quot;given&quot;:&quot;D.&quot;,&quot;parse-names&quot;:false,&quot;dropping-particle&quot;:&quot;&quot;,&quot;non-dropping-particle&quot;:&quot;&quot;}],&quot;container-title&quot;:&quot;Seismological Research Letters&quot;,&quot;DOI&quot;:&quot;10.1785/0220130087&quot;,&quot;ISSN&quot;:&quot;19382057&quot;,&quot;issued&quot;:{&quot;date-parts&quot;:[[2014]]},&quot;page&quot;:&quot;692-702&quot;,&quot;publisher&quot;:&quot;Seismological Society of America&quot;,&quot;issue&quot;:&quot;3&quot;,&quot;volume&quot;:&quot;85&quot;,&quot;container-title-short&quot;:&quot;&quot;},&quot;isTemporary&quot;:false}]},{&quot;citationID&quot;:&quot;MENDELEY_CITATION_83791d07-0a51-4f62-9561-71e01a2a4863&quot;,&quot;properties&quot;:{&quot;noteIndex&quot;:0},&quot;isEdited&quot;:false,&quot;manualOverride&quot;:{&quot;isManuallyOverridden&quot;:false,&quot;citeprocText&quot;:&quot;(Ide et al. 2011; Stirling and Anderson 2018)&quot;,&quot;manualOverrideText&quot;:&quot;&quot;},&quot;citationTag&quot;:&quot;MENDELEY_CITATION_v3_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&quot;,&quot;citationItems&quot;:[{&quot;id&quot;:&quot;9df5804d-d592-31a6-a021-911b3e126fb8&quot;,&quot;itemData&quot;:{&quot;type&quot;:&quot;article-journal&quot;,&quot;id&quot;:&quot;9df5804d-d592-31a6-a021-911b3e126fb8&quot;,&quot;title&quot;:&quot;Magnitude as a function of rupture length and slip rate for recent large New Zealand earthquakes&quot;,&quot;author&quot;:[{&quot;family&quot;:&quot;Stirling&quot;,&quot;given&quot;:&quot;Mark W.&quot;,&quot;parse-names&quot;:false,&quot;dropping-particle&quot;:&quot;&quot;,&quot;non-dropping-particle&quot;:&quot;&quot;},{&quot;family&quot;:&quot;Anderson&quot;,&quot;given&quot;:&quot;John G.&quot;,&quot;parse-names&quot;:false,&quot;dropping-particle&quot;:&quot;&quot;,&quot;non-dropping-particle&quot;:&quot;&quot;}],&quot;container-title&quot;:&quot;Bulletin of the Seismological Society of America&quot;,&quot;DOI&quot;:&quot;10.1785/0120170284&quot;,&quot;ISSN&quot;:&quot;19433573&quot;,&quot;issued&quot;:{&quot;date-parts&quot;:[[2018,7,1]]},&quot;page&quot;:&quot;1623-1629&quot;,&quot;abstract&quot;:&quot;We compare the magnitudes of the 2016 Mw 7.8 Kaikōura and 2010 Mw 7.1 Darfield, New Zealand, earthquakes with the magnitudes estimated for the respective earthquake sources from recently published scaling relationships that provide estimates of magnitude as a function of slip rate in addition to rupture length (Anderson et al., 2017). In this test using data that were not considered when the model was developed, we find that these new relationships provide a range of magnitude estimates that are within 1.0 standard deviations of the observed magnitudes of the earthquakes (estimated Mw 7.75–8.03 vs. observed Mw 7:8 0:2 for Kaikōura and estimated Mw 7.17–7.28 vs. Mw 7:1 0:2 for Darfield). Although both earthquakes involved a complex rupture process (especially the Kaikōura earthquake) and the Darfield earthquake occurred on a previously unknown fault with a very long recurrence interval, the earthquake magnitudes are consistent with the Anderson et al. (2017) models. Thus, we consider the new scaling relationships for strike-slip earthquakes to be suitable candidates for use in seismic hazard source model developments in New Zealand while acknowledging that the evaluation is based on just two major earthquakes. We expect the scaling relationships to be part of the ensemble of inputs to the next version of the national seismic hazard model for New Zealand, which will be applied to myriads of applications in engineering, planning, and risk analysis.&quot;,&quot;publisher&quot;:&quot;Seismological Society of America&quot;,&quot;issue&quot;:&quot;3B&quot;,&quot;volume&quot;:&quot;108&quot;,&quot;container-title-short&quot;:&quot;&quot;},&quot;isTemporary&quot;:false},{&quot;id&quot;:&quot;7a234973-cc10-34b2-a5fb-70ebf4f3f6bd&quot;,&quot;itemData&quot;:{&quot;type&quot;:&quot;article-journal&quot;,&quot;id&quot;:&quot;7a234973-cc10-34b2-a5fb-70ebf4f3f6bd&quot;,&quot;title&quot;:&quot;Shallow dynamic overshoot and energetic deep rupture in the 2011 Mw 9.0 Tohoku-Oki earthquake&quot;,&quot;author&quot;:[{&quot;family&quot;:&quot;Ide&quot;,&quot;given&quot;:&quot;Satrochi&quot;,&quot;parse-names&quot;:false,&quot;dropping-particle&quot;:&quot;&quot;,&quot;non-dropping-particle&quot;:&quot;&quot;},{&quot;family&quot;:&quot;Baltay&quot;,&quot;given&quot;:&quot;A&quot;,&quot;parse-names&quot;:false,&quot;dropping-particle&quot;:&quot;&quot;,&quot;non-dropping-particle&quot;:&quot;&quot;},{&quot;family&quot;:&quot;Beroza&quot;,&quot;given&quot;:&quot;G&quot;,&quot;parse-names&quot;:false,&quot;dropping-particle&quot;:&quot;&quot;,&quot;non-dropping-particle&quot;:&quot;&quot;}],&quot;container-title&quot;:&quot;Journal of Geophysical Research: Solid Earth&quot;,&quot;DOI&quot;:&quot;10.1029/2010JB008035&quot;,&quot;ISSN&quot;:&quot;21699356&quot;,&quot;issued&quot;:{&quot;date-parts&quot;:[[2011,6,1]]},&quot;page&quot;:&quot;1426-1429&quot;,&quot;abstract&quot;:&quot;Strong spatial variation of rupture characteristics in the moment magnitude (Mw) 9.0 Tohoku-Okimegathrust earthquake controlled both the strength of shaking and the size of the tsunami thatfollowed. Finite-source imaging reveals that the rupture consisted of a small initial phase, deeprupture for up to 40 seconds, extensive shallow rupture at 60 to 70 seconds, and continuingdeep rupture lasting more than 100 seconds. A combination of a shallow dipping fault and acompliant hanging wall may have enabled large shallow slip near the trench. Normal faultingaftershocks in the area of high slip suggest dynamic overshoot on the fault. Despite prodigioustotal slip, shallower parts of the rupture weakly radiated at high frequencies, whereas deeperparts of the rupture radiated strongly at high frequencies&quot;,&quot;publisher&quot;:&quot;Blackwell Publishing Ltd&quot;,&quot;volume&quot;:&quot;332&quot;,&quot;container-title-short&quot;:&quot;J. Geophys. Res. Solid Earth&quot;},&quot;isTemporary&quot;:false}]},{&quot;citationID&quot;:&quot;MENDELEY_CITATION_6ebda710-fce3-40a5-b6e2-aabf5808277d&quot;,&quot;properties&quot;:{&quot;noteIndex&quot;:0},&quot;isEdited&quot;:false,&quot;manualOverride&quot;:{&quot;isManuallyOverridden&quot;:false,&quot;citeprocText&quot;:&quot;(Youngs and Coppersmith 1985)&quot;,&quot;manualOverrideText&quot;:&quot;&quot;},&quot;citationTag&quot;:&quot;MENDELEY_CITATION_v3_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&quot;,&quot;citationItems&quot;:[{&quot;id&quot;:&quot;4e3f1c72-9074-39e2-ab79-177f4dcb47d4&quot;,&quot;itemData&quot;:{&quot;type&quot;:&quot;article-journal&quot;,&quot;id&quot;:&quot;4e3f1c72-9074-39e2-ab79-177f4dcb47d4&quot;,&quot;title&quot;:&quot;Implications of fault slip rates and earthquake recurrence models to probabilistic seismic hazard estimates&quot;,&quot;author&quot;:[{&quot;family&quot;:&quot;Youngs&quot;,&quot;given&quot;:&quot;Robert R&quot;,&quot;parse-names&quot;:false,&quot;dropping-particle&quot;:&quot;&quot;,&quot;non-dropping-particle&quot;:&quot;&quot;},{&quot;family&quot;:&quot;Coppersmith&quot;,&quot;given&quot;:&quot;Kevin J&quot;,&quot;parse-names&quot;:false,&quot;dropping-particle&quot;:&quot;&quot;,&quot;non-dropping-particle&quot;:&quot;&quot;}],&quot;container-title&quot;:&quot;Bulletin of the Seismological Society of America&quot;,&quot;DOI&quot;:&quot;10.1785/BSSA0750040939&quot;,&quot;ISBN&quot;:&quot;0750040939&quot;,&quot;URL&quot;:&quot;http://pubs.geoscienceworld.org/ssa/bssa/article-pdf/75/4/939/5332825/bssa0750040939.pdf&quot;,&quot;issued&quot;:{&quot;date-parts&quot;:[[1985]]},&quot;page&quot;:&quot;939-964&quot;,&quot;abstract&quot;:&quot;Increasingly, fault slip rates are being used to constrain earthquake recurrence relationships for site-specific probabilistic seismic hazard (ground motion) assessments. This paper shows the sensitivity of seismic hazard assessments to variations in recurrence models and parameters that incorporate fault slip rates. Two models are considered to describe the partitioning of the slip rate or seismic moment rate into various magnitude earthquakes: an exponential magnitude distribution and a characteristic earthquake distribution. Assuming an expon~,.ltial distribution, the activity rate, N(m°), is constrained by the upper bound magnitude, m u, the b-value for the region and the fault slip rate, S. For a given S, variations in m u and b-value have significant effects on recurrence and computed hazard, depending on whether the assumption is made that the seismicity rate is constant or the moment rate is constant. There is increasing evidence that the characteristic earthquake model is more appropriate for individual faults than the exponential magnitude distribution. Based on seismicity data from areas having repeated large earthquakes, a generalized recurrence density function is developed, and the resulting recurrence relationship requires only m u, b-value, and S, A comparison of the recurrence relationships from this model with the historical seismicity and paleoseism-icity data on the Wasatch and San Andreas faults shows a good match. The computed hazard based on the characteristic earthquake model differs from that obtained for the exponential model as a function of the fault-to-site distance and the acceleration level. One check on the recurrence models using slip rate is to compare over large regions activity rates based on seismicity data and slip rate data. Such a comparison in the western Transverse Ranges shows a reasonable match for both the exponential and characteristic earthquake models in the moderate-to-large magnitude range.&quot;,&quot;issue&quot;:&quot;4&quot;,&quot;volume&quot;:&quot;75&quot;,&quot;container-title-short&quot;:&quot;&quot;},&quot;isTemporary&quot;:false}]},{&quot;citationID&quot;:&quot;MENDELEY_CITATION_90b47393-c1ea-46ba-a1f1-1822efc2868f&quot;,&quot;properties&quot;:{&quot;noteIndex&quot;:0},&quot;isEdited&quot;:false,&quot;manualOverride&quot;:{&quot;isManuallyOverridden&quot;:false,&quot;citeprocText&quot;:&quot;(Garnier et al. 2022; Maurer et al. 2025)&quot;,&quot;manualOverrideText&quot;:&quot;&quot;},&quot;citationTag&quot;:&quot;MENDELEY_CITATION_v3_eyJjaXRhdGlvbklEIjoiTUVOREVMRVlfQ0lUQVRJT05fOTBiNDczOTMtYzFlYS00NmJhLWExZjEtMTgyMmVmYzI4NjhmIiwicHJvcGVydGllcyI6eyJub3RlSW5kZXgiOjB9LCJpc0VkaXRlZCI6ZmFsc2UsIm1hbnVhbE92ZXJyaWRlIjp7ImlzTWFudWFsbHlPdmVycmlkZGVuIjpmYWxzZSwiY2l0ZXByb2NUZXh0IjoiKEdhcm5pZXIgZXQgYWwuIDIwMjI7IE1hdXJlciBldCBhbC4gMjAyNSkiLCJtYW51YWxPdmVycmlkZVRleHQiOiI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&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id&quot;:&quot;f722b328-2ddf-335b-8fa4-bbb274a1c821&quot;,&quot;itemData&quot;:{&quot;type&quot;:&quot;article-journal&quot;,&quot;id&quot;:&quot;f722b328-2ddf-335b-8fa4-bbb274a1c821&quot;,&quot;title&quot;:&quot;Deformation and earthquake potential on the North America - Caribbean - Cocos triple junction in Guatemala&quot;,&quot;author&quot;:[{&quot;family&quot;:&quot;Maurer&quot;,&quot;given&quot;:&quot;Jeremy&quot;,&quot;parse-names&quot;:false,&quot;dropping-particle&quot;:&quot;&quot;,&quot;non-dropping-particle&quot;:&quot;&quot;},{&quot;family&quot;:&quot;Eckert&quot;,&quot;given&quot;:&quot;Andreas&quot;,&quot;parse-names&quot;:false,&quot;dropping-particle&quot;:&quot;&quot;,&quot;non-dropping-particle&quot;:&quot;&quot;},{&quot;family&quot;:&quot;Sun&quot;,&quot;given&quot;:&quot;Qiaoqi&quot;,&quot;parse-names&quot;:false,&quot;dropping-particle&quot;:&quot;&quot;,&quot;non-dropping-particle&quot;:&quot;&quot;},{&quot;family&quot;:&quot;Obrist-Farner&quot;,&quot;given&quot;:&quot;Jonathan&quot;,&quot;parse-names&quot;:false,&quot;dropping-particle&quot;:&quot;&quot;,&quot;non-dropping-particle&quot;:&quot;&quot;}],&quot;container-title&quot;:&quot;ESS Open Archive&quot;,&quot;DOI&quot;:&quot;10.22541/essoar.175336982.28467707/v1&quot;,&quot;URL&quot;:&quot;https://essopenarchive.org/users/525948/articles/1318429-deformation-and-earthquake-potential-on-the-north-america-caribbean-cocos-triple-junction-in-guatemala?commit=7f5f1e2d7106b330b63af4b714048799b3eff3fd&quot;,&quot;issued&quot;:{&quot;date-parts&quot;:[[2025,7,24]]},&quot;container-title-short&quot;:&quot;&quot;},&quot;isTemporary&quot;:false}]},{&quot;citationID&quot;:&quot;MENDELEY_CITATION_20c736ce-2c06-4f30-b0be-4be21e099a82&quot;,&quot;properties&quot;:{&quot;noteIndex&quot;:0},&quot;isEdited&quot;:false,&quot;manualOverride&quot;:{&quot;isManuallyOverridden&quot;:false,&quot;citeprocText&quot;:&quot;(Arroyo-Solórzano et al. 2024; Tavakolizadeh et al. 2025)&quot;,&quot;manualOverrideText&quot;:&quot;&quot;},&quot;citationTag&quot;:&quot;MENDELEY_CITATION_v3_eyJjaXRhdGlvbklEIjoiTUVOREVMRVlfQ0lUQVRJT05fMjBjNzM2Y2UtMmMwNi00ZjMwLWIwYmUtNGJlMjFlMDk5YTgyIiwicHJvcGVydGllcyI6eyJub3RlSW5kZXgiOjB9LCJpc0VkaXRlZCI6ZmFsc2UsIm1hbnVhbE92ZXJyaWRlIjp7ImlzTWFudWFsbHlPdmVycmlkZGVuIjpmYWxzZSwiY2l0ZXByb2NUZXh0IjoiKEFycm95by1Tb2zDs3J6YW5vIGV0IGFsLiAyMDI0OyBUYXZha29saXphZGVoIGV0IGFsLiAyMDI1KSIsIm1hbnVhbE92ZXJyaWRlVGV4dCI6Ii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&quot;,&quot;citationItems&quot;:[{&quot;id&quot;:&quot;0b2cc835-2682-3029-a71f-2035f628ab57&quot;,&quot;itemData&quot;:{&quot;type&quot;:&quot;article-journal&quot;,&quot;id&quot;:&quot;0b2cc835-2682-3029-a71f-2035f628ab57&quot;,&quot;title&quot;:&quot;Empirical earthquake source scaling relations for maximum magnitudes estimations in Central America&quot;,&quot;author&quot;:[{&quot;family&quot;:&quot;Arroyo-Solórzano&quot;,&quot;given&quot;:&quot;Mario&quot;,&quot;parse-names&quot;:false,&quot;dropping-particle&quot;:&quot;&quot;,&quot;non-dropping-particle&quot;:&quot;&quot;},{&quot;family&quot;:&quot;Benito&quot;,&quot;given&quot;:&quot;María Belen&quot;,&quot;parse-names&quot;:false,&quot;dropping-particle&quot;:&quot;&quot;,&quot;non-dropping-particle&quot;:&quot;&quot;},{&quot;family&quot;:&quot;Alvarado&quot;,&quot;given&quot;:&quot;Guillermo E.&quot;,&quot;parse-names&quot;:false,&quot;dropping-particle&quot;:&quot;&quot;,&quot;non-dropping-particle&quot;:&quot;&quot;},{&quot;family&quot;:&quot;Climent&quot;,&quot;given&quot;:&quot;Alvaro&quot;,&quot;parse-names&quot;:false,&quot;dropping-particle&quot;:&quot;&quot;,&quot;non-dropping-particle&quot;:&quot;&quot;}],&quot;container-title&quot;:&quot;Bulletin of the Seismological Society of America&quot;,&quot;DOI&quot;:&quot;10.1785/0120230100&quot;,&quot;ISSN&quot;:&quot;19433573&quot;,&quot;issued&quot;:{&quot;date-parts&quot;:[[2024,6,1]]},&quot;page&quot;:&quot;1539-1567&quot;,&quot;abstract&quot;:&quot;Central America is a seismically active region where six tectonic plates (North America, Caribbean, Cocos, Nazca, Panama, and South America) interact in a subduction zone with transform faults and two triple points. This complex tectonic setting makes the maximum magnitude—Mmax —estimation a challenging task, with the crustal fault earthquakes being the most damaging in the seismic history of Central America. The empirical source scaling relations (ESSR) allow the Mmax of faults to be determined from rupture parameters. In this study, we use a dataset of well-characterized earthquakes in the region, comprising 64 events from 1972 to 2021 with magnitudes between Mw 4.1 and 7.7. The dataset incorporates records of rupture parameters (length, width, area, slip, and magnitude) and information on the faults and aftershocks associated. This database is an important product in itself, and through its use we determine which global relations fit best to our data via a residual analysis. Moreover, based on the best-quality records, we develop scaling relations for Central America (CA-ESSR) for rupture length, width, and area. These new relations were tested and compared with recent earthquakes, and logic trees are proposed to combine the CA-ESSR and the best-fit global relations. Therefore, we estimate the Mmax for 30 faults using the logic tree for rupture length, considering a total rupture of the fault and multifault scenarios. Our results suggest that in Central America rupture areas larger than other regions are required to generate the same magnitudes. We associate this with the shear modulus (μ), which seems to be lower (∼ 30% less) than the global mean values for crustal rocks. Furthermore, considering multifault ruptures, we found several fault systems with potential Mmax ≥ Mw 7.0. These findings contribute to a better understanding of regional seismotec-tonics and to the efficient characterization of fault rupture models for seismic hazards.&quot;,&quot;publisher&quot;:&quot;Seismological Society of America&quot;,&quot;issue&quot;:&quot;3&quot;,&quot;volume&quot;:&quot;114&quot;,&quot;container-title-short&quot;:&quot;&quot;},&quot;isTemporary&quot;:false},{&quot;id&quot;:&quot;0e226162-755b-35d0-ad58-32dabf4c23d2&quot;,&quot;itemData&quot;:{&quot;type&quot;:&quot;article-journal&quot;,&quot;id&quot;:&quot;0e226162-755b-35d0-ad58-32dabf4c23d2&quot;,&quot;title&quot;:&quot;FQSHA: An open-source Python software for fault-based seismic hazard assessment&quot;,&quot;author&quot;:[{&quot;family&quot;:&quot;Tavakolizadeh&quot;,&quot;given&quot;:&quot;Nasrin&quot;,&quot;parse-names&quot;:false,&quot;dropping-particle&quot;:&quot;&quot;,&quot;non-dropping-particle&quot;:&quot;&quot;},{&quot;family&quot;:&quot;Mohammadigheymasi&quot;,&quot;given&quot;:&quot;Hamzeh&quot;,&quot;parse-names&quot;:false,&quot;dropping-particle&quot;:&quot;&quot;,&quot;non-dropping-particle&quot;:&quot;&quot;},{&quot;family&quot;:&quot;Pombo&quot;,&quot;given&quot;:&quot;Nuno&quot;,&quot;parse-names&quot;:false,&quot;dropping-particle&quot;:&quot;&quot;,&quot;non-dropping-particle&quot;:&quot;&quot;}],&quot;container-title&quot;:&quot;SoftwareX&quot;,&quot;container-title-short&quot;:&quot;SoftwareX&quot;,&quot;DOI&quot;:&quot;10.1016/j.softx.2025.102339&quot;,&quot;ISSN&quot;:&quot;23527110&quot;,&quot;issued&quot;:{&quot;date-parts&quot;:[[2025,12,1]]},&quot;abstract&quot;:&quot;The PyQt framework facilitates the development of desktop applications, offering an effective environment for implementing scientific algorithms while leveraging the flexibility of Python. In this paper, we introduce FQSHA, a PyQt5-based application designed to streamline the workflow of fault-based Seismic Activity Rate (SAR) calculation and seismic hazard assessment. The primary aim is to provide a unified and user-friendly interface that makes these processes more accessible. FQSHA enables users to perform hazard calculations and map the results from scratch using minimal input data and requiring only basic knowledge of hazard computation engines. The SAR calculation core (FaultQuake) is seamlessly integrated with the hazard assessment engine (OpenQuake), offering additional flexibility to customize input parameters for hazard analysis. This integration supports an end-to-end workflow within a single software utilizing a user-friendly GUI. We present the architecture of FQSHA and demonstrate its capabilities through a hands-on example, which is publicly available on GitHub.&quot;,&quot;publisher&quot;:&quot;Elsevier B.V.&quot;,&quot;volume&quot;:&quot;32&quot;},&quot;isTemporary&quot;:false}]},{&quot;citationID&quot;:&quot;MENDELEY_CITATION_5ceff129-4a85-452b-a3b9-04b956f3b52c&quot;,&quot;properties&quot;:{&quot;noteIndex&quot;:0},&quot;isEdited&quot;:false,&quot;manualOverride&quot;:{&quot;isManuallyOverridden&quot;:false,&quot;citeprocText&quot;:&quot;(Garnier et al. 2022)&quot;,&quot;manualOverrideText&quot;:&quot;&quot;},&quot;citationTag&quot;:&quot;MENDELEY_CITATION_v3_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&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31476a18-52a8-496e-9f23-f2967960f95e&quot;,&quot;properties&quot;:{&quot;noteIndex&quot;:0},&quot;isEdited&quot;:false,&quot;manualOverride&quot;:{&quot;isManuallyOverridden&quot;:false,&quot;citeprocText&quot;:&quot;(Avouac 2015; Özdemir et al. 2025)&quot;,&quot;manualOverrideText&quot;:&quot;&quot;},&quot;citationTag&quot;:&quot;MENDELEY_CITATION_v3_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&quot;,&quot;citationItems&quot;:[{&quot;id&quot;:&quot;720bb2fe-24af-33ba-9dca-9a9b22546f25&quot;,&quot;itemData&quot;:{&quot;type&quot;:&quot;article-journal&quot;,&quot;id&quot;:&quot;720bb2fe-24af-33ba-9dca-9a9b22546f25&quot;,&quot;title&quot;:&quot;Detecting Millimetric Slow Slip Events Along the North Anatolian Fault With GNSS&quot;,&quot;author&quot;:[{&quot;family&quot;:&quot;Özdemir&quot;,&quot;given&quot;:&quot;Alpay&quot;,&quot;parse-names&quot;:false,&quot;dropping-particle&quot;:&quot;&quot;,&quot;non-dropping-particle&quot;:&quot;&quot;},{&quot;family&quot;:&quot;Jara&quot;,&quot;given&quot;:&quot;Jorge&quot;,&quot;parse-names&quot;:false,&quot;dropping-particle&quot;:&quot;&quot;,&quot;non-dropping-particle&quot;:&quot;&quot;},{&quot;family&quot;:&quot;Doğan&quot;,&quot;given&quot;:&quot;Uğur&quot;,&quot;parse-names&quot;:false,&quot;dropping-particle&quot;:&quot;&quot;,&quot;non-dropping-particle&quot;:&quot;&quot;},{&quot;family&quot;:&quot;Jolivet&quot;,&quot;given&quot;:&quot;Romain&quot;,&quot;parse-names&quot;:false,&quot;dropping-particle&quot;:&quot;&quot;,&quot;non-dropping-particle&quot;:&quot;&quot;},{&quot;family&quot;:&quot;Çakir&quot;,&quot;given&quot;:&quot;Ziyadin&quot;,&quot;parse-names&quot;:false,&quot;dropping-particle&quot;:&quot;&quot;,&quot;non-dropping-particle&quot;:&quot;&quot;},{&quot;family&quot;:&quot;Nocquet&quot;,&quot;given&quot;:&quot;Jean Mathieu&quot;,&quot;parse-names&quot;:false,&quot;dropping-particle&quot;:&quot;&quot;,&quot;non-dropping-particle&quot;:&quot;&quot;},{&quot;family&quot;:&quot;Ergintav&quot;,&quot;given&quot;:&quot;Semih&quot;,&quot;parse-names&quot;:false,&quot;dropping-particle&quot;:&quot;&quot;,&quot;non-dropping-particle&quot;:&quot;&quot;},{&quot;family&quot;:&quot;Bilham&quot;,&quot;given&quot;:&quot;Roger&quot;,&quot;parse-names&quot;:false,&quot;dropping-particle&quot;:&quot;&quot;,&quot;non-dropping-particle&quot;:&quot;&quot;}],&quot;container-title&quot;:&quot;Geophysical Research Letters&quot;,&quot;container-title-short&quot;:&quot;Geophys. Res. Lett.&quot;,&quot;DOI&quot;:&quot;10.1029/2024GL111428&quot;,&quot;ISSN&quot;:&quot;19448007&quot;,&quot;issued&quot;:{&quot;date-parts&quot;:[[2025,5,28]]},&quot;abstract&quot;:&quot;Active faults release part of the elastic strain energy stored in the crust via aseismic slip, either through slow slip events (SSEs) or steady slowly creep. However, spatial and temporal interactions between these different styles of aseismic slip have yet to be quantified especially at depth. Along the central section of the North Anatolian Fault, we apply a Multichannel Singular Spectrum Analysis (MSSA) on GNSS time series of ground motion to detect a (Formula presented.) 4.8 (Formula presented.) 0.08 shallow SSE (2–5 km depth) lasting for 26 (Formula presented.) 5 days, in agreement with local creepmeter observations. Our observations confirm the recurrence of SSEs next to a steadily creeping section of the fault. Finally, we discuss how steady creep and SSEs interact spatially and temporally along the fault segment.&quot;,&quot;publisher&quot;:&quot;John Wiley and Sons Inc&quot;,&quot;issue&quot;:&quot;10&quot;,&quot;volume&quot;:&quot;52&quot;},&quot;isTemporary&quot;:false},{&quot;id&quot;:&quot;82cff335-164e-3f07-bd8a-0910252e999f&quot;,&quot;itemData&quot;:{&quot;type&quot;:&quot;article-journal&quot;,&quot;id&quot;:&quot;82cff335-164e-3f07-bd8a-0910252e999f&quot;,&quot;title&quot;:&quot;From geodetic imaging of seismic and aseismic fault slip to dynamic modeling of the seismic cycle&quot;,&quot;author&quot;:[{&quot;family&quot;:&quot;Avouac&quot;,&quot;given&quot;:&quot;Jean Philippe&quot;,&quot;parse-names&quot;:false,&quot;dropping-particle&quot;:&quot;&quot;,&quot;non-dropping-particle&quot;:&quot;&quot;}],&quot;container-title&quot;:&quot;Annual Review of Earth and Planetary Sciences&quot;,&quot;container-title-short&quot;:&quot;Annu. Rev. Earth Planet. Sci.&quot;,&quot;DOI&quot;:&quot;10.1146/annurev-earth-060614-105302&quot;,&quot;ISSN&quot;:&quot;00846597&quot;,&quot;issued&quot;:{&quot;date-parts&quot;:[[2015,5,30]]},&quot;page&quot;:&quot;233-271&quot;,&quot;abstract&quot;:&quot;Understanding the partitioning of seismic and aseismic fault slip is central to seismotectonics as it ultimately determines the seismic potential of faults. Thanks to advances in tectonic geodesy, it is now possible to develop kinematic models of the spatiotemporal evolution of slip over the seismic cycle and to determine the budget of seismic and aseismic slip. Studies of subduction zones and continental faults have shown that aseismic creep is common and sometimes prevalent within the seismogenic depth range. Interseismic coupling is generally observed to be spatially heterogeneous, defining locked patches of stress accumulation, to be released in future earthquakes or aseismic transients, surrounded by creeping areas. Clay-rich tectonites, high temperature, and elevated pore-fluid pressure seem to be key factors promoting aseismic creep. The generally logarithmic time evolution of afterslip is a distinctive feature of creeping faults that suggests a logarithmic dependency of fault friction on slip rate, as observed in laboratory friction experiments. Most faults can be considered to be paved with interlaced patches where the friction law is either rate-strengthening, inhibiting seismic rupture propagation, or rate-weakening, allowing for earthquake nucleation. The rate-weakening patches act as asperities on which stress builds up in the interseismic period; they might rupture collectively in a variety of ways. The pattern of interseismic coupling can help constrain the return period of the maximum- magnitude earthquake based on the requirement that seismic and aseismic slip sum to match long-term slip. Dynamic models of the seismic cycle based on this conceptual model can be tuned to reproduce geodetic and seismological observations. The promise and pitfalls of using such models to assess seismic hazard are discussed.&quot;,&quot;publisher&quot;:&quot;Annual Reviews Inc.&quot;,&quot;volume&quot;:&quot;43&quot;},&quot;isTemporary&quot;:false}]},{&quot;citationID&quot;:&quot;MENDELEY_CITATION_a6a59349-5c54-4c08-8333-3567b1852d01&quot;,&quot;properties&quot;:{&quot;noteIndex&quot;:0},&quot;isEdited&quot;:false,&quot;manualOverride&quot;:{&quot;isManuallyOverridden&quot;:false,&quot;citeprocText&quot;:&quot;(Obrist-Farner et al. 2025)&quot;,&quot;manualOverrideText&quot;:&quot;&quot;},&quot;citationTag&quot;:&quot;MENDELEY_CITATION_v3_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&quot;,&quot;citationItems&quot;:[{&quot;id&quot;:&quot;71623c07-8250-338f-a38b-8ea5bf52d4b3&quot;,&quot;itemData&quot;:{&quot;type&quot;:&quot;article-journal&quot;,&quot;id&quot;:&quot;71623c07-8250-338f-a38b-8ea5bf52d4b3&quot;,&quot;title&quot;:&quot;Paleoseismic evidence of directivity for the 1976 Mw 7.5 Motagua earthquake, Guatemala&quot;,&quot;author&quot;:[{&quot;family&quot;:&quot;Obrist-Farner&quot;,&quot;given&quot;:&quot;Jonathan&quot;,&quot;parse-names&quot;:false,&quot;dropping-particle&quot;:&quot;&quot;,&quot;non-dropping-particle&quot;:&quot;&quot;},{&quot;family&quot;:&quot;Maurer&quot;,&quot;given&quot;:&quot;Jeremy&quot;,&quot;parse-names&quot;:false,&quot;dropping-particle&quot;:&quot;&quot;,&quot;non-dropping-particle&quot;:&quot;&quot;},{&quot;family&quot;:&quot;Gibson&quot;,&quot;given&quot;:&quot;Derek&quot;,&quot;parse-names&quot;:false,&quot;dropping-particle&quot;:&quot;&quot;,&quot;non-dropping-particle&quot;:&quot;&quot;},{&quot;family&quot;:&quot;McEnaney&quot;,&quot;given&quot;:&quot;Trenton&quot;,&quot;parse-names&quot;:false,&quot;dropping-particle&quot;:&quot;&quot;,&quot;non-dropping-particle&quot;:&quot;&quot;},{&quot;family&quot;:&quot;Eckert&quot;,&quot;given&quot;:&quot;Andreas&quot;,&quot;parse-names&quot;:false,&quot;dropping-particle&quot;:&quot;&quot;,&quot;non-dropping-particle&quot;:&quot;&quot;},{&quot;family&quot;:&quot;Kenney&quot;,&quot;given&quot;:&quot;William F.&quot;,&quot;parse-names&quot;:false,&quot;dropping-particle&quot;:&quot;&quot;,&quot;non-dropping-particle&quot;:&quot;&quot;},{&quot;family&quot;:&quot;Beeson&quot;,&quot;given&quot;:&quot;Jeffery&quot;,&quot;parse-names&quot;:false,&quot;dropping-particle&quot;:&quot;&quot;,&quot;non-dropping-particle&quot;:&quot;&quot;},{&quot;family&quot;:&quot;Wattrus&quot;,&quot;given&quot;:&quot;Nigel&quot;,&quot;parse-names&quot;:false,&quot;dropping-particle&quot;:&quot;&quot;,&quot;non-dropping-particle&quot;:&quot;&quot;},{&quot;family&quot;:&quot;Stangeland&quot;,&quot;given&quot;:&quot;Quin&quot;,&quot;parse-names&quot;:false,&quot;dropping-particle&quot;:&quot;&quot;,&quot;non-dropping-particle&quot;:&quot;&quot;},{&quot;family&quot;:&quot;Reyes&quot;,&quot;given&quot;:&quot;Fatima&quot;,&quot;parse-names&quot;:false,&quot;dropping-particle&quot;:&quot;&quot;,&quot;non-dropping-particle&quot;:&quot;&quot;}],&quot;container-title&quot;:&quot;Geology&quot;,&quot;container-title-short&quot;:&quot;Geology&quot;,&quot;DOI&quot;:&quot;10.1130/g53449.1&quot;,&quot;ISSN&quot;:&quot;0091-7613&quot;,&quot;issued&quot;:{&quot;date-parts&quot;:[[2025,11,1]]},&quot;abstract&quot;:&quot;On 4 February 1976, a Mw 7.5 earthquake along the Motagua fault, Guatemala, ruptured ∼230 km of the North American and Caribbean plate boundary. Today, the plate boundary remains poorly monitored, and the 1976 earthquake is still not fully understood. Here, we present seismic reflection profiles and radiometrically dated sediment core data from six lakes around the Motagua fault, together with reports of destruction and a quasi-dynamic rupture model, which show that the 1976 earthquake experienced strong directivity that impacted the distribution of shaking. The earthquake left behind a detailed record of event deposits (EDs) in five of the six study lakes. Thicker EDs are present in Lake Atitlán, near the terminus of the earthquake rupture, whereas thinner EDs were found in lakes off-axis of the rupture direction. We argue that EDs can be utilized to constrain asymmetrical distribution of shaking during earthquakes and that paleoseismic studies should consider directivity as a factor controlling the thickness of EDs.&quot;,&quot;publisher&quot;:&quot;Geological Society of America&quot;},&quot;isTemporary&quot;:false}]},{&quot;citationID&quot;:&quot;MENDELEY_CITATION_f4c4bfec-c602-4b80-8457-e9be5f062ff6&quot;,&quot;properties&quot;:{&quot;noteIndex&quot;:0},&quot;isEdited&quot;:false,&quot;manualOverride&quot;:{&quot;isManuallyOverridden&quot;:false,&quot;citeprocText&quot;:&quot;(Garnier et al. 2022; Maurer et al. 2025)&quot;,&quot;manualOverrideText&quot;:&quot;&quot;},&quot;citationTag&quot;:&quot;MENDELEY_CITATION_v3_eyJjaXRhdGlvbklEIjoiTUVOREVMRVlfQ0lUQVRJT05fZjRjNGJmZWMtYzYwMi00YjgwLTg0NTctZTliZTVmMDYyZmY2IiwicHJvcGVydGllcyI6eyJub3RlSW5kZXgiOjB9LCJpc0VkaXRlZCI6ZmFsc2UsIm1hbnVhbE92ZXJyaWRlIjp7ImlzTWFudWFsbHlPdmVycmlkZGVuIjpmYWxzZSwiY2l0ZXByb2NUZXh0IjoiKEdhcm5pZXIgZXQgYWwuIDIwMjI7IE1hdXJlciBldCBhbC4gMjAyNSkiLCJtYW51YWxPdmVycmlkZVRleHQiOiI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&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id&quot;:&quot;f722b328-2ddf-335b-8fa4-bbb274a1c821&quot;,&quot;itemData&quot;:{&quot;type&quot;:&quot;article-journal&quot;,&quot;id&quot;:&quot;f722b328-2ddf-335b-8fa4-bbb274a1c821&quot;,&quot;title&quot;:&quot;Deformation and earthquake potential on the North America - Caribbean - Cocos triple junction in Guatemala&quot;,&quot;author&quot;:[{&quot;family&quot;:&quot;Maurer&quot;,&quot;given&quot;:&quot;Jeremy&quot;,&quot;parse-names&quot;:false,&quot;dropping-particle&quot;:&quot;&quot;,&quot;non-dropping-particle&quot;:&quot;&quot;},{&quot;family&quot;:&quot;Eckert&quot;,&quot;given&quot;:&quot;Andreas&quot;,&quot;parse-names&quot;:false,&quot;dropping-particle&quot;:&quot;&quot;,&quot;non-dropping-particle&quot;:&quot;&quot;},{&quot;family&quot;:&quot;Sun&quot;,&quot;given&quot;:&quot;Qiaoqi&quot;,&quot;parse-names&quot;:false,&quot;dropping-particle&quot;:&quot;&quot;,&quot;non-dropping-particle&quot;:&quot;&quot;},{&quot;family&quot;:&quot;Obrist-Farner&quot;,&quot;given&quot;:&quot;Jonathan&quot;,&quot;parse-names&quot;:false,&quot;dropping-particle&quot;:&quot;&quot;,&quot;non-dropping-particle&quot;:&quot;&quot;}],&quot;container-title&quot;:&quot;ESS Open Archive&quot;,&quot;DOI&quot;:&quot;10.22541/essoar.175336982.28467707/v1&quot;,&quot;URL&quot;:&quot;https://essopenarchive.org/users/525948/articles/1318429-deformation-and-earthquake-potential-on-the-north-america-caribbean-cocos-triple-junction-in-guatemala?commit=7f5f1e2d7106b330b63af4b714048799b3eff3fd&quot;,&quot;issued&quot;:{&quot;date-parts&quot;:[[2025,7,24]]},&quot;container-title-short&quot;:&quot;&quot;},&quot;isTemporary&quot;:false}]},{&quot;citationID&quot;:&quot;MENDELEY_CITATION_485f77fd-1a90-411b-94fb-af84b98df6ec&quot;,&quot;properties&quot;:{&quot;noteIndex&quot;:0},&quot;isEdited&quot;:false,&quot;manualOverride&quot;:{&quot;isManuallyOverridden&quot;:false,&quot;citeprocText&quot;:&quot;(Alvarado et al. 2017)&quot;,&quot;manualOverrideText&quot;:&quot;&quot;},&quot;citationTag&quot;:&quot;MENDELEY_CITATION_v3_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&quot;,&quot;citationItems&quot;:[{&quot;id&quot;:&quot;a383ac92-8892-3732-a6b6-a2949a053f8d&quot;,&quot;itemData&quot;:{&quot;type&quot;:&quot;article-journal&quot;,&quot;id&quot;:&quot;a383ac92-8892-3732-a6b6-a2949a053f8d&quot;,&quot;title&quot;:&quot;The new Central American seismic hazard zonation: Mutual consensus based on up to day seismotectonic framework&quot;,&quot;author&quot;:[{&quot;family&quot;:&quot;Alvarado&quot;,&quot;given&quot;:&quot;Guillermo E.&quot;,&quot;parse-names&quot;:false,&quot;dropping-particle&quot;:&quot;&quot;,&quot;non-dropping-particle&quot;:&quot;&quot;},{&quot;family&quot;:&quot;Benito&quot;,&quot;given&quot;:&quot;Belén&quot;,&quot;parse-names&quot;:false,&quot;dropping-particle&quot;:&quot;&quot;,&quot;non-dropping-particle&quot;:&quot;&quot;},{&quot;family&quot;:&quot;Staller&quot;,&quot;given&quot;:&quot;Alejandra&quot;,&quot;parse-names&quot;:false,&quot;dropping-particle&quot;:&quot;&quot;,&quot;non-dropping-particle&quot;:&quot;&quot;},{&quot;family&quot;:&quot;Climent&quot;,&quot;given&quot;:&quot;Álvaro&quot;,&quot;parse-names&quot;:false,&quot;dropping-particle&quot;:&quot;&quot;,&quot;non-dropping-particle&quot;:&quot;&quot;},{&quot;family&quot;:&quot;Camacho&quot;,&quot;given&quot;:&quot;Eduardo&quot;,&quot;parse-names&quot;:false,&quot;dropping-particle&quot;:&quot;&quot;,&quot;non-dropping-particle&quot;:&quot;&quot;},{&quot;family&quot;:&quot;Rojas&quot;,&quot;given&quot;:&quot;Wilfredo&quot;,&quot;parse-names&quot;:false,&quot;dropping-particle&quot;:&quot;&quot;,&quot;non-dropping-particle&quot;:&quot;&quot;},{&quot;family&quot;:&quot;Marroquín&quot;,&quot;given&quot;:&quot;Griselda&quot;,&quot;parse-names&quot;:false,&quot;dropping-particle&quot;:&quot;&quot;,&quot;non-dropping-particle&quot;:&quot;&quot;},{&quot;family&quot;:&quot;Molina&quot;,&quot;given&quot;:&quot;Enrique&quot;,&quot;parse-names&quot;:false,&quot;dropping-particle&quot;:&quot;&quot;,&quot;non-dropping-particle&quot;:&quot;&quot;},{&quot;family&quot;:&quot;Talavera&quot;,&quot;given&quot;:&quot;J. Emilio&quot;,&quot;parse-names&quot;:false,&quot;dropping-particle&quot;:&quot;&quot;,&quot;non-dropping-particle&quot;:&quot;&quot;},{&quot;family&quot;:&quot;Martínez-Cuevas&quot;,&quot;given&quot;:&quot;Sandra&quot;,&quot;parse-names&quot;:false,&quot;dropping-particle&quot;:&quot;&quot;,&quot;non-dropping-particle&quot;:&quot;&quot;},{&quot;family&quot;:&quot;Lindholm&quot;,&quot;given&quot;:&quot;Conrad&quot;,&quot;parse-names&quot;:false,&quot;dropping-particle&quot;:&quot;&quot;,&quot;non-dropping-particle&quot;:&quot;&quot;}],&quot;container-title&quot;:&quot;Tectonophysics&quot;,&quot;DOI&quot;:&quot;10.1016/j.tecto.2017.10.013&quot;,&quot;ISSN&quot;:&quot;00401951&quot;,&quot;issued&quot;:{&quot;date-parts&quot;:[[2017,11,28]]},&quot;page&quot;:&quot;462-476&quot;,&quot;abstract&quot;:&quot;Central America is one of the most active seismic zones in the World, due to the interaction of five tectonic plates (North America, Caribbean, Coco, Nazca and South America), and its internal deformation, which generates almost one destructive earthquakes (5.4 ≤ Mw ≤ 8.1) every year. A new seismological zonation for Central America is proposed based on seismotectonic framework, a geological context (tectonic and geological maps), geophysical and geodetic evidence (gravimetric maps, magnetometric, GPS observations), and previous works. As a main source of data a depurated earthquake catalog was collected covering the period from 1522 to 2015. This catalog was homogenized to a moment magnitude scale (Mw). After a careful analysis of all the integrated geological and seismological information, the seismogenic zones were established into seismic areas defined by similar patterns of faulting, seismicity, and rupture mechanism. The tectonic environment has required considering seismic zones in two particular seismological regimes: a) crustal faulting (including local faults, major fracture zones of plate boundary limits, and thrust fault of deformed belts) and b) subduction, taking into account the change in the subduction angle along the trench, and the type and location of the rupture. The seismicity in the subduction zone is divided into interplate and intraplate inslab seismicity. The regional seismic zonation proposed for the whole of Central America, include local seismic zonations, avoiding discontinuities at the national boundaries, because of a consensus between the 7 countries, based on the cooperative work of specialists on Central American seismotectonics and related topics.&quot;,&quot;publisher&quot;:&quot;Elsevier B.V.&quot;,&quot;volume&quot;:&quot;721&quot;,&quot;container-title-short&quot;:&quot;Tectonophysics&quot;},&quot;isTemporary&quot;:false}]},{&quot;citationID&quot;:&quot;MENDELEY_CITATION_62401a45-bbe0-4297-8dc9-b6287dec71e8&quot;,&quot;properties&quot;:{&quot;noteIndex&quot;:0},&quot;isEdited&quot;:false,&quot;manualOverride&quot;:{&quot;isManuallyOverridden&quot;:false,&quot;citeprocText&quot;:&quot;(Field et al. 2014; Scotti et al. 2021)&quot;,&quot;manualOverrideText&quot;:&quot;&quot;},&quot;citationTag&quot;:&quot;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&quot;,&quot;citationItems&quot;:[{&quot;id&quot;:&quot;35004190-5631-316e-af2e-0a744755c5e3&quot;,&quot;itemData&quot;:{&quot;type&quot;:&quot;article-journal&quot;,&quot;id&quot;:&quot;35004190-5631-316e-af2e-0a744755c5e3&quot;,&quot;title&quot;:&quot;Uniform California Earthquake Rupture Forecast, Version 3 (UCERF3)—The Time‐Independent Model&quot;,&quot;author&quot;:[{&quot;family&quot;:&quot;Field&quot;,&quot;given&quot;:&quot;Edward H&quot;,&quot;parse-names&quot;:false,&quot;dropping-particle&quot;:&quot;&quot;,&quot;non-dropping-particle&quot;:&quot;&quot;},{&quot;family&quot;:&quot;Arrowsmith&quot;,&quot;given&quot;:&quot;Ramon J&quot;,&quot;parse-names&quot;:false,&quot;dropping-particle&quot;:&quot;&quot;,&quot;non-dropping-particle&quot;:&quot;&quot;},{&quot;family&quot;:&quot;Biasi&quot;,&quot;given&quot;:&quot;Glenn P&quot;,&quot;parse-names&quot;:false,&quot;dropping-particle&quot;:&quot;&quot;,&quot;non-dropping-particle&quot;:&quot;&quot;},{&quot;family&quot;:&quot;Bird&quot;,&quot;given&quot;:&quot;Peter&quot;,&quot;parse-names&quot;:false,&quot;dropping-particle&quot;:&quot;&quot;,&quot;non-dropping-particle&quot;:&quot;&quot;},{&quot;family&quot;:&quot;Dawson&quot;,&quot;given&quot;:&quot;Timothy E&quot;,&quot;parse-names&quot;:false,&quot;dropping-particle&quot;:&quot;&quot;,&quot;non-dropping-particle&quot;:&quot;&quot;},{&quot;family&quot;:&quot;Felzer&quot;,&quot;given&quot;:&quot;Karen R&quot;,&quot;parse-names&quot;:false,&quot;dropping-particle&quot;:&quot;&quot;,&quot;non-dropping-particle&quot;:&quot;&quot;},{&quot;family&quot;:&quot;Jackson&quot;,&quot;given&quot;:&quot;David D&quot;,&quot;parse-names&quot;:false,&quot;dropping-particle&quot;:&quot;&quot;,&quot;non-dropping-particle&quot;:&quot;&quot;},{&quot;family&quot;:&quot;Johnson&quot;,&quot;given&quot;:&quot;Kaj M&quot;,&quot;parse-names&quot;:false,&quot;dropping-particle&quot;:&quot;&quot;,&quot;non-dropping-particle&quot;:&quot;&quot;},{&quot;family&quot;:&quot;Jordan&quot;,&quot;given&quot;:&quot;Thomas H&quot;,&quot;parse-names&quot;:false,&quot;dropping-particle&quot;:&quot;&quot;,&quot;non-dropping-particle&quot;:&quot;&quot;},{&quot;family&quot;:&quot;Madden&quot;,&quot;given&quot;:&quot;Christopher&quot;,&quot;parse-names&quot;:false,&quot;dropping-particle&quot;:&quot;&quot;,&quot;non-dropping-particle&quot;:&quot;&quot;},{&quot;family&quot;:&quot;Michael&quot;,&quot;given&quot;:&quot;Andrew J&quot;,&quot;parse-names&quot;:false,&quot;dropping-particle&quot;:&quot;&quot;,&quot;non-dropping-particle&quot;:&quot;&quot;},{&quot;family&quot;:&quot;Milner&quot;,&quot;given&quot;:&quot;Kevin R&quot;,&quot;parse-names&quot;:false,&quot;dropping-particle&quot;:&quot;&quot;,&quot;non-dropping-particle&quot;:&quot;&quot;},{&quot;family&quot;:&quot;Page&quot;,&quot;given&quot;:&quot;Morgan T&quot;,&quot;parse-names&quot;:false,&quot;dropping-particle&quot;:&quot;&quot;,&quot;non-dropping-particle&quot;:&quot;&quot;},{&quot;family&quot;:&quot;Parsons&quot;,&quot;given&quot;:&quot;Tom&quot;,&quot;parse-names&quot;:false,&quot;dropping-particle&quot;:&quot;&quot;,&quot;non-dropping-particle&quot;:&quot;&quot;},{&quot;family&quot;:&quot;Powers&quot;,&quot;given&quot;:&quot;Peter M&quot;,&quot;parse-names&quot;:false,&quot;dropping-particle&quot;:&quot;&quot;,&quot;non-dropping-particle&quot;:&quot;&quot;},{&quot;family&quot;:&quot;Shaw&quot;,&quot;given&quot;:&quot;Bruce E&quot;,&quot;parse-names&quot;:false,&quot;dropping-particle&quot;:&quot;&quot;,&quot;non-dropping-particle&quot;:&quot;&quot;},{&quot;family&quot;:&quot;Thatcher&quot;,&quot;given&quot;:&quot;Wayne R&quot;,&quot;parse-names&quot;:false,&quot;dropping-particle&quot;:&quot;&quot;,&quot;non-dropping-particle&quot;:&quot;&quot;},{&quot;family&quot;:&quot;Weldon II&quot;,&quot;given&quot;:&quot;Ray J&quot;,&quot;parse-names&quot;:false,&quot;dropping-particle&quot;:&quot;&quot;,&quot;non-dropping-particle&quot;:&quot;&quot;},{&quot;family&quot;:&quot;Zeng&quot;,&quot;given&quot;:&quot;Yuehua&quot;,&quot;parse-names&quot;:false,&quot;dropping-particle&quot;:&quot;&quot;,&quot;non-dropping-particle&quot;:&quot;&quot;}],&quot;container-title&quot;:&quot;Bulletin of the Seismological Society of America&quot;,&quot;DOI&quot;:&quot;10.1785/0120130164&quot;,&quot;ISSN&quot;:&quot;0037-1106&quot;,&quot;URL&quot;:&quot;https://doi.org/10.1785/0120130164&quot;,&quot;issued&quot;:{&quot;date-parts&quot;:[[2014,6,1]]},&quot;page&quot;:&quot;1122-1180&quot;,&quot;abstract&quot;:&quot;The 2014 Working Group on California Earthquake Probabilities (WGCEP14) present the time‐independent component of the Uniform California Earthquake Rupture Forecast, Version 3 (UCERF3), which provides authoritative estimates of the magnitude, location, and time‐averaged frequency of potentially damaging earthquakes in California. The primary achievements have been to relax fault segmentation and include multifault ruptures, both limitations of UCERF2. The rates of all earthquakes are solved for simultaneously and from a broader range of data, using a system‐level inversion that is both conceptually simple and extensible. The inverse problem is large and underdetermined, so a range of models is sampled using an efficient simulated annealing algorithm. The approach is more derivative than prescriptive (e.g., magnitude–frequency distributions are no longer assumed), so new analysis tools were developed for exploring solutions. Epistemic uncertainties were also accounted for using 1440 alternative logic‐tree branches, necessitating access to supercomputers. The most influential uncertainties include alternative deformation models (fault slip rates), a new smoothed seismicity algorithm, alternative values for the total rate of Mw≥5 events, and different scaling relationships, virtually all of which are new. As a notable first, three deformation models are based on kinematically consistent inversions of geodetic and geologic data, also providing slip‐rate constraints on faults previously excluded due to lack of geologic data. The grand inversion constitutes a system‐level framework for testing hypotheses and balancing the influence of different experts. For example, we demonstrate serious challenges with the Gutenberg–Richter hypothesis for individual faults. UCERF3 is still an approximation of the system, however, and the range of models is limited (e.g., constrained to stay close to UCERF2). Nevertheless, UCERF3 removes the apparent UCERF2 overprediction of M 6.5–7 earthquake rates and also includes types of multifault ruptures seen in nature. Although UCERF3 fits the data better than UCERF2 overall, there may be areas that warrant further site‐specific investigation. Supporting products may be of general interest, and we list key assumptions and avenues for future model improvements.&quot;,&quot;issue&quot;:&quot;3&quot;,&quot;volume&quot;:&quot;104&quot;,&quot;container-title-short&quot;:&quot;&quot;},&quot;isTemporary&quot;:false},{&quot;id&quot;:&quot;1cb1c753-43c6-39fc-a554-0ebcf83c6f19&quot;,&quot;itemData&quot;:{&quot;type&quot;:&quot;article-journal&quot;,&quot;id&quot;:&quot;1cb1c753-43c6-39fc-a554-0ebcf83c6f19&quot;,&quot;title&quot;:&quot;Which Fault Threatens Me Most? Bridging the Gap Between Geologic Data-Providers and Seismic Risk Practitioners&quot;,&quot;author&quot;:[{&quot;family&quot;:&quot;Scotti&quot;,&quot;given&quot;:&quot;Oona&quot;,&quot;parse-names&quot;:false,&quot;dropping-particle&quot;:&quot;&quot;,&quot;non-dropping-particle&quot;:&quot;&quot;},{&quot;family&quot;:&quot;Visini&quot;,&quot;given&quot;:&quot;Francesco&quot;,&quot;parse-names&quot;:false,&quot;dropping-particle&quot;:&quot;&quot;,&quot;non-dropping-particle&quot;:&quot;&quot;},{&quot;family&quot;:&quot;Faure Walker&quot;,&quot;given&quot;:&quot;Joanna&quot;,&quot;parse-names&quot;:false,&quot;dropping-particle&quot;:&quot;&quot;,&quot;non-dropping-particle&quot;:&quot;&quot;},{&quot;family&quot;:&quot;Peruzza&quot;,&quot;given&quot;:&quot;Laura&quot;,&quot;parse-names&quot;:false,&quot;dropping-particle&quot;:&quot;&quot;,&quot;non-dropping-particle&quot;:&quot;&quot;},{&quot;family&quot;:&quot;Pace&quot;,&quot;given&quot;:&quot;Bruno&quot;,&quot;parse-names&quot;:false,&quot;dropping-particle&quot;:&quot;&quot;,&quot;non-dropping-particle&quot;:&quot;&quot;},{&quot;family&quot;:&quot;Benedetti&quot;,&quot;given&quot;:&quot;Lucilla&quot;,&quot;parse-names&quot;:false,&quot;dropping-particle&quot;:&quot;&quot;,&quot;non-dropping-particle&quot;:&quot;&quot;},{&quot;family&quot;:&quot;Boncio&quot;,&quot;given&quot;:&quot;Paolo&quot;,&quot;parse-names&quot;:false,&quot;dropping-particle&quot;:&quot;&quot;,&quot;non-dropping-particle&quot;:&quot;&quot;},{&quot;family&quot;:&quot;Roberts&quot;,&quot;given&quot;:&quot;Gerald&quot;,&quot;parse-names&quot;:false,&quot;dropping-particle&quot;:&quot;&quot;,&quot;non-dropping-particle&quot;:&quot;&quot;}],&quot;container-title&quot;:&quot;Frontiers in Earth Science&quot;,&quot;container-title-short&quot;:&quot;Front. Earth Sci. (Lausanne).&quot;,&quot;DOI&quot;:&quot;10.3389/feart.2020.626401&quot;,&quot;ISSN&quot;:&quot;22966463&quot;,&quot;issued&quot;:{&quot;date-parts&quot;:[[2021,2,22]]},&quot;abstract&quot;:&quot;The aim of the Fault2SHA European Seismological Commission Working Group Central Apennines laboratory is to enhance the use of geological data in fault-based seismic hazard and risk assessment and to promote synergies between data providers (earthquake geologists), end-users and decision-makers. Here we use the Fault2SHA Central Apennines Database where geologic data are provided in the form of characterized fault traces, grouped into faults and main faults, with individual slip rate estimates. The proposed methodology first derives slip rate profiles for each main fault. Main faults are then divided into distinct sections of length comparable to the seismogenic depth to allow consideration of variable slip rates and the exploration of multi-fault ruptures in the computations. The methodology further allows exploration of epistemic uncertainties documented in the database (e.g., main fault definition, slip rates) as well as additional parameters required to characterize the seismogenic potential of fault sources (e.g., 3D fault geometries). To illustrate the power of the methodology, in this paper we consider only one branch of the uncertainties affecting each step of the computation procedure. The resulting hazard and typological risk maps allow both data providers and end-users 1) to visualize the faults that threaten specific localities the most, 2) to appreciate the density of observations used for the computation of slip rate profiles, and 3) interrogate the degree of confidence on the fault parameters documented in the database (activity and location certainty). Finally, closing the loop, the methodology highlights priorities for future geological investigations in terms of where improvements in the density of data within the database would lead to the greatest decreases in epistemic uncertainties in the hazard and risk calculations. Key to this new generation of fault-based seismic hazard and risk methodology are the user-friendly open source codes provided with this publication, documenting, step-by-step, the link between the geological database and the relative contribution of each section to seismic hazard and risk at specific localities.&quot;,&quot;publisher&quot;:&quot;Frontiers Media S.A.&quot;,&quot;volume&quot;:&quot;8&quot;},&quot;isTemporary&quot;:false}]},{&quot;citationID&quot;:&quot;MENDELEY_CITATION_49c181f0-75cf-4e68-9e2f-ab1223158ac1&quot;,&quot;properties&quot;:{&quot;noteIndex&quot;:0},&quot;isEdited&quot;:false,&quot;manualOverride&quot;:{&quot;isManuallyOverridden&quot;:false,&quot;citeprocText&quot;:&quot;(de Joussineau and Aydin 2009; Michel et al. 2023; Arroyo-Solórzano et al. 2025)&quot;,&quot;manualOverrideText&quot;:&quot;&quot;},&quot;citationTag&quot;:&quot;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&quot;,&quot;citationItems&quot;:[{&quot;id&quot;:&quot;3ef802a2-792f-398a-9ac2-b85260d19fd6&quot;,&quot;itemData&quot;:{&quot;type&quot;:&quot;article-journal&quot;,&quot;id&quot;:&quot;3ef802a2-792f-398a-9ac2-b85260d19fd6&quot;,&quot;title&quot;:&quot;Segmentation along Strike-Slip Faults Revisited&quot;,&quot;author&quot;:[{&quot;family&quot;:&quot;Joussineau&quot;,&quot;given&quot;:&quot;Ghislain&quot;,&quot;parse-names&quot;:false,&quot;dropping-particle&quot;:&quot;&quot;,&quot;non-dropping-particle&quot;:&quot;de&quot;},{&quot;family&quot;:&quot;Aydin&quot;,&quot;given&quot;:&quot;Atilla&quot;,&quot;parse-names&quot;:false,&quot;dropping-particle&quot;:&quot;&quot;,&quot;non-dropping-particle&quot;:&quot;&quot;}],&quot;container-title&quot;:&quot;Pure appl. geophys.&quot;,&quot;DOI&quot;:&quot;10.1007/s00024-009-0511-4&quot;,&quot;issued&quot;:{&quot;date-parts&quot;:[[2009]]},&quot;page&quot;:&quot;1575-1594&quot;,&quot;abstract&quot;:&quot;Fault segmentation and fault steps and their evolution are relevant to the dynamics and size of earthquake ruptures, the distribution of fault damage zones and the capacity of fault seal. Furthermore, segment interactions and coalescence are the fundamental processes for fault growth. To contribute to this end, we investigated the architecture of strike-slip faults by combining field observations in the Valley of Fire State Park, Nevada, and the published data sets. First, we studied the trace complexity for 49 faults with offsets ranging from 12 m to 460 km. We established that the number of fault steps (hence fault segments) per unit length is correlated to the maximum fault offset by a negative power law. The faults have longer segments and fewer steps when their offsets increase, indicating the progressive growth, smoothening and simplification of the fault traces as a function of the offset, as proposed by previous investigators. Second, we studied the dimensions of the segments and steps composing ∼20 of the previous fault systems. The mean segment length, mean step length and mean step width are all correlated to the maximum fault offset by positive power laws over four orders of magnitude of the offset. In addition, the segment length distributions of four of the faults with offsets ranging from 80 m to 100 km are all lognormal, with most of the segment lengths falling in the range of one to five times the maximum offset of the faults. Finally, the fault steps have an approximately constant length-to-width ratio indicating that, regardless of their environment, strike-slip faults have a remarkable self-similar architecture probably due to the mechanical processes responsible for fault growth. Our data sets can be used as tools to better predict the geometrical attributes of strike-slip fault systems with important consequences for earthquake ruptures, the distribution and properties of fault damage zones, and fault sealing potential. © Birkhäuser Verlag, Basel 2009.&quot;,&quot;publisher&quot;:&quot;Birkhäuser Basel&quot;,&quot;issue&quot;:&quot;166&quot;,&quot;container-title-short&quot;:&quot;&quot;},&quot;isTemporary&quot;:false},{&quot;id&quot;:&quot;9598bd7c-d5a1-33cc-8a49-48a418683a6d&quot;,&quot;itemData&quot;:{&quot;type&quot;:&quot;article-journal&quot;,&quot;id&quot;:&quot;9598bd7c-d5a1-33cc-8a49-48a418683a6d&quot;,&quot;title&quot;:&quot;Impact of geodetic information, subduction zone segmentation, and slow-slip events in probabilistic seismic hazard: A case study for Costa Rica&quot;,&quot;author&quot;:[{&quot;family&quot;:&quot;Arroyo-Solórzano&quot;,&quot;given&quot;:&quot;Mario&quot;,&quot;parse-names&quot;:false,&quot;dropping-particle&quot;:&quot;&quot;,&quot;non-dropping-particle&quot;:&quot;&quot;},{&quot;family&quot;:&quot;Jara&quot;,&quot;given&quot;:&quot;Jorge&quot;,&quot;parse-names&quot;:false,&quot;dropping-particle&quot;:&quot;&quot;,&quot;non-dropping-particle&quot;:&quot;&quot;},{&quot;family&quot;:&quot;Weatherill&quot;,&quot;given&quot;:&quot;Graeme&quot;,&quot;parse-names&quot;:false,&quot;dropping-particle&quot;:&quot;&quot;,&quot;non-dropping-particle&quot;:&quot;&quot;},{&quot;family&quot;:&quot;González&quot;,&quot;given&quot;:&quot;Álvaro&quot;,&quot;parse-names&quot;:false,&quot;dropping-particle&quot;:&quot;&quot;,&quot;non-dropping-particle&quot;:&quot;&quot;},{&quot;family&quot;:&quot;Hidalgo-Leiva&quot;,&quot;given&quot;:&quot;Diego A&quot;,&quot;parse-names&quot;:false,&quot;dropping-particle&quot;:&quot;&quot;,&quot;non-dropping-particle&quot;:&quot;&quot;},{&quot;family&quot;:&quot;Cotton&quot;,&quot;given&quot;:&quot;Fabrice&quot;,&quot;parse-names&quot;:false,&quot;dropping-particle&quot;:&quot;&quot;,&quot;non-dropping-particle&quot;:&quot;&quot;}],&quot;container-title&quot;:&quot;Geophysical Journal International&quot;,&quot;container-title-short&quot;:&quot;Geophys. J. Int.&quot;,&quot;DOI&quot;:&quot;10.1093/gji/ggaf204&quot;,&quot;ISSN&quot;:&quot;0956-540X&quot;,&quot;issued&quot;:{&quot;date-parts&quot;:[[2025,6,17]]},&quot;page&quot;:&quot;1-33&quot;,&quot;abstract&quot;:&quot;A Slow-Slip Event (SSE) is a slow release of tectonic stress along a fault zone, over periods ranging from hours to months. SSEs have been recorded in most of the geodetically well-instrumented subduction zones. Although these transient events observed by geodesy are typically excluded from probabilistic seismic hazard analysis (PSHA), they might play a crucial role in the seismic cycle by reducing the seismic slip rate (slip rate discounting the aseismic process). This effective reduction implies that incorporating SSEs into PSHA may improve the reliability of hazard assessments. Costa Rica, located at the southern end of the Middle American Trench, hosts large earthquakes as well as SSEs. Shallow and deep SSEs have long been detected at the Nicoya peninsula, in northern Costa Rica, and recently, also in the southern part of the country at the Osa peninsula. In this study, we first collect geodetic and SSE observations in Costa Rica. Then, we propose a method to incorporate them into PSHA, based on identifying regions where SSEs occur, inferring slip deficits and estimating seismic slip rates in each subduction segment. Next, we analyze the implications for PSHA and its epistemic uncertainty, using these seismic slip rates, the resulting seismic moment rate budgets, and determining earthquake rates and maximum magnitudes with different approaches. Finally, we compute a countrywide PSHA following the 2022 Costa Rica Seismic Hazard Model (CRSHM 2022) but modifying the seismic source characterization using geodetic information for the regions where SSEs occur. Compared to the CRSHM 2022, this approach leads to reductions of the resulting peak ground acceleration at return period of 475 years (PGA-475) of up to ∼15 per cent in the Nicoya peninsula, but also to an increase up to ∼40 per cent in the Central Pacific region and ∼30 per cent in the Osa peninsula. Moreover, we find that, under a geodetic-based approach and disregarding SSEs, the PGA-475 would increase by up to ∼10 per cent. Our novel approach underscores the relevance of incorporating geodetic observations and particularly SSEs into PSHA, especially in subduction margins near the coast.&quot;,&quot;publisher&quot;:&quot;Oxford University Press (OUP)&quot;,&quot;volume&quot;:&quot;242&quot;},&quot;isTemporary&quot;:false},{&quot;id&quot;:&quot;2bacf7d2-53d1-385e-a6fe-c1132f0676d0&quot;,&quot;itemData&quot;:{&quot;type&quot;:&quot;article-journal&quot;,&quot;id&quot;:&quot;2bacf7d2-53d1-385e-a6fe-c1132f0676d0&quot;,&quot;title&quot;:&quot;Seismogenic potential of the subduction zone in northern Chile&quot;,&quot;author&quot;:[{&quot;family&quot;:&quot;Michel&quot;,&quot;given&quot;:&quot;Sylvain&quot;,&quot;parse-names&quot;:false,&quot;dropping-particle&quot;:&quot;&quot;,&quot;non-dropping-particle&quot;:&quot;&quot;},{&quot;family&quot;:&quot;Jolivet&quot;,&quot;given&quot;:&quot;Romain&quot;,&quot;parse-names&quot;:false,&quot;dropping-particle&quot;:&quot;&quot;,&quot;non-dropping-particle&quot;:&quot;&quot;},{&quot;family&quot;:&quot;Jara&quot;,&quot;given&quot;:&quot;Jorge&quot;,&quot;parse-names&quot;:false,&quot;dropping-particle&quot;:&quot;&quot;,&quot;non-dropping-particle&quot;:&quot;&quot;},{&quot;family&quot;:&quot;Rollins&quot;,&quot;given&quot;:&quot;Chris&quot;,&quot;parse-names&quot;:false,&quot;dropping-particle&quot;:&quot;&quot;,&quot;non-dropping-particle&quot;:&quot;&quot;}],&quot;container-title&quot;:&quot;Bulletin of the Seismological Society of America&quot;,&quot;DOI&quot;:&quot;10.1785/0120220142&quot;,&quot;ISSN&quot;:&quot;19433573&quot;,&quot;issued&quot;:{&quot;date-parts&quot;:[[2023,6,1]]},&quot;page&quot;:&quot;1013-1024&quot;,&quot;abstract&quot;:&quot;The northern Chile region of the Nazca subduction zone ruptured in an Mw ∼8:5–9:0 earthquake in 1877, which induced a tsunami. The various magnitude estimates of this event are based on the evaluation of historical records, seismic intensities, and/or tide gauge infor-mation; however, its actual along-strike extent is debated. Based on geodetic data, the previous studies have suggested that this region has the potential for an Mw 8.2–8.8 event. We re-evaluate the seismic potential of the region, accounting for the buildup rate of moment deficit along the megathrust, the earthquake magnitude–frequency distribution, and the physics of earthquakes. We combine an improved probabilistic estimate of moment deficit rate with results from dynamic models of the earthquake cycle, testing, in particular, the influence of a potential aseismic barrier near the city of Iquique, which may influence the extent and magnitude of large events in this region. We find that Mw 8.8 is the most probable maximum magnitude earthquake in the region, and that the potential barrier likely has a limited impact considering uncertainties. We discuss the effect of the moment deficit rate on the fault, the b-value, and the importance of postseismic processes on our results.&quot;,&quot;publisher&quot;:&quot;Seismological Society of America&quot;,&quot;issue&quot;:&quot;3&quot;,&quot;volume&quot;:&quot;113&quot;,&quot;container-title-short&quot;:&quot;&quot;},&quot;isTemporary&quot;:false}]},{&quot;citationID&quot;:&quot;MENDELEY_CITATION_b8982835-e8d1-4948-b6ff-b10af126c733&quot;,&quot;properties&quot;:{&quot;noteIndex&quot;:0},&quot;isEdited&quot;:false,&quot;manualOverride&quot;:{&quot;isManuallyOverridden&quot;:false,&quot;citeprocText&quot;:&quot;(Ellis et al. 2019; Garnier et al. 2021)&quot;,&quot;manualOverrideText&quot;:&quot;&quot;},&quot;citationTag&quot;:&quot;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&quot;,&quot;citationItems&quot;:[{&quot;id&quot;:&quot;6f7aa43a-6228-358f-8661-e022b7fda775&quot;,&quot;itemData&quot;:{&quot;type&quot;:&quot;article-journal&quot;,&quot;id&quot;:&quot;6f7aa43a-6228-358f-8661-e022b7fda775&quot;,&quot;title&quot;:&quot;GPS constraints on deformation in northern Central America from 1999 to 2017, Part 2: Block rotations and fault slip rates, fault locking and distributed deformation&quot;,&quot;author&quot;:[{&quot;family&quot;:&quot;Ellis&quot;,&quot;given&quot;:&quot;A.&quot;,&quot;parse-names&quot;:false,&quot;dropping-particle&quot;:&quot;&quot;,&quot;non-dropping-particle&quot;:&quot;&quot;},{&quot;family&quot;:&quot;DeMets&quot;,&quot;given&quot;:&quot;C.&quot;,&quot;parse-names&quot;:false,&quot;dropping-particle&quot;:&quot;&quot;,&quot;non-dropping-particle&quot;:&quot;&quot;},{&quot;family&quot;:&quot;McCaffrey&quot;,&quot;given&quot;:&quot;Robert&quot;,&quot;parse-names&quot;:false,&quot;dropping-particle&quot;:&quot;&quot;,&quot;non-dropping-particle&quot;:&quot;&quot;},{&quot;family&quot;:&quot;Briole&quot;,&quot;given&quot;:&quot;P.&quot;,&quot;parse-names&quot;:false,&quot;dropping-particle&quot;:&quot;&quot;,&quot;non-dropping-particle&quot;:&quot;&quot;},{&quot;family&quot;:&quot;Cosenza Muralles&quot;,&quot;given&quot;:&quot;Beatriz&quot;,&quot;parse-names&quot;:false,&quot;dropping-particle&quot;:&quot;&quot;,&quot;non-dropping-particle&quot;:&quot;&quot;},{&quot;family&quot;:&quot;Flores&quot;,&quot;given&quot;:&quot;Omar&quot;,&quot;parse-names&quot;:false,&quot;dropping-particle&quot;:&quot;&quot;,&quot;non-dropping-particle&quot;:&quot;&quot;},{&quot;family&quot;:&quot;Guzmán-Speziale&quot;,&quot;given&quot;:&quot;Marco&quot;,&quot;parse-names&quot;:false,&quot;dropping-particle&quot;:&quot;&quot;,&quot;non-dropping-particle&quot;:&quot;&quot;},{&quot;family&quot;:&quot;Hernández&quot;,&quot;given&quot;:&quot;Douglas&quot;,&quot;parse-names&quot;:false,&quot;dropping-particle&quot;:&quot;&quot;,&quot;non-dropping-particle&quot;:&quot;&quot;},{&quot;family&quot;:&quot;Kostoglodov&quot;,&quot;given&quot;:&quot;Vladimir&quot;,&quot;parse-names&quot;:false,&quot;dropping-particle&quot;:&quot;&quot;,&quot;non-dropping-particle&quot;:&quot;&quot;},{&quot;family&quot;:&quot;LaFemina&quot;,&quot;given&quot;:&quot;Peter&quot;,&quot;parse-names&quot;:false,&quot;dropping-particle&quot;:&quot;&quot;,&quot;non-dropping-particle&quot;:&quot;&quot;},{&quot;family&quot;:&quot;Lord&quot;,&quot;given&quot;:&quot;Neal&quot;,&quot;parse-names&quot;:false,&quot;dropping-particle&quot;:&quot;&quot;,&quot;non-dropping-particle&quot;:&quot;&quot;},{&quot;family&quot;:&quot;Lasserre&quot;,&quot;given&quot;:&quot;Cecile&quot;,&quot;parse-names&quot;:false,&quot;dropping-particle&quot;:&quot;&quot;,&quot;non-dropping-particle&quot;:&quot;&quot;},{&quot;family&quot;:&quot;Lyon-Caen&quot;,&quot;given&quot;:&quot;Helène&quot;,&quot;parse-names&quot;:false,&quot;dropping-particle&quot;:&quot;&quot;,&quot;non-dropping-particle&quot;:&quot;&quot;},{&quot;family&quot;:&quot;Rodriguez Maradiaga&quot;,&quot;given&quot;:&quot;Manuel&quot;,&quot;parse-names&quot;:false,&quot;dropping-particle&quot;:&quot;&quot;,&quot;non-dropping-particle&quot;:&quot;&quot;},{&quot;family&quot;:&quot;Molina&quot;,&quot;given&quot;:&quot;Enrique&quot;,&quot;parse-names&quot;:false,&quot;dropping-particle&quot;:&quot;&quot;,&quot;non-dropping-particle&quot;:&quot;&quot;},{&quot;family&quot;:&quot;Rivera&quot;,&quot;given&quot;:&quot;Jeffrey&quot;,&quot;parse-names&quot;:false,&quot;dropping-particle&quot;:&quot;&quot;,&quot;non-dropping-particle&quot;:&quot;&quot;},{&quot;family&quot;:&quot;Rogers&quot;,&quot;given&quot;:&quot;Robert&quot;,&quot;parse-names&quot;:false,&quot;dropping-particle&quot;:&quot;&quot;,&quot;non-dropping-particle&quot;:&quot;&quot;},{&quot;family&quot;:&quot;Staller&quot;,&quot;given&quot;:&quot;Alejandra&quot;,&quot;parse-names&quot;:false,&quot;dropping-particle&quot;:&quot;&quot;,&quot;non-dropping-particle&quot;:&quot;&quot;},{&quot;family&quot;:&quot;Tikoff&quot;,&quot;given&quot;:&quot;Basil&quot;,&quot;parse-names&quot;:false,&quot;dropping-particle&quot;:&quot;&quot;,&quot;non-dropping-particle&quot;:&quot;&quot;}],&quot;container-title&quot;:&quot;Geophysical Journal International&quot;,&quot;container-title-short&quot;:&quot;Geophys. J. Int.&quot;,&quot;DOI&quot;:&quot;10.1093/gji/ggz173&quot;,&quot;ISSN&quot;:&quot;1365246X&quot;,&quot;issued&quot;:{&quot;date-parts&quot;:[[2019,5,2]]},&quot;page&quot;:&quot;729-754&quot;,&quot;abstract&quot;:&quot;We describe a new elastic-kinematic model for the present tectonics of northern Central America and southern Mexico, where the Motagua-Polochic fault zone, Middle America subduction zone and faults in theCentral America volcanic arc pose significant seismic hazards. The newmodel,which consists of the angular velocities for eight plates and blocks, interseismic locking solutions for some of the block-bounding faults and strain-rate tensors for three blocks with significant internal deformation, optimizes the fit to regional fault azimuths and earthquake slip directions and a new 200+ station GPS velocity field that has been corrected for the coseismic and post-seismic effects of three large regional earthquakes in 2009 and 2012. From our new observations and modelling thereof, we find evidence for the following: (1) 13±1 mm yr-1 of ≈E-W stretching between undeformed Caribbean plate in central Honduras and a location ≈50 km west of the Guatemala City graben; (2) accommodation of the above extension via slow W-To-WNW motions of newly defined Chortis and Ipala blocks and distributed ENE-WSW stretching within both blocks; (3) 80 per cent of Chortis-North America platemotion in eastern Guatemala occurs on the Motagua fault versus only 20 per cent on the Polochic fault; (4) Motagua fault slip rates that decrease westwards from 14 ±1.5 mm yr-1 to 9-10 ±2 mm yr-1 to less than 2 mm yr-1 in eastern Guatemala, central Guatemala and west of the Guatemala City graben, respectively; (5) Slip rates along Central America volcanic arc faults that decrease from 12.5 ±1.0 mm yr-1 in Nicaragua to 10 ±1.3 mm yr-1 in central El Salvador to 7.6 ±2.1 mm yr-1 on the Jalpatagua fault of southern Guatemala to 2-3 mm yr-1 or less across the volcanic arc west of Guatemala City; (6) a transition near the Mexico-Guatemala border from moderate-To-high locking of the subduction interface offshore from southern Mexico to low locking below the Central America forearc sliver; (7) Subduction of the Cocos plate beneath the Central America forearc sliver up to 10 mm yr-1 faster than and 7-8 clockwise from all previous estimates; (8) 12±6 mm yr-1 of E-W extension across the newly defined Fonseca block. A pattern of misfits to the velocities of sites in northern Guatemala and southern Mexico may be caused by distributed deformation in this region or shortcomings with our model and/or assumptions. The primary factors that control the regional deformation appear to include the arcuate geometry of the Motagua fault, low locking of the Middle America subduction interface, slow-To-no motion between the leading edge of the Central America forearc sliver and North America plate and a rheologically weak volcanic arc.&quot;,&quot;publisher&quot;:&quot;Oxford University Press&quot;,&quot;issue&quot;:&quot;2&quot;,&quot;volume&quot;:&quot;218&quot;},&quot;isTemporary&quot;:false},{&quot;id&quot;:&quot;3042c6de-911f-327a-8e4f-714c4aed4b17&quot;,&quot;itemData&quot;:{&quot;type&quot;:&quot;article-journal&quot;,&quot;id&quot;:&quot;3042c6de-911f-327a-8e4f-714c4aed4b17&quot;,&quot;title&quot;:&quot;An integrated structural and GPS study of the Jalpatagua fault, southeastern Guatemala&quot;,&quot;author&quot;:[{&quot;family&quot;:&quot;Garnier&quot;,&quot;given&quot;:&quot;Bridget&quot;,&quot;parse-names&quot;:false,&quot;dropping-particle&quot;:&quot;&quot;,&quot;non-dropping-particle&quot;:&quot;&quot;},{&quot;family&quot;:&quot;Tl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Douglas&quot;,&quot;parse-names&quot;:false,&quot;dropping-particle&quot;:&quot;&quot;,&quot;non-dropping-particle&quot;:&quot;&quot;},{&quot;family&quot;:&quot;Marroquin&quot;,&quot;given&quot;:&quot;Griselda&quot;,&quot;parse-names&quot;:false,&quot;dropping-particle&quot;:&quot;&quot;,&quot;non-dropping-particle&quot;:&quot;&quot;},{&quot;family&quot;:&quot;Mixco&quot;,&quot;given&quot;:&quot;Luis&quot;,&quot;parse-names&quot;:false,&quot;dropping-particle&quot;:&quot;&quot;,&quot;non-dropping-particle&quot;:&quot;&quot;},{&quot;family&quot;:&quot;Hernandez&quot;,&quot;given&quot;:&quot;Walter&quot;,&quot;parse-names&quot;:false,&quot;dropping-particle&quot;:&quot;&quot;,&quot;non-dropping-particle&quot;:&quot;&quot;}],&quot;container-title&quot;:&quot;Geosphere&quot;,&quot;DOI&quot;:&quot;10.1130/GES02243.1&quot;,&quot;ISSN&quot;:&quot;1553040X&quot;,&quot;issued&quot;:{&quot;date-parts&quot;:[[2021]]},&quot;page&quot;:&quot;201-225&quot;,&quot;abstract&quot;:&quot;The Jalpatagua fault in Guatemala accommodates dextral movement of the Central America forearc. We present new global positioning system (GPS) data, minor fault analysis, geochronological analyses, and analysis of lineaments to characterize deformation along the fault and near its terminations. Our data indicate that the Jalpatagua fault terminates at both ends into extensional regions. The western termination occurs near the Amatitlan caldera and the southern extension of the Guatemala City graben, as no through-going structures were observed to continue west into the active volcanic arc. Along the Jalpatagua fault, new and updated GPS site velocities are consistent with a slip rate of 7.1 ± 1.8 mm yr−1. Minor faulting along the central section of the fault includes: (1) N-S–striking normal faults accommodating E-W elongation; and (2) four sets of strike-slip faults (oriented 330°, 020°, 055°, and 295°, parallel to the Jalpatagua fault trace). Minor fault arrays support dextral movement along a major fault in the orientation of the Jalpatagua fault. GPS and fault data indicate that the Jalpatagua fault terminates to the east near the Guatemala–El Salvador border. Data delineate a pull-apart basin southeast of the fault termination, which is undergoing transtension as the Jalpatagua fault transitions into the El Salvador fault system to the east. Within the basin, minor faulting and lineations trend to the NW and accommodate NE-directed elongation. This faulting differs from E-W elongation observed along the Jalpatagua fault and is more similar to minor faults within the El Salvador fault system.&quot;,&quot;publisher&quot;:&quot;Geological Society of America&quot;,&quot;issue&quot;:&quot;1&quot;,&quot;volume&quot;:&quot;17&quot;,&quot;container-title-short&quot;:&quot;&quot;},&quot;isTemporary&quot;:false}]},{&quot;citationID&quot;:&quot;MENDELEY_CITATION_0abdeabc-bafa-455d-9b60-712e84664de5&quot;,&quot;properties&quot;:{&quot;noteIndex&quot;:0},&quot;isEdited&quot;:false,&quot;manualOverride&quot;:{&quot;isManuallyOverridden&quot;:false,&quot;citeprocText&quot;:&quot;(Rivas-Medina et al. 2018)&quot;,&quot;manualOverrideText&quot;:&quot;&quot;},&quot;citationTag&quot;:&quot;MENDELEY_CITATION_v3_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&quot;,&quot;citationItems&quot;:[{&quot;id&quot;:&quot;d469410a-512d-39b2-bbb7-fde4f031fdf7&quot;,&quot;itemData&quot;:{&quot;type&quot;:&quot;article-journal&quot;,&quot;id&quot;:&quot;d469410a-512d-39b2-bbb7-fde4f031fdf7&quot;,&quot;title&quot;:&quot;Approach for combining fault and area sources in seismic hazard assessment: Application in south-eastern Spain&quot;,&quot;author&quot;:[{&quot;family&quot;:&quot;Rivas-Medina&quot;,&quot;given&quot;:&quot;Alicia&quot;,&quot;parse-names&quot;:false,&quot;dropping-particle&quot;:&quot;&quot;,&quot;non-dropping-particle&quot;:&quot;&quot;},{&quot;family&quot;:&quot;Benito&quot;,&quot;given&quot;:&quot;Belen&quot;,&quot;parse-names&quot;:false,&quot;dropping-particle&quot;:&quot;&quot;,&quot;non-dropping-particle&quot;:&quot;&quot;},{&quot;family&quot;:&quot;Miguel Gaspar-Escribano&quot;,&quot;given&quot;:&quot;Jorge&quot;,&quot;parse-names&quot;:false,&quot;dropping-particle&quot;:&quot;&quot;,&quot;non-dropping-particle&quot;:&quot;&quot;}],&quot;container-title&quot;:&quot;Natural Hazards and Earth System Sciences&quot;,&quot;DOI&quot;:&quot;10.5194/nhess-18-2809-2018&quot;,&quot;ISSN&quot;:&quot;16849981&quot;,&quot;issued&quot;:{&quot;date-parts&quot;:[[2018,10,30]]},&quot;page&quot;:&quot;2809-2823&quot;,&quot;abstract&quot;:&quot;This paper presents a methodological approach to seismic hazard assessment based on a hybrid source model composed of faults as independent entities and zones containing residual seismicity. The seismic potential of both types of sources is derived from different data: for the zones, the recurrence model is estimated from the seismic catalogue. For fault sources, it is inferred from slip rates derived from palaeoseismicity and GNSS (Global Navigation Satellite System) measurements. Distributing the seismic potential associated with each source is a key question when considering hybrid zone and fault models, and this is normally resolved using one of two possible alternatives: (1) considering a characteristic earthquake model for the fault and assigning the remaining magnitudes to the zone, or (2) establishing a cut-off magnitude, above which the seisms are assigned to the fault and below which they are considered to have occurred in the zone. This paper presents an approach to distributing seismic potential between zones and faults without restricting the magnitudes for each type of source, precluding the need to establish cut-off values beforehand. This is the essential difference between our approach and other approaches that have been applied previously. The proposed approach is applied in southern Spain, a region of low-to-moderate seismicity where faults move slowly. The results obtained are contrasted with the results of a seismic hazard method based exclusively on the zone model. Using the hybrid approach, acceleration values show a concentration of expected accelerations around fault traces, which is not appreciated in the classic approach using only zones.&quot;,&quot;publisher&quot;:&quot;Copernicus GmbH&quot;,&quot;issue&quot;:&quot;11&quot;,&quot;volume&quot;:&quot;18&quot;,&quot;container-title-short&quot;:&quot;&quot;},&quot;isTemporary&quot;:false}]},{&quot;citationID&quot;:&quot;MENDELEY_CITATION_e44fb1e9-6599-43d0-b72a-8473243faf7f&quot;,&quot;properties&quot;:{&quot;noteIndex&quot;:0},&quot;isEdited&quot;:false,&quot;manualOverride&quot;:{&quot;isManuallyOverridden&quot;:false,&quot;citeprocText&quot;:&quot;(Michel et al. 2023; Arroyo-Solórzano et al. 2025)&quot;,&quot;manualOverrideText&quot;:&quot;&quot;},&quot;citationTag&quot;:&quot;MENDELEY_CITATION_v3_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&quot;,&quot;citationItems&quot;:[{&quot;id&quot;:&quot;9598bd7c-d5a1-33cc-8a49-48a418683a6d&quot;,&quot;itemData&quot;:{&quot;type&quot;:&quot;article-journal&quot;,&quot;id&quot;:&quot;9598bd7c-d5a1-33cc-8a49-48a418683a6d&quot;,&quot;title&quot;:&quot;Impact of geodetic information, subduction zone segmentation, and slow-slip events in probabilistic seismic hazard: A case study for Costa Rica&quot;,&quot;author&quot;:[{&quot;family&quot;:&quot;Arroyo-Solórzano&quot;,&quot;given&quot;:&quot;Mario&quot;,&quot;parse-names&quot;:false,&quot;dropping-particle&quot;:&quot;&quot;,&quot;non-dropping-particle&quot;:&quot;&quot;},{&quot;family&quot;:&quot;Jara&quot;,&quot;given&quot;:&quot;Jorge&quot;,&quot;parse-names&quot;:false,&quot;dropping-particle&quot;:&quot;&quot;,&quot;non-dropping-particle&quot;:&quot;&quot;},{&quot;family&quot;:&quot;Weatherill&quot;,&quot;given&quot;:&quot;Graeme&quot;,&quot;parse-names&quot;:false,&quot;dropping-particle&quot;:&quot;&quot;,&quot;non-dropping-particle&quot;:&quot;&quot;},{&quot;family&quot;:&quot;González&quot;,&quot;given&quot;:&quot;Álvaro&quot;,&quot;parse-names&quot;:false,&quot;dropping-particle&quot;:&quot;&quot;,&quot;non-dropping-particle&quot;:&quot;&quot;},{&quot;family&quot;:&quot;Hidalgo-Leiva&quot;,&quot;given&quot;:&quot;Diego A&quot;,&quot;parse-names&quot;:false,&quot;dropping-particle&quot;:&quot;&quot;,&quot;non-dropping-particle&quot;:&quot;&quot;},{&quot;family&quot;:&quot;Cotton&quot;,&quot;given&quot;:&quot;Fabrice&quot;,&quot;parse-names&quot;:false,&quot;dropping-particle&quot;:&quot;&quot;,&quot;non-dropping-particle&quot;:&quot;&quot;}],&quot;container-title&quot;:&quot;Geophysical Journal International&quot;,&quot;container-title-short&quot;:&quot;Geophys. J. Int.&quot;,&quot;DOI&quot;:&quot;10.1093/gji/ggaf204&quot;,&quot;ISSN&quot;:&quot;0956-540X&quot;,&quot;issued&quot;:{&quot;date-parts&quot;:[[2025,6,17]]},&quot;page&quot;:&quot;1-33&quot;,&quot;abstract&quot;:&quot;A Slow-Slip Event (SSE) is a slow release of tectonic stress along a fault zone, over periods ranging from hours to months. SSEs have been recorded in most of the geodetically well-instrumented subduction zones. Although these transient events observed by geodesy are typically excluded from probabilistic seismic hazard analysis (PSHA), they might play a crucial role in the seismic cycle by reducing the seismic slip rate (slip rate discounting the aseismic process). This effective reduction implies that incorporating SSEs into PSHA may improve the reliability of hazard assessments. Costa Rica, located at the southern end of the Middle American Trench, hosts large earthquakes as well as SSEs. Shallow and deep SSEs have long been detected at the Nicoya peninsula, in northern Costa Rica, and recently, also in the southern part of the country at the Osa peninsula. In this study, we first collect geodetic and SSE observations in Costa Rica. Then, we propose a method to incorporate them into PSHA, based on identifying regions where SSEs occur, inferring slip deficits and estimating seismic slip rates in each subduction segment. Next, we analyze the implications for PSHA and its epistemic uncertainty, using these seismic slip rates, the resulting seismic moment rate budgets, and determining earthquake rates and maximum magnitudes with different approaches. Finally, we compute a countrywide PSHA following the 2022 Costa Rica Seismic Hazard Model (CRSHM 2022) but modifying the seismic source characterization using geodetic information for the regions where SSEs occur. Compared to the CRSHM 2022, this approach leads to reductions of the resulting peak ground acceleration at return period of 475 years (PGA-475) of up to ∼15 per cent in the Nicoya peninsula, but also to an increase up to ∼40 per cent in the Central Pacific region and ∼30 per cent in the Osa peninsula. Moreover, we find that, under a geodetic-based approach and disregarding SSEs, the PGA-475 would increase by up to ∼10 per cent. Our novel approach underscores the relevance of incorporating geodetic observations and particularly SSEs into PSHA, especially in subduction margins near the coast.&quot;,&quot;publisher&quot;:&quot;Oxford University Press (OUP)&quot;,&quot;volume&quot;:&quot;242&quot;},&quot;isTemporary&quot;:false},{&quot;id&quot;:&quot;2bacf7d2-53d1-385e-a6fe-c1132f0676d0&quot;,&quot;itemData&quot;:{&quot;type&quot;:&quot;article-journal&quot;,&quot;id&quot;:&quot;2bacf7d2-53d1-385e-a6fe-c1132f0676d0&quot;,&quot;title&quot;:&quot;Seismogenic potential of the subduction zone in northern Chile&quot;,&quot;author&quot;:[{&quot;family&quot;:&quot;Michel&quot;,&quot;given&quot;:&quot;Sylvain&quot;,&quot;parse-names&quot;:false,&quot;dropping-particle&quot;:&quot;&quot;,&quot;non-dropping-particle&quot;:&quot;&quot;},{&quot;family&quot;:&quot;Jolivet&quot;,&quot;given&quot;:&quot;Romain&quot;,&quot;parse-names&quot;:false,&quot;dropping-particle&quot;:&quot;&quot;,&quot;non-dropping-particle&quot;:&quot;&quot;},{&quot;family&quot;:&quot;Jara&quot;,&quot;given&quot;:&quot;Jorge&quot;,&quot;parse-names&quot;:false,&quot;dropping-particle&quot;:&quot;&quot;,&quot;non-dropping-particle&quot;:&quot;&quot;},{&quot;family&quot;:&quot;Rollins&quot;,&quot;given&quot;:&quot;Chris&quot;,&quot;parse-names&quot;:false,&quot;dropping-particle&quot;:&quot;&quot;,&quot;non-dropping-particle&quot;:&quot;&quot;}],&quot;container-title&quot;:&quot;Bulletin of the Seismological Society of America&quot;,&quot;DOI&quot;:&quot;10.1785/0120220142&quot;,&quot;ISSN&quot;:&quot;19433573&quot;,&quot;issued&quot;:{&quot;date-parts&quot;:[[2023,6,1]]},&quot;page&quot;:&quot;1013-1024&quot;,&quot;abstract&quot;:&quot;The northern Chile region of the Nazca subduction zone ruptured in an Mw ∼8:5–9:0 earthquake in 1877, which induced a tsunami. The various magnitude estimates of this event are based on the evaluation of historical records, seismic intensities, and/or tide gauge infor-mation; however, its actual along-strike extent is debated. Based on geodetic data, the previous studies have suggested that this region has the potential for an Mw 8.2–8.8 event. We re-evaluate the seismic potential of the region, accounting for the buildup rate of moment deficit along the megathrust, the earthquake magnitude–frequency distribution, and the physics of earthquakes. We combine an improved probabilistic estimate of moment deficit rate with results from dynamic models of the earthquake cycle, testing, in particular, the influence of a potential aseismic barrier near the city of Iquique, which may influence the extent and magnitude of large events in this region. We find that Mw 8.8 is the most probable maximum magnitude earthquake in the region, and that the potential barrier likely has a limited impact considering uncertainties. We discuss the effect of the moment deficit rate on the fault, the b-value, and the importance of postseismic processes on our results.&quot;,&quot;publisher&quot;:&quot;Seismological Society of America&quot;,&quot;issue&quot;:&quot;3&quot;,&quot;volume&quot;:&quot;113&quot;,&quot;container-title-short&quot;:&quot;&quot;},&quot;isTemporary&quot;:false}]},{&quot;citationID&quot;:&quot;MENDELEY_CITATION_338278d4-137d-4461-b648-71cee34e595c&quot;,&quot;properties&quot;:{&quot;noteIndex&quot;:0},&quot;isEdited&quot;:false,&quot;manualOverride&quot;:{&quot;isManuallyOverridden&quot;:false,&quot;citeprocText&quot;:&quot;(Rodas et al. 2021)&quot;,&quot;manualOverrideText&quot;:&quot;&quot;},&quot;citationTag&quot;:&quot;MENDELEY_CITATION_v3_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&quot;,&quot;citationItems&quot;:[{&quot;id&quot;:&quot;79a273a8-87aa-3e51-8372-1dbbe043c27b&quot;,&quot;itemData&quot;:{&quot;type&quot;:&quot;report&quot;,&quot;id&quot;:&quot;79a273a8-87aa-3e51-8372-1dbbe043c27b&quot;,&quot;title&quot;:&quot;Análisis de riesgo sísmico para la República de Guatemala&quot;,&quot;author&quot;:[{&quot;family&quot;:&quot;Rodas&quot;,&quot;given&quot;:&quot;J.&quot;,&quot;parse-names&quot;:false,&quot;dropping-particle&quot;:&quot;&quot;,&quot;non-dropping-particle&quot;:&quot;&quot;},{&quot;family&quot;:&quot;Monzon&quot;,&quot;given&quot;:&quot;H&quot;,&quot;parse-names&quot;:false,&quot;dropping-particle&quot;:&quot;&quot;,&quot;non-dropping-particle&quot;:&quot;&quot;},{&quot;family&quot;:&quot;Callejas&quot;,&quot;given&quot;:&quot;F&quot;,&quot;parse-names&quot;:false,&quot;dropping-particle&quot;:&quot;&quot;,&quot;non-dropping-particle&quot;:&quot;&quot;}],&quot;issued&quot;:{&quot;date-parts&quot;:[[2021]]},&quot;publisher-place&quot;:&quot;Ciudad de Guatemala, Guatemala&quot;,&quot;container-title-short&quot;:&quot;&quot;},&quot;isTemporary&quot;:false}]},{&quot;citationID&quot;:&quot;MENDELEY_CITATION_f42128f4-d263-4ff2-8dd2-42212ca7f2e1&quot;,&quot;properties&quot;:{&quot;noteIndex&quot;:0},&quot;isEdited&quot;:false,&quot;manualOverride&quot;:{&quot;isManuallyOverridden&quot;:false,&quot;citeprocText&quot;:&quot;(Gamboa-Canté et al. 2025)&quot;,&quot;manualOverrideText&quot;:&quot;&quot;},&quot;citationTag&quot;:&quot;MENDELEY_CITATION_v3_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&quot;,&quot;citationItems&quot;:[{&quot;id&quot;:&quot;72b933b8-12ce-3802-aba7-8f68955b411f&quot;,&quot;itemData&quot;:{&quot;type&quot;:&quot;article-journal&quot;,&quot;id&quot;:&quot;72b933b8-12ce-3802-aba7-8f68955b411f&quot;,&quot;title&quot;:&quot;Overview of seismic hazard studies in Central America: A comparative analysis of results&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 María&quot;,&quot;given&quot;:&quot;Belén&quot;,&quot;parse-names&quot;:false,&quot;dropping-particle&quot;:&quot;&quot;,&quot;non-dropping-particle&quot;:&quot;&quot;}],&quot;container-title&quot;:&quot;Journal of South American Earth Sciences&quot;,&quot;container-title-short&quot;:&quot;J. South Am. Earth Sci.&quot;,&quot;DOI&quot;:&quot;10.1016/j.jsames.2025.105630&quot;,&quot;ISSN&quot;:&quot;08959811&quot;,&quot;issued&quot;:{&quot;date-parts&quot;:[[2025,10,1]]},&quot;abstract&quot;:&quot;We present an overview of seismic hazard studies in Central America, evaluating all the probabilistic seismic hazard studies (PSHA) published at the national and regional scale, as well as an updated model recently developed (Gamboa-Canté et al., 2025). The key factors in the study for obtaining the updated model are the use of a regional earthquake catalog from 1520 to 2020; the implementation of the last seismic zoning for the region, taking into account the change of the subduction angle along the Central America trench; the implementation of the scaling relationships specific to the Central American upper-plate, and the more suitable ground motion models (GMM) for the region identified using local data. We use the updated model as a reference, comparing the results with previous seismic hazard studies. As a general conclusion, we find that seismic hazard studies undertaken over the last 10 years period at regional or national scales point to an increase in the hazard compared to studies in previous periods, with maximum PGA values now reaching around 0.8g–1.0g for a return period of 475 years in the Costa Rica peninsulas and south of Guatemala. The updated seismic hazard map is consistent with the latest local models generated for each country in the region with variability in PGA values of less than 20 %, although there are some local exceptions. The advantage of the updated map is that it reflects the trend of increasing hazard expressed in recent local studies, but it is a regional map, there is no lack of continuity at the borders between countries, as occurs when a regional map is configured from national maps. We suggest that this regional hazard map be used for Central America (Gamboa-Canté et al., 2025) as a reference map for updating the seismic hazard models or seismic codes of the countries.&quot;,&quot;publisher&quot;:&quot;Elsevier Ltd&quot;,&quot;volume&quot;:&quot;164&quot;},&quot;isTemporary&quot;:false}]},{&quot;citationID&quot;:&quot;MENDELEY_CITATION_ddf39b87-bffe-4821-bb8c-d70a2ab94cd4&quot;,&quot;properties&quot;:{&quot;noteIndex&quot;:0},&quot;isEdited&quot;:false,&quot;manualOverride&quot;:{&quot;isManuallyOverridden&quot;:true,&quot;citeprocText&quot;:&quot;(Visini et al. 2020; Scotti et al. 2021)&quot;,&quot;manualOverrideText&quot;:&quot;(e.g., Visini et al. 2020; Scotti et al. 2021)&quot;},&quot;citationTag&quot;:&quot;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&quot;,&quot;citationItems&quot;:[{&quot;id&quot;:&quot;a9ffb47d-b606-3952-b52e-e3599eedd0d1&quot;,&quot;itemData&quot;:{&quot;type&quot;:&quot;article-journal&quot;,&quot;id&quot;:&quot;a9ffb47d-b606-3952-b52e-e3599eedd0d1&quot;,&quot;title&quot;:&quot;Computational tools for relaxing the fault segmentation in probabilistic seismic hazard modelling in complex fault systems&quot;,&quot;author&quot;:[{&quot;family&quot;:&quot;Visini&quot;,&quot;given&quot;:&quot;F.&quot;,&quot;parse-names&quot;:false,&quot;dropping-particle&quot;:&quot;&quot;,&quot;non-dropping-particle&quot;:&quot;&quot;},{&quot;family&quot;:&quot;Valentini&quot;,&quot;given&quot;:&quot;A.&quot;,&quot;parse-names&quot;:false,&quot;dropping-particle&quot;:&quot;&quot;,&quot;non-dropping-particle&quot;:&quot;&quot;},{&quot;family&quot;:&quot;Chartier&quot;,&quot;given&quot;:&quot;T.&quot;,&quot;parse-names&quot;:false,&quot;dropping-particle&quot;:&quot;&quot;,&quot;non-dropping-particle&quot;:&quot;&quot;},{&quot;family&quot;:&quot;Scotti&quot;,&quot;given&quot;:&quot;O.&quot;,&quot;parse-names&quot;:false,&quot;dropping-particle&quot;:&quot;&quot;,&quot;non-dropping-particle&quot;:&quot;&quot;},{&quot;family&quot;:&quot;Pace&quot;,&quot;given&quot;:&quot;B.&quot;,&quot;parse-names&quot;:false,&quot;dropping-particle&quot;:&quot;&quot;,&quot;non-dropping-particle&quot;:&quot;&quot;}],&quot;container-title&quot;:&quot;Pure and Applied Geophysics&quot;,&quot;container-title-short&quot;:&quot;Pure Appl. Geophys.&quot;,&quot;DOI&quot;:&quot;10.1007/s00024-019-02114-6&quot;,&quot;ISSN&quot;:&quot;14209136&quot;,&quot;issued&quot;:{&quot;date-parts&quot;:[[2020,5,1]]},&quot;page&quot;:&quot;1855-1877&quot;,&quot;abstract&quot;:&quot;Use of faults in seismic hazard models allows us to capture the recurrence of large-magnitude events and therefore improve the reliability of probabilistic seismic hazard assessment (PSHA). In the past decades, fault segmentation provided an important framework for quantifying fault-based PSHA. Recent complex coseismic ruptures (e.g., 2010 Mw 7.1 Canterbury, 2012 Mw 8.6 Sumatra, 2016 Mw 7.8 Kaikōura, 2016 Mw 6.5 central Italy) have shown the need to consider different possible combinations of rupture scenarios in PSHA. Here we present two new methodologies that model rates of ruptures along complex fault systems, one based on a floating rupture approach (FRESH) and another one based on assumed rupture scenarios (SUNFISH). They represent alternatives to a recently proposed approach (SHERIFS), and further step to overcome the segmented and un-segmented approaches commonly used in PSHA in Europe. Differences among SHERIFS, SUNFiSH and FRESH are related to the way slip rate, rupture geometries and magnitude–frequency distributions are modelled. To quantify the differences between these three methodologies, we compared PSHA results based on geometries and slip rates of a fault system located in northeastern Italy, assuming a given maximum magnitude and the same seismic moment rate target. Differences up to 20–30% in the peak ground acceleration at 2% and 10% in 50 years are observed. Finally, we show that the three methodologies are able to solve for the long-term rate of ruptures with resulting PSHA that reflect the fault system geometry and slip rates, without any assumption on segment boundaries. Using fault-based approaches in PSHA requires collecting as much local geological information as possible. Now that multi-fault rupture approaches are available, simplifying assumptions often made to model complex fault systems (uniform slip rate, segmentation hypothesis) are no longer necessary. On the other hand, local data collection should be strongly encouraged to better characterize the actual fault slip rate variability and the complex 3D geometries.&quot;,&quot;publisher&quot;:&quot;Birkhauser&quot;,&quot;issue&quot;:&quot;5&quot;,&quot;volume&quot;:&quot;177&quot;},&quot;isTemporary&quot;:false},{&quot;id&quot;:&quot;1cb1c753-43c6-39fc-a554-0ebcf83c6f19&quot;,&quot;itemData&quot;:{&quot;type&quot;:&quot;article-journal&quot;,&quot;id&quot;:&quot;1cb1c753-43c6-39fc-a554-0ebcf83c6f19&quot;,&quot;title&quot;:&quot;Which Fault Threatens Me Most? Bridging the Gap Between Geologic Data-Providers and Seismic Risk Practitioners&quot;,&quot;author&quot;:[{&quot;family&quot;:&quot;Scotti&quot;,&quot;given&quot;:&quot;Oona&quot;,&quot;parse-names&quot;:false,&quot;dropping-particle&quot;:&quot;&quot;,&quot;non-dropping-particle&quot;:&quot;&quot;},{&quot;family&quot;:&quot;Visini&quot;,&quot;given&quot;:&quot;Francesco&quot;,&quot;parse-names&quot;:false,&quot;dropping-particle&quot;:&quot;&quot;,&quot;non-dropping-particle&quot;:&quot;&quot;},{&quot;family&quot;:&quot;Faure Walker&quot;,&quot;given&quot;:&quot;Joanna&quot;,&quot;parse-names&quot;:false,&quot;dropping-particle&quot;:&quot;&quot;,&quot;non-dropping-particle&quot;:&quot;&quot;},{&quot;family&quot;:&quot;Peruzza&quot;,&quot;given&quot;:&quot;Laura&quot;,&quot;parse-names&quot;:false,&quot;dropping-particle&quot;:&quot;&quot;,&quot;non-dropping-particle&quot;:&quot;&quot;},{&quot;family&quot;:&quot;Pace&quot;,&quot;given&quot;:&quot;Bruno&quot;,&quot;parse-names&quot;:false,&quot;dropping-particle&quot;:&quot;&quot;,&quot;non-dropping-particle&quot;:&quot;&quot;},{&quot;family&quot;:&quot;Benedetti&quot;,&quot;given&quot;:&quot;Lucilla&quot;,&quot;parse-names&quot;:false,&quot;dropping-particle&quot;:&quot;&quot;,&quot;non-dropping-particle&quot;:&quot;&quot;},{&quot;family&quot;:&quot;Boncio&quot;,&quot;given&quot;:&quot;Paolo&quot;,&quot;parse-names&quot;:false,&quot;dropping-particle&quot;:&quot;&quot;,&quot;non-dropping-particle&quot;:&quot;&quot;},{&quot;family&quot;:&quot;Roberts&quot;,&quot;given&quot;:&quot;Gerald&quot;,&quot;parse-names&quot;:false,&quot;dropping-particle&quot;:&quot;&quot;,&quot;non-dropping-particle&quot;:&quot;&quot;}],&quot;container-title&quot;:&quot;Frontiers in Earth Science&quot;,&quot;container-title-short&quot;:&quot;Front. Earth Sci. (Lausanne).&quot;,&quot;DOI&quot;:&quot;10.3389/feart.2020.626401&quot;,&quot;ISSN&quot;:&quot;22966463&quot;,&quot;issued&quot;:{&quot;date-parts&quot;:[[2021,2,22]]},&quot;abstract&quot;:&quot;The aim of the Fault2SHA European Seismological Commission Working Group Central Apennines laboratory is to enhance the use of geological data in fault-based seismic hazard and risk assessment and to promote synergies between data providers (earthquake geologists), end-users and decision-makers. Here we use the Fault2SHA Central Apennines Database where geologic data are provided in the form of characterized fault traces, grouped into faults and main faults, with individual slip rate estimates. The proposed methodology first derives slip rate profiles for each main fault. Main faults are then divided into distinct sections of length comparable to the seismogenic depth to allow consideration of variable slip rates and the exploration of multi-fault ruptures in the computations. The methodology further allows exploration of epistemic uncertainties documented in the database (e.g., main fault definition, slip rates) as well as additional parameters required to characterize the seismogenic potential of fault sources (e.g., 3D fault geometries). To illustrate the power of the methodology, in this paper we consider only one branch of the uncertainties affecting each step of the computation procedure. The resulting hazard and typological risk maps allow both data providers and end-users 1) to visualize the faults that threaten specific localities the most, 2) to appreciate the density of observations used for the computation of slip rate profiles, and 3) interrogate the degree of confidence on the fault parameters documented in the database (activity and location certainty). Finally, closing the loop, the methodology highlights priorities for future geological investigations in terms of where improvements in the density of data within the database would lead to the greatest decreases in epistemic uncertainties in the hazard and risk calculations. Key to this new generation of fault-based seismic hazard and risk methodology are the user-friendly open source codes provided with this publication, documenting, step-by-step, the link between the geological database and the relative contribution of each section to seismic hazard and risk at specific localities.&quot;,&quot;publisher&quot;:&quot;Frontiers Media S.A.&quot;,&quot;volume&quot;:&quot;8&quot;},&quot;isTemporary&quot;:false}]},{&quot;citationID&quot;:&quot;MENDELEY_CITATION_0e5e5513-c36c-4d08-a849-0248286bd312&quot;,&quot;properties&quot;:{&quot;noteIndex&quot;:0},&quot;isEdited&quot;:false,&quot;manualOverride&quot;:{&quot;isManuallyOverridden&quot;:true,&quot;citeprocText&quot;:&quot;(Gamboa-Canté et al. 2025)&quot;,&quot;manualOverrideText&quot;:&quot;Gamboa Canté et al. 2025)&quot;},&quot;citationTag&quot;:&quot;MENDELEY_CITATION_v3_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&quot;,&quot;citationItems&quot;:[{&quot;id&quot;:&quot;72b933b8-12ce-3802-aba7-8f68955b411f&quot;,&quot;itemData&quot;:{&quot;type&quot;:&quot;article-journal&quot;,&quot;id&quot;:&quot;72b933b8-12ce-3802-aba7-8f68955b411f&quot;,&quot;title&quot;:&quot;Overview of seismic hazard studies in Central America: A comparative analysis of results&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 María&quot;,&quot;given&quot;:&quot;Belén&quot;,&quot;parse-names&quot;:false,&quot;dropping-particle&quot;:&quot;&quot;,&quot;non-dropping-particle&quot;:&quot;&quot;}],&quot;container-title&quot;:&quot;Journal of South American Earth Sciences&quot;,&quot;container-title-short&quot;:&quot;J. South Am. Earth Sci.&quot;,&quot;DOI&quot;:&quot;10.1016/j.jsames.2025.105630&quot;,&quot;ISSN&quot;:&quot;08959811&quot;,&quot;issued&quot;:{&quot;date-parts&quot;:[[2025,10,1]]},&quot;abstract&quot;:&quot;We present an overview of seismic hazard studies in Central America, evaluating all the probabilistic seismic hazard studies (PSHA) published at the national and regional scale, as well as an updated model recently developed (Gamboa-Canté et al., 2025). The key factors in the study for obtaining the updated model are the use of a regional earthquake catalog from 1520 to 2020; the implementation of the last seismic zoning for the region, taking into account the change of the subduction angle along the Central America trench; the implementation of the scaling relationships specific to the Central American upper-plate, and the more suitable ground motion models (GMM) for the region identified using local data. We use the updated model as a reference, comparing the results with previous seismic hazard studies. As a general conclusion, we find that seismic hazard studies undertaken over the last 10 years period at regional or national scales point to an increase in the hazard compared to studies in previous periods, with maximum PGA values now reaching around 0.8g–1.0g for a return period of 475 years in the Costa Rica peninsulas and south of Guatemala. The updated seismic hazard map is consistent with the latest local models generated for each country in the region with variability in PGA values of less than 20 %, although there are some local exceptions. The advantage of the updated map is that it reflects the trend of increasing hazard expressed in recent local studies, but it is a regional map, there is no lack of continuity at the borders between countries, as occurs when a regional map is configured from national maps. We suggest that this regional hazard map be used for Central America (Gamboa-Canté et al., 2025) as a reference map for updating the seismic hazard models or seismic codes of the countries.&quot;,&quot;publisher&quot;:&quot;Elsevier Ltd&quot;,&quot;volume&quot;:&quot;164&quot;},&quot;isTemporary&quot;:false}]},{&quot;citationID&quot;:&quot;MENDELEY_CITATION_28da6278-6a3a-4c01-937b-35a3556b803a&quot;,&quot;properties&quot;:{&quot;noteIndex&quot;:0},&quot;isEdited&quot;:false,&quot;manualOverride&quot;:{&quot;isManuallyOverridden&quot;:false,&quot;citeprocText&quot;:&quot;(Dziewonski et al. 1981; Ekström et al. 2012)&quot;,&quot;manualOverrideText&quot;:&quot;&quot;},&quot;citationTag&quot;:&quot;MENDELEY_CITATION_v3_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&quot;,&quot;citationItems&quot;:[{&quot;id&quot;:&quot;f0540244-088f-309a-a093-45e44be6c37b&quot;,&quot;itemData&quot;:{&quot;type&quot;:&quot;article-journal&quot;,&quot;id&quot;:&quot;f0540244-088f-309a-a093-45e44be6c37b&quot;,&quot;title&quot;:&quot;The global CMT project 2004-2010: Centroid-moment tensors for 13,017 earthquakes&quot;,&quot;author&quot;:[{&quot;family&quot;:&quot;Ekström&quot;,&quot;given&quot;:&quot;G.&quot;,&quot;parse-names&quot;:false,&quot;dropping-particle&quot;:&quot;&quot;,&quot;non-dropping-particle&quot;:&quot;&quot;},{&quot;family&quot;:&quot;Nettles&quot;,&quot;given&quot;:&quot;M.&quot;,&quot;parse-names&quot;:false,&quot;dropping-particle&quot;:&quot;&quot;,&quot;non-dropping-particle&quot;:&quot;&quot;},{&quot;family&quot;:&quot;Dziewoński&quot;,&quot;given&quot;:&quot;A. M.&quot;,&quot;parse-names&quot;:false,&quot;dropping-particle&quot;:&quot;&quot;,&quot;non-dropping-particle&quot;:&quot;&quot;}],&quot;container-title&quot;:&quot;Physics of the Earth and Planetary Interiors&quot;,&quot;DOI&quot;:&quot;10.1016/j.pepi.2012.04.002&quot;,&quot;ISSN&quot;:&quot;00319201&quot;,&quot;issued&quot;:{&quot;date-parts&quot;:[[2012,6]]},&quot;page&quot;:&quot;1-9&quot;,&quot;abstract&quot;:&quot;Earthquake moment tensors reflecting seven years of global seismic activity (2004-2010) are presented. The results are the product of the global centroid-moment-tensor (GCMT) project, which maintains and extends a catalog of global seismic moment tensors beginning with earthquakes in 1976. Starting with earthquakes in 2004, the GCMT analysis takes advantage of advances in the mapping of propagation characteristics of intermediate-period surface waves, and includes these waves in the moment-tensor inversions. This modification of the CMT algorithm makes possible the globally uniform determination of moment tensors for earthquakes as small as M W=5.0. For the period 2004-2010, 13,017 new centroid-moment tensors are reported. © 2012 Elsevier B.V..&quot;,&quot;volume&quot;:&quot;200-201&quot;,&quot;container-title-short&quot;:&quot;&quot;},&quot;isTemporary&quot;:false},{&quot;id&quot;:&quot;359356b7-cb07-37a3-b38e-ea73ad47c0ec&quot;,&quot;itemData&quot;:{&quot;type&quot;:&quot;article-journal&quot;,&quot;id&quot;:&quot;359356b7-cb07-37a3-b38e-ea73ad47c0ec&quot;,&quot;title&quot;:&quot;Determination of earthquake source parameters from waveform data for studies of global and regional seismicity.&quot;,&quot;author&quot;:[{&quot;family&quot;:&quot;Dziewonski&quot;,&quot;given&quot;:&quot;A. M.&quot;,&quot;parse-names&quot;:false,&quot;dropping-particle&quot;:&quot;&quot;,&quot;non-dropping-particle&quot;:&quot;&quot;},{&quot;family&quot;:&quot;Chou&quot;,&quot;given&quot;:&quot;T. A.&quot;,&quot;parse-names&quot;:false,&quot;dropping-particle&quot;:&quot;&quot;,&quot;non-dropping-particle&quot;:&quot;&quot;},{&quot;family&quot;:&quot;Woodhouse&quot;,&quot;given&quot;:&quot;J. H.&quot;,&quot;parse-names&quot;:false,&quot;dropping-particle&quot;:&quot;&quot;,&quot;non-dropping-particle&quot;:&quot;&quot;}],&quot;container-title&quot;:&quot;Journal of Geophysical Research&quot;,&quot;DOI&quot;:&quot;10.1029/JB086iB04p02825&quot;,&quot;ISSN&quot;:&quot;01480227&quot;,&quot;issued&quot;:{&quot;date-parts&quot;:[[1981]]},&quot;page&quot;:&quot;2825-2852&quot;,&quot;abstract&quot;:&quot;It is possible to use the waveform data not only to derive the source mechanism of an earthquake but also to establish the hypocentral coordinates of the 'best point source' (the centroid of the stress glut density) at a given frequency. Thus two classical problems of seismology are combined into a single procedure. Given an estimate of the origin time, epicentral coordinates and depth, an initial moment tensor is derived using one of the variations of the method described in detail by Gilbert and Dziewonski (1975). This set of parameters represents the starting values for an iterative procedure in which perturbations to the elements of the moment tensor are found simultaneously with changes in the hypocentral parameters. In general, the method is stable, and convergence rapid. Although the approach is a general one, we present it here in the context of the analysis of long-period body wave data recorded by the instruments of the SRO and ASRO digital network. -Authors&quot;,&quot;issue&quot;:&quot;B4&quot;,&quot;volume&quot;:&quot;86&quot;,&quot;container-title-short&quot;:&quot;J. Geophys. Res.&quot;},&quot;isTemporary&quot;:false}]},{&quot;citationID&quot;:&quot;MENDELEY_CITATION_79bff648-75d1-4a06-b9aa-b7ccac39b166&quot;,&quot;properties&quot;:{&quot;noteIndex&quot;:0},&quot;isEdited&quot;:false,&quot;manualOverride&quot;:{&quot;isManuallyOverridden&quot;:true,&quot;citeprocText&quot;:&quot;(Garnier et al. 2022)&quot;,&quot;manualOverrideText&quot;:&quot;Garnier et al. (2022)&quot;},&quot;citationTag&quot;:&quot;MENDELEY_CITATION_v3_eyJjaXRhdGlvbklEIjoiTUVOREVMRVlfQ0lUQVRJT05fNzliZmY2NDgtNzVkMS00YTA2LWI5YWEtYjdjY2FjMzliMTY2IiwicHJvcGVydGllcyI6eyJub3RlSW5kZXgiOjB9LCJpc0VkaXRlZCI6ZmFsc2UsIm1hbnVhbE92ZXJyaWRlIjp7ImlzTWFudWFsbHlPdmVycmlkZGVuIjp0cnVlLCJjaXRlcHJvY1RleHQiOiIoR2FybmllciBldCBhbC4gMjAyMikiLCJtYW51YWxPdmVycmlkZVRleHQiOiJHYXJuaWVyIGV0IGFsLiAoMjAyMik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V19&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f8ea09c2-b95b-4cda-b835-93bd22e022d9&quot;,&quot;properties&quot;:{&quot;noteIndex&quot;:0},&quot;isEdited&quot;:false,&quot;manualOverride&quot;:{&quot;isManuallyOverridden&quot;:true,&quot;citeprocText&quot;:&quot;(Garnier et al. 2022)&quot;,&quot;manualOverrideText&quot;:&quot;Garnier et al. (2022)&quot;},&quot;citationTag&quot;:&quot;MENDELEY_CITATION_v3_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&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846e9a53-60dd-4f3f-86eb-32172e52856c&quot;,&quot;properties&quot;:{&quot;noteIndex&quot;:0},&quot;isEdited&quot;:false,&quot;manualOverride&quot;:{&quot;isManuallyOverridden&quot;:true,&quot;citeprocText&quot;:&quot;(Garnier et al. 2022)&quot;,&quot;manualOverrideText&quot;:&quot;Maurer et al. (2025)&quot;},&quot;citationTag&quot;:&quot;MENDELEY_CITATION_v3_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&quot;,&quot;citationItems&quot;:[{&quot;id&quot;:&quot;5a0cae4d-a361-3f84-a5dc-b85d38c4dfea&quot;,&quot;itemData&quot;:{&quot;type&quot;:&quot;article-journal&quot;,&quot;id&quot;:&quot;5a0cae4d-a361-3f84-a5dc-b85d38c4dfea&quot;,&quot;title&quot;:&quot;Deformation in Western Guatemala Associated with the NAFCA (North America-Central American Forearc-Caribbean) Triple Junction: Neotectonic Strain Localization Into the Guatemala City Graben&quot;,&quot;author&quot;:[{&quot;family&quot;:&quot;Garnier&quot;,&quot;given&quot;:&quot;Bridget&quot;,&quot;parse-names&quot;:false,&quot;dropping-particle&quot;:&quot;&quot;,&quot;non-dropping-particle&quot;:&quot;&quot;},{&quot;family&quot;:&quot;Tikoff&quot;,&quot;given&quot;:&quot;Basil&quot;,&quot;parse-names&quot;:false,&quot;dropping-particle&quot;:&quot;&quot;,&quot;non-dropping-particle&quot;:&quot;&quot;},{&quot;family&quot;:&quot;Flores&quot;,&quot;given&quot;:&quot;Omar&quot;,&quot;parse-names&quot;:false,&quot;dropping-particle&quot;:&quot;&quot;,&quot;non-dropping-particle&quot;:&quot;&quot;},{&quot;family&quot;:&quot;Jicha&quot;,&quot;given&quot;:&quot;Brian&quot;,&quot;parse-names&quot;:false,&quot;dropping-particle&quot;:&quot;&quot;,&quot;non-dropping-particle&quot;:&quot;&quot;},{&quot;family&quot;:&quot;DeMets&quot;,&quot;given&quot;:&quot;Charles&quot;,&quot;parse-names&quot;:false,&quot;dropping-particle&quot;:&quot;&quot;,&quot;non-dropping-particle&quot;:&quot;&quot;},{&quot;family&quot;:&quot;Cosenza-Muralles&quot;,&quot;given&quot;:&quot;Beatriz&quot;,&quot;parse-names&quot;:false,&quot;dropping-particle&quot;:&quot;&quot;,&quot;non-dropping-particle&quot;:&quot;&quot;},{&quot;family&quot;:&quot;Hernandez&quot;,&quot;given&quot;:&quot;Walter&quot;,&quot;parse-names&quot;:false,&quot;dropping-particle&quot;:&quot;&quot;,&quot;non-dropping-particle&quot;:&quot;&quot;},{&quot;family&quot;:&quot;Greene&quot;,&quot;given&quot;:&quot;David&quot;,&quot;parse-names&quot;:false,&quot;dropping-particle&quot;:&quot;&quot;,&quot;non-dropping-particle&quot;:&quot;&quot;}],&quot;container-title&quot;:&quot;Tectonics&quot;,&quot;container-title-short&quot;:&quot;Tectonics&quot;,&quot;DOI&quot;:&quot;10.1029/2021TC006739&quot;,&quot;ISSN&quot;:&quot;19449194&quot;,&quot;issued&quot;:{&quot;date-parts&quot;:[[2022,2,1]]},&quot;abstract&quot;:&quot;Recent structural and geodetic data define the Guatemala City graben region as the continental triple junction between the North American plate, Caribbean plate, and the Central American Forearc sliver. We present minor fault analysis, geochronological and geochemical analyses, and newly updated GPS velocities in western Guatemala, west of the Guatemala City graben, to characterize the magnitude and timing of extensional deformation in this poorly understood area. Elongations estimated from fault data are parallel (∼east-west) and perpendicular to the Polochic-Motagua fault system to the north, similar to geodetically measured active deformation observed east of the Guatemala City graben. Four new 40Ar/39Ar dates and correlation of tephra deposits suggest that faulting was active during the Pliocene, but ceased eastward toward the Guatemala City graben over time. From west to east, fault cessation occurred before the deposition of the Los Chocoyos ash (75 ka) and E tephra (51 ka). Faulting just west of the Guatemala City graben appears to be active, where a major fault cuts the most recent Amatitlán tephras. Based on this data, we propose a time-progressive strain model for deformation related to North America-Caribbean plate interactions, whereby distributed elongation of the westernmost Caribbean plate occurred during the Pliocene but localized mostly within the Guatemala City graben and nearby faults during the Pleistocene. Our model supports that: (a) The Guatemala City graben is effectively the western limit of the Caribbean plate; and (b) Western Guatemala, which was the trailing edge of the Caribbean plate, has been transferred to the forearc region.&quot;,&quot;publisher&quot;:&quot;John Wiley and Sons Inc&quot;,&quot;issue&quot;:&quot;2&quot;,&quot;volume&quot;:&quot;41&quot;},&quot;isTemporary&quot;:false}]},{&quot;citationID&quot;:&quot;MENDELEY_CITATION_426955bd-2b77-489d-b1e8-383afb3c97a5&quot;,&quot;properties&quot;:{&quot;noteIndex&quot;:0},&quot;isEdited&quot;:false,&quot;manualOverride&quot;:{&quot;isManuallyOverridden&quot;:false,&quot;citeprocText&quot;:&quot;(Arroyo-Solórzano et al. 2024)&quot;,&quot;manualOverrideText&quot;:&quot;&quot;},&quot;citationTag&quot;:&quot;MENDELEY_CITATION_v3_eyJjaXRhdGlvbklEIjoiTUVOREVMRVlfQ0lUQVRJT05fNDI2OTU1YmQtMmI3Ny00ODlkLWIxZTgtMzgzYWZiM2M5N2E1IiwicHJvcGVydGllcyI6eyJub3RlSW5kZXgiOjB9LCJpc0VkaXRlZCI6ZmFsc2UsIm1hbnVhbE92ZXJyaWRlIjp7ImlzTWFudWFsbHlPdmVycmlkZGVuIjpmYWxzZSwiY2l0ZXByb2NUZXh0IjoiKEFycm95by1Tb2zDs3J6YW5vIGV0IGFsLiAyMDI0KSIsIm1hbnVhbE92ZXJyaWRlVGV4dCI6Ii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1dfQ==&quot;,&quot;citationItems&quot;:[{&quot;id&quot;:&quot;0b2cc835-2682-3029-a71f-2035f628ab57&quot;,&quot;itemData&quot;:{&quot;type&quot;:&quot;article-journal&quot;,&quot;id&quot;:&quot;0b2cc835-2682-3029-a71f-2035f628ab57&quot;,&quot;title&quot;:&quot;Empirical earthquake source scaling relations for maximum magnitudes estimations in Central America&quot;,&quot;author&quot;:[{&quot;family&quot;:&quot;Arroyo-Solórzano&quot;,&quot;given&quot;:&quot;Mario&quot;,&quot;parse-names&quot;:false,&quot;dropping-particle&quot;:&quot;&quot;,&quot;non-dropping-particle&quot;:&quot;&quot;},{&quot;family&quot;:&quot;Benito&quot;,&quot;given&quot;:&quot;María Belen&quot;,&quot;parse-names&quot;:false,&quot;dropping-particle&quot;:&quot;&quot;,&quot;non-dropping-particle&quot;:&quot;&quot;},{&quot;family&quot;:&quot;Alvarado&quot;,&quot;given&quot;:&quot;Guillermo E.&quot;,&quot;parse-names&quot;:false,&quot;dropping-particle&quot;:&quot;&quot;,&quot;non-dropping-particle&quot;:&quot;&quot;},{&quot;family&quot;:&quot;Climent&quot;,&quot;given&quot;:&quot;Alvaro&quot;,&quot;parse-names&quot;:false,&quot;dropping-particle&quot;:&quot;&quot;,&quot;non-dropping-particle&quot;:&quot;&quot;}],&quot;container-title&quot;:&quot;Bulletin of the Seismological Society of America&quot;,&quot;DOI&quot;:&quot;10.1785/0120230100&quot;,&quot;ISSN&quot;:&quot;19433573&quot;,&quot;issued&quot;:{&quot;date-parts&quot;:[[2024,6,1]]},&quot;page&quot;:&quot;1539-1567&quot;,&quot;abstract&quot;:&quot;Central America is a seismically active region where six tectonic plates (North America, Caribbean, Cocos, Nazca, Panama, and South America) interact in a subduction zone with transform faults and two triple points. This complex tectonic setting makes the maximum magnitude—Mmax —estimation a challenging task, with the crustal fault earthquakes being the most damaging in the seismic history of Central America. The empirical source scaling relations (ESSR) allow the Mmax of faults to be determined from rupture parameters. In this study, we use a dataset of well-characterized earthquakes in the region, comprising 64 events from 1972 to 2021 with magnitudes between Mw 4.1 and 7.7. The dataset incorporates records of rupture parameters (length, width, area, slip, and magnitude) and information on the faults and aftershocks associated. This database is an important product in itself, and through its use we determine which global relations fit best to our data via a residual analysis. Moreover, based on the best-quality records, we develop scaling relations for Central America (CA-ESSR) for rupture length, width, and area. These new relations were tested and compared with recent earthquakes, and logic trees are proposed to combine the CA-ESSR and the best-fit global relations. Therefore, we estimate the Mmax for 30 faults using the logic tree for rupture length, considering a total rupture of the fault and multifault scenarios. Our results suggest that in Central America rupture areas larger than other regions are required to generate the same magnitudes. We associate this with the shear modulus (μ), which seems to be lower (∼ 30% less) than the global mean values for crustal rocks. Furthermore, considering multifault ruptures, we found several fault systems with potential Mmax ≥ Mw 7.0. These findings contribute to a better understanding of regional seismotec-tonics and to the efficient characterization of fault rupture models for seismic hazards.&quot;,&quot;publisher&quot;:&quot;Seismological Society of America&quot;,&quot;issue&quot;:&quot;3&quot;,&quot;volume&quot;:&quot;114&quot;,&quot;container-title-short&quot;:&quot;&quot;},&quot;isTemporary&quot;:false}]},{&quot;citationID&quot;:&quot;MENDELEY_CITATION_5a73a46f-3561-4338-8119-caec4c33d9c1&quot;,&quot;properties&quot;:{&quot;noteIndex&quot;:0},&quot;isEdited&quot;:false,&quot;manualOverride&quot;:{&quot;isManuallyOverridden&quot;:false,&quot;citeprocText&quot;:&quot;(Tavakolizadeh et al. 2025)&quot;,&quot;manualOverrideText&quot;:&quot;&quot;},&quot;citationTag&quot;:&quot;MENDELEY_CITATION_v3_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&quot;,&quot;citationItems&quot;:[{&quot;id&quot;:&quot;0e226162-755b-35d0-ad58-32dabf4c23d2&quot;,&quot;itemData&quot;:{&quot;type&quot;:&quot;article-journal&quot;,&quot;id&quot;:&quot;0e226162-755b-35d0-ad58-32dabf4c23d2&quot;,&quot;title&quot;:&quot;FQSHA: An open-source Python software for fault-based seismic hazard assessment&quot;,&quot;author&quot;:[{&quot;family&quot;:&quot;Tavakolizadeh&quot;,&quot;given&quot;:&quot;Nasrin&quot;,&quot;parse-names&quot;:false,&quot;dropping-particle&quot;:&quot;&quot;,&quot;non-dropping-particle&quot;:&quot;&quot;},{&quot;family&quot;:&quot;Mohammadigheymasi&quot;,&quot;given&quot;:&quot;Hamzeh&quot;,&quot;parse-names&quot;:false,&quot;dropping-particle&quot;:&quot;&quot;,&quot;non-dropping-particle&quot;:&quot;&quot;},{&quot;family&quot;:&quot;Pombo&quot;,&quot;given&quot;:&quot;Nuno&quot;,&quot;parse-names&quot;:false,&quot;dropping-particle&quot;:&quot;&quot;,&quot;non-dropping-particle&quot;:&quot;&quot;}],&quot;container-title&quot;:&quot;SoftwareX&quot;,&quot;container-title-short&quot;:&quot;SoftwareX&quot;,&quot;DOI&quot;:&quot;10.1016/j.softx.2025.102339&quot;,&quot;ISSN&quot;:&quot;23527110&quot;,&quot;issued&quot;:{&quot;date-parts&quot;:[[2025,12,1]]},&quot;abstract&quot;:&quot;The PyQt framework facilitates the development of desktop applications, offering an effective environment for implementing scientific algorithms while leveraging the flexibility of Python. In this paper, we introduce FQSHA, a PyQt5-based application designed to streamline the workflow of fault-based Seismic Activity Rate (SAR) calculation and seismic hazard assessment. The primary aim is to provide a unified and user-friendly interface that makes these processes more accessible. FQSHA enables users to perform hazard calculations and map the results from scratch using minimal input data and requiring only basic knowledge of hazard computation engines. The SAR calculation core (FaultQuake) is seamlessly integrated with the hazard assessment engine (OpenQuake), offering additional flexibility to customize input parameters for hazard analysis. This integration supports an end-to-end workflow within a single software utilizing a user-friendly GUI. We present the architecture of FQSHA and demonstrate its capabilities through a hands-on example, which is publicly available on GitHub.&quot;,&quot;publisher&quot;:&quot;Elsevier B.V.&quot;,&quot;volume&quot;:&quot;32&quot;},&quot;isTemporary&quot;:false}]},{&quot;citationID&quot;:&quot;MENDELEY_CITATION_ee7897c2-fa3c-482c-b44b-3361f6626ecf&quot;,&quot;properties&quot;:{&quot;noteIndex&quot;:0},&quot;isEdited&quot;:false,&quot;manualOverride&quot;:{&quot;isManuallyOverridden&quot;:true,&quot;citeprocText&quot;:&quot;(Gamboa-Canté et al. 2025)&quot;,&quot;manualOverrideText&quot;:&quot;Gamboa-Canté et al. (2025)&quot;},&quot;citationTag&quot;:&quot;MENDELEY_CITATION_v3_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&quot;,&quot;citationItems&quot;:[{&quot;id&quot;:&quot;72b933b8-12ce-3802-aba7-8f68955b411f&quot;,&quot;itemData&quot;:{&quot;type&quot;:&quot;article-journal&quot;,&quot;id&quot;:&quot;72b933b8-12ce-3802-aba7-8f68955b411f&quot;,&quot;title&quot;:&quot;Overview of seismic hazard studies in Central America: A comparative analysis of results&quot;,&quot;author&quot;:[{&quot;family&quot;:&quot;Gamboa-Canté&quot;,&quot;given&quot;:&quot;Carlos&quot;,&quot;parse-names&quot;:false,&quot;dropping-particle&quot;:&quot;&quot;,&quot;non-dropping-particle&quot;:&quot;&quot;},{&quot;family&quot;:&quot;Arroyo-Solórzano&quot;,&quot;given&quot;:&quot;Mario&quot;,&quot;parse-names&quot;:false,&quot;dropping-particle&quot;:&quot;&quot;,&quot;non-dropping-particle&quot;:&quot;&quot;},{&quot;family&quot;:&quot;Rivas-Medina&quot;,&quot;given&quot;:&quot;Alicia&quot;,&quot;parse-names&quot;:false,&quot;dropping-particle&quot;:&quot;&quot;,&quot;non-dropping-particle&quot;:&quot;&quot;},{&quot;family&quot;:&quot;Benito María&quot;,&quot;given&quot;:&quot;Belén&quot;,&quot;parse-names&quot;:false,&quot;dropping-particle&quot;:&quot;&quot;,&quot;non-dropping-particle&quot;:&quot;&quot;}],&quot;container-title&quot;:&quot;Journal of South American Earth Sciences&quot;,&quot;container-title-short&quot;:&quot;J. South Am. Earth Sci.&quot;,&quot;DOI&quot;:&quot;10.1016/j.jsames.2025.105630&quot;,&quot;ISSN&quot;:&quot;08959811&quot;,&quot;issued&quot;:{&quot;date-parts&quot;:[[2025,10,1]]},&quot;abstract&quot;:&quot;We present an overview of seismic hazard studies in Central America, evaluating all the probabilistic seismic hazard studies (PSHA) published at the national and regional scale, as well as an updated model recently developed (Gamboa-Canté et al., 2025). The key factors in the study for obtaining the updated model are the use of a regional earthquake catalog from 1520 to 2020; the implementation of the last seismic zoning for the region, taking into account the change of the subduction angle along the Central America trench; the implementation of the scaling relationships specific to the Central American upper-plate, and the more suitable ground motion models (GMM) for the region identified using local data. We use the updated model as a reference, comparing the results with previous seismic hazard studies. As a general conclusion, we find that seismic hazard studies undertaken over the last 10 years period at regional or national scales point to an increase in the hazard compared to studies in previous periods, with maximum PGA values now reaching around 0.8g–1.0g for a return period of 475 years in the Costa Rica peninsulas and south of Guatemala. The updated seismic hazard map is consistent with the latest local models generated for each country in the region with variability in PGA values of less than 20 %, although there are some local exceptions. The advantage of the updated map is that it reflects the trend of increasing hazard expressed in recent local studies, but it is a regional map, there is no lack of continuity at the borders between countries, as occurs when a regional map is configured from national maps. We suggest that this regional hazard map be used for Central America (Gamboa-Canté et al., 2025) as a reference map for updating the seismic hazard models or seismic codes of the countries.&quot;,&quot;publisher&quot;:&quot;Elsevier Ltd&quot;,&quot;volume&quot;:&quot;164&quot;},&quot;isTemporary&quot;:false}]},{&quot;citationID&quot;:&quot;MENDELEY_CITATION_e060219d-59be-4269-88f0-d19ec5caf9e5&quot;,&quot;properties&quot;:{&quot;noteIndex&quot;:0},&quot;isEdited&quot;:false,&quot;manualOverride&quot;:{&quot;isManuallyOverridden&quot;:true,&quot;citeprocText&quot;:&quot;(Anderson and Luco 1983)&quot;,&quot;manualOverrideText&quot;:&quot;Anderson &amp; Luco (1983)&quot;},&quot;citationTag&quot;:&quot;MENDELEY_CITATION_v3_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&quot;,&quot;citationItems&quot;:[{&quot;id&quot;:&quot;c7aa2d39-1cd8-3f42-b99c-fcb6dbe2999d&quot;,&quot;itemData&quot;:{&quot;type&quot;:&quot;article-journal&quot;,&quot;id&quot;:&quot;c7aa2d39-1cd8-3f42-b99c-fcb6dbe2999d&quot;,&quot;title&quot;:&quot;Consequences of slip rate constraints on earthquake occurrence relations&quot;,&quot;author&quot;:[{&quot;family&quot;:&quot;Anderson&quot;,&quot;given&quot;:&quot;John G&quot;,&quot;parse-names&quot;:false,&quot;dropping-particle&quot;:&quot;&quot;,&quot;non-dropping-particle&quot;:&quot;&quot;},{&quot;family&quot;:&quot;Luco&quot;,&quot;given&quot;:&quot;J Enrique&quot;,&quot;parse-names&quot;:false,&quot;dropping-particle&quot;:&quot;&quot;,&quot;non-dropping-particle&quot;:&quot;&quot;}],&quot;container-title&quot;:&quot;Bulletin of the Seismological Society of America&quot;,&quot;URL&quot;:&quot;http://pubs.geoscienceworld.org/ssa/bssa/article-pdf/73/2/471/5331484/bssa0730020471.pdf&quot;,&quot;issued&quot;:{&quot;date-parts&quot;:[[1983]]},&quot;page&quot;:&quot;471-496&quot;,&quot;abstract&quot;:&quot;Three functional forms for earthquake occurrence relations are compared, and slip rate constraints on each are derived. Constrained occurrence relations referred to total fault area, to rupture area of the maximum magnitude earthquake , and to a particular site along the fault and are presented and discussed. The slip rate constraints provide a means to estimate Mmax from occurrence rates of small magnitude earthquakes, ~r a means to estimate the threshold of observations in a qualitative earthquake catalog, a~ well as a means to estimate occurrence rates when Mmax is obtained from other considerations. This paper shows examples of these three types of applications. The relations considered are\&quot; NI(M) is such that the cumulative occurrence rate of earthquakes with magnitude greater than M is an exponential function truncated at Mm~x; N2(M) is such that the corresponding incremental occurrence rate is a truncated exponential function; and N3(M) is such that the corresponding incremental occurrence rate is an exponential function plus a constant which causes the rate to go to zero at Mm~x. A speculative model for the magnitudes of the earthquakes at Pallett Creek observed by Sieh (1978a) suggests that N2(M) is more appropriate than NI(M) or N3(M) for these earthquakes.&quot;,&quot;issue&quot;:&quot;2&quot;,&quot;volume&quot;:&quot;73&quot;,&quot;container-title-short&quot;:&quot;&quot;},&quot;isTemporary&quot;:false}]},{&quot;citationID&quot;:&quot;MENDELEY_CITATION_2f59c9f8-db8e-46ff-b68d-2c83e144b0f7&quot;,&quot;properties&quot;:{&quot;noteIndex&quot;:0},&quot;isEdited&quot;:false,&quot;manualOverride&quot;:{&quot;isManuallyOverridden&quot;:true,&quot;citeprocText&quot;:&quot;(Anderson and Luco 1983)&quot;,&quot;manualOverrideText&quot;:&quot;Anderson &amp; Luco (1983)&quot;},&quot;citationTag&quot;:&quot;MENDELEY_CITATION_v3_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&quot;,&quot;citationItems&quot;:[{&quot;id&quot;:&quot;c7aa2d39-1cd8-3f42-b99c-fcb6dbe2999d&quot;,&quot;itemData&quot;:{&quot;type&quot;:&quot;article-journal&quot;,&quot;id&quot;:&quot;c7aa2d39-1cd8-3f42-b99c-fcb6dbe2999d&quot;,&quot;title&quot;:&quot;Consequences of slip rate constraints on earthquake occurrence relations&quot;,&quot;author&quot;:[{&quot;family&quot;:&quot;Anderson&quot;,&quot;given&quot;:&quot;John G&quot;,&quot;parse-names&quot;:false,&quot;dropping-particle&quot;:&quot;&quot;,&quot;non-dropping-particle&quot;:&quot;&quot;},{&quot;family&quot;:&quot;Luco&quot;,&quot;given&quot;:&quot;J Enrique&quot;,&quot;parse-names&quot;:false,&quot;dropping-particle&quot;:&quot;&quot;,&quot;non-dropping-particle&quot;:&quot;&quot;}],&quot;container-title&quot;:&quot;Bulletin of the Seismological Society of America&quot;,&quot;URL&quot;:&quot;http://pubs.geoscienceworld.org/ssa/bssa/article-pdf/73/2/471/5331484/bssa0730020471.pdf&quot;,&quot;issued&quot;:{&quot;date-parts&quot;:[[1983]]},&quot;page&quot;:&quot;471-496&quot;,&quot;abstract&quot;:&quot;Three functional forms for earthquake occurrence relations are compared, and slip rate constraints on each are derived. Constrained occurrence relations referred to total fault area, to rupture area of the maximum magnitude earthquake , and to a particular site along the fault and are presented and discussed. The slip rate constraints provide a means to estimate Mmax from occurrence rates of small magnitude earthquakes, ~r a means to estimate the threshold of observations in a qualitative earthquake catalog, a~ well as a means to estimate occurrence rates when Mmax is obtained from other considerations. This paper shows examples of these three types of applications. The relations considered are\&quot; NI(M) is such that the cumulative occurrence rate of earthquakes with magnitude greater than M is an exponential function truncated at Mm~x; N2(M) is such that the corresponding incremental occurrence rate is a truncated exponential function; and N3(M) is such that the corresponding incremental occurrence rate is an exponential function plus a constant which causes the rate to go to zero at Mm~x. A speculative model for the magnitudes of the earthquakes at Pallett Creek observed by Sieh (1978a) suggests that N2(M) is more appropriate than NI(M) or N3(M) for these earthquakes.&quot;,&quot;issue&quot;:&quot;2&quot;,&quot;volume&quot;:&quot;73&quot;,&quot;container-title-short&quot;:&quot;&quot;},&quot;isTemporary&quot;:false}]},{&quot;citationID&quot;:&quot;MENDELEY_CITATION_e203e73b-acb2-45bf-9389-4dd0e3db3858&quot;,&quot;properties&quot;:{&quot;noteIndex&quot;:0},&quot;isEdited&quot;:false,&quot;manualOverride&quot;:{&quot;isManuallyOverridden&quot;:true,&quot;citeprocText&quot;:&quot;(Anderson and Luco 1983)&quot;,&quot;manualOverrideText&quot;:&quot;Anderson &amp; Luco (1983)&quot;},&quot;citationTag&quot;:&quot;MENDELEY_CITATION_v3_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&quot;,&quot;citationItems&quot;:[{&quot;id&quot;:&quot;c7aa2d39-1cd8-3f42-b99c-fcb6dbe2999d&quot;,&quot;itemData&quot;:{&quot;type&quot;:&quot;article-journal&quot;,&quot;id&quot;:&quot;c7aa2d39-1cd8-3f42-b99c-fcb6dbe2999d&quot;,&quot;title&quot;:&quot;Consequences of slip rate constraints on earthquake occurrence relations&quot;,&quot;author&quot;:[{&quot;family&quot;:&quot;Anderson&quot;,&quot;given&quot;:&quot;John G&quot;,&quot;parse-names&quot;:false,&quot;dropping-particle&quot;:&quot;&quot;,&quot;non-dropping-particle&quot;:&quot;&quot;},{&quot;family&quot;:&quot;Luco&quot;,&quot;given&quot;:&quot;J Enrique&quot;,&quot;parse-names&quot;:false,&quot;dropping-particle&quot;:&quot;&quot;,&quot;non-dropping-particle&quot;:&quot;&quot;}],&quot;container-title&quot;:&quot;Bulletin of the Seismological Society of America&quot;,&quot;URL&quot;:&quot;http://pubs.geoscienceworld.org/ssa/bssa/article-pdf/73/2/471/5331484/bssa0730020471.pdf&quot;,&quot;issued&quot;:{&quot;date-parts&quot;:[[1983]]},&quot;page&quot;:&quot;471-496&quot;,&quot;abstract&quot;:&quot;Three functional forms for earthquake occurrence relations are compared, and slip rate constraints on each are derived. Constrained occurrence relations referred to total fault area, to rupture area of the maximum magnitude earthquake , and to a particular site along the fault and are presented and discussed. The slip rate constraints provide a means to estimate Mmax from occurrence rates of small magnitude earthquakes, ~r a means to estimate the threshold of observations in a qualitative earthquake catalog, a~ well as a means to estimate occurrence rates when Mmax is obtained from other considerations. This paper shows examples of these three types of applications. The relations considered are\&quot; NI(M) is such that the cumulative occurrence rate of earthquakes with magnitude greater than M is an exponential function truncated at Mm~x; N2(M) is such that the corresponding incremental occurrence rate is a truncated exponential function; and N3(M) is such that the corresponding incremental occurrence rate is an exponential function plus a constant which causes the rate to go to zero at Mm~x. A speculative model for the magnitudes of the earthquakes at Pallett Creek observed by Sieh (1978a) suggests that N2(M) is more appropriate than NI(M) or N3(M) for these earthquakes.&quot;,&quot;issue&quot;:&quot;2&quot;,&quot;volume&quot;:&quot;73&quot;,&quot;container-title-short&quot;:&quot;&quot;},&quot;isTemporary&quot;:false}]},{&quot;citationID&quot;:&quot;MENDELEY_CITATION_3f1f3469-5824-4824-bf86-e4f66941317d&quot;,&quot;properties&quot;:{&quot;noteIndex&quot;:0},&quot;isEdited&quot;:false,&quot;manualOverride&quot;:{&quot;isManuallyOverridden&quot;:true,&quot;citeprocText&quot;:&quot;(Youngs and Coppersmith 1985)&quot;,&quot;manualOverrideText&quot;:&quot;Youngs &amp; Coppersmith (1985)&quot;},&quot;citationTag&quot;:&quot;MENDELEY_CITATION_v3_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&quot;,&quot;citationItems&quot;:[{&quot;id&quot;:&quot;4e3f1c72-9074-39e2-ab79-177f4dcb47d4&quot;,&quot;itemData&quot;:{&quot;type&quot;:&quot;article-journal&quot;,&quot;id&quot;:&quot;4e3f1c72-9074-39e2-ab79-177f4dcb47d4&quot;,&quot;title&quot;:&quot;Implications of fault slip rates and earthquake recurrence models to probabilistic seismic hazard estimates&quot;,&quot;author&quot;:[{&quot;family&quot;:&quot;Youngs&quot;,&quot;given&quot;:&quot;Robert R&quot;,&quot;parse-names&quot;:false,&quot;dropping-particle&quot;:&quot;&quot;,&quot;non-dropping-particle&quot;:&quot;&quot;},{&quot;family&quot;:&quot;Coppersmith&quot;,&quot;given&quot;:&quot;Kevin J&quot;,&quot;parse-names&quot;:false,&quot;dropping-particle&quot;:&quot;&quot;,&quot;non-dropping-particle&quot;:&quot;&quot;}],&quot;container-title&quot;:&quot;Bulletin of the Seismological Society of America&quot;,&quot;DOI&quot;:&quot;10.1785/BSSA0750040939&quot;,&quot;ISBN&quot;:&quot;0750040939&quot;,&quot;URL&quot;:&quot;http://pubs.geoscienceworld.org/ssa/bssa/article-pdf/75/4/939/5332825/bssa0750040939.pdf&quot;,&quot;issued&quot;:{&quot;date-parts&quot;:[[1985]]},&quot;page&quot;:&quot;939-964&quot;,&quot;abstract&quot;:&quot;Increasingly, fault slip rates are being used to constrain earthquake recurrence relationships for site-specific probabilistic seismic hazard (ground motion) assessments. This paper shows the sensitivity of seismic hazard assessments to variations in recurrence models and parameters that incorporate fault slip rates. Two models are considered to describe the partitioning of the slip rate or seismic moment rate into various magnitude earthquakes: an exponential magnitude distribution and a characteristic earthquake distribution. Assuming an expon~,.ltial distribution, the activity rate, N(m°), is constrained by the upper bound magnitude, m u, the b-value for the region and the fault slip rate, S. For a given S, variations in m u and b-value have significant effects on recurrence and computed hazard, depending on whether the assumption is made that the seismicity rate is constant or the moment rate is constant. There is increasing evidence that the characteristic earthquake model is more appropriate for individual faults than the exponential magnitude distribution. Based on seismicity data from areas having repeated large earthquakes, a generalized recurrence density function is developed, and the resulting recurrence relationship requires only m u, b-value, and S, A comparison of the recurrence relationships from this model with the historical seismicity and paleoseism-icity data on the Wasatch and San Andreas faults shows a good match. The computed hazard based on the characteristic earthquake model differs from that obtained for the exponential model as a function of the fault-to-site distance and the acceleration level. One check on the recurrence models using slip rate is to compare over large regions activity rates based on seismicity data and slip rate data. Such a comparison in the western Transverse Ranges shows a reasonable match for both the exponential and characteristic earthquake models in the moderate-to-large magnitude range.&quot;,&quot;issue&quot;:&quot;4&quot;,&quot;volume&quot;:&quot;75&quot;,&quot;container-title-short&quot;:&quot;&quot;},&quot;isTemporary&quot;:false}]},{&quot;citationID&quot;:&quot;MENDELEY_CITATION_2acb7cd5-cfd0-4ff9-8c04-900f93042fd1&quot;,&quot;properties&quot;:{&quot;noteIndex&quot;:0},&quot;isEdited&quot;:false,&quot;manualOverride&quot;:{&quot;isManuallyOverridden&quot;:true,&quot;citeprocText&quot;:&quot;(Molnar 1979)&quot;,&quot;manualOverrideText&quot;:&quot;Molnar (1979)&quot;},&quot;citationTag&quot;:&quot;MENDELEY_CITATION_v3_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&quot;,&quot;citationItems&quot;:[{&quot;id&quot;:&quot;86c59500-1bd4-32e4-a5cc-ff9f75760e6e&quot;,&quot;itemData&quot;:{&quot;type&quot;:&quot;article-journal&quot;,&quot;id&quot;:&quot;86c59500-1bd4-32e4-a5cc-ff9f75760e6e&quot;,&quot;title&quot;:&quot;Earthquake recurrence intervals and plate tectonics&quot;,&quot;author&quot;:[{&quot;family&quot;:&quot;Molnar&quot;,&quot;given&quot;:&quot;Peter&quot;,&quot;parse-names&quot;:false,&quot;dropping-particle&quot;:&quot;&quot;,&quot;non-dropping-particle&quot;:&quot;&quot;}],&quot;container-title&quot;:&quot;Bulletin of the Seismological Society of America&quot;,&quot;DOI&quot;:&quot;10.1785/BSSA0690010115&quot;,&quot;issued&quot;:{&quot;date-parts&quot;:[[1979]]},&quot;page&quot;:&quot;115-133&quot;,&quot;abstract&quot;:&quot;The frequency of occurrence of earthquakes with different seismic moments is expressed in terms of the rate of slip on a fault and to the largest seismic moment likely to occur in the region. Beginning from the Gutenberg-Richter empirical expression relating the relative recurrence of events with different magnitudes and using another empirical relation between magnitude and seismic moment, the relative number of events with seismic moment greater than or equal to Mo is given by N(Mo) = aM 0-/3. p can be determined from parameters in these empirical expressions. From average rates of slip on faults, this expression can be used to give the recurrence rates for events of different seismic moment: a= (1-P)Mo-:i, /Momax•-P where Momax is the maximum possible seismic moment in a region, and Mo-:i:-is the average rate of occurrence of the seismic moment. On a fault of area A, with shear modulus µ, and long-term average rate of slip v, Mo-:i:-= µAv. A similar expression can be given for a for regions where deformation is distributed over a broad area without a major throughgoing fault. Using rates of convergence at island arcs determined from plate motions for the last 5 m.y., the calculated frequency of occurrence of earthquakes with large seismic moments agrees well with the historic record. At present, uncertainties in the requisite parameters and in assumptions on which the recurrence relation is based, however, make such an approach only marginally better than reliance on the historic record alone. With more data constraining p, the largest possible seismic moments, the role of fault creep, and long-term rates of slip or deformation , however, this approach to seismic risk should be a more reliable predictor of recurrence rates than the existing historic record. As an example, the formulas are applied to the southeastern Caribbean.&quot;,&quot;issue&quot;:&quot;1&quot;,&quot;volume&quot;:&quot;69&quot;,&quot;container-title-short&quot;:&quot;&quot;},&quot;isTemporary&quot;:false}]},{&quot;citationID&quot;:&quot;MENDELEY_CITATION_8ecc748b-64f0-4beb-a43b-6f31506c4ec0&quot;,&quot;properties&quot;:{&quot;noteIndex&quot;:0},&quot;isEdited&quot;:false,&quot;manualOverride&quot;:{&quot;isManuallyOverridden&quot;:true,&quot;citeprocText&quot;:&quot;(Avouac 2015)&quot;,&quot;manualOverrideText&quot;:&quot;Avouac (2015)&quot;},&quot;citationTag&quot;:&quot;MENDELEY_CITATION_v3_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&quot;,&quot;citationItems&quot;:[{&quot;id&quot;:&quot;82cff335-164e-3f07-bd8a-0910252e999f&quot;,&quot;itemData&quot;:{&quot;type&quot;:&quot;article-journal&quot;,&quot;id&quot;:&quot;82cff335-164e-3f07-bd8a-0910252e999f&quot;,&quot;title&quot;:&quot;From geodetic imaging of seismic and aseismic fault slip to dynamic modeling of the seismic cycle&quot;,&quot;author&quot;:[{&quot;family&quot;:&quot;Avouac&quot;,&quot;given&quot;:&quot;Jean Philippe&quot;,&quot;parse-names&quot;:false,&quot;dropping-particle&quot;:&quot;&quot;,&quot;non-dropping-particle&quot;:&quot;&quot;}],&quot;container-title&quot;:&quot;Annual Review of Earth and Planetary Sciences&quot;,&quot;container-title-short&quot;:&quot;Annu. Rev. Earth Planet. Sci.&quot;,&quot;DOI&quot;:&quot;10.1146/annurev-earth-060614-105302&quot;,&quot;ISSN&quot;:&quot;00846597&quot;,&quot;issued&quot;:{&quot;date-parts&quot;:[[2015,5,30]]},&quot;page&quot;:&quot;233-271&quot;,&quot;abstract&quot;:&quot;Understanding the partitioning of seismic and aseismic fault slip is central to seismotectonics as it ultimately determines the seismic potential of faults. Thanks to advances in tectonic geodesy, it is now possible to develop kinematic models of the spatiotemporal evolution of slip over the seismic cycle and to determine the budget of seismic and aseismic slip. Studies of subduction zones and continental faults have shown that aseismic creep is common and sometimes prevalent within the seismogenic depth range. Interseismic coupling is generally observed to be spatially heterogeneous, defining locked patches of stress accumulation, to be released in future earthquakes or aseismic transients, surrounded by creeping areas. Clay-rich tectonites, high temperature, and elevated pore-fluid pressure seem to be key factors promoting aseismic creep. The generally logarithmic time evolution of afterslip is a distinctive feature of creeping faults that suggests a logarithmic dependency of fault friction on slip rate, as observed in laboratory friction experiments. Most faults can be considered to be paved with interlaced patches where the friction law is either rate-strengthening, inhibiting seismic rupture propagation, or rate-weakening, allowing for earthquake nucleation. The rate-weakening patches act as asperities on which stress builds up in the interseismic period; they might rupture collectively in a variety of ways. The pattern of interseismic coupling can help constrain the return period of the maximum- magnitude earthquake based on the requirement that seismic and aseismic slip sum to match long-term slip. Dynamic models of the seismic cycle based on this conceptual model can be tuned to reproduce geodetic and seismological observations. The promise and pitfalls of using such models to assess seismic hazard are discussed.&quot;,&quot;publisher&quot;:&quot;Annual Reviews Inc.&quot;,&quot;volume&quot;:&quot;43&quot;},&quot;isTemporary&quot;:false}]},{&quot;citationID&quot;:&quot;MENDELEY_CITATION_0430f0de-ab99-446c-80e5-a218e3d6add2&quot;,&quot;properties&quot;:{&quot;noteIndex&quot;:0},&quot;isEdited&quot;:false,&quot;manualOverride&quot;:{&quot;isManuallyOverridden&quot;:true,&quot;citeprocText&quot;:&quot;(Molnar 1979)&quot;,&quot;manualOverrideText&quot;:&quot;Molnar (1979)&quot;},&quot;citationTag&quot;:&quot;MENDELEY_CITATION_v3_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&quot;,&quot;citationItems&quot;:[{&quot;id&quot;:&quot;86c59500-1bd4-32e4-a5cc-ff9f75760e6e&quot;,&quot;itemData&quot;:{&quot;type&quot;:&quot;article-journal&quot;,&quot;id&quot;:&quot;86c59500-1bd4-32e4-a5cc-ff9f75760e6e&quot;,&quot;title&quot;:&quot;Earthquake recurrence intervals and plate tectonics&quot;,&quot;author&quot;:[{&quot;family&quot;:&quot;Molnar&quot;,&quot;given&quot;:&quot;Peter&quot;,&quot;parse-names&quot;:false,&quot;dropping-particle&quot;:&quot;&quot;,&quot;non-dropping-particle&quot;:&quot;&quot;}],&quot;container-title&quot;:&quot;Bulletin of the Seismological Society of America&quot;,&quot;DOI&quot;:&quot;10.1785/BSSA0690010115&quot;,&quot;issued&quot;:{&quot;date-parts&quot;:[[1979]]},&quot;page&quot;:&quot;115-133&quot;,&quot;abstract&quot;:&quot;The frequency of occurrence of earthquakes with different seismic moments is expressed in terms of the rate of slip on a fault and to the largest seismic moment likely to occur in the region. Beginning from the Gutenberg-Richter empirical expression relating the relative recurrence of events with different magnitudes and using another empirical relation between magnitude and seismic moment, the relative number of events with seismic moment greater than or equal to Mo is given by N(Mo) = aM 0-/3. p can be determined from parameters in these empirical expressions. From average rates of slip on faults, this expression can be used to give the recurrence rates for events of different seismic moment: a= (1-P)Mo-:i, /Momax•-P where Momax is the maximum possible seismic moment in a region, and Mo-:i:-is the average rate of occurrence of the seismic moment. On a fault of area A, with shear modulus µ, and long-term average rate of slip v, Mo-:i:-= µAv. A similar expression can be given for a for regions where deformation is distributed over a broad area without a major throughgoing fault. Using rates of convergence at island arcs determined from plate motions for the last 5 m.y., the calculated frequency of occurrence of earthquakes with large seismic moments agrees well with the historic record. At present, uncertainties in the requisite parameters and in assumptions on which the recurrence relation is based, however, make such an approach only marginally better than reliance on the historic record alone. With more data constraining p, the largest possible seismic moments, the role of fault creep, and long-term rates of slip or deformation , however, this approach to seismic risk should be a more reliable predictor of recurrence rates than the existing historic record. As an example, the formulas are applied to the southeastern Caribbean.&quot;,&quot;issue&quot;:&quot;1&quot;,&quot;volume&quot;:&quot;69&quot;,&quot;container-title-short&quot;:&quot;&quot;},&quot;isTemporary&quot;:false}]},{&quot;citationID&quot;:&quot;MENDELEY_CITATION_311f1850-4903-4217-82d1-eb3772594743&quot;,&quot;properties&quot;:{&quot;noteIndex&quot;:0},&quot;isEdited&quot;:false,&quot;manualOverride&quot;:{&quot;isManuallyOverridden&quot;:false,&quot;citeprocText&quot;:&quot;(Chartier et al. 2019)&quot;,&quot;manualOverrideText&quot;:&quot;&quot;},&quot;citationTag&quot;:&quot;MENDELEY_CITATION_v3_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&quot;,&quot;citationItems&quot;:[{&quot;id&quot;:&quot;ec2620eb-050a-3471-bb36-add3f9669dc4&quot;,&quot;itemData&quot;:{&quot;type&quot;:&quot;article-journal&quot;,&quot;id&quot;:&quot;ec2620eb-050a-3471-bb36-add3f9669dc4&quot;,&quot;title&quot;:&quot;Sherifs: Open-source code for computing earthquake rates in fault systems and constructing hazard models&quot;,&quot;author&quot;:[{&quot;family&quot;:&quot;Chartier&quot;,&quot;given&quot;:&quot;Thomas&quot;,&quot;parse-names&quot;:false,&quot;dropping-particle&quot;:&quot;&quot;,&quot;non-dropping-particle&quot;:&quot;&quot;},{&quot;family&quot;:&quot;Scotti&quot;,&quot;given&quot;:&quot;Oona&quot;,&quot;parse-names&quot;:false,&quot;dropping-particle&quot;:&quot;&quot;,&quot;non-dropping-particle&quot;:&quot;&quot;},{&quot;family&quot;:&quot;Lyon-Caen&quot;,&quot;given&quot;:&quot;Hélène&quot;,&quot;parse-names&quot;:false,&quot;dropping-particle&quot;:&quot;&quot;,&quot;non-dropping-particle&quot;:&quot;&quot;}],&quot;container-title&quot;:&quot;Seismological Research Letters&quot;,&quot;DOI&quot;:&quot;10.1785/0220180332&quot;,&quot;ISSN&quot;:&quot;19382057&quot;,&quot;issued&quot;:{&quot;date-parts&quot;:[[2019,7,1]]},&quot;page&quot;:&quot;1678-1688&quot;,&quot;abstract&quot;:&quot;Modeling the seismic potential of active faults and their associated epistemic uncertainties is a fundamental step of probabilistic seismic-hazard assessment (PSHA). Seismic hazard and earthquake rate in fault systems (SHERIFS) is an open-source python code that builds hazard models including earthquake ruptures involving several fault sections or fault-to-fault (FtF) ruptures. It contains user-friendly tools to calculate the annual rate of FtF ruptures in a fault system based on the slip-rate estimates and accounting for associated background seismicity. SHERIFS applies a forward incremental approach following three rules: (1) the FtF ruptures allowed in the fault system are defined as input by the user and explored randomly, (2) the magnitude–frequency distribution of the modeled seismicity in the fault system must follow an imposed shape, and (3) the slip-rate budget attributed to each fault section must be preserved in the calculation if the first two rules allow it. Indeed, in some cases, a fraction of the slip-rate budget must be considered as being spent in non-mainshock events such as creep or postseismic slip. Background seismicity rates are defined by the hazard modeler as the ratio of seismicity occurring on the modelled faults for different ranges of magnitude. Given a coherent set of input hypotheses, SHERIFS allows end users to build the seismic-hazard fault model thanks to an interactive user-friendly interface. It aims to help interactions between field data collectors and hazard modelers to explore and weight epistemic uncertainties affecting the input hypotheses. To do so, SHERIFS includes tools to compare modeled earthquake rates with the available local data (earthquake catalog and paleoseismological data). This comparison can be used to weigh different hypotheses explored in a logic tree and discard the hypotheses that are not in agreement with the data. SHERIFS’s outputs are in a format that can be used directly as inputs for PSHA in the OpenQuake engine (Pagani et al., 2014).&quot;,&quot;publisher&quot;:&quot;Seismological Society of America&quot;,&quot;issue&quot;:&quot;4&quot;,&quot;volume&quot;:&quot;90&quot;,&quot;container-title-short&quot;:&quot;&quot;},&quot;isTemporary&quot;:false}]},{&quot;citationID&quot;:&quot;MENDELEY_CITATION_cbb8e56a-3299-4989-8300-f8ec2f5b854d&quot;,&quot;properties&quot;:{&quot;noteIndex&quot;:0},&quot;isEdited&quot;:false,&quot;manualOverride&quot;:{&quot;isManuallyOverridden&quot;:false,&quot;citeprocText&quot;:&quot;(Arroyo-Solórzano et al. 2024)&quot;,&quot;manualOverrideText&quot;:&quot;&quot;},&quot;citationTag&quot;:&quot;MENDELEY_CITATION_v3_eyJjaXRhdGlvbklEIjoiTUVOREVMRVlfQ0lUQVRJT05fY2JiOGU1NmEtMzI5OS00OTg5LTgzMDAtZjhlYzJmNWI4NTRkIiwicHJvcGVydGllcyI6eyJub3RlSW5kZXgiOjB9LCJpc0VkaXRlZCI6ZmFsc2UsIm1hbnVhbE92ZXJyaWRlIjp7ImlzTWFudWFsbHlPdmVycmlkZGVuIjpmYWxzZSwiY2l0ZXByb2NUZXh0IjoiKEFycm95by1Tb2zDs3J6YW5vIGV0IGFsLiAyMDI0KSIsIm1hbnVhbE92ZXJyaWRlVGV4dCI6Ii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1dfQ==&quot;,&quot;citationItems&quot;:[{&quot;id&quot;:&quot;0b2cc835-2682-3029-a71f-2035f628ab57&quot;,&quot;itemData&quot;:{&quot;type&quot;:&quot;article-journal&quot;,&quot;id&quot;:&quot;0b2cc835-2682-3029-a71f-2035f628ab57&quot;,&quot;title&quot;:&quot;Empirical earthquake source scaling relations for maximum magnitudes estimations in Central America&quot;,&quot;author&quot;:[{&quot;family&quot;:&quot;Arroyo-Solórzano&quot;,&quot;given&quot;:&quot;Mario&quot;,&quot;parse-names&quot;:false,&quot;dropping-particle&quot;:&quot;&quot;,&quot;non-dropping-particle&quot;:&quot;&quot;},{&quot;family&quot;:&quot;Benito&quot;,&quot;given&quot;:&quot;María Belen&quot;,&quot;parse-names&quot;:false,&quot;dropping-particle&quot;:&quot;&quot;,&quot;non-dropping-particle&quot;:&quot;&quot;},{&quot;family&quot;:&quot;Alvarado&quot;,&quot;given&quot;:&quot;Guillermo E.&quot;,&quot;parse-names&quot;:false,&quot;dropping-particle&quot;:&quot;&quot;,&quot;non-dropping-particle&quot;:&quot;&quot;},{&quot;family&quot;:&quot;Climent&quot;,&quot;given&quot;:&quot;Alvaro&quot;,&quot;parse-names&quot;:false,&quot;dropping-particle&quot;:&quot;&quot;,&quot;non-dropping-particle&quot;:&quot;&quot;}],&quot;container-title&quot;:&quot;Bulletin of the Seismological Society of America&quot;,&quot;DOI&quot;:&quot;10.1785/0120230100&quot;,&quot;ISSN&quot;:&quot;19433573&quot;,&quot;issued&quot;:{&quot;date-parts&quot;:[[2024,6,1]]},&quot;page&quot;:&quot;1539-1567&quot;,&quot;abstract&quot;:&quot;Central America is a seismically active region where six tectonic plates (North America, Caribbean, Cocos, Nazca, Panama, and South America) interact in a subduction zone with transform faults and two triple points. This complex tectonic setting makes the maximum magnitude—Mmax —estimation a challenging task, with the crustal fault earthquakes being the most damaging in the seismic history of Central America. The empirical source scaling relations (ESSR) allow the Mmax of faults to be determined from rupture parameters. In this study, we use a dataset of well-characterized earthquakes in the region, comprising 64 events from 1972 to 2021 with magnitudes between Mw 4.1 and 7.7. The dataset incorporates records of rupture parameters (length, width, area, slip, and magnitude) and information on the faults and aftershocks associated. This database is an important product in itself, and through its use we determine which global relations fit best to our data via a residual analysis. Moreover, based on the best-quality records, we develop scaling relations for Central America (CA-ESSR) for rupture length, width, and area. These new relations were tested and compared with recent earthquakes, and logic trees are proposed to combine the CA-ESSR and the best-fit global relations. Therefore, we estimate the Mmax for 30 faults using the logic tree for rupture length, considering a total rupture of the fault and multifault scenarios. Our results suggest that in Central America rupture areas larger than other regions are required to generate the same magnitudes. We associate this with the shear modulus (μ), which seems to be lower (∼ 30% less) than the global mean values for crustal rocks. Furthermore, considering multifault ruptures, we found several fault systems with potential Mmax ≥ Mw 7.0. These findings contribute to a better understanding of regional seismotec-tonics and to the efficient characterization of fault rupture models for seismic hazards.&quot;,&quot;publisher&quot;:&quot;Seismological Society of America&quot;,&quot;issue&quot;:&quot;3&quot;,&quot;volume&quot;:&quot;114&quot;,&quot;container-title-short&quot;:&quot;&quot;},&quot;isTemporary&quot;:false}]},{&quot;citationID&quot;:&quot;MENDELEY_CITATION_7cb1fc5e-8e87-4e61-8a65-779c83cd9d7b&quot;,&quot;properties&quot;:{&quot;noteIndex&quot;:0},&quot;isEdited&quot;:false,&quot;manualOverride&quot;:{&quot;isManuallyOverridden&quot;:false,&quot;citeprocText&quot;:&quot;(Tavakolizadeh et al. 2025)&quot;,&quot;manualOverrideText&quot;:&quot;&quot;},&quot;citationTag&quot;:&quot;MENDELEY_CITATION_v3_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&quot;,&quot;citationItems&quot;:[{&quot;id&quot;:&quot;0e226162-755b-35d0-ad58-32dabf4c23d2&quot;,&quot;itemData&quot;:{&quot;type&quot;:&quot;article-journal&quot;,&quot;id&quot;:&quot;0e226162-755b-35d0-ad58-32dabf4c23d2&quot;,&quot;title&quot;:&quot;FQSHA: An open-source Python software for fault-based seismic hazard assessment&quot;,&quot;author&quot;:[{&quot;family&quot;:&quot;Tavakolizadeh&quot;,&quot;given&quot;:&quot;Nasrin&quot;,&quot;parse-names&quot;:false,&quot;dropping-particle&quot;:&quot;&quot;,&quot;non-dropping-particle&quot;:&quot;&quot;},{&quot;family&quot;:&quot;Mohammadigheymasi&quot;,&quot;given&quot;:&quot;Hamzeh&quot;,&quot;parse-names&quot;:false,&quot;dropping-particle&quot;:&quot;&quot;,&quot;non-dropping-particle&quot;:&quot;&quot;},{&quot;family&quot;:&quot;Pombo&quot;,&quot;given&quot;:&quot;Nuno&quot;,&quot;parse-names&quot;:false,&quot;dropping-particle&quot;:&quot;&quot;,&quot;non-dropping-particle&quot;:&quot;&quot;}],&quot;container-title&quot;:&quot;SoftwareX&quot;,&quot;container-title-short&quot;:&quot;SoftwareX&quot;,&quot;DOI&quot;:&quot;10.1016/j.softx.2025.102339&quot;,&quot;ISSN&quot;:&quot;23527110&quot;,&quot;issued&quot;:{&quot;date-parts&quot;:[[2025,12,1]]},&quot;abstract&quot;:&quot;The PyQt framework facilitates the development of desktop applications, offering an effective environment for implementing scientific algorithms while leveraging the flexibility of Python. In this paper, we introduce FQSHA, a PyQt5-based application designed to streamline the workflow of fault-based Seismic Activity Rate (SAR) calculation and seismic hazard assessment. The primary aim is to provide a unified and user-friendly interface that makes these processes more accessible. FQSHA enables users to perform hazard calculations and map the results from scratch using minimal input data and requiring only basic knowledge of hazard computation engines. The SAR calculation core (FaultQuake) is seamlessly integrated with the hazard assessment engine (OpenQuake), offering additional flexibility to customize input parameters for hazard analysis. This integration supports an end-to-end workflow within a single software utilizing a user-friendly GUI. We present the architecture of FQSHA and demonstrate its capabilities through a hands-on example, which is publicly available on GitHub.&quot;,&quot;publisher&quot;:&quot;Elsevier B.V.&quot;,&quot;volume&quot;:&quot;32&quot;},&quot;isTemporary&quot;:false}]},{&quot;citationID&quot;:&quot;MENDELEY_CITATION_3afa9093-0ca5-43a7-a863-148878fe86a3&quot;,&quot;properties&quot;:{&quot;noteIndex&quot;:0},&quot;isEdited&quot;:false,&quot;manualOverride&quot;:{&quot;isManuallyOverridden&quot;:false,&quot;citeprocText&quot;:&quot;(Arroyo-Solórzano et al. 2024)&quot;,&quot;manualOverrideText&quot;:&quot;&quot;},&quot;citationTag&quot;:&quot;MENDELEY_CITATION_v3_eyJjaXRhdGlvbklEIjoiTUVOREVMRVlfQ0lUQVRJT05fM2FmYTkwOTMtMGNhNS00M2E3LWE4NjMtMTQ4ODc4ZmU4NmEzIiwicHJvcGVydGllcyI6eyJub3RlSW5kZXgiOjB9LCJpc0VkaXRlZCI6ZmFsc2UsIm1hbnVhbE92ZXJyaWRlIjp7ImlzTWFudWFsbHlPdmVycmlkZGVuIjpmYWxzZSwiY2l0ZXByb2NUZXh0IjoiKEFycm95by1Tb2zDs3J6YW5vIGV0IGFsLiAyMDI0KSIsIm1hbnVhbE92ZXJyaWRlVGV4dCI6Ii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1dfQ==&quot;,&quot;citationItems&quot;:[{&quot;id&quot;:&quot;0b2cc835-2682-3029-a71f-2035f628ab57&quot;,&quot;itemData&quot;:{&quot;type&quot;:&quot;article-journal&quot;,&quot;id&quot;:&quot;0b2cc835-2682-3029-a71f-2035f628ab57&quot;,&quot;title&quot;:&quot;Empirical earthquake source scaling relations for maximum magnitudes estimations in Central America&quot;,&quot;author&quot;:[{&quot;family&quot;:&quot;Arroyo-Solórzano&quot;,&quot;given&quot;:&quot;Mario&quot;,&quot;parse-names&quot;:false,&quot;dropping-particle&quot;:&quot;&quot;,&quot;non-dropping-particle&quot;:&quot;&quot;},{&quot;family&quot;:&quot;Benito&quot;,&quot;given&quot;:&quot;María Belen&quot;,&quot;parse-names&quot;:false,&quot;dropping-particle&quot;:&quot;&quot;,&quot;non-dropping-particle&quot;:&quot;&quot;},{&quot;family&quot;:&quot;Alvarado&quot;,&quot;given&quot;:&quot;Guillermo E.&quot;,&quot;parse-names&quot;:false,&quot;dropping-particle&quot;:&quot;&quot;,&quot;non-dropping-particle&quot;:&quot;&quot;},{&quot;family&quot;:&quot;Climent&quot;,&quot;given&quot;:&quot;Alvaro&quot;,&quot;parse-names&quot;:false,&quot;dropping-particle&quot;:&quot;&quot;,&quot;non-dropping-particle&quot;:&quot;&quot;}],&quot;container-title&quot;:&quot;Bulletin of the Seismological Society of America&quot;,&quot;DOI&quot;:&quot;10.1785/0120230100&quot;,&quot;ISSN&quot;:&quot;19433573&quot;,&quot;issued&quot;:{&quot;date-parts&quot;:[[2024,6,1]]},&quot;page&quot;:&quot;1539-1567&quot;,&quot;abstract&quot;:&quot;Central America is a seismically active region where six tectonic plates (North America, Caribbean, Cocos, Nazca, Panama, and South America) interact in a subduction zone with transform faults and two triple points. This complex tectonic setting makes the maximum magnitude—Mmax —estimation a challenging task, with the crustal fault earthquakes being the most damaging in the seismic history of Central America. The empirical source scaling relations (ESSR) allow the Mmax of faults to be determined from rupture parameters. In this study, we use a dataset of well-characterized earthquakes in the region, comprising 64 events from 1972 to 2021 with magnitudes between Mw 4.1 and 7.7. The dataset incorporates records of rupture parameters (length, width, area, slip, and magnitude) and information on the faults and aftershocks associated. This database is an important product in itself, and through its use we determine which global relations fit best to our data via a residual analysis. Moreover, based on the best-quality records, we develop scaling relations for Central America (CA-ESSR) for rupture length, width, and area. These new relations were tested and compared with recent earthquakes, and logic trees are proposed to combine the CA-ESSR and the best-fit global relations. Therefore, we estimate the Mmax for 30 faults using the logic tree for rupture length, considering a total rupture of the fault and multifault scenarios. Our results suggest that in Central America rupture areas larger than other regions are required to generate the same magnitudes. We associate this with the shear modulus (μ), which seems to be lower (∼ 30% less) than the global mean values for crustal rocks. Furthermore, considering multifault ruptures, we found several fault systems with potential Mmax ≥ Mw 7.0. These findings contribute to a better understanding of regional seismotec-tonics and to the efficient characterization of fault rupture models for seismic hazards.&quot;,&quot;publisher&quot;:&quot;Seismological Society of America&quot;,&quot;issue&quot;:&quot;3&quot;,&quot;volume&quot;:&quot;114&quot;,&quot;container-title-short&quot;:&quot;&quot;},&quot;isTemporary&quot;:false}]},{&quot;citationID&quot;:&quot;MENDELEY_CITATION_b0499798-918e-490b-b686-7946560af8d1&quot;,&quot;properties&quot;:{&quot;noteIndex&quot;:0},&quot;isEdited&quot;:false,&quot;manualOverride&quot;:{&quot;isManuallyOverridden&quot;:false,&quot;citeprocText&quot;:&quot;(Tavakolizadeh et al. 2025)&quot;,&quot;manualOverrideText&quot;:&quot;&quot;},&quot;citationTag&quot;:&quot;MENDELEY_CITATION_v3_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&quot;,&quot;citationItems&quot;:[{&quot;id&quot;:&quot;0e226162-755b-35d0-ad58-32dabf4c23d2&quot;,&quot;itemData&quot;:{&quot;type&quot;:&quot;article-journal&quot;,&quot;id&quot;:&quot;0e226162-755b-35d0-ad58-32dabf4c23d2&quot;,&quot;title&quot;:&quot;FQSHA: An open-source Python software for fault-based seismic hazard assessment&quot;,&quot;author&quot;:[{&quot;family&quot;:&quot;Tavakolizadeh&quot;,&quot;given&quot;:&quot;Nasrin&quot;,&quot;parse-names&quot;:false,&quot;dropping-particle&quot;:&quot;&quot;,&quot;non-dropping-particle&quot;:&quot;&quot;},{&quot;family&quot;:&quot;Mohammadigheymasi&quot;,&quot;given&quot;:&quot;Hamzeh&quot;,&quot;parse-names&quot;:false,&quot;dropping-particle&quot;:&quot;&quot;,&quot;non-dropping-particle&quot;:&quot;&quot;},{&quot;family&quot;:&quot;Pombo&quot;,&quot;given&quot;:&quot;Nuno&quot;,&quot;parse-names&quot;:false,&quot;dropping-particle&quot;:&quot;&quot;,&quot;non-dropping-particle&quot;:&quot;&quot;}],&quot;container-title&quot;:&quot;SoftwareX&quot;,&quot;container-title-short&quot;:&quot;SoftwareX&quot;,&quot;DOI&quot;:&quot;10.1016/j.softx.2025.102339&quot;,&quot;ISSN&quot;:&quot;23527110&quot;,&quot;issued&quot;:{&quot;date-parts&quot;:[[2025,12,1]]},&quot;abstract&quot;:&quot;The PyQt framework facilitates the development of desktop applications, offering an effective environment for implementing scientific algorithms while leveraging the flexibility of Python. In this paper, we introduce FQSHA, a PyQt5-based application designed to streamline the workflow of fault-based Seismic Activity Rate (SAR) calculation and seismic hazard assessment. The primary aim is to provide a unified and user-friendly interface that makes these processes more accessible. FQSHA enables users to perform hazard calculations and map the results from scratch using minimal input data and requiring only basic knowledge of hazard computation engines. The SAR calculation core (FaultQuake) is seamlessly integrated with the hazard assessment engine (OpenQuake), offering additional flexibility to customize input parameters for hazard analysis. This integration supports an end-to-end workflow within a single software utilizing a user-friendly GUI. We present the architecture of FQSHA and demonstrate its capabilities through a hands-on example, which is publicly available on GitHub.&quot;,&quot;publisher&quot;:&quot;Elsevier B.V.&quot;,&quot;volume&quot;:&quot;32&quot;},&quot;isTemporary&quot;:false}]},{&quot;citationID&quot;:&quot;MENDELEY_CITATION_806ce093-d49e-4a6d-b625-35df3330db46&quot;,&quot;properties&quot;:{&quot;noteIndex&quot;:0},&quot;isEdited&quot;:false,&quot;manualOverride&quot;:{&quot;isManuallyOverridden&quot;:false,&quot;citeprocText&quot;:&quot;(Arroyo-Solórzano et al. 2024)&quot;,&quot;manualOverrideText&quot;:&quot;&quot;},&quot;citationTag&quot;:&quot;MENDELEY_CITATION_v3_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&quot;,&quot;citationItems&quot;:[{&quot;id&quot;:&quot;0b2cc835-2682-3029-a71f-2035f628ab57&quot;,&quot;itemData&quot;:{&quot;type&quot;:&quot;article-journal&quot;,&quot;id&quot;:&quot;0b2cc835-2682-3029-a71f-2035f628ab57&quot;,&quot;title&quot;:&quot;Empirical earthquake source scaling relations for maximum magnitudes estimations in Central America&quot;,&quot;author&quot;:[{&quot;family&quot;:&quot;Arroyo-Solórzano&quot;,&quot;given&quot;:&quot;Mario&quot;,&quot;parse-names&quot;:false,&quot;dropping-particle&quot;:&quot;&quot;,&quot;non-dropping-particle&quot;:&quot;&quot;},{&quot;family&quot;:&quot;Benito&quot;,&quot;given&quot;:&quot;María Belen&quot;,&quot;parse-names&quot;:false,&quot;dropping-particle&quot;:&quot;&quot;,&quot;non-dropping-particle&quot;:&quot;&quot;},{&quot;family&quot;:&quot;Alvarado&quot;,&quot;given&quot;:&quot;Guillermo E.&quot;,&quot;parse-names&quot;:false,&quot;dropping-particle&quot;:&quot;&quot;,&quot;non-dropping-particle&quot;:&quot;&quot;},{&quot;family&quot;:&quot;Climent&quot;,&quot;given&quot;:&quot;Alvaro&quot;,&quot;parse-names&quot;:false,&quot;dropping-particle&quot;:&quot;&quot;,&quot;non-dropping-particle&quot;:&quot;&quot;}],&quot;container-title&quot;:&quot;Bulletin of the Seismological Society of America&quot;,&quot;DOI&quot;:&quot;10.1785/0120230100&quot;,&quot;ISSN&quot;:&quot;19433573&quot;,&quot;issued&quot;:{&quot;date-parts&quot;:[[2024,6,1]]},&quot;page&quot;:&quot;1539-1567&quot;,&quot;abstract&quot;:&quot;Central America is a seismically active region where six tectonic plates (North America, Caribbean, Cocos, Nazca, Panama, and South America) interact in a subduction zone with transform faults and two triple points. This complex tectonic setting makes the maximum magnitude—Mmax —estimation a challenging task, with the crustal fault earthquakes being the most damaging in the seismic history of Central America. The empirical source scaling relations (ESSR) allow the Mmax of faults to be determined from rupture parameters. In this study, we use a dataset of well-characterized earthquakes in the region, comprising 64 events from 1972 to 2021 with magnitudes between Mw 4.1 and 7.7. The dataset incorporates records of rupture parameters (length, width, area, slip, and magnitude) and information on the faults and aftershocks associated. This database is an important product in itself, and through its use we determine which global relations fit best to our data via a residual analysis. Moreover, based on the best-quality records, we develop scaling relations for Central America (CA-ESSR) for rupture length, width, and area. These new relations were tested and compared with recent earthquakes, and logic trees are proposed to combine the CA-ESSR and the best-fit global relations. Therefore, we estimate the Mmax for 30 faults using the logic tree for rupture length, considering a total rupture of the fault and multifault scenarios. Our results suggest that in Central America rupture areas larger than other regions are required to generate the same magnitudes. We associate this with the shear modulus (μ), which seems to be lower (∼ 30% less) than the global mean values for crustal rocks. Furthermore, considering multifault ruptures, we found several fault systems with potential Mmax ≥ Mw 7.0. These findings contribute to a better understanding of regional seismotec-tonics and to the efficient characterization of fault rupture models for seismic hazards.&quot;,&quot;publisher&quot;:&quot;Seismological Society of America&quot;,&quot;issue&quot;:&quot;3&quot;,&quot;volume&quot;:&quot;114&quot;,&quot;container-title-short&quot;:&quot;&quot;},&quot;isTemporary&quot;:false}]},{&quot;citationID&quot;:&quot;MENDELEY_CITATION_1c0b32b4-eaa2-4313-9990-30935a055dc3&quot;,&quot;properties&quot;:{&quot;noteIndex&quot;:0},&quot;isEdited&quot;:false,&quot;manualOverride&quot;:{&quot;isManuallyOverridden&quot;:false,&quot;citeprocText&quot;:&quot;(Tavakolizadeh et al. 2025)&quot;,&quot;manualOverrideText&quot;:&quot;&quot;},&quot;citationTag&quot;:&quot;MENDELEY_CITATION_v3_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&quot;,&quot;citationItems&quot;:[{&quot;id&quot;:&quot;0e226162-755b-35d0-ad58-32dabf4c23d2&quot;,&quot;itemData&quot;:{&quot;type&quot;:&quot;article-journal&quot;,&quot;id&quot;:&quot;0e226162-755b-35d0-ad58-32dabf4c23d2&quot;,&quot;title&quot;:&quot;FQSHA: An open-source Python software for fault-based seismic hazard assessment&quot;,&quot;author&quot;:[{&quot;family&quot;:&quot;Tavakolizadeh&quot;,&quot;given&quot;:&quot;Nasrin&quot;,&quot;parse-names&quot;:false,&quot;dropping-particle&quot;:&quot;&quot;,&quot;non-dropping-particle&quot;:&quot;&quot;},{&quot;family&quot;:&quot;Mohammadigheymasi&quot;,&quot;given&quot;:&quot;Hamzeh&quot;,&quot;parse-names&quot;:false,&quot;dropping-particle&quot;:&quot;&quot;,&quot;non-dropping-particle&quot;:&quot;&quot;},{&quot;family&quot;:&quot;Pombo&quot;,&quot;given&quot;:&quot;Nuno&quot;,&quot;parse-names&quot;:false,&quot;dropping-particle&quot;:&quot;&quot;,&quot;non-dropping-particle&quot;:&quot;&quot;}],&quot;container-title&quot;:&quot;SoftwareX&quot;,&quot;container-title-short&quot;:&quot;SoftwareX&quot;,&quot;DOI&quot;:&quot;10.1016/j.softx.2025.102339&quot;,&quot;ISSN&quot;:&quot;23527110&quot;,&quot;issued&quot;:{&quot;date-parts&quot;:[[2025,12,1]]},&quot;abstract&quot;:&quot;The PyQt framework facilitates the development of desktop applications, offering an effective environment for implementing scientific algorithms while leveraging the flexibility of Python. In this paper, we introduce FQSHA, a PyQt5-based application designed to streamline the workflow of fault-based Seismic Activity Rate (SAR) calculation and seismic hazard assessment. The primary aim is to provide a unified and user-friendly interface that makes these processes more accessible. FQSHA enables users to perform hazard calculations and map the results from scratch using minimal input data and requiring only basic knowledge of hazard computation engines. The SAR calculation core (FaultQuake) is seamlessly integrated with the hazard assessment engine (OpenQuake), offering additional flexibility to customize input parameters for hazard analysis. This integration supports an end-to-end workflow within a single software utilizing a user-friendly GUI. We present the architecture of FQSHA and demonstrate its capabilities through a hands-on example, which is publicly available on GitHub.&quot;,&quot;publisher&quot;:&quot;Elsevier B.V.&quot;,&quot;volume&quot;:&quot;32&quot;},&quot;isTemporary&quot;:false}]},{&quot;citationID&quot;:&quot;MENDELEY_CITATION_c713825b-0a96-4650-8bed-1f5383aad915&quot;,&quot;properties&quot;:{&quot;noteIndex&quot;:0},&quot;isEdited&quot;:false,&quot;manualOverride&quot;:{&quot;isManuallyOverridden&quot;:false,&quot;citeprocText&quot;:&quot;(Chartier et al. 2019)&quot;,&quot;manualOverrideText&quot;:&quot;&quot;},&quot;citationTag&quot;:&quot;MENDELEY_CITATION_v3_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&quot;,&quot;citationItems&quot;:[{&quot;id&quot;:&quot;ec2620eb-050a-3471-bb36-add3f9669dc4&quot;,&quot;itemData&quot;:{&quot;type&quot;:&quot;article-journal&quot;,&quot;id&quot;:&quot;ec2620eb-050a-3471-bb36-add3f9669dc4&quot;,&quot;title&quot;:&quot;Sherifs: Open-source code for computing earthquake rates in fault systems and constructing hazard models&quot;,&quot;author&quot;:[{&quot;family&quot;:&quot;Chartier&quot;,&quot;given&quot;:&quot;Thomas&quot;,&quot;parse-names&quot;:false,&quot;dropping-particle&quot;:&quot;&quot;,&quot;non-dropping-particle&quot;:&quot;&quot;},{&quot;family&quot;:&quot;Scotti&quot;,&quot;given&quot;:&quot;Oona&quot;,&quot;parse-names&quot;:false,&quot;dropping-particle&quot;:&quot;&quot;,&quot;non-dropping-particle&quot;:&quot;&quot;},{&quot;family&quot;:&quot;Lyon-Caen&quot;,&quot;given&quot;:&quot;Hélène&quot;,&quot;parse-names&quot;:false,&quot;dropping-particle&quot;:&quot;&quot;,&quot;non-dropping-particle&quot;:&quot;&quot;}],&quot;container-title&quot;:&quot;Seismological Research Letters&quot;,&quot;DOI&quot;:&quot;10.1785/0220180332&quot;,&quot;ISSN&quot;:&quot;19382057&quot;,&quot;issued&quot;:{&quot;date-parts&quot;:[[2019,7,1]]},&quot;page&quot;:&quot;1678-1688&quot;,&quot;abstract&quot;:&quot;Modeling the seismic potential of active faults and their associated epistemic uncertainties is a fundamental step of probabilistic seismic-hazard assessment (PSHA). Seismic hazard and earthquake rate in fault systems (SHERIFS) is an open-source python code that builds hazard models including earthquake ruptures involving several fault sections or fault-to-fault (FtF) ruptures. It contains user-friendly tools to calculate the annual rate of FtF ruptures in a fault system based on the slip-rate estimates and accounting for associated background seismicity. SHERIFS applies a forward incremental approach following three rules: (1) the FtF ruptures allowed in the fault system are defined as input by the user and explored randomly, (2) the magnitude–frequency distribution of the modeled seismicity in the fault system must follow an imposed shape, and (3) the slip-rate budget attributed to each fault section must be preserved in the calculation if the first two rules allow it. Indeed, in some cases, a fraction of the slip-rate budget must be considered as being spent in non-mainshock events such as creep or postseismic slip. Background seismicity rates are defined by the hazard modeler as the ratio of seismicity occurring on the modelled faults for different ranges of magnitude. Given a coherent set of input hypotheses, SHERIFS allows end users to build the seismic-hazard fault model thanks to an interactive user-friendly interface. It aims to help interactions between field data collectors and hazard modelers to explore and weight epistemic uncertainties affecting the input hypotheses. To do so, SHERIFS includes tools to compare modeled earthquake rates with the available local data (earthquake catalog and paleoseismological data). This comparison can be used to weigh different hypotheses explored in a logic tree and discard the hypotheses that are not in agreement with the data. SHERIFS’s outputs are in a format that can be used directly as inputs for PSHA in the OpenQuake engine (Pagani et al., 2014).&quot;,&quot;publisher&quot;:&quot;Seismological Society of America&quot;,&quot;issue&quot;:&quot;4&quot;,&quot;volume&quot;:&quot;90&quot;,&quot;container-title-short&quot;:&quot;&quot;},&quot;isTemporary&quot;:false}]}]"/>
    <we:property name="MENDELEY_CITATIONS_LOCALE_CODE" value="&quot;en-US&quot;"/>
    <we:property name="MENDELEY_CITATIONS_STYLE" value="{&quot;id&quot;:&quot;https://www.zotero.org/styles/springer-basic-author-date&quot;,&quot;title&quot;:&quot;Springer - Basic (author-date)&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A811AD-0A8B-4AD0-997F-16AE0CCC0D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1082</Words>
  <Characters>6171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Word template file for Earth, Planets and Space version 20210302</vt:lpstr>
    </vt:vector>
  </TitlesOfParts>
  <Company>Earth, Planets and Space</Company>
  <LinksUpToDate>false</LinksUpToDate>
  <CharactersWithSpaces>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 file for Earth, Planets and Space version 20210302</dc:title>
  <dc:subject/>
  <dc:creator>Takeshi Sagiya</dc:creator>
  <dc:description/>
  <cp:lastModifiedBy>MARIO ANDRES ARROYO SOLORZANO</cp:lastModifiedBy>
  <cp:revision>4</cp:revision>
  <dcterms:created xsi:type="dcterms:W3CDTF">2026-01-29T18:50:00Z</dcterms:created>
  <dcterms:modified xsi:type="dcterms:W3CDTF">2026-02-07T12:02:00Z</dcterms:modified>
  <dc:language>es-ES</dc:language>
</cp:coreProperties>
</file>