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57C27" w14:textId="00EDEB8E" w:rsidR="00D46CA6" w:rsidRPr="00F72393" w:rsidRDefault="00F72393" w:rsidP="00F72393">
      <w:pPr>
        <w:spacing w:line="480" w:lineRule="auto"/>
        <w:jc w:val="center"/>
        <w:rPr>
          <w:b/>
          <w:bCs/>
          <w:sz w:val="24"/>
          <w:szCs w:val="24"/>
        </w:rPr>
      </w:pPr>
      <w:r w:rsidRPr="00F72393">
        <w:rPr>
          <w:b/>
          <w:bCs/>
          <w:sz w:val="24"/>
          <w:szCs w:val="24"/>
        </w:rPr>
        <w:t>Supplement</w:t>
      </w:r>
      <w:bookmarkStart w:id="0" w:name="_Hlk217373875"/>
      <w:bookmarkStart w:id="1" w:name="_Hlk217645775"/>
      <w:bookmarkEnd w:id="0"/>
      <w:r>
        <w:rPr>
          <w:b/>
          <w:bCs/>
          <w:sz w:val="24"/>
          <w:szCs w:val="24"/>
        </w:rPr>
        <w:t>s</w:t>
      </w:r>
      <w:r w:rsidRPr="00F72393">
        <w:rPr>
          <w:b/>
          <w:bCs/>
          <w:color w:val="0D0D0D"/>
          <w:sz w:val="24"/>
          <w:szCs w:val="24"/>
          <w:shd w:val="clear" w:color="auto" w:fill="FFFFFF"/>
        </w:rPr>
        <w:t xml:space="preserve"> Individual Profiling Across the Psychosis Continuum using Affinity Scores</w:t>
      </w:r>
      <w:bookmarkEnd w:id="1"/>
      <w:r w:rsidRPr="00F72393">
        <w:rPr>
          <w:b/>
          <w:bCs/>
          <w:sz w:val="24"/>
          <w:szCs w:val="24"/>
        </w:rPr>
        <w:t>.</w:t>
      </w:r>
    </w:p>
    <w:p w14:paraId="42621236" w14:textId="47617430" w:rsidR="00D46CA6" w:rsidRDefault="00D46CA6">
      <w:pPr>
        <w:jc w:val="both"/>
      </w:pPr>
    </w:p>
    <w:p w14:paraId="0A90AFE5" w14:textId="0286DE2A" w:rsidR="00D46CA6" w:rsidRPr="00716BDA" w:rsidRDefault="00716BDA" w:rsidP="00D46CA6">
      <w:pPr>
        <w:rPr>
          <w:b/>
          <w:bCs/>
        </w:rPr>
      </w:pPr>
      <w:r w:rsidRPr="00716BDA">
        <w:rPr>
          <w:b/>
          <w:bCs/>
        </w:rPr>
        <w:t xml:space="preserve">Supplementary </w:t>
      </w:r>
      <w:r w:rsidR="00D46CA6" w:rsidRPr="00716BDA">
        <w:rPr>
          <w:b/>
          <w:bCs/>
        </w:rPr>
        <w:t>Figure</w:t>
      </w:r>
      <w:r w:rsidRPr="00716BDA">
        <w:rPr>
          <w:b/>
          <w:bCs/>
        </w:rPr>
        <w:t xml:space="preserve"> S1</w:t>
      </w:r>
      <w:r w:rsidR="00D46CA6" w:rsidRPr="00716BDA">
        <w:rPr>
          <w:b/>
          <w:bCs/>
        </w:rPr>
        <w:t xml:space="preserve"> Flow chart inclusion data</w:t>
      </w:r>
    </w:p>
    <w:p w14:paraId="00B335B9" w14:textId="1E00AB5E" w:rsidR="00D46CA6" w:rsidRDefault="00E20F1B">
      <w:pPr>
        <w:jc w:val="both"/>
        <w:rPr>
          <w:rFonts w:asciiTheme="majorHAnsi" w:hAnsiTheme="majorHAnsi" w:cstheme="majorHAnsi"/>
          <w:b/>
          <w:bCs/>
          <w:noProof/>
        </w:rPr>
      </w:pPr>
      <w:r>
        <w:rPr>
          <w:rFonts w:asciiTheme="majorHAnsi" w:hAnsiTheme="majorHAnsi" w:cstheme="majorHAnsi"/>
          <w:b/>
          <w:bCs/>
          <w:noProof/>
        </w:rPr>
        <w:object w:dxaOrig="9180" w:dyaOrig="11879" w14:anchorId="7026B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9pt;height:502.1pt" o:ole="">
            <v:imagedata r:id="rId9" o:title=""/>
          </v:shape>
          <o:OLEObject Type="Embed" ProgID="AcroExch.Document.DC" ShapeID="_x0000_i1025" DrawAspect="Content" ObjectID="_1830930995" r:id="rId10"/>
        </w:object>
      </w:r>
    </w:p>
    <w:p w14:paraId="1ED8EB51" w14:textId="02C84677" w:rsidR="00D46CA6" w:rsidRDefault="00D46CA6">
      <w:pPr>
        <w:jc w:val="both"/>
        <w:rPr>
          <w:rFonts w:asciiTheme="majorHAnsi" w:hAnsiTheme="majorHAnsi" w:cstheme="majorHAnsi"/>
          <w:b/>
          <w:bCs/>
          <w:noProof/>
        </w:rPr>
      </w:pPr>
    </w:p>
    <w:p w14:paraId="5843F402" w14:textId="41F4D416" w:rsidR="00D46CA6" w:rsidRPr="0041599E" w:rsidRDefault="00D46CA6">
      <w:pPr>
        <w:jc w:val="both"/>
        <w:rPr>
          <w:rFonts w:asciiTheme="majorHAnsi" w:hAnsiTheme="majorHAnsi" w:cstheme="majorHAnsi"/>
          <w:b/>
          <w:bCs/>
          <w:noProof/>
          <w:sz w:val="24"/>
          <w:szCs w:val="24"/>
        </w:rPr>
      </w:pPr>
    </w:p>
    <w:p w14:paraId="1D3078D1" w14:textId="77777777" w:rsidR="00716BDA" w:rsidRDefault="00716BDA">
      <w:pPr>
        <w:rPr>
          <w:sz w:val="24"/>
          <w:szCs w:val="24"/>
          <w:u w:val="single"/>
        </w:rPr>
      </w:pPr>
      <w:r>
        <w:rPr>
          <w:sz w:val="24"/>
          <w:szCs w:val="24"/>
          <w:u w:val="single"/>
        </w:rPr>
        <w:br w:type="page"/>
      </w:r>
    </w:p>
    <w:p w14:paraId="3E372A4E" w14:textId="5AE958AA" w:rsidR="00716BDA" w:rsidRPr="00716BDA" w:rsidRDefault="00716BDA" w:rsidP="00716BDA">
      <w:pPr>
        <w:rPr>
          <w:b/>
          <w:bCs/>
        </w:rPr>
      </w:pPr>
      <w:r w:rsidRPr="00716BDA">
        <w:rPr>
          <w:b/>
          <w:bCs/>
          <w:sz w:val="24"/>
          <w:szCs w:val="24"/>
          <w:lang w:val="en-GB"/>
        </w:rPr>
        <w:lastRenderedPageBreak/>
        <w:t xml:space="preserve">Supplementary </w:t>
      </w:r>
      <w:r w:rsidRPr="00716BDA">
        <w:rPr>
          <w:b/>
          <w:bCs/>
        </w:rPr>
        <w:t>Figure S2</w:t>
      </w:r>
      <w:r w:rsidR="006060FF">
        <w:rPr>
          <w:b/>
          <w:bCs/>
        </w:rPr>
        <w:t>.</w:t>
      </w:r>
      <w:r w:rsidRPr="00716BDA">
        <w:rPr>
          <w:b/>
          <w:bCs/>
        </w:rPr>
        <w:t xml:space="preserve"> Adjacency matrix</w:t>
      </w:r>
    </w:p>
    <w:p w14:paraId="7564F95E" w14:textId="655EB625" w:rsidR="00D46CA6" w:rsidRPr="00716BDA" w:rsidRDefault="00D46CA6" w:rsidP="00716BDA">
      <w:pPr>
        <w:spacing w:line="360" w:lineRule="auto"/>
        <w:rPr>
          <w:sz w:val="24"/>
          <w:szCs w:val="24"/>
        </w:rPr>
      </w:pPr>
    </w:p>
    <w:p w14:paraId="4F56EA62" w14:textId="442053C5" w:rsidR="00716BDA" w:rsidRDefault="00D43653" w:rsidP="00D46CA6">
      <w:pPr>
        <w:spacing w:after="200" w:line="276" w:lineRule="auto"/>
        <w:rPr>
          <w:rFonts w:cstheme="minorHAnsi"/>
          <w:sz w:val="24"/>
          <w:szCs w:val="24"/>
        </w:rPr>
      </w:pPr>
      <w:r w:rsidRPr="00D43653">
        <w:rPr>
          <w:rFonts w:cstheme="minorHAnsi"/>
          <w:noProof/>
          <w:sz w:val="24"/>
          <w:szCs w:val="24"/>
        </w:rPr>
        <w:drawing>
          <wp:inline distT="0" distB="0" distL="0" distR="0" wp14:anchorId="273A7C4B" wp14:editId="755E4ECA">
            <wp:extent cx="5731510" cy="3717925"/>
            <wp:effectExtent l="0" t="0" r="2540" b="0"/>
            <wp:docPr id="47972116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21168" name=""/>
                    <pic:cNvPicPr/>
                  </pic:nvPicPr>
                  <pic:blipFill>
                    <a:blip r:embed="rId11"/>
                    <a:stretch>
                      <a:fillRect/>
                    </a:stretch>
                  </pic:blipFill>
                  <pic:spPr>
                    <a:xfrm>
                      <a:off x="0" y="0"/>
                      <a:ext cx="5731510" cy="3717925"/>
                    </a:xfrm>
                    <a:prstGeom prst="rect">
                      <a:avLst/>
                    </a:prstGeom>
                  </pic:spPr>
                </pic:pic>
              </a:graphicData>
            </a:graphic>
          </wp:inline>
        </w:drawing>
      </w:r>
    </w:p>
    <w:p w14:paraId="1480163A" w14:textId="77777777" w:rsidR="00716BDA" w:rsidRDefault="00716BDA" w:rsidP="00D46CA6">
      <w:pPr>
        <w:spacing w:after="200" w:line="276" w:lineRule="auto"/>
        <w:rPr>
          <w:rFonts w:cstheme="minorHAnsi"/>
          <w:sz w:val="24"/>
          <w:szCs w:val="24"/>
        </w:rPr>
      </w:pPr>
    </w:p>
    <w:p w14:paraId="3576B987" w14:textId="310C7D17" w:rsidR="00716BDA" w:rsidRPr="00E4539C" w:rsidRDefault="003F5F96" w:rsidP="00E4539C">
      <w:pPr>
        <w:spacing w:line="276" w:lineRule="auto"/>
        <w:jc w:val="both"/>
        <w:rPr>
          <w:i/>
          <w:iCs/>
          <w:lang w:val="en-AU"/>
        </w:rPr>
      </w:pPr>
      <w:r w:rsidRPr="00E4539C">
        <w:rPr>
          <w:rFonts w:cstheme="minorHAnsi"/>
          <w:i/>
          <w:iCs/>
        </w:rPr>
        <w:t>Figure S2 display</w:t>
      </w:r>
      <w:r w:rsidR="00E20F1B" w:rsidRPr="00E4539C">
        <w:rPr>
          <w:rFonts w:cstheme="minorHAnsi"/>
          <w:i/>
          <w:iCs/>
        </w:rPr>
        <w:t>s</w:t>
      </w:r>
      <w:r w:rsidRPr="00E4539C">
        <w:rPr>
          <w:rFonts w:cstheme="minorHAnsi"/>
          <w:i/>
          <w:iCs/>
        </w:rPr>
        <w:t xml:space="preserve"> t</w:t>
      </w:r>
      <w:r w:rsidR="004906DD" w:rsidRPr="00E4539C">
        <w:rPr>
          <w:rFonts w:cstheme="minorHAnsi"/>
          <w:i/>
          <w:iCs/>
        </w:rPr>
        <w:t xml:space="preserve">he adjacency matrix from equation </w:t>
      </w:r>
      <w:r w:rsidR="00E20F1B" w:rsidRPr="00E4539C">
        <w:rPr>
          <w:rFonts w:cstheme="minorHAnsi"/>
          <w:i/>
          <w:iCs/>
        </w:rPr>
        <w:t>E4</w:t>
      </w:r>
      <w:r w:rsidRPr="00E4539C">
        <w:rPr>
          <w:rFonts w:cstheme="minorHAnsi"/>
          <w:i/>
          <w:iCs/>
        </w:rPr>
        <w:t>,</w:t>
      </w:r>
      <w:r w:rsidR="004906DD" w:rsidRPr="00E4539C">
        <w:rPr>
          <w:rFonts w:cstheme="minorHAnsi"/>
          <w:i/>
          <w:iCs/>
        </w:rPr>
        <w:t xml:space="preserve"> describing </w:t>
      </w:r>
      <w:r w:rsidR="00E20F1B" w:rsidRPr="00E4539C">
        <w:rPr>
          <w:rFonts w:cstheme="minorHAnsi"/>
          <w:i/>
          <w:iCs/>
        </w:rPr>
        <w:t xml:space="preserve">the </w:t>
      </w:r>
      <w:r w:rsidR="004906DD" w:rsidRPr="00E4539C">
        <w:rPr>
          <w:rFonts w:cstheme="minorHAnsi"/>
          <w:i/>
          <w:iCs/>
        </w:rPr>
        <w:t>pairwise neighbor strength. The heatma</w:t>
      </w:r>
      <w:r w:rsidR="00E4539C">
        <w:rPr>
          <w:rFonts w:cstheme="minorHAnsi"/>
          <w:i/>
          <w:iCs/>
        </w:rPr>
        <w:t>p</w:t>
      </w:r>
      <w:r w:rsidR="004906DD" w:rsidRPr="00E4539C">
        <w:rPr>
          <w:rFonts w:cstheme="minorHAnsi"/>
          <w:i/>
          <w:iCs/>
        </w:rPr>
        <w:t xml:space="preserve"> / color</w:t>
      </w:r>
      <w:r w:rsidR="00E4539C">
        <w:rPr>
          <w:rFonts w:cstheme="minorHAnsi"/>
          <w:i/>
          <w:iCs/>
        </w:rPr>
        <w:t xml:space="preserve"> </w:t>
      </w:r>
      <w:r w:rsidR="00E20F1B" w:rsidRPr="00E4539C">
        <w:rPr>
          <w:rFonts w:cstheme="minorHAnsi"/>
          <w:i/>
          <w:iCs/>
        </w:rPr>
        <w:t>shading</w:t>
      </w:r>
      <w:r w:rsidR="004906DD" w:rsidRPr="00E4539C">
        <w:rPr>
          <w:rFonts w:cstheme="minorHAnsi"/>
          <w:i/>
          <w:iCs/>
        </w:rPr>
        <w:t xml:space="preserve"> </w:t>
      </w:r>
      <w:r w:rsidR="00E4539C" w:rsidRPr="00E4539C">
        <w:rPr>
          <w:rFonts w:cstheme="minorHAnsi"/>
          <w:i/>
          <w:iCs/>
        </w:rPr>
        <w:t>indicates</w:t>
      </w:r>
      <w:r w:rsidR="004906DD" w:rsidRPr="00E4539C">
        <w:rPr>
          <w:rFonts w:cstheme="minorHAnsi"/>
          <w:i/>
          <w:iCs/>
        </w:rPr>
        <w:t xml:space="preserve"> the number of variable</w:t>
      </w:r>
      <w:r w:rsidR="00E20F1B" w:rsidRPr="00E4539C">
        <w:rPr>
          <w:rFonts w:cstheme="minorHAnsi"/>
          <w:i/>
          <w:iCs/>
        </w:rPr>
        <w:t>s</w:t>
      </w:r>
      <w:r w:rsidR="004906DD" w:rsidRPr="00E4539C">
        <w:rPr>
          <w:rFonts w:cstheme="minorHAnsi"/>
          <w:i/>
          <w:iCs/>
        </w:rPr>
        <w:t xml:space="preserve"> which any </w:t>
      </w:r>
      <w:r w:rsidR="00E20F1B" w:rsidRPr="00E4539C">
        <w:rPr>
          <w:rFonts w:cstheme="minorHAnsi"/>
          <w:i/>
          <w:iCs/>
        </w:rPr>
        <w:t xml:space="preserve">of the 670 </w:t>
      </w:r>
      <w:r w:rsidR="004906DD" w:rsidRPr="00E4539C">
        <w:rPr>
          <w:rFonts w:cstheme="minorHAnsi"/>
          <w:i/>
          <w:iCs/>
        </w:rPr>
        <w:t>participant</w:t>
      </w:r>
      <w:r w:rsidR="00E20F1B" w:rsidRPr="00E4539C">
        <w:rPr>
          <w:rFonts w:cstheme="minorHAnsi"/>
          <w:i/>
          <w:iCs/>
        </w:rPr>
        <w:t xml:space="preserve">s </w:t>
      </w:r>
      <w:r w:rsidR="004906DD" w:rsidRPr="00E4539C">
        <w:rPr>
          <w:rFonts w:cstheme="minorHAnsi"/>
          <w:i/>
          <w:iCs/>
        </w:rPr>
        <w:t xml:space="preserve">share a neighborhood </w:t>
      </w:r>
      <w:r w:rsidR="00E20F1B" w:rsidRPr="00E4539C">
        <w:rPr>
          <w:rFonts w:cstheme="minorHAnsi"/>
          <w:i/>
          <w:iCs/>
        </w:rPr>
        <w:t>with</w:t>
      </w:r>
      <w:r w:rsidR="004906DD" w:rsidRPr="00E4539C">
        <w:rPr>
          <w:rFonts w:cstheme="minorHAnsi"/>
          <w:i/>
          <w:iCs/>
        </w:rPr>
        <w:t>. A higher number of variables</w:t>
      </w:r>
      <w:r w:rsidR="00E76D14" w:rsidRPr="00E4539C">
        <w:rPr>
          <w:rFonts w:cstheme="minorHAnsi"/>
          <w:i/>
          <w:iCs/>
        </w:rPr>
        <w:t xml:space="preserve"> (lighter blue)</w:t>
      </w:r>
      <w:r w:rsidR="004906DD" w:rsidRPr="00E4539C">
        <w:rPr>
          <w:rFonts w:cstheme="minorHAnsi"/>
          <w:i/>
          <w:iCs/>
        </w:rPr>
        <w:t xml:space="preserve"> indicates</w:t>
      </w:r>
      <w:r w:rsidR="00E20F1B" w:rsidRPr="00E4539C">
        <w:rPr>
          <w:rFonts w:cstheme="minorHAnsi"/>
          <w:i/>
          <w:iCs/>
        </w:rPr>
        <w:t xml:space="preserve"> </w:t>
      </w:r>
      <w:r w:rsidR="004906DD" w:rsidRPr="00E4539C">
        <w:rPr>
          <w:rFonts w:cstheme="minorHAnsi"/>
          <w:i/>
          <w:iCs/>
        </w:rPr>
        <w:t xml:space="preserve">stronger relationships </w:t>
      </w:r>
      <w:r w:rsidR="00E20F1B" w:rsidRPr="00E4539C">
        <w:rPr>
          <w:rFonts w:cstheme="minorHAnsi"/>
          <w:i/>
          <w:iCs/>
        </w:rPr>
        <w:t>with</w:t>
      </w:r>
      <w:r w:rsidR="004906DD" w:rsidRPr="00E4539C">
        <w:rPr>
          <w:rFonts w:cstheme="minorHAnsi"/>
          <w:i/>
          <w:iCs/>
        </w:rPr>
        <w:t>in the clinical</w:t>
      </w:r>
      <w:r w:rsidR="00E20F1B" w:rsidRPr="00E4539C">
        <w:rPr>
          <w:rFonts w:cstheme="minorHAnsi"/>
          <w:i/>
          <w:iCs/>
        </w:rPr>
        <w:t>,</w:t>
      </w:r>
      <w:r w:rsidR="004906DD" w:rsidRPr="00E4539C">
        <w:rPr>
          <w:rFonts w:cstheme="minorHAnsi"/>
          <w:i/>
          <w:iCs/>
        </w:rPr>
        <w:t xml:space="preserve"> cognitive</w:t>
      </w:r>
      <w:r w:rsidR="00E20F1B" w:rsidRPr="00E4539C">
        <w:rPr>
          <w:rFonts w:cstheme="minorHAnsi"/>
          <w:i/>
          <w:iCs/>
        </w:rPr>
        <w:t>, and sociodemographic</w:t>
      </w:r>
      <w:r w:rsidR="004906DD" w:rsidRPr="00E4539C">
        <w:rPr>
          <w:rFonts w:cstheme="minorHAnsi"/>
          <w:i/>
          <w:iCs/>
        </w:rPr>
        <w:t xml:space="preserve"> variables. </w:t>
      </w:r>
      <w:r w:rsidR="00E20F1B" w:rsidRPr="00E4539C">
        <w:rPr>
          <w:rFonts w:cstheme="minorHAnsi"/>
          <w:i/>
          <w:iCs/>
        </w:rPr>
        <w:t>Here, we</w:t>
      </w:r>
      <w:r w:rsidR="004906DD" w:rsidRPr="00E4539C">
        <w:rPr>
          <w:rFonts w:cstheme="minorHAnsi"/>
          <w:i/>
          <w:iCs/>
        </w:rPr>
        <w:t xml:space="preserve"> see a </w:t>
      </w:r>
      <w:r w:rsidR="00E20F1B" w:rsidRPr="00E4539C">
        <w:rPr>
          <w:rFonts w:cstheme="minorHAnsi"/>
          <w:i/>
          <w:iCs/>
        </w:rPr>
        <w:t>stronger relationship</w:t>
      </w:r>
      <w:r w:rsidR="004906DD" w:rsidRPr="00E4539C">
        <w:rPr>
          <w:rFonts w:cstheme="minorHAnsi"/>
          <w:i/>
          <w:iCs/>
        </w:rPr>
        <w:t xml:space="preserve"> emerging from participants belonging to the same diagnostic group</w:t>
      </w:r>
      <w:r w:rsidR="00E20F1B" w:rsidRPr="00E4539C">
        <w:rPr>
          <w:rFonts w:cstheme="minorHAnsi"/>
          <w:i/>
          <w:iCs/>
        </w:rPr>
        <w:t xml:space="preserve"> </w:t>
      </w:r>
      <w:r w:rsidR="00E4539C" w:rsidRPr="00E4539C">
        <w:rPr>
          <w:i/>
          <w:iCs/>
        </w:rPr>
        <w:t xml:space="preserve">(FEP: patients with first episode psychosis; HC: healthy controls; SCZ: individuals with </w:t>
      </w:r>
      <w:r w:rsidR="001A500B">
        <w:rPr>
          <w:i/>
          <w:iCs/>
        </w:rPr>
        <w:t>a</w:t>
      </w:r>
      <w:r w:rsidR="00E4539C" w:rsidRPr="00E4539C">
        <w:rPr>
          <w:i/>
          <w:iCs/>
        </w:rPr>
        <w:t xml:space="preserve"> history of schizophrenia; UHR: individuals at ultra-high risk for psychosis</w:t>
      </w:r>
      <w:r w:rsidR="00E20F1B" w:rsidRPr="00E4539C">
        <w:rPr>
          <w:rFonts w:cstheme="minorHAnsi"/>
          <w:i/>
          <w:iCs/>
        </w:rPr>
        <w:t>)</w:t>
      </w:r>
      <w:r w:rsidR="004906DD" w:rsidRPr="00E4539C">
        <w:rPr>
          <w:rFonts w:cstheme="minorHAnsi"/>
          <w:i/>
          <w:iCs/>
        </w:rPr>
        <w:t>,</w:t>
      </w:r>
      <w:r w:rsidR="00E20F1B" w:rsidRPr="00E4539C">
        <w:rPr>
          <w:rFonts w:cstheme="minorHAnsi"/>
          <w:i/>
          <w:iCs/>
        </w:rPr>
        <w:t xml:space="preserve"> as</w:t>
      </w:r>
      <w:r w:rsidR="004906DD" w:rsidRPr="00E4539C">
        <w:rPr>
          <w:rFonts w:cstheme="minorHAnsi"/>
          <w:i/>
          <w:iCs/>
        </w:rPr>
        <w:t xml:space="preserve"> indicated by the blocks</w:t>
      </w:r>
      <w:r w:rsidR="0044401C" w:rsidRPr="00E4539C">
        <w:rPr>
          <w:rFonts w:cstheme="minorHAnsi"/>
          <w:i/>
          <w:iCs/>
        </w:rPr>
        <w:t xml:space="preserve"> visually distinguishable by the blue </w:t>
      </w:r>
      <w:proofErr w:type="spellStart"/>
      <w:r w:rsidR="0044401C" w:rsidRPr="00E4539C">
        <w:rPr>
          <w:rFonts w:cstheme="minorHAnsi"/>
          <w:i/>
          <w:iCs/>
        </w:rPr>
        <w:t>colorshading</w:t>
      </w:r>
      <w:proofErr w:type="spellEnd"/>
      <w:r w:rsidR="004906DD" w:rsidRPr="00E4539C">
        <w:rPr>
          <w:rFonts w:cstheme="minorHAnsi"/>
          <w:i/>
          <w:iCs/>
        </w:rPr>
        <w:t>.</w:t>
      </w:r>
    </w:p>
    <w:p w14:paraId="0BE71FFD" w14:textId="77777777" w:rsidR="00716BDA" w:rsidRPr="00E4539C" w:rsidRDefault="00716BDA">
      <w:pPr>
        <w:rPr>
          <w:b/>
          <w:bCs/>
        </w:rPr>
      </w:pPr>
      <w:r w:rsidRPr="00E4539C">
        <w:rPr>
          <w:b/>
          <w:bCs/>
        </w:rPr>
        <w:br w:type="page"/>
      </w:r>
    </w:p>
    <w:p w14:paraId="26B83AC0" w14:textId="4E02C26B" w:rsidR="00716BDA" w:rsidRDefault="00716BDA" w:rsidP="00716BDA">
      <w:pPr>
        <w:spacing w:line="360" w:lineRule="auto"/>
        <w:jc w:val="both"/>
        <w:rPr>
          <w:sz w:val="24"/>
          <w:szCs w:val="24"/>
        </w:rPr>
      </w:pPr>
      <w:r>
        <w:rPr>
          <w:b/>
          <w:bCs/>
          <w:sz w:val="24"/>
          <w:szCs w:val="24"/>
        </w:rPr>
        <w:lastRenderedPageBreak/>
        <w:t>Supplementary Figure S3</w:t>
      </w:r>
      <w:r w:rsidR="006060FF">
        <w:rPr>
          <w:b/>
          <w:bCs/>
          <w:sz w:val="24"/>
          <w:szCs w:val="24"/>
        </w:rPr>
        <w:t>.</w:t>
      </w:r>
      <w:r>
        <w:rPr>
          <w:b/>
          <w:bCs/>
          <w:sz w:val="24"/>
          <w:szCs w:val="24"/>
        </w:rPr>
        <w:t xml:space="preserve"> ROC curves </w:t>
      </w:r>
    </w:p>
    <w:p w14:paraId="04B28EE7" w14:textId="77777777" w:rsidR="00716BDA" w:rsidRDefault="00716BDA" w:rsidP="00716BDA">
      <w:pPr>
        <w:spacing w:line="360" w:lineRule="auto"/>
        <w:jc w:val="both"/>
        <w:rPr>
          <w:sz w:val="24"/>
          <w:szCs w:val="24"/>
        </w:rPr>
      </w:pPr>
      <w:r w:rsidRPr="00DC202F">
        <w:rPr>
          <w:noProof/>
        </w:rPr>
        <w:drawing>
          <wp:inline distT="0" distB="0" distL="0" distR="0" wp14:anchorId="748DF40D" wp14:editId="04D89DAC">
            <wp:extent cx="5724634" cy="2355495"/>
            <wp:effectExtent l="0" t="0" r="0" b="6985"/>
            <wp:docPr id="14899880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6276" name=""/>
                    <pic:cNvPicPr/>
                  </pic:nvPicPr>
                  <pic:blipFill>
                    <a:blip r:embed="rId12"/>
                    <a:stretch>
                      <a:fillRect/>
                    </a:stretch>
                  </pic:blipFill>
                  <pic:spPr>
                    <a:xfrm>
                      <a:off x="0" y="0"/>
                      <a:ext cx="5837135" cy="2401786"/>
                    </a:xfrm>
                    <a:prstGeom prst="rect">
                      <a:avLst/>
                    </a:prstGeom>
                  </pic:spPr>
                </pic:pic>
              </a:graphicData>
            </a:graphic>
          </wp:inline>
        </w:drawing>
      </w:r>
    </w:p>
    <w:p w14:paraId="7AE2D7F8" w14:textId="77777777" w:rsidR="006060FF" w:rsidRDefault="006060FF" w:rsidP="00716BDA">
      <w:pPr>
        <w:spacing w:line="360" w:lineRule="auto"/>
        <w:jc w:val="both"/>
        <w:rPr>
          <w:sz w:val="24"/>
          <w:szCs w:val="24"/>
        </w:rPr>
      </w:pPr>
    </w:p>
    <w:p w14:paraId="7DC89A0A" w14:textId="7908FD11" w:rsidR="006060FF" w:rsidRPr="006060FF" w:rsidRDefault="006060FF" w:rsidP="006060FF">
      <w:pPr>
        <w:spacing w:line="276" w:lineRule="auto"/>
        <w:jc w:val="both"/>
        <w:rPr>
          <w:i/>
          <w:iCs/>
          <w:lang w:val="en-GB"/>
        </w:rPr>
      </w:pPr>
      <w:r w:rsidRPr="006060FF">
        <w:rPr>
          <w:i/>
          <w:iCs/>
        </w:rPr>
        <w:t>Figure S3 visualizes the ROC curve from the</w:t>
      </w:r>
      <w:r w:rsidRPr="006060FF">
        <w:rPr>
          <w:i/>
          <w:iCs/>
          <w:lang w:val="en-GB"/>
        </w:rPr>
        <w:t xml:space="preserve"> predictive model (using penalised logistic regression, elastic net) of the one-year UHR outcomes (transition to psychosis; remission from UHR-status), where heterogeneity indices dominance gab and UHR-rank was predictors. </w:t>
      </w:r>
    </w:p>
    <w:p w14:paraId="5120DB68" w14:textId="77777777" w:rsidR="00716BDA" w:rsidRPr="006060FF" w:rsidRDefault="00716BDA" w:rsidP="00716BDA">
      <w:pPr>
        <w:spacing w:line="360" w:lineRule="auto"/>
        <w:jc w:val="both"/>
        <w:rPr>
          <w:sz w:val="24"/>
          <w:szCs w:val="24"/>
          <w:lang w:val="en-GB"/>
        </w:rPr>
      </w:pPr>
    </w:p>
    <w:p w14:paraId="2AEA0113" w14:textId="77777777" w:rsidR="008D7539" w:rsidRDefault="008D7539" w:rsidP="00D46CA6">
      <w:pPr>
        <w:spacing w:after="200" w:line="276" w:lineRule="auto"/>
        <w:rPr>
          <w:rFonts w:cstheme="minorHAnsi"/>
          <w:sz w:val="24"/>
          <w:szCs w:val="24"/>
        </w:rPr>
      </w:pPr>
    </w:p>
    <w:p w14:paraId="2AC0E52A" w14:textId="77777777" w:rsidR="008D7539" w:rsidRDefault="008D7539">
      <w:pPr>
        <w:rPr>
          <w:b/>
          <w:bCs/>
          <w:sz w:val="24"/>
          <w:szCs w:val="24"/>
        </w:rPr>
      </w:pPr>
      <w:r>
        <w:rPr>
          <w:b/>
          <w:bCs/>
          <w:sz w:val="24"/>
          <w:szCs w:val="24"/>
        </w:rPr>
        <w:br w:type="page"/>
      </w:r>
    </w:p>
    <w:p w14:paraId="6011AF5E" w14:textId="03361CFD" w:rsidR="008D7539" w:rsidRDefault="008D7539" w:rsidP="008D7539">
      <w:pPr>
        <w:spacing w:line="360" w:lineRule="auto"/>
        <w:jc w:val="both"/>
        <w:rPr>
          <w:sz w:val="24"/>
          <w:szCs w:val="24"/>
        </w:rPr>
      </w:pPr>
      <w:r>
        <w:rPr>
          <w:b/>
          <w:bCs/>
          <w:sz w:val="24"/>
          <w:szCs w:val="24"/>
        </w:rPr>
        <w:lastRenderedPageBreak/>
        <w:t>Supplementary Figure S4</w:t>
      </w:r>
      <w:r w:rsidR="006060FF">
        <w:rPr>
          <w:b/>
          <w:bCs/>
          <w:sz w:val="24"/>
          <w:szCs w:val="24"/>
        </w:rPr>
        <w:t>.</w:t>
      </w:r>
      <w:r>
        <w:rPr>
          <w:b/>
          <w:bCs/>
          <w:sz w:val="24"/>
          <w:szCs w:val="24"/>
        </w:rPr>
        <w:t xml:space="preserve"> Affinity scores, neighborhood scores, and community scores associated with regional grey matter volume.</w:t>
      </w:r>
    </w:p>
    <w:p w14:paraId="77DA9C87" w14:textId="77777777" w:rsidR="008D7539" w:rsidRDefault="008D7539" w:rsidP="00D46CA6">
      <w:pPr>
        <w:spacing w:after="200" w:line="276" w:lineRule="auto"/>
        <w:rPr>
          <w:rFonts w:cstheme="minorHAnsi"/>
          <w:sz w:val="24"/>
          <w:szCs w:val="24"/>
        </w:rPr>
      </w:pPr>
    </w:p>
    <w:p w14:paraId="70C89C09" w14:textId="56D48136" w:rsidR="008D7539" w:rsidRDefault="006060FF" w:rsidP="00D46CA6">
      <w:pPr>
        <w:spacing w:after="200" w:line="276" w:lineRule="auto"/>
        <w:rPr>
          <w:rFonts w:cstheme="minorHAnsi"/>
          <w:sz w:val="24"/>
          <w:szCs w:val="24"/>
        </w:rPr>
      </w:pPr>
      <w:r w:rsidRPr="006060FF">
        <w:rPr>
          <w:rFonts w:cstheme="minorHAnsi"/>
          <w:noProof/>
          <w:sz w:val="24"/>
          <w:szCs w:val="24"/>
        </w:rPr>
        <w:drawing>
          <wp:inline distT="0" distB="0" distL="0" distR="0" wp14:anchorId="316DE65C" wp14:editId="6C974E00">
            <wp:extent cx="5731510" cy="2586355"/>
            <wp:effectExtent l="0" t="0" r="2540" b="4445"/>
            <wp:docPr id="4597270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27078" name=""/>
                    <pic:cNvPicPr/>
                  </pic:nvPicPr>
                  <pic:blipFill>
                    <a:blip r:embed="rId13"/>
                    <a:stretch>
                      <a:fillRect/>
                    </a:stretch>
                  </pic:blipFill>
                  <pic:spPr>
                    <a:xfrm>
                      <a:off x="0" y="0"/>
                      <a:ext cx="5731510" cy="2586355"/>
                    </a:xfrm>
                    <a:prstGeom prst="rect">
                      <a:avLst/>
                    </a:prstGeom>
                  </pic:spPr>
                </pic:pic>
              </a:graphicData>
            </a:graphic>
          </wp:inline>
        </w:drawing>
      </w:r>
    </w:p>
    <w:p w14:paraId="1B093DDA" w14:textId="77777777" w:rsidR="008D7539" w:rsidRDefault="008D7539" w:rsidP="00D46CA6">
      <w:pPr>
        <w:spacing w:after="200" w:line="276" w:lineRule="auto"/>
        <w:rPr>
          <w:rFonts w:cstheme="minorHAnsi"/>
          <w:sz w:val="24"/>
          <w:szCs w:val="24"/>
        </w:rPr>
      </w:pPr>
    </w:p>
    <w:p w14:paraId="3DBF7C5E" w14:textId="11957B72" w:rsidR="00D46CA6" w:rsidRPr="006060FF" w:rsidRDefault="008D7539" w:rsidP="00D46CA6">
      <w:pPr>
        <w:spacing w:after="200" w:line="276" w:lineRule="auto"/>
        <w:rPr>
          <w:rFonts w:cstheme="minorHAnsi"/>
          <w:i/>
          <w:iCs/>
        </w:rPr>
      </w:pPr>
      <w:r w:rsidRPr="006060FF">
        <w:rPr>
          <w:rFonts w:cstheme="minorHAnsi"/>
          <w:i/>
          <w:iCs/>
        </w:rPr>
        <w:t xml:space="preserve">Figure S4 illustrates the significant associations between </w:t>
      </w:r>
      <w:r w:rsidR="006060FF" w:rsidRPr="006060FF">
        <w:rPr>
          <w:rFonts w:cstheme="minorHAnsi"/>
          <w:i/>
          <w:iCs/>
        </w:rPr>
        <w:t>Neighborhood scores, Community scores, and regional grey matter volume. Only significant association are visualized. Significance tests are FDR corrected</w:t>
      </w:r>
      <w:r w:rsidR="006060FF">
        <w:rPr>
          <w:rFonts w:cstheme="minorHAnsi"/>
          <w:i/>
          <w:iCs/>
        </w:rPr>
        <w:t xml:space="preserve"> (q&lt;0.05)</w:t>
      </w:r>
      <w:r w:rsidR="006060FF" w:rsidRPr="006060FF">
        <w:rPr>
          <w:rFonts w:cstheme="minorHAnsi"/>
          <w:i/>
          <w:iCs/>
        </w:rPr>
        <w:t>.</w:t>
      </w:r>
      <w:r w:rsidR="001A500B" w:rsidRPr="006060FF">
        <w:rPr>
          <w:rFonts w:cstheme="minorHAnsi"/>
          <w:i/>
          <w:iCs/>
        </w:rPr>
        <w:br w:type="page"/>
      </w:r>
    </w:p>
    <w:p w14:paraId="1D9F05D9" w14:textId="68D5CF47" w:rsidR="00D46CA6" w:rsidRPr="00E4539C" w:rsidRDefault="00D46CA6" w:rsidP="00D46CA6">
      <w:pPr>
        <w:spacing w:line="360" w:lineRule="auto"/>
        <w:rPr>
          <w:b/>
          <w:bCs/>
        </w:rPr>
      </w:pPr>
      <w:r w:rsidRPr="00083D2F">
        <w:rPr>
          <w:b/>
          <w:bCs/>
        </w:rPr>
        <w:lastRenderedPageBreak/>
        <w:t>Supplementary Table S</w:t>
      </w:r>
      <w:r w:rsidR="00716BDA">
        <w:rPr>
          <w:b/>
          <w:bCs/>
        </w:rPr>
        <w:t xml:space="preserve">1 </w:t>
      </w:r>
      <w:r w:rsidRPr="00716BDA">
        <w:rPr>
          <w:b/>
          <w:bCs/>
        </w:rPr>
        <w:t>Cognitive tests included in current study:</w:t>
      </w:r>
    </w:p>
    <w:tbl>
      <w:tblPr>
        <w:tblStyle w:val="TableNormal1"/>
        <w:tblW w:w="9072"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0"/>
        <w:gridCol w:w="2126"/>
        <w:gridCol w:w="4536"/>
      </w:tblGrid>
      <w:tr w:rsidR="00D46CA6" w:rsidRPr="008454E9" w14:paraId="01C197EF" w14:textId="77777777" w:rsidTr="007F364D">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01751" w14:textId="77777777" w:rsidR="00D46CA6" w:rsidRPr="008454E9" w:rsidRDefault="00D46CA6" w:rsidP="00AE7C50">
            <w:pPr>
              <w:pStyle w:val="Ingenafstand"/>
              <w:spacing w:line="360" w:lineRule="auto"/>
              <w:rPr>
                <w:rFonts w:ascii="Calibri" w:hAnsi="Calibri" w:cs="Calibri"/>
                <w:sz w:val="22"/>
                <w:szCs w:val="22"/>
              </w:rPr>
            </w:pPr>
            <w:r w:rsidRPr="008454E9">
              <w:rPr>
                <w:rStyle w:val="None"/>
                <w:rFonts w:ascii="Calibri" w:eastAsia="Cambria" w:hAnsi="Calibri" w:cs="Calibri"/>
                <w:sz w:val="22"/>
                <w:szCs w:val="22"/>
                <w:lang w:val="en-US"/>
              </w:rPr>
              <w:t>Cognitive function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B7531" w14:textId="77777777" w:rsidR="00D46CA6" w:rsidRPr="008454E9" w:rsidRDefault="00D46CA6" w:rsidP="00AE7C50">
            <w:pPr>
              <w:pStyle w:val="Ingenafstand"/>
              <w:spacing w:line="360" w:lineRule="auto"/>
              <w:rPr>
                <w:rFonts w:ascii="Calibri" w:hAnsi="Calibri" w:cs="Calibri"/>
                <w:sz w:val="22"/>
                <w:szCs w:val="22"/>
              </w:rPr>
            </w:pPr>
            <w:r w:rsidRPr="008454E9">
              <w:rPr>
                <w:rStyle w:val="None"/>
                <w:rFonts w:ascii="Calibri" w:eastAsia="Cambria" w:hAnsi="Calibri" w:cs="Calibri"/>
                <w:sz w:val="22"/>
                <w:szCs w:val="22"/>
                <w:lang w:val="en-US"/>
              </w:rPr>
              <w:t>Test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B8888" w14:textId="77777777" w:rsidR="00D46CA6" w:rsidRPr="008454E9" w:rsidRDefault="00D46CA6" w:rsidP="00AE7C50">
            <w:pPr>
              <w:pStyle w:val="Ingenafstand"/>
              <w:spacing w:line="360" w:lineRule="auto"/>
              <w:rPr>
                <w:rFonts w:ascii="Calibri" w:hAnsi="Calibri" w:cs="Calibri"/>
                <w:sz w:val="22"/>
                <w:szCs w:val="22"/>
              </w:rPr>
            </w:pPr>
            <w:r w:rsidRPr="008454E9">
              <w:rPr>
                <w:rStyle w:val="None"/>
                <w:rFonts w:ascii="Calibri" w:eastAsia="Cambria" w:hAnsi="Calibri" w:cs="Calibri"/>
                <w:sz w:val="22"/>
                <w:szCs w:val="22"/>
                <w:lang w:val="en-US"/>
              </w:rPr>
              <w:t>Measure</w:t>
            </w:r>
          </w:p>
        </w:tc>
      </w:tr>
      <w:tr w:rsidR="00D46CA6" w:rsidRPr="008454E9" w14:paraId="27DBC6DA" w14:textId="77777777" w:rsidTr="007F364D">
        <w:trPr>
          <w:trHeight w:val="320"/>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E6D15" w14:textId="77777777" w:rsidR="00D46CA6" w:rsidRPr="008454E9" w:rsidRDefault="00D46CA6" w:rsidP="00AE7C50">
            <w:pPr>
              <w:pStyle w:val="Ingenafstand"/>
              <w:spacing w:line="360" w:lineRule="auto"/>
              <w:rPr>
                <w:rStyle w:val="None"/>
                <w:rFonts w:ascii="Calibri" w:eastAsia="Cambria" w:hAnsi="Calibri" w:cs="Calibri"/>
                <w:sz w:val="22"/>
                <w:szCs w:val="22"/>
                <w:lang w:val="en-US"/>
              </w:rPr>
            </w:pPr>
            <w:r w:rsidRPr="008454E9">
              <w:rPr>
                <w:rFonts w:ascii="Calibri" w:hAnsi="Calibri" w:cs="Calibri"/>
                <w:sz w:val="22"/>
                <w:szCs w:val="22"/>
                <w:lang w:val="en-US"/>
              </w:rPr>
              <w:t>The third version of the Danish Weschler Adult Intelligence Scale (WAIS-III; Wechsler, 1997)</w:t>
            </w:r>
          </w:p>
        </w:tc>
      </w:tr>
      <w:tr w:rsidR="00D46CA6" w:rsidRPr="008454E9" w14:paraId="29F737D7" w14:textId="77777777" w:rsidTr="007F364D">
        <w:trPr>
          <w:trHeight w:val="78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86C4B"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Current Verbal IQ</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F3D96"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(WAIS-III)</w:t>
            </w:r>
          </w:p>
          <w:p w14:paraId="1DBA49C8"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Similarities subtest of Wechsler Adult Intelligence Scale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D5088" w14:textId="77777777" w:rsidR="00D46CA6" w:rsidRPr="007F364D" w:rsidRDefault="00D46CA6" w:rsidP="00D46CA6">
            <w:pPr>
              <w:pStyle w:val="Listeafsnit"/>
              <w:numPr>
                <w:ilvl w:val="0"/>
                <w:numId w:val="10"/>
              </w:numPr>
              <w:spacing w:after="200" w:line="360" w:lineRule="auto"/>
              <w:rPr>
                <w:rFonts w:ascii="Calibri" w:hAnsi="Calibri" w:cs="Calibri"/>
                <w:lang w:val="en-US"/>
              </w:rPr>
            </w:pPr>
            <w:r w:rsidRPr="007F364D">
              <w:rPr>
                <w:rStyle w:val="None"/>
                <w:rFonts w:ascii="Calibri" w:eastAsia="Cambria" w:hAnsi="Calibri" w:cs="Calibri"/>
                <w:lang w:val="en-US"/>
              </w:rPr>
              <w:t>Number of correct responses in identifying qualitative relationships between two presented words</w:t>
            </w:r>
            <w:r w:rsidRPr="007F364D">
              <w:rPr>
                <w:rFonts w:ascii="Calibri" w:hAnsi="Calibri" w:cs="Calibri"/>
                <w:lang w:val="en-US"/>
              </w:rPr>
              <w:t xml:space="preserve"> </w:t>
            </w:r>
          </w:p>
        </w:tc>
      </w:tr>
      <w:tr w:rsidR="00D46CA6" w:rsidRPr="008454E9" w14:paraId="36EB3190" w14:textId="77777777" w:rsidTr="007F364D">
        <w:trPr>
          <w:trHeight w:val="66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6030F"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Current performance IQ</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002A9"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(WAIS-III)</w:t>
            </w:r>
          </w:p>
          <w:p w14:paraId="7D82C750"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 xml:space="preserve">Block design subtest of Wechsler Adult Intelligence Scale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53190" w14:textId="77777777" w:rsidR="00D46CA6" w:rsidRPr="007F364D" w:rsidRDefault="00D46CA6" w:rsidP="00D46CA6">
            <w:pPr>
              <w:pStyle w:val="Ingenafstand"/>
              <w:numPr>
                <w:ilvl w:val="0"/>
                <w:numId w:val="10"/>
              </w:numPr>
              <w:spacing w:line="360" w:lineRule="auto"/>
              <w:rPr>
                <w:rFonts w:ascii="Calibri" w:hAnsi="Calibri" w:cs="Calibri"/>
                <w:lang w:val="en-US"/>
              </w:rPr>
            </w:pPr>
            <w:r w:rsidRPr="007F364D">
              <w:rPr>
                <w:rStyle w:val="None"/>
                <w:rFonts w:ascii="Calibri" w:eastAsia="Cambria" w:hAnsi="Calibri" w:cs="Calibri"/>
                <w:lang w:val="en-US"/>
              </w:rPr>
              <w:t>Number of correct responses when completing a visual pattern on blocks, with accuracy and time spend in consideration</w:t>
            </w:r>
          </w:p>
        </w:tc>
      </w:tr>
      <w:tr w:rsidR="00D46CA6" w:rsidRPr="008454E9" w14:paraId="4B3951FA" w14:textId="77777777" w:rsidTr="007F364D">
        <w:trPr>
          <w:trHeight w:val="37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92964"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Estimated full scale IQ</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5D77D"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(WAIS-III)</w:t>
            </w:r>
          </w:p>
          <w:p w14:paraId="1DF8C17C" w14:textId="77777777" w:rsidR="00D46CA6" w:rsidRPr="007F364D" w:rsidRDefault="00D46CA6" w:rsidP="00AE7C50">
            <w:pPr>
              <w:pStyle w:val="Ingenafstand"/>
              <w:spacing w:line="360" w:lineRule="auto"/>
              <w:rPr>
                <w:rFonts w:ascii="Calibri" w:hAnsi="Calibri" w:cs="Calibri"/>
                <w:lang w:val="en-US"/>
              </w:rPr>
            </w:pPr>
            <w:r w:rsidRPr="007F364D">
              <w:rPr>
                <w:rFonts w:ascii="Calibri" w:hAnsi="Calibri" w:cs="Calibri"/>
                <w:lang w:val="en-US"/>
              </w:rPr>
              <w:t>Mean of Current verbal IQ and Performance IQ.</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37B2D" w14:textId="77777777" w:rsidR="00D46CA6" w:rsidRPr="007F364D" w:rsidRDefault="00D46CA6" w:rsidP="00D46CA6">
            <w:pPr>
              <w:pStyle w:val="Ingenafstand"/>
              <w:numPr>
                <w:ilvl w:val="0"/>
                <w:numId w:val="10"/>
              </w:numPr>
              <w:spacing w:line="360" w:lineRule="auto"/>
              <w:rPr>
                <w:rFonts w:ascii="Calibri" w:hAnsi="Calibri" w:cs="Calibri"/>
                <w:lang w:val="en-US"/>
              </w:rPr>
            </w:pPr>
            <w:r w:rsidRPr="007F364D">
              <w:rPr>
                <w:rStyle w:val="None"/>
                <w:rFonts w:ascii="Calibri" w:eastAsia="Cambria" w:hAnsi="Calibri" w:cs="Calibri"/>
                <w:lang w:val="en-US"/>
              </w:rPr>
              <w:t>(Verbal</w:t>
            </w:r>
            <w:r w:rsidRPr="007F364D">
              <w:rPr>
                <w:rFonts w:ascii="Calibri" w:hAnsi="Calibri" w:cs="Calibri"/>
                <w:lang w:val="en-US"/>
              </w:rPr>
              <w:t xml:space="preserve"> IQ + Performance IQ</w:t>
            </w:r>
            <w:r w:rsidRPr="007F364D">
              <w:rPr>
                <w:rStyle w:val="None"/>
                <w:rFonts w:ascii="Calibri" w:eastAsia="Cambria" w:hAnsi="Calibri" w:cs="Calibri"/>
                <w:lang w:val="en-US"/>
              </w:rPr>
              <w:t>)/2</w:t>
            </w:r>
          </w:p>
        </w:tc>
      </w:tr>
      <w:tr w:rsidR="00D46CA6" w:rsidRPr="008454E9" w14:paraId="43CA51B0" w14:textId="77777777" w:rsidTr="007F364D">
        <w:trPr>
          <w:trHeight w:val="370"/>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ABB8F" w14:textId="77777777" w:rsidR="00D46CA6" w:rsidRPr="008454E9" w:rsidRDefault="00D46CA6" w:rsidP="00AE7C50">
            <w:pPr>
              <w:pStyle w:val="Ingenafstand"/>
              <w:spacing w:line="360" w:lineRule="auto"/>
              <w:rPr>
                <w:rStyle w:val="None"/>
                <w:rFonts w:ascii="Calibri" w:eastAsia="Cambria" w:hAnsi="Calibri" w:cs="Calibri"/>
                <w:sz w:val="22"/>
                <w:szCs w:val="22"/>
                <w:lang w:val="en-US"/>
              </w:rPr>
            </w:pPr>
            <w:r w:rsidRPr="008454E9">
              <w:rPr>
                <w:rFonts w:ascii="Calibri" w:hAnsi="Calibri" w:cs="Calibri"/>
                <w:sz w:val="22"/>
                <w:szCs w:val="22"/>
                <w:lang w:val="en-US"/>
              </w:rPr>
              <w:t>Cognitive tests from the Brief Assessment of Cognition in Schizophrenia battery (Keefe et al., 2008)</w:t>
            </w:r>
          </w:p>
        </w:tc>
      </w:tr>
      <w:tr w:rsidR="00D46CA6" w:rsidRPr="008454E9" w14:paraId="3BC2882A" w14:textId="77777777" w:rsidTr="007F364D">
        <w:trPr>
          <w:trHeight w:val="687"/>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CA6C7"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Verbal learning and memory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6F1F7"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BACS </w:t>
            </w:r>
          </w:p>
          <w:p w14:paraId="40FD6A1F"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List learning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CF57C" w14:textId="77777777" w:rsidR="00D46CA6" w:rsidRPr="007F364D" w:rsidRDefault="00D46CA6" w:rsidP="00D46CA6">
            <w:pPr>
              <w:pStyle w:val="Ingenafstand"/>
              <w:numPr>
                <w:ilvl w:val="0"/>
                <w:numId w:val="9"/>
              </w:numPr>
              <w:spacing w:line="360" w:lineRule="auto"/>
              <w:rPr>
                <w:rFonts w:ascii="Calibri" w:hAnsi="Calibri" w:cs="Calibri"/>
                <w:lang w:val="en-US"/>
              </w:rPr>
            </w:pPr>
            <w:r w:rsidRPr="007F364D">
              <w:rPr>
                <w:rStyle w:val="None"/>
                <w:rFonts w:ascii="Calibri" w:eastAsia="Cambria" w:hAnsi="Calibri" w:cs="Calibri"/>
                <w:lang w:val="en-US"/>
              </w:rPr>
              <w:t>Number of correct recalled words in 5 trials of remembering a list of words read aloud</w:t>
            </w:r>
          </w:p>
        </w:tc>
      </w:tr>
      <w:tr w:rsidR="00D46CA6" w:rsidRPr="008454E9" w14:paraId="4B3EEBEB" w14:textId="77777777" w:rsidTr="007F364D">
        <w:trPr>
          <w:trHeight w:val="547"/>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E7F3D"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Verbal working memory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401AE"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BACS </w:t>
            </w:r>
          </w:p>
          <w:p w14:paraId="711144BA" w14:textId="4B60E5A1" w:rsidR="00D46CA6" w:rsidRPr="007F364D" w:rsidRDefault="00E4539C" w:rsidP="00AE7C50">
            <w:pPr>
              <w:pStyle w:val="Ingenafstand"/>
              <w:spacing w:line="360" w:lineRule="auto"/>
              <w:rPr>
                <w:rFonts w:ascii="Calibri" w:hAnsi="Calibri" w:cs="Calibri"/>
              </w:rPr>
            </w:pPr>
            <w:r>
              <w:rPr>
                <w:rStyle w:val="None"/>
                <w:rFonts w:ascii="Calibri" w:eastAsia="Cambria" w:hAnsi="Calibri" w:cs="Calibri"/>
                <w:lang w:val="en-US"/>
              </w:rPr>
              <w:t>Number</w:t>
            </w:r>
            <w:r w:rsidR="00D46CA6" w:rsidRPr="007F364D">
              <w:rPr>
                <w:rStyle w:val="None"/>
                <w:rFonts w:ascii="Calibri" w:eastAsia="Cambria" w:hAnsi="Calibri" w:cs="Calibri"/>
                <w:lang w:val="en-US"/>
              </w:rPr>
              <w:t xml:space="preserve"> sequencing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68F94" w14:textId="77777777" w:rsidR="00D46CA6" w:rsidRPr="007F364D" w:rsidRDefault="00D46CA6" w:rsidP="00D46CA6">
            <w:pPr>
              <w:pStyle w:val="Ingenafstand"/>
              <w:numPr>
                <w:ilvl w:val="0"/>
                <w:numId w:val="8"/>
              </w:numPr>
              <w:spacing w:line="360" w:lineRule="auto"/>
              <w:rPr>
                <w:rFonts w:ascii="Calibri" w:hAnsi="Calibri" w:cs="Calibri"/>
                <w:lang w:val="en-US"/>
              </w:rPr>
            </w:pPr>
            <w:r w:rsidRPr="007F364D">
              <w:rPr>
                <w:rStyle w:val="None"/>
                <w:rFonts w:ascii="Calibri" w:eastAsia="Cambria" w:hAnsi="Calibri" w:cs="Calibri"/>
                <w:lang w:val="en-US"/>
              </w:rPr>
              <w:t>Number of correct recalled and ordered sequences of digits read aloud</w:t>
            </w:r>
          </w:p>
        </w:tc>
      </w:tr>
      <w:tr w:rsidR="00D46CA6" w:rsidRPr="008454E9" w14:paraId="08C290D8" w14:textId="77777777" w:rsidTr="007F364D">
        <w:trPr>
          <w:trHeight w:val="746"/>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D7754"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Verbal fluency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7AD00"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BACS </w:t>
            </w:r>
          </w:p>
          <w:p w14:paraId="4D84D0E2"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Verbal fluency, semantic and phonetic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E5FEA" w14:textId="77777777" w:rsidR="00D46CA6" w:rsidRPr="007F364D" w:rsidRDefault="00D46CA6" w:rsidP="00D46CA6">
            <w:pPr>
              <w:pStyle w:val="Ingenafstand"/>
              <w:numPr>
                <w:ilvl w:val="0"/>
                <w:numId w:val="7"/>
              </w:numPr>
              <w:spacing w:line="360" w:lineRule="auto"/>
              <w:rPr>
                <w:rFonts w:ascii="Calibri" w:hAnsi="Calibri" w:cs="Calibri"/>
                <w:lang w:val="en-US"/>
              </w:rPr>
            </w:pPr>
            <w:r w:rsidRPr="007F364D">
              <w:rPr>
                <w:rStyle w:val="None"/>
                <w:rFonts w:ascii="Calibri" w:eastAsia="Cambria" w:hAnsi="Calibri" w:cs="Calibri"/>
                <w:lang w:val="en-US"/>
              </w:rPr>
              <w:t xml:space="preserve">Number of correct words generated (supermarket items, F- and S-words) </w:t>
            </w:r>
          </w:p>
        </w:tc>
      </w:tr>
      <w:tr w:rsidR="00D46CA6" w:rsidRPr="008454E9" w14:paraId="2452BEF2" w14:textId="77777777" w:rsidTr="007F364D">
        <w:trPr>
          <w:trHeight w:val="58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B5343"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Processing speed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5EBF0"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BACS </w:t>
            </w:r>
          </w:p>
          <w:p w14:paraId="7E690B4F"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Symbol coding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3CD96" w14:textId="77777777" w:rsidR="00D46CA6" w:rsidRPr="007F364D" w:rsidRDefault="00D46CA6" w:rsidP="00D46CA6">
            <w:pPr>
              <w:pStyle w:val="Ingenafstand"/>
              <w:numPr>
                <w:ilvl w:val="0"/>
                <w:numId w:val="11"/>
              </w:numPr>
              <w:spacing w:line="360" w:lineRule="auto"/>
              <w:rPr>
                <w:rFonts w:ascii="Calibri" w:hAnsi="Calibri" w:cs="Calibri"/>
                <w:lang w:val="en-US"/>
              </w:rPr>
            </w:pPr>
            <w:r w:rsidRPr="007F364D">
              <w:rPr>
                <w:rStyle w:val="None"/>
                <w:rFonts w:ascii="Calibri" w:eastAsia="Cambria" w:hAnsi="Calibri" w:cs="Calibri"/>
                <w:lang w:val="en-US"/>
              </w:rPr>
              <w:t>Number of written symbols correctly associated with the numbers</w:t>
            </w:r>
          </w:p>
        </w:tc>
      </w:tr>
      <w:tr w:rsidR="00D46CA6" w:rsidRPr="008454E9" w14:paraId="2B1602FE" w14:textId="77777777" w:rsidTr="007F364D">
        <w:trPr>
          <w:trHeight w:val="589"/>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285DA" w14:textId="77777777" w:rsidR="00D46CA6" w:rsidRPr="008454E9" w:rsidRDefault="00D46CA6" w:rsidP="00AE7C50">
            <w:pPr>
              <w:pStyle w:val="Ingenafstand"/>
              <w:spacing w:line="360" w:lineRule="auto"/>
              <w:rPr>
                <w:rStyle w:val="None"/>
                <w:rFonts w:ascii="Calibri" w:eastAsia="Cambria" w:hAnsi="Calibri" w:cs="Calibri"/>
                <w:sz w:val="22"/>
                <w:szCs w:val="22"/>
                <w:lang w:val="en-US"/>
              </w:rPr>
            </w:pPr>
            <w:r w:rsidRPr="008454E9">
              <w:rPr>
                <w:rFonts w:ascii="Calibri" w:hAnsi="Calibri" w:cs="Calibri"/>
                <w:sz w:val="22"/>
                <w:szCs w:val="22"/>
                <w:lang w:val="en-US"/>
              </w:rPr>
              <w:t>Cognitive tests from the Cambridge Neuropsychological Test Automated Battery (CANTAB; Sahakian &amp; Owen, 1992)</w:t>
            </w:r>
          </w:p>
        </w:tc>
      </w:tr>
      <w:tr w:rsidR="00D46CA6" w:rsidRPr="008454E9" w14:paraId="7D198D28" w14:textId="77777777" w:rsidTr="007F364D">
        <w:trPr>
          <w:trHeight w:val="58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D9B6D"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Spatial working memory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04D36"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CANTAB (SWM)  </w:t>
            </w:r>
          </w:p>
          <w:p w14:paraId="3B5ED554"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 xml:space="preserve">Spatial Working Memory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AC0A5" w14:textId="77777777" w:rsidR="00D46CA6" w:rsidRPr="007F364D" w:rsidRDefault="00D46CA6" w:rsidP="00D46CA6">
            <w:pPr>
              <w:pStyle w:val="Ingenafstand"/>
              <w:numPr>
                <w:ilvl w:val="0"/>
                <w:numId w:val="6"/>
              </w:numPr>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Total errors are all faulty selections of certainly empty boxes </w:t>
            </w:r>
          </w:p>
          <w:p w14:paraId="432D5E92" w14:textId="77777777" w:rsidR="00D46CA6" w:rsidRPr="007F364D" w:rsidRDefault="00D46CA6" w:rsidP="00D46CA6">
            <w:pPr>
              <w:pStyle w:val="Ingenafstand"/>
              <w:numPr>
                <w:ilvl w:val="0"/>
                <w:numId w:val="6"/>
              </w:numPr>
              <w:spacing w:line="360" w:lineRule="auto"/>
              <w:rPr>
                <w:rStyle w:val="None"/>
                <w:rFonts w:ascii="Calibri" w:eastAsia="Cambria" w:hAnsi="Calibri" w:cs="Calibri"/>
                <w:lang w:val="en-US"/>
              </w:rPr>
            </w:pPr>
            <w:r w:rsidRPr="007F364D">
              <w:rPr>
                <w:rStyle w:val="None"/>
                <w:rFonts w:ascii="Calibri" w:eastAsia="Cambria" w:hAnsi="Calibri" w:cs="Calibri"/>
                <w:lang w:val="en-US"/>
              </w:rPr>
              <w:t>Between errors</w:t>
            </w:r>
          </w:p>
          <w:p w14:paraId="3E91DEB5" w14:textId="77777777" w:rsidR="00D46CA6" w:rsidRPr="007F364D" w:rsidRDefault="00D46CA6" w:rsidP="00D46CA6">
            <w:pPr>
              <w:pStyle w:val="Ingenafstand"/>
              <w:numPr>
                <w:ilvl w:val="0"/>
                <w:numId w:val="6"/>
              </w:numPr>
              <w:spacing w:line="360" w:lineRule="auto"/>
              <w:rPr>
                <w:rFonts w:ascii="Calibri" w:eastAsia="Cambria" w:hAnsi="Calibri" w:cs="Calibri"/>
                <w:lang w:val="en-US"/>
              </w:rPr>
            </w:pPr>
            <w:r w:rsidRPr="007F364D">
              <w:rPr>
                <w:rStyle w:val="None"/>
                <w:rFonts w:ascii="Calibri" w:eastAsia="Cambria" w:hAnsi="Calibri" w:cs="Calibri"/>
                <w:lang w:val="en-US"/>
              </w:rPr>
              <w:lastRenderedPageBreak/>
              <w:t>Strategy is the efficient use of search strategy (starting point in selecting boxes) in completing the task</w:t>
            </w:r>
          </w:p>
        </w:tc>
      </w:tr>
      <w:tr w:rsidR="00D46CA6" w:rsidRPr="008454E9" w14:paraId="79067817" w14:textId="77777777" w:rsidTr="007F364D">
        <w:trPr>
          <w:trHeight w:val="617"/>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93BB4"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lastRenderedPageBreak/>
              <w:t>Planning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4521E"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CANTAB (SOC)</w:t>
            </w:r>
          </w:p>
          <w:p w14:paraId="4B4F07B0"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 xml:space="preserve">Stockings of Cambridge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6CD05" w14:textId="77777777" w:rsidR="00D46CA6" w:rsidRPr="007F364D" w:rsidRDefault="00D46CA6" w:rsidP="00D46CA6">
            <w:pPr>
              <w:pStyle w:val="Ingenafstand"/>
              <w:numPr>
                <w:ilvl w:val="0"/>
                <w:numId w:val="7"/>
              </w:numPr>
              <w:spacing w:line="360" w:lineRule="auto"/>
              <w:rPr>
                <w:rStyle w:val="None"/>
                <w:rFonts w:ascii="Calibri" w:eastAsia="Cambria" w:hAnsi="Calibri" w:cs="Calibri"/>
                <w:lang w:val="en-US"/>
              </w:rPr>
            </w:pPr>
            <w:r w:rsidRPr="007F364D">
              <w:rPr>
                <w:rStyle w:val="None"/>
                <w:rFonts w:ascii="Calibri" w:eastAsia="Cambria" w:hAnsi="Calibri" w:cs="Calibri"/>
                <w:lang w:val="en-US"/>
              </w:rPr>
              <w:t>Problems solved in minimum moves is the number of completions in the possible minimum number of moves, reflecting successful planning</w:t>
            </w:r>
          </w:p>
          <w:p w14:paraId="7E5409BC" w14:textId="77777777" w:rsidR="00D46CA6" w:rsidRPr="007F364D" w:rsidRDefault="00D46CA6" w:rsidP="00D46CA6">
            <w:pPr>
              <w:pStyle w:val="Ingenafstand"/>
              <w:numPr>
                <w:ilvl w:val="0"/>
                <w:numId w:val="7"/>
              </w:numPr>
              <w:spacing w:line="360" w:lineRule="auto"/>
              <w:rPr>
                <w:rFonts w:ascii="Calibri" w:hAnsi="Calibri" w:cs="Calibri"/>
                <w:lang w:val="en-US"/>
              </w:rPr>
            </w:pPr>
            <w:r w:rsidRPr="007F364D">
              <w:rPr>
                <w:rStyle w:val="None"/>
                <w:rFonts w:ascii="Calibri" w:eastAsia="Cambria" w:hAnsi="Calibri" w:cs="Calibri"/>
                <w:lang w:val="en-US"/>
              </w:rPr>
              <w:t>Mean initial thinking time (5 moves) is the time used for planning the first move</w:t>
            </w:r>
          </w:p>
        </w:tc>
      </w:tr>
      <w:tr w:rsidR="00D46CA6" w:rsidRPr="008454E9" w14:paraId="155C7134" w14:textId="77777777" w:rsidTr="007F364D">
        <w:trPr>
          <w:trHeight w:val="694"/>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A01DF"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Set shifting/mental flexibility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670B3"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CANTAB (IED) </w:t>
            </w:r>
          </w:p>
          <w:p w14:paraId="58FE4EB4"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 xml:space="preserve">Intra-Extra-Dimensional Set-shifting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E3AC4" w14:textId="77777777" w:rsidR="00D46CA6" w:rsidRPr="007F364D" w:rsidRDefault="00D46CA6" w:rsidP="00D46CA6">
            <w:pPr>
              <w:pStyle w:val="Ingenafstand"/>
              <w:numPr>
                <w:ilvl w:val="0"/>
                <w:numId w:val="11"/>
              </w:numPr>
              <w:spacing w:line="360" w:lineRule="auto"/>
              <w:rPr>
                <w:rStyle w:val="None"/>
                <w:rFonts w:ascii="Calibri" w:hAnsi="Calibri" w:cs="Calibri"/>
                <w:lang w:val="en-US"/>
              </w:rPr>
            </w:pPr>
            <w:r w:rsidRPr="007F364D">
              <w:rPr>
                <w:rStyle w:val="None"/>
                <w:rFonts w:ascii="Calibri" w:eastAsia="Cambria" w:hAnsi="Calibri" w:cs="Calibri"/>
                <w:lang w:val="en-US"/>
              </w:rPr>
              <w:t xml:space="preserve">Total errors are errors in rule acquisition and reversal, adjusted for the number of completed stages </w:t>
            </w:r>
          </w:p>
          <w:p w14:paraId="35C12FD8" w14:textId="77777777" w:rsidR="00D46CA6" w:rsidRPr="007F364D" w:rsidRDefault="00D46CA6" w:rsidP="00D46CA6">
            <w:pPr>
              <w:pStyle w:val="Ingenafstand"/>
              <w:numPr>
                <w:ilvl w:val="0"/>
                <w:numId w:val="11"/>
              </w:numPr>
              <w:spacing w:line="360" w:lineRule="auto"/>
              <w:rPr>
                <w:rStyle w:val="None"/>
                <w:rFonts w:ascii="Calibri" w:hAnsi="Calibri" w:cs="Calibri"/>
                <w:lang w:val="en-US"/>
              </w:rPr>
            </w:pPr>
            <w:r w:rsidRPr="007F364D">
              <w:rPr>
                <w:rStyle w:val="None"/>
                <w:rFonts w:ascii="Calibri" w:eastAsia="Cambria" w:hAnsi="Calibri" w:cs="Calibri"/>
                <w:lang w:val="en-US"/>
              </w:rPr>
              <w:t>Total EDS errors</w:t>
            </w:r>
          </w:p>
          <w:p w14:paraId="4F55459D" w14:textId="77777777" w:rsidR="00D46CA6" w:rsidRPr="007F364D" w:rsidRDefault="00D46CA6" w:rsidP="00D46CA6">
            <w:pPr>
              <w:pStyle w:val="Ingenafstand"/>
              <w:numPr>
                <w:ilvl w:val="0"/>
                <w:numId w:val="11"/>
              </w:numPr>
              <w:spacing w:line="360" w:lineRule="auto"/>
              <w:rPr>
                <w:rFonts w:ascii="Calibri" w:hAnsi="Calibri" w:cs="Calibri"/>
                <w:lang w:val="en-US"/>
              </w:rPr>
            </w:pPr>
            <w:r w:rsidRPr="007F364D">
              <w:rPr>
                <w:rStyle w:val="None"/>
                <w:rFonts w:ascii="Calibri" w:eastAsia="Cambria" w:hAnsi="Calibri" w:cs="Calibri"/>
                <w:lang w:val="en-US"/>
              </w:rPr>
              <w:t>Total latency in rule acquisition and reversal is the sum of response times over all presentations in all stages</w:t>
            </w:r>
          </w:p>
        </w:tc>
      </w:tr>
      <w:tr w:rsidR="00D46CA6" w:rsidRPr="008454E9" w14:paraId="7FB673F4" w14:textId="77777777" w:rsidTr="007F364D">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77EA8"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Reaction time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2CCDF"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 xml:space="preserve">CANTAB (RTI) </w:t>
            </w:r>
          </w:p>
          <w:p w14:paraId="331A58AF" w14:textId="77777777" w:rsidR="00D46CA6" w:rsidRPr="007F364D" w:rsidRDefault="00D46CA6" w:rsidP="00AE7C50">
            <w:pPr>
              <w:pStyle w:val="Ingenafstand"/>
              <w:spacing w:line="360" w:lineRule="auto"/>
              <w:rPr>
                <w:rFonts w:ascii="Calibri" w:hAnsi="Calibri" w:cs="Calibri"/>
              </w:rPr>
            </w:pPr>
            <w:r w:rsidRPr="007F364D">
              <w:rPr>
                <w:rStyle w:val="None"/>
                <w:rFonts w:ascii="Calibri" w:eastAsia="Cambria" w:hAnsi="Calibri" w:cs="Calibri"/>
                <w:lang w:val="en-US"/>
              </w:rPr>
              <w:t xml:space="preserve">Reaction Time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90AF7" w14:textId="77777777" w:rsidR="00D46CA6" w:rsidRPr="007F364D" w:rsidRDefault="00D46CA6" w:rsidP="00D46CA6">
            <w:pPr>
              <w:pStyle w:val="Ingenafstand"/>
              <w:numPr>
                <w:ilvl w:val="0"/>
                <w:numId w:val="11"/>
              </w:numPr>
              <w:spacing w:line="360" w:lineRule="auto"/>
              <w:rPr>
                <w:rFonts w:ascii="Calibri" w:hAnsi="Calibri" w:cs="Calibri"/>
                <w:lang w:val="en-US"/>
              </w:rPr>
            </w:pPr>
            <w:r w:rsidRPr="007F364D">
              <w:rPr>
                <w:rStyle w:val="None"/>
                <w:rFonts w:ascii="Calibri" w:eastAsia="Cambria" w:hAnsi="Calibri" w:cs="Calibri"/>
                <w:lang w:val="en-US"/>
              </w:rPr>
              <w:t>Mean simple reaction time is the speed of reaction time from predictable visual stimulus presentation, to touching the screen</w:t>
            </w:r>
          </w:p>
        </w:tc>
      </w:tr>
      <w:tr w:rsidR="00D46CA6" w:rsidRPr="008454E9" w14:paraId="0C369CEF" w14:textId="77777777" w:rsidTr="007F364D">
        <w:trPr>
          <w:trHeight w:val="482"/>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B49C2"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Sustained Attention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96388" w14:textId="77777777" w:rsidR="00D46CA6" w:rsidRPr="007F364D" w:rsidRDefault="00D46CA6" w:rsidP="00AE7C50">
            <w:pPr>
              <w:pStyle w:val="Ingenafstand"/>
              <w:spacing w:line="360" w:lineRule="auto"/>
              <w:rPr>
                <w:rStyle w:val="None"/>
                <w:rFonts w:ascii="Calibri" w:eastAsia="Cambria" w:hAnsi="Calibri" w:cs="Calibri"/>
                <w:lang w:val="en-US"/>
              </w:rPr>
            </w:pPr>
            <w:r w:rsidRPr="007F364D">
              <w:rPr>
                <w:rStyle w:val="None"/>
                <w:rFonts w:ascii="Calibri" w:eastAsia="Cambria" w:hAnsi="Calibri" w:cs="Calibri"/>
                <w:lang w:val="en-US"/>
              </w:rPr>
              <w:t>CANTAB (RVP-A’)</w:t>
            </w:r>
          </w:p>
          <w:p w14:paraId="668C19E4" w14:textId="77777777" w:rsidR="00D46CA6" w:rsidRPr="007F364D" w:rsidRDefault="00D46CA6" w:rsidP="00AE7C50">
            <w:pPr>
              <w:pStyle w:val="Ingenafstand"/>
              <w:spacing w:line="360" w:lineRule="auto"/>
              <w:rPr>
                <w:rFonts w:ascii="Calibri" w:hAnsi="Calibri" w:cs="Calibri"/>
                <w:lang w:val="en-US"/>
              </w:rPr>
            </w:pPr>
            <w:r w:rsidRPr="007F364D">
              <w:rPr>
                <w:rStyle w:val="None"/>
                <w:rFonts w:ascii="Calibri" w:eastAsia="Cambria" w:hAnsi="Calibri" w:cs="Calibri"/>
                <w:lang w:val="en-US"/>
              </w:rPr>
              <w:t xml:space="preserve">Rapid Visual Processing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A3697" w14:textId="77777777" w:rsidR="00D46CA6" w:rsidRPr="007F364D" w:rsidRDefault="00D46CA6" w:rsidP="00D46CA6">
            <w:pPr>
              <w:pStyle w:val="Ingenafstand"/>
              <w:numPr>
                <w:ilvl w:val="0"/>
                <w:numId w:val="11"/>
              </w:numPr>
              <w:spacing w:line="360" w:lineRule="auto"/>
              <w:rPr>
                <w:rStyle w:val="None"/>
                <w:rFonts w:ascii="Calibri" w:hAnsi="Calibri" w:cs="Calibri"/>
                <w:lang w:val="en-US"/>
              </w:rPr>
            </w:pPr>
            <w:r w:rsidRPr="007F364D">
              <w:rPr>
                <w:rStyle w:val="None"/>
                <w:rFonts w:ascii="Calibri" w:eastAsia="Cambria" w:hAnsi="Calibri" w:cs="Calibri"/>
                <w:lang w:val="en-US"/>
              </w:rPr>
              <w:t>Signal detection (a’) is the sensitivity in detecting targets, regardless of errors</w:t>
            </w:r>
          </w:p>
          <w:p w14:paraId="139D14E0" w14:textId="77777777" w:rsidR="00D46CA6" w:rsidRPr="007F364D" w:rsidRDefault="00D46CA6" w:rsidP="00D46CA6">
            <w:pPr>
              <w:pStyle w:val="Ingenafstand"/>
              <w:numPr>
                <w:ilvl w:val="0"/>
                <w:numId w:val="11"/>
              </w:numPr>
              <w:spacing w:line="360" w:lineRule="auto"/>
              <w:rPr>
                <w:rFonts w:ascii="Calibri" w:hAnsi="Calibri" w:cs="Calibri"/>
                <w:lang w:val="en-US"/>
              </w:rPr>
            </w:pPr>
            <w:r w:rsidRPr="007F364D">
              <w:rPr>
                <w:rStyle w:val="None"/>
                <w:rFonts w:ascii="Calibri" w:eastAsia="Cambria" w:hAnsi="Calibri" w:cs="Calibri"/>
                <w:lang w:val="en-US"/>
              </w:rPr>
              <w:t>Latency</w:t>
            </w:r>
          </w:p>
        </w:tc>
      </w:tr>
    </w:tbl>
    <w:p w14:paraId="262F4236" w14:textId="77777777" w:rsidR="00D46CA6" w:rsidRDefault="00D46CA6" w:rsidP="00D46CA6">
      <w:pPr>
        <w:rPr>
          <w:rFonts w:asciiTheme="majorHAnsi" w:hAnsiTheme="majorHAnsi" w:cstheme="majorHAnsi"/>
          <w:b/>
          <w:bCs/>
        </w:rPr>
      </w:pPr>
    </w:p>
    <w:p w14:paraId="387DBC6B" w14:textId="1F6180A0" w:rsidR="009A4730" w:rsidRDefault="009A4730">
      <w:pPr>
        <w:rPr>
          <w:b/>
          <w:bCs/>
        </w:rPr>
      </w:pPr>
    </w:p>
    <w:p w14:paraId="07EC1928" w14:textId="77777777" w:rsidR="00E4539C" w:rsidRDefault="00E4539C">
      <w:pPr>
        <w:rPr>
          <w:b/>
          <w:bCs/>
        </w:rPr>
      </w:pPr>
    </w:p>
    <w:p w14:paraId="6554C6AE" w14:textId="77777777" w:rsidR="00E4539C" w:rsidRDefault="00E4539C">
      <w:pPr>
        <w:rPr>
          <w:b/>
          <w:bCs/>
        </w:rPr>
      </w:pPr>
    </w:p>
    <w:p w14:paraId="235442E6" w14:textId="77777777" w:rsidR="00E4539C" w:rsidRDefault="00E4539C">
      <w:pPr>
        <w:rPr>
          <w:b/>
          <w:bCs/>
        </w:rPr>
      </w:pPr>
    </w:p>
    <w:p w14:paraId="2F823547" w14:textId="77777777" w:rsidR="00E4539C" w:rsidRDefault="00E4539C">
      <w:pPr>
        <w:rPr>
          <w:b/>
          <w:bCs/>
        </w:rPr>
      </w:pPr>
    </w:p>
    <w:p w14:paraId="06D7920E" w14:textId="77777777" w:rsidR="00E4539C" w:rsidRDefault="00E4539C">
      <w:pPr>
        <w:rPr>
          <w:b/>
          <w:bCs/>
        </w:rPr>
      </w:pPr>
    </w:p>
    <w:p w14:paraId="15E76336" w14:textId="77777777" w:rsidR="00E4539C" w:rsidRDefault="00E4539C">
      <w:pPr>
        <w:rPr>
          <w:b/>
          <w:bCs/>
        </w:rPr>
      </w:pPr>
    </w:p>
    <w:tbl>
      <w:tblPr>
        <w:tblStyle w:val="Tabel-Gitter"/>
        <w:tblpPr w:leftFromText="141" w:rightFromText="141" w:vertAnchor="text" w:horzAnchor="margin" w:tblpY="1324"/>
        <w:tblW w:w="8119" w:type="dxa"/>
        <w:tblLayout w:type="fixed"/>
        <w:tblLook w:val="04A0" w:firstRow="1" w:lastRow="0" w:firstColumn="1" w:lastColumn="0" w:noHBand="0" w:noVBand="1"/>
      </w:tblPr>
      <w:tblGrid>
        <w:gridCol w:w="2547"/>
        <w:gridCol w:w="1842"/>
        <w:gridCol w:w="1843"/>
        <w:gridCol w:w="1887"/>
      </w:tblGrid>
      <w:tr w:rsidR="009A4730" w:rsidRPr="00D617B4" w14:paraId="4A44F60F" w14:textId="77777777" w:rsidTr="00716BDA">
        <w:trPr>
          <w:trHeight w:val="557"/>
        </w:trPr>
        <w:tc>
          <w:tcPr>
            <w:tcW w:w="2547" w:type="dxa"/>
          </w:tcPr>
          <w:p w14:paraId="6669E92E" w14:textId="77777777" w:rsidR="009A4730" w:rsidRPr="00716BDA" w:rsidRDefault="009A4730" w:rsidP="00716BDA">
            <w:pPr>
              <w:shd w:val="clear" w:color="auto" w:fill="FFFFFF"/>
              <w:jc w:val="center"/>
              <w:rPr>
                <w:sz w:val="20"/>
                <w:szCs w:val="20"/>
              </w:rPr>
            </w:pPr>
          </w:p>
          <w:p w14:paraId="0823839F" w14:textId="77777777" w:rsidR="009A4730" w:rsidRPr="00716BDA" w:rsidRDefault="009A4730" w:rsidP="00716BDA">
            <w:pPr>
              <w:shd w:val="clear" w:color="auto" w:fill="FFFFFF"/>
              <w:jc w:val="center"/>
              <w:rPr>
                <w:sz w:val="20"/>
                <w:szCs w:val="20"/>
              </w:rPr>
            </w:pPr>
          </w:p>
        </w:tc>
        <w:tc>
          <w:tcPr>
            <w:tcW w:w="1842" w:type="dxa"/>
          </w:tcPr>
          <w:p w14:paraId="557D328B" w14:textId="77777777" w:rsidR="009A4730" w:rsidRPr="00716BDA" w:rsidRDefault="009A4730" w:rsidP="00716BDA">
            <w:pPr>
              <w:shd w:val="clear" w:color="auto" w:fill="FFFFFF"/>
              <w:jc w:val="center"/>
              <w:rPr>
                <w:b/>
                <w:bCs/>
                <w:sz w:val="20"/>
                <w:szCs w:val="20"/>
              </w:rPr>
            </w:pPr>
            <w:r w:rsidRPr="00716BDA">
              <w:rPr>
                <w:b/>
                <w:bCs/>
                <w:sz w:val="20"/>
                <w:szCs w:val="20"/>
              </w:rPr>
              <w:t>UHR-NT</w:t>
            </w:r>
          </w:p>
          <w:p w14:paraId="3F08D8C9" w14:textId="77777777" w:rsidR="009A4730" w:rsidRPr="00716BDA" w:rsidRDefault="009A4730" w:rsidP="00716BDA">
            <w:pPr>
              <w:shd w:val="clear" w:color="auto" w:fill="FFFFFF"/>
              <w:jc w:val="center"/>
              <w:rPr>
                <w:sz w:val="20"/>
                <w:szCs w:val="20"/>
              </w:rPr>
            </w:pPr>
            <w:r w:rsidRPr="00716BDA">
              <w:rPr>
                <w:sz w:val="20"/>
                <w:szCs w:val="20"/>
              </w:rPr>
              <w:t>(N=184)</w:t>
            </w:r>
          </w:p>
        </w:tc>
        <w:tc>
          <w:tcPr>
            <w:tcW w:w="1843" w:type="dxa"/>
          </w:tcPr>
          <w:p w14:paraId="51716C23" w14:textId="77777777" w:rsidR="009A4730" w:rsidRPr="00716BDA" w:rsidRDefault="009A4730" w:rsidP="00716BDA">
            <w:pPr>
              <w:shd w:val="clear" w:color="auto" w:fill="FFFFFF"/>
              <w:jc w:val="center"/>
              <w:rPr>
                <w:b/>
                <w:bCs/>
                <w:sz w:val="20"/>
                <w:szCs w:val="20"/>
              </w:rPr>
            </w:pPr>
            <w:r w:rsidRPr="00716BDA">
              <w:rPr>
                <w:b/>
                <w:bCs/>
                <w:sz w:val="20"/>
                <w:szCs w:val="20"/>
              </w:rPr>
              <w:t>UHR-T</w:t>
            </w:r>
          </w:p>
          <w:p w14:paraId="074E61BF" w14:textId="77777777" w:rsidR="009A4730" w:rsidRPr="00716BDA" w:rsidRDefault="009A4730" w:rsidP="00716BDA">
            <w:pPr>
              <w:shd w:val="clear" w:color="auto" w:fill="FFFFFF"/>
              <w:jc w:val="center"/>
              <w:rPr>
                <w:sz w:val="20"/>
                <w:szCs w:val="20"/>
              </w:rPr>
            </w:pPr>
            <w:r w:rsidRPr="00716BDA">
              <w:rPr>
                <w:sz w:val="20"/>
                <w:szCs w:val="20"/>
              </w:rPr>
              <w:t>(N=18)</w:t>
            </w:r>
          </w:p>
        </w:tc>
        <w:tc>
          <w:tcPr>
            <w:tcW w:w="1887" w:type="dxa"/>
          </w:tcPr>
          <w:p w14:paraId="6508867F" w14:textId="77777777" w:rsidR="009A4730" w:rsidRPr="00716BDA" w:rsidRDefault="009A4730" w:rsidP="00716BDA">
            <w:pPr>
              <w:shd w:val="clear" w:color="auto" w:fill="FFFFFF"/>
              <w:jc w:val="center"/>
              <w:rPr>
                <w:sz w:val="20"/>
                <w:szCs w:val="20"/>
              </w:rPr>
            </w:pPr>
            <w:r w:rsidRPr="00716BDA">
              <w:rPr>
                <w:sz w:val="20"/>
                <w:szCs w:val="20"/>
              </w:rPr>
              <w:t>Significance</w:t>
            </w:r>
          </w:p>
          <w:p w14:paraId="131C9320" w14:textId="77777777" w:rsidR="009A4730" w:rsidRPr="00716BDA" w:rsidRDefault="009A4730" w:rsidP="00716BDA">
            <w:pPr>
              <w:shd w:val="clear" w:color="auto" w:fill="FFFFFF"/>
              <w:jc w:val="center"/>
              <w:rPr>
                <w:sz w:val="20"/>
                <w:szCs w:val="20"/>
              </w:rPr>
            </w:pPr>
            <w:r w:rsidRPr="00716BDA">
              <w:rPr>
                <w:sz w:val="20"/>
                <w:szCs w:val="20"/>
              </w:rPr>
              <w:t>(below)</w:t>
            </w:r>
          </w:p>
        </w:tc>
      </w:tr>
      <w:tr w:rsidR="009A4730" w:rsidRPr="00D617B4" w14:paraId="62F0446F" w14:textId="77777777" w:rsidTr="00716BDA">
        <w:tc>
          <w:tcPr>
            <w:tcW w:w="2547" w:type="dxa"/>
          </w:tcPr>
          <w:p w14:paraId="52A08992" w14:textId="77777777" w:rsidR="009A4730" w:rsidRPr="00716BDA" w:rsidRDefault="009A4730" w:rsidP="00716BDA">
            <w:pPr>
              <w:shd w:val="clear" w:color="auto" w:fill="FFFFFF"/>
              <w:rPr>
                <w:b/>
                <w:iCs/>
                <w:sz w:val="20"/>
                <w:szCs w:val="20"/>
              </w:rPr>
            </w:pPr>
            <w:r w:rsidRPr="00716BDA">
              <w:rPr>
                <w:b/>
                <w:iCs/>
                <w:sz w:val="20"/>
                <w:szCs w:val="20"/>
              </w:rPr>
              <w:t>Cognitive functions</w:t>
            </w:r>
          </w:p>
          <w:p w14:paraId="73CA83FF" w14:textId="77777777" w:rsidR="009A4730" w:rsidRPr="00716BDA" w:rsidRDefault="009A4730" w:rsidP="00716BDA">
            <w:pPr>
              <w:shd w:val="clear" w:color="auto" w:fill="FFFFFF"/>
              <w:rPr>
                <w:bCs/>
                <w:iCs/>
                <w:sz w:val="20"/>
                <w:szCs w:val="20"/>
              </w:rPr>
            </w:pPr>
            <w:r w:rsidRPr="00716BDA">
              <w:rPr>
                <w:bCs/>
                <w:iCs/>
                <w:sz w:val="20"/>
                <w:szCs w:val="20"/>
              </w:rPr>
              <w:t>Numeric Mean (SD)</w:t>
            </w:r>
          </w:p>
          <w:p w14:paraId="3B36C54C" w14:textId="77777777" w:rsidR="009A4730" w:rsidRPr="00716BDA" w:rsidRDefault="009A4730" w:rsidP="00716BDA">
            <w:pPr>
              <w:shd w:val="clear" w:color="auto" w:fill="FFFFFF"/>
              <w:rPr>
                <w:bCs/>
                <w:iCs/>
                <w:sz w:val="20"/>
                <w:szCs w:val="20"/>
              </w:rPr>
            </w:pPr>
            <w:r w:rsidRPr="00716BDA">
              <w:rPr>
                <w:bCs/>
                <w:iCs/>
                <w:sz w:val="20"/>
                <w:szCs w:val="20"/>
              </w:rPr>
              <w:t>mean Z-score (SD)</w:t>
            </w:r>
          </w:p>
        </w:tc>
        <w:tc>
          <w:tcPr>
            <w:tcW w:w="1842" w:type="dxa"/>
          </w:tcPr>
          <w:p w14:paraId="3F3BD199" w14:textId="77777777" w:rsidR="009A4730" w:rsidRPr="00716BDA" w:rsidRDefault="009A4730" w:rsidP="00716BDA">
            <w:pPr>
              <w:shd w:val="clear" w:color="auto" w:fill="FFFFFF"/>
              <w:jc w:val="center"/>
              <w:rPr>
                <w:sz w:val="20"/>
                <w:szCs w:val="20"/>
              </w:rPr>
            </w:pPr>
          </w:p>
        </w:tc>
        <w:tc>
          <w:tcPr>
            <w:tcW w:w="1843" w:type="dxa"/>
          </w:tcPr>
          <w:p w14:paraId="74E49E04" w14:textId="77777777" w:rsidR="009A4730" w:rsidRPr="00716BDA" w:rsidRDefault="009A4730" w:rsidP="00716BDA">
            <w:pPr>
              <w:shd w:val="clear" w:color="auto" w:fill="FFFFFF"/>
              <w:jc w:val="center"/>
              <w:rPr>
                <w:sz w:val="20"/>
                <w:szCs w:val="20"/>
              </w:rPr>
            </w:pPr>
          </w:p>
        </w:tc>
        <w:tc>
          <w:tcPr>
            <w:tcW w:w="1887" w:type="dxa"/>
          </w:tcPr>
          <w:p w14:paraId="018EEB94" w14:textId="77777777" w:rsidR="009A4730" w:rsidRPr="00716BDA" w:rsidRDefault="009A4730" w:rsidP="00716BDA">
            <w:pPr>
              <w:shd w:val="clear" w:color="auto" w:fill="FFFFFF"/>
              <w:jc w:val="center"/>
              <w:rPr>
                <w:sz w:val="20"/>
                <w:szCs w:val="20"/>
              </w:rPr>
            </w:pPr>
          </w:p>
        </w:tc>
      </w:tr>
      <w:tr w:rsidR="009A4730" w:rsidRPr="00D617B4" w14:paraId="1C138831" w14:textId="77777777" w:rsidTr="00716BDA">
        <w:tc>
          <w:tcPr>
            <w:tcW w:w="2547" w:type="dxa"/>
          </w:tcPr>
          <w:p w14:paraId="367E54F5" w14:textId="77777777" w:rsidR="009A4730" w:rsidRPr="00716BDA" w:rsidRDefault="009A4730" w:rsidP="00716BDA">
            <w:pPr>
              <w:shd w:val="clear" w:color="auto" w:fill="FFFFFF"/>
              <w:rPr>
                <w:b/>
                <w:iCs/>
                <w:sz w:val="20"/>
                <w:szCs w:val="20"/>
              </w:rPr>
            </w:pPr>
            <w:r w:rsidRPr="00716BDA">
              <w:rPr>
                <w:b/>
                <w:iCs/>
                <w:sz w:val="20"/>
                <w:szCs w:val="20"/>
              </w:rPr>
              <w:t>WAIS</w:t>
            </w:r>
          </w:p>
        </w:tc>
        <w:tc>
          <w:tcPr>
            <w:tcW w:w="1842" w:type="dxa"/>
          </w:tcPr>
          <w:p w14:paraId="278DF8E6" w14:textId="77777777" w:rsidR="009A4730" w:rsidRPr="00716BDA" w:rsidRDefault="009A4730" w:rsidP="00716BDA">
            <w:pPr>
              <w:shd w:val="clear" w:color="auto" w:fill="FFFFFF"/>
              <w:jc w:val="center"/>
              <w:rPr>
                <w:sz w:val="20"/>
                <w:szCs w:val="20"/>
              </w:rPr>
            </w:pPr>
          </w:p>
        </w:tc>
        <w:tc>
          <w:tcPr>
            <w:tcW w:w="1843" w:type="dxa"/>
          </w:tcPr>
          <w:p w14:paraId="0C924462" w14:textId="77777777" w:rsidR="009A4730" w:rsidRPr="00716BDA" w:rsidRDefault="009A4730" w:rsidP="00716BDA">
            <w:pPr>
              <w:shd w:val="clear" w:color="auto" w:fill="FFFFFF"/>
              <w:jc w:val="center"/>
              <w:rPr>
                <w:sz w:val="20"/>
                <w:szCs w:val="20"/>
              </w:rPr>
            </w:pPr>
          </w:p>
        </w:tc>
        <w:tc>
          <w:tcPr>
            <w:tcW w:w="1887" w:type="dxa"/>
          </w:tcPr>
          <w:p w14:paraId="62561940" w14:textId="77777777" w:rsidR="009A4730" w:rsidRPr="00716BDA" w:rsidRDefault="009A4730" w:rsidP="00716BDA">
            <w:pPr>
              <w:shd w:val="clear" w:color="auto" w:fill="FFFFFF"/>
              <w:jc w:val="center"/>
              <w:rPr>
                <w:sz w:val="20"/>
                <w:szCs w:val="20"/>
              </w:rPr>
            </w:pPr>
          </w:p>
        </w:tc>
      </w:tr>
      <w:tr w:rsidR="009A4730" w:rsidRPr="00D617B4" w14:paraId="1E223024" w14:textId="77777777" w:rsidTr="00716BDA">
        <w:tc>
          <w:tcPr>
            <w:tcW w:w="2547" w:type="dxa"/>
          </w:tcPr>
          <w:p w14:paraId="345C6E68" w14:textId="77777777" w:rsidR="009A4730" w:rsidRPr="00716BDA" w:rsidRDefault="009A4730" w:rsidP="00716BDA">
            <w:pPr>
              <w:shd w:val="clear" w:color="auto" w:fill="FFFFFF"/>
              <w:rPr>
                <w:bCs/>
                <w:iCs/>
                <w:sz w:val="20"/>
                <w:szCs w:val="20"/>
              </w:rPr>
            </w:pPr>
            <w:r w:rsidRPr="00716BDA">
              <w:rPr>
                <w:bCs/>
                <w:iCs/>
                <w:sz w:val="20"/>
                <w:szCs w:val="20"/>
              </w:rPr>
              <w:t>Estimated Total IQ (F_IQ)</w:t>
            </w:r>
          </w:p>
        </w:tc>
        <w:tc>
          <w:tcPr>
            <w:tcW w:w="1842" w:type="dxa"/>
          </w:tcPr>
          <w:p w14:paraId="590464DF" w14:textId="77777777" w:rsidR="009A4730" w:rsidRPr="00716BDA" w:rsidRDefault="009A4730" w:rsidP="00716BDA">
            <w:pPr>
              <w:shd w:val="clear" w:color="auto" w:fill="FFFFFF"/>
              <w:jc w:val="center"/>
              <w:rPr>
                <w:sz w:val="20"/>
                <w:szCs w:val="20"/>
              </w:rPr>
            </w:pPr>
            <w:r w:rsidRPr="00716BDA">
              <w:rPr>
                <w:sz w:val="20"/>
                <w:szCs w:val="20"/>
              </w:rPr>
              <w:t>102.96 (12.50)</w:t>
            </w:r>
          </w:p>
          <w:p w14:paraId="189E97BB" w14:textId="77777777" w:rsidR="009A4730" w:rsidRPr="00716BDA" w:rsidRDefault="009A4730" w:rsidP="00716BDA">
            <w:pPr>
              <w:shd w:val="clear" w:color="auto" w:fill="FFFFFF"/>
              <w:jc w:val="center"/>
              <w:rPr>
                <w:sz w:val="20"/>
                <w:szCs w:val="20"/>
              </w:rPr>
            </w:pPr>
          </w:p>
        </w:tc>
        <w:tc>
          <w:tcPr>
            <w:tcW w:w="1843" w:type="dxa"/>
          </w:tcPr>
          <w:p w14:paraId="172F96CF" w14:textId="77777777" w:rsidR="009A4730" w:rsidRPr="00716BDA" w:rsidRDefault="009A4730" w:rsidP="00716BDA">
            <w:pPr>
              <w:shd w:val="clear" w:color="auto" w:fill="FFFFFF"/>
              <w:jc w:val="center"/>
              <w:rPr>
                <w:sz w:val="20"/>
                <w:szCs w:val="20"/>
              </w:rPr>
            </w:pPr>
            <w:r w:rsidRPr="00716BDA">
              <w:rPr>
                <w:sz w:val="20"/>
                <w:szCs w:val="20"/>
              </w:rPr>
              <w:t>97.94 (17.14)</w:t>
            </w:r>
          </w:p>
          <w:p w14:paraId="17B94DAE" w14:textId="77777777" w:rsidR="009A4730" w:rsidRPr="00716BDA" w:rsidRDefault="009A4730" w:rsidP="00716BDA">
            <w:pPr>
              <w:shd w:val="clear" w:color="auto" w:fill="FFFFFF"/>
              <w:jc w:val="center"/>
              <w:rPr>
                <w:sz w:val="20"/>
                <w:szCs w:val="20"/>
              </w:rPr>
            </w:pPr>
          </w:p>
        </w:tc>
        <w:tc>
          <w:tcPr>
            <w:tcW w:w="1887" w:type="dxa"/>
          </w:tcPr>
          <w:p w14:paraId="3AE5D4D1"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=0.119, </w:t>
            </w:r>
            <w:r w:rsidRPr="00716BDA">
              <w:rPr>
                <w:i/>
                <w:iCs/>
                <w:sz w:val="20"/>
                <w:szCs w:val="20"/>
              </w:rPr>
              <w:t>F</w:t>
            </w:r>
            <w:r w:rsidRPr="00716BDA">
              <w:rPr>
                <w:sz w:val="20"/>
                <w:szCs w:val="20"/>
              </w:rPr>
              <w:t>=2.449</w:t>
            </w:r>
          </w:p>
        </w:tc>
      </w:tr>
      <w:tr w:rsidR="009A4730" w:rsidRPr="00D617B4" w14:paraId="1CC9F51B" w14:textId="77777777" w:rsidTr="00716BDA">
        <w:tc>
          <w:tcPr>
            <w:tcW w:w="2547" w:type="dxa"/>
          </w:tcPr>
          <w:p w14:paraId="209DA33B" w14:textId="77777777" w:rsidR="009A4730" w:rsidRPr="00716BDA" w:rsidRDefault="009A4730" w:rsidP="00716BDA">
            <w:pPr>
              <w:shd w:val="clear" w:color="auto" w:fill="FFFFFF"/>
              <w:rPr>
                <w:bCs/>
                <w:iCs/>
                <w:sz w:val="20"/>
                <w:szCs w:val="20"/>
              </w:rPr>
            </w:pPr>
            <w:r w:rsidRPr="00716BDA">
              <w:rPr>
                <w:bCs/>
                <w:iCs/>
                <w:sz w:val="20"/>
                <w:szCs w:val="20"/>
              </w:rPr>
              <w:t>Verbal IQ</w:t>
            </w:r>
          </w:p>
        </w:tc>
        <w:tc>
          <w:tcPr>
            <w:tcW w:w="1842" w:type="dxa"/>
          </w:tcPr>
          <w:p w14:paraId="5A8BD337" w14:textId="77777777" w:rsidR="009A4730" w:rsidRPr="00716BDA" w:rsidRDefault="009A4730" w:rsidP="00716BDA">
            <w:pPr>
              <w:shd w:val="clear" w:color="auto" w:fill="FFFFFF"/>
              <w:jc w:val="center"/>
              <w:rPr>
                <w:sz w:val="20"/>
                <w:szCs w:val="20"/>
              </w:rPr>
            </w:pPr>
            <w:r w:rsidRPr="00716BDA">
              <w:rPr>
                <w:sz w:val="20"/>
                <w:szCs w:val="20"/>
              </w:rPr>
              <w:t>102.20 (13.13)</w:t>
            </w:r>
          </w:p>
          <w:p w14:paraId="4132DB71" w14:textId="77777777" w:rsidR="009A4730" w:rsidRPr="00716BDA" w:rsidRDefault="009A4730" w:rsidP="00716BDA">
            <w:pPr>
              <w:shd w:val="clear" w:color="auto" w:fill="FFFFFF"/>
              <w:jc w:val="center"/>
              <w:rPr>
                <w:sz w:val="20"/>
                <w:szCs w:val="20"/>
              </w:rPr>
            </w:pPr>
          </w:p>
        </w:tc>
        <w:tc>
          <w:tcPr>
            <w:tcW w:w="1843" w:type="dxa"/>
          </w:tcPr>
          <w:p w14:paraId="57195E8F" w14:textId="77777777" w:rsidR="009A4730" w:rsidRPr="00716BDA" w:rsidRDefault="009A4730" w:rsidP="00716BDA">
            <w:pPr>
              <w:shd w:val="clear" w:color="auto" w:fill="FFFFFF"/>
              <w:jc w:val="center"/>
              <w:rPr>
                <w:sz w:val="20"/>
                <w:szCs w:val="20"/>
              </w:rPr>
            </w:pPr>
            <w:r w:rsidRPr="00716BDA">
              <w:rPr>
                <w:sz w:val="20"/>
                <w:szCs w:val="20"/>
              </w:rPr>
              <w:t>101.39 (28.80)</w:t>
            </w:r>
          </w:p>
          <w:p w14:paraId="034D6BFE" w14:textId="77777777" w:rsidR="009A4730" w:rsidRPr="00716BDA" w:rsidRDefault="009A4730" w:rsidP="00716BDA">
            <w:pPr>
              <w:shd w:val="clear" w:color="auto" w:fill="FFFFFF"/>
              <w:jc w:val="center"/>
              <w:rPr>
                <w:sz w:val="20"/>
                <w:szCs w:val="20"/>
              </w:rPr>
            </w:pPr>
          </w:p>
        </w:tc>
        <w:tc>
          <w:tcPr>
            <w:tcW w:w="1887" w:type="dxa"/>
          </w:tcPr>
          <w:p w14:paraId="4C34B328"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=0.828, </w:t>
            </w:r>
            <w:r w:rsidRPr="00716BDA">
              <w:rPr>
                <w:i/>
                <w:iCs/>
                <w:sz w:val="20"/>
                <w:szCs w:val="20"/>
              </w:rPr>
              <w:t>F</w:t>
            </w:r>
            <w:r w:rsidRPr="00716BDA">
              <w:rPr>
                <w:sz w:val="20"/>
                <w:szCs w:val="20"/>
              </w:rPr>
              <w:t>=0.047</w:t>
            </w:r>
          </w:p>
        </w:tc>
      </w:tr>
      <w:tr w:rsidR="009A4730" w:rsidRPr="00D617B4" w14:paraId="0DDE7486" w14:textId="77777777" w:rsidTr="00716BDA">
        <w:tc>
          <w:tcPr>
            <w:tcW w:w="2547" w:type="dxa"/>
          </w:tcPr>
          <w:p w14:paraId="0ACCC2B0" w14:textId="77777777" w:rsidR="009A4730" w:rsidRPr="00716BDA" w:rsidRDefault="009A4730" w:rsidP="00716BDA">
            <w:pPr>
              <w:shd w:val="clear" w:color="auto" w:fill="FFFFFF"/>
              <w:rPr>
                <w:bCs/>
                <w:iCs/>
                <w:sz w:val="20"/>
                <w:szCs w:val="20"/>
              </w:rPr>
            </w:pPr>
            <w:r w:rsidRPr="00716BDA">
              <w:rPr>
                <w:bCs/>
                <w:iCs/>
                <w:sz w:val="20"/>
                <w:szCs w:val="20"/>
              </w:rPr>
              <w:t>Performance IQ</w:t>
            </w:r>
          </w:p>
        </w:tc>
        <w:tc>
          <w:tcPr>
            <w:tcW w:w="1842" w:type="dxa"/>
          </w:tcPr>
          <w:p w14:paraId="6C557E0D" w14:textId="77777777" w:rsidR="009A4730" w:rsidRPr="00716BDA" w:rsidRDefault="009A4730" w:rsidP="00716BDA">
            <w:pPr>
              <w:shd w:val="clear" w:color="auto" w:fill="FFFFFF"/>
              <w:jc w:val="center"/>
              <w:rPr>
                <w:sz w:val="20"/>
                <w:szCs w:val="20"/>
              </w:rPr>
            </w:pPr>
            <w:r w:rsidRPr="00716BDA">
              <w:rPr>
                <w:sz w:val="20"/>
                <w:szCs w:val="20"/>
              </w:rPr>
              <w:t>103.27 (16.22)</w:t>
            </w:r>
          </w:p>
          <w:p w14:paraId="26D1A7B1" w14:textId="77777777" w:rsidR="009A4730" w:rsidRPr="00716BDA" w:rsidRDefault="009A4730" w:rsidP="00716BDA">
            <w:pPr>
              <w:shd w:val="clear" w:color="auto" w:fill="FFFFFF"/>
              <w:jc w:val="center"/>
              <w:rPr>
                <w:sz w:val="20"/>
                <w:szCs w:val="20"/>
              </w:rPr>
            </w:pPr>
          </w:p>
        </w:tc>
        <w:tc>
          <w:tcPr>
            <w:tcW w:w="1843" w:type="dxa"/>
          </w:tcPr>
          <w:p w14:paraId="541B0B97" w14:textId="77777777" w:rsidR="009A4730" w:rsidRPr="00716BDA" w:rsidRDefault="009A4730" w:rsidP="00716BDA">
            <w:pPr>
              <w:shd w:val="clear" w:color="auto" w:fill="FFFFFF"/>
              <w:jc w:val="center"/>
              <w:rPr>
                <w:sz w:val="20"/>
                <w:szCs w:val="20"/>
              </w:rPr>
            </w:pPr>
            <w:r w:rsidRPr="00716BDA">
              <w:rPr>
                <w:sz w:val="20"/>
                <w:szCs w:val="20"/>
              </w:rPr>
              <w:t>100.78 (16.58)</w:t>
            </w:r>
          </w:p>
          <w:p w14:paraId="2C9874FA" w14:textId="77777777" w:rsidR="009A4730" w:rsidRPr="00716BDA" w:rsidRDefault="009A4730" w:rsidP="00716BDA">
            <w:pPr>
              <w:shd w:val="clear" w:color="auto" w:fill="FFFFFF"/>
              <w:jc w:val="center"/>
              <w:rPr>
                <w:sz w:val="20"/>
                <w:szCs w:val="20"/>
              </w:rPr>
            </w:pPr>
          </w:p>
        </w:tc>
        <w:tc>
          <w:tcPr>
            <w:tcW w:w="1887" w:type="dxa"/>
          </w:tcPr>
          <w:p w14:paraId="6FCC5B7B"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=0.336, </w:t>
            </w:r>
            <w:r w:rsidRPr="00716BDA">
              <w:rPr>
                <w:i/>
                <w:iCs/>
                <w:sz w:val="20"/>
                <w:szCs w:val="20"/>
              </w:rPr>
              <w:t>F</w:t>
            </w:r>
            <w:r w:rsidRPr="00716BDA">
              <w:rPr>
                <w:sz w:val="20"/>
                <w:szCs w:val="20"/>
              </w:rPr>
              <w:t>=0.384</w:t>
            </w:r>
          </w:p>
        </w:tc>
      </w:tr>
      <w:tr w:rsidR="009A4730" w:rsidRPr="00D617B4" w14:paraId="7F691775" w14:textId="77777777" w:rsidTr="00716BDA">
        <w:tc>
          <w:tcPr>
            <w:tcW w:w="2547" w:type="dxa"/>
          </w:tcPr>
          <w:p w14:paraId="2A28EF74" w14:textId="77777777" w:rsidR="009A4730" w:rsidRPr="00716BDA" w:rsidRDefault="009A4730" w:rsidP="00716BDA">
            <w:pPr>
              <w:shd w:val="clear" w:color="auto" w:fill="FFFFFF"/>
              <w:rPr>
                <w:b/>
                <w:iCs/>
                <w:sz w:val="20"/>
                <w:szCs w:val="20"/>
              </w:rPr>
            </w:pPr>
            <w:r w:rsidRPr="00716BDA">
              <w:rPr>
                <w:b/>
                <w:iCs/>
                <w:sz w:val="20"/>
                <w:szCs w:val="20"/>
              </w:rPr>
              <w:t>BACS</w:t>
            </w:r>
          </w:p>
        </w:tc>
        <w:tc>
          <w:tcPr>
            <w:tcW w:w="1842" w:type="dxa"/>
          </w:tcPr>
          <w:p w14:paraId="7F770682" w14:textId="77777777" w:rsidR="009A4730" w:rsidRPr="00716BDA" w:rsidRDefault="009A4730" w:rsidP="00716BDA">
            <w:pPr>
              <w:shd w:val="clear" w:color="auto" w:fill="FFFFFF"/>
              <w:jc w:val="center"/>
              <w:rPr>
                <w:sz w:val="20"/>
                <w:szCs w:val="20"/>
              </w:rPr>
            </w:pPr>
          </w:p>
        </w:tc>
        <w:tc>
          <w:tcPr>
            <w:tcW w:w="1843" w:type="dxa"/>
          </w:tcPr>
          <w:p w14:paraId="1441B379" w14:textId="77777777" w:rsidR="009A4730" w:rsidRPr="00716BDA" w:rsidRDefault="009A4730" w:rsidP="00716BDA">
            <w:pPr>
              <w:shd w:val="clear" w:color="auto" w:fill="FFFFFF"/>
              <w:jc w:val="center"/>
              <w:rPr>
                <w:sz w:val="20"/>
                <w:szCs w:val="20"/>
              </w:rPr>
            </w:pPr>
          </w:p>
        </w:tc>
        <w:tc>
          <w:tcPr>
            <w:tcW w:w="1887" w:type="dxa"/>
          </w:tcPr>
          <w:p w14:paraId="378EE161" w14:textId="77777777" w:rsidR="009A4730" w:rsidRPr="00716BDA" w:rsidRDefault="009A4730" w:rsidP="00716BDA">
            <w:pPr>
              <w:shd w:val="clear" w:color="auto" w:fill="FFFFFF"/>
              <w:jc w:val="center"/>
              <w:rPr>
                <w:sz w:val="20"/>
                <w:szCs w:val="20"/>
              </w:rPr>
            </w:pPr>
          </w:p>
        </w:tc>
      </w:tr>
      <w:tr w:rsidR="009A4730" w:rsidRPr="00D617B4" w14:paraId="1372672B" w14:textId="77777777" w:rsidTr="00716BDA">
        <w:tc>
          <w:tcPr>
            <w:tcW w:w="2547" w:type="dxa"/>
          </w:tcPr>
          <w:p w14:paraId="7DB5DFCE" w14:textId="77777777" w:rsidR="009A4730" w:rsidRPr="00716BDA" w:rsidRDefault="009A4730" w:rsidP="00716BDA">
            <w:pPr>
              <w:shd w:val="clear" w:color="auto" w:fill="FFFFFF"/>
              <w:rPr>
                <w:bCs/>
                <w:iCs/>
                <w:sz w:val="20"/>
                <w:szCs w:val="20"/>
              </w:rPr>
            </w:pPr>
            <w:r w:rsidRPr="00716BDA">
              <w:rPr>
                <w:bCs/>
                <w:iCs/>
                <w:sz w:val="20"/>
                <w:szCs w:val="20"/>
              </w:rPr>
              <w:t>Verbal fluency *</w:t>
            </w:r>
          </w:p>
        </w:tc>
        <w:tc>
          <w:tcPr>
            <w:tcW w:w="1842" w:type="dxa"/>
          </w:tcPr>
          <w:p w14:paraId="4557EF3A" w14:textId="77777777" w:rsidR="009A4730" w:rsidRPr="00716BDA" w:rsidRDefault="009A4730" w:rsidP="00716BDA">
            <w:pPr>
              <w:shd w:val="clear" w:color="auto" w:fill="FFFFFF"/>
              <w:jc w:val="center"/>
              <w:rPr>
                <w:sz w:val="20"/>
                <w:szCs w:val="20"/>
              </w:rPr>
            </w:pPr>
            <w:r w:rsidRPr="00716BDA">
              <w:rPr>
                <w:sz w:val="20"/>
                <w:szCs w:val="20"/>
              </w:rPr>
              <w:t>57.48 (13.25)</w:t>
            </w:r>
          </w:p>
          <w:p w14:paraId="5981549E" w14:textId="77777777" w:rsidR="009A4730" w:rsidRPr="00716BDA" w:rsidRDefault="009A4730" w:rsidP="00716BDA">
            <w:pPr>
              <w:shd w:val="clear" w:color="auto" w:fill="FFFFFF"/>
              <w:jc w:val="center"/>
              <w:rPr>
                <w:sz w:val="20"/>
                <w:szCs w:val="20"/>
              </w:rPr>
            </w:pPr>
          </w:p>
        </w:tc>
        <w:tc>
          <w:tcPr>
            <w:tcW w:w="1843" w:type="dxa"/>
          </w:tcPr>
          <w:p w14:paraId="5198155A" w14:textId="77777777" w:rsidR="009A4730" w:rsidRPr="00716BDA" w:rsidRDefault="009A4730" w:rsidP="00716BDA">
            <w:pPr>
              <w:shd w:val="clear" w:color="auto" w:fill="FFFFFF"/>
              <w:jc w:val="center"/>
              <w:rPr>
                <w:sz w:val="20"/>
                <w:szCs w:val="20"/>
              </w:rPr>
            </w:pPr>
            <w:r w:rsidRPr="00716BDA">
              <w:rPr>
                <w:sz w:val="20"/>
                <w:szCs w:val="20"/>
              </w:rPr>
              <w:t>49.44 (11.12)</w:t>
            </w:r>
          </w:p>
          <w:p w14:paraId="5278035F" w14:textId="77777777" w:rsidR="009A4730" w:rsidRPr="00716BDA" w:rsidRDefault="009A4730" w:rsidP="00716BDA">
            <w:pPr>
              <w:shd w:val="clear" w:color="auto" w:fill="FFFFFF"/>
              <w:jc w:val="center"/>
              <w:rPr>
                <w:sz w:val="20"/>
                <w:szCs w:val="20"/>
              </w:rPr>
            </w:pPr>
          </w:p>
        </w:tc>
        <w:tc>
          <w:tcPr>
            <w:tcW w:w="1887" w:type="dxa"/>
          </w:tcPr>
          <w:p w14:paraId="61264002" w14:textId="77777777" w:rsidR="009A4730" w:rsidRPr="00716BDA" w:rsidRDefault="009A4730" w:rsidP="00716BDA">
            <w:pPr>
              <w:shd w:val="clear" w:color="auto" w:fill="FFFFFF"/>
              <w:jc w:val="center"/>
              <w:rPr>
                <w:b/>
                <w:bCs/>
                <w:sz w:val="20"/>
                <w:szCs w:val="20"/>
              </w:rPr>
            </w:pPr>
            <w:r w:rsidRPr="00716BDA">
              <w:rPr>
                <w:b/>
                <w:bCs/>
                <w:i/>
                <w:iCs/>
                <w:sz w:val="20"/>
                <w:szCs w:val="20"/>
              </w:rPr>
              <w:t>p</w:t>
            </w:r>
            <w:r w:rsidRPr="00716BDA">
              <w:rPr>
                <w:b/>
                <w:bCs/>
                <w:sz w:val="20"/>
                <w:szCs w:val="20"/>
              </w:rPr>
              <w:t xml:space="preserve">=0.014, </w:t>
            </w:r>
            <w:r w:rsidRPr="00716BDA">
              <w:rPr>
                <w:b/>
                <w:bCs/>
                <w:i/>
                <w:iCs/>
                <w:sz w:val="20"/>
                <w:szCs w:val="20"/>
              </w:rPr>
              <w:t>F</w:t>
            </w:r>
            <w:r w:rsidRPr="00716BDA">
              <w:rPr>
                <w:b/>
                <w:bCs/>
                <w:sz w:val="20"/>
                <w:szCs w:val="20"/>
              </w:rPr>
              <w:t>=6.188</w:t>
            </w:r>
          </w:p>
        </w:tc>
      </w:tr>
      <w:tr w:rsidR="009A4730" w:rsidRPr="00D617B4" w14:paraId="19FC7D6E" w14:textId="77777777" w:rsidTr="00716BDA">
        <w:tc>
          <w:tcPr>
            <w:tcW w:w="2547" w:type="dxa"/>
          </w:tcPr>
          <w:p w14:paraId="26EC9951" w14:textId="77777777" w:rsidR="009A4730" w:rsidRPr="00716BDA" w:rsidRDefault="009A4730" w:rsidP="00716BDA">
            <w:pPr>
              <w:shd w:val="clear" w:color="auto" w:fill="FFFFFF"/>
              <w:rPr>
                <w:bCs/>
                <w:iCs/>
                <w:sz w:val="20"/>
                <w:szCs w:val="20"/>
              </w:rPr>
            </w:pPr>
            <w:r w:rsidRPr="00716BDA">
              <w:rPr>
                <w:iCs/>
                <w:sz w:val="20"/>
                <w:szCs w:val="20"/>
              </w:rPr>
              <w:t>List learning</w:t>
            </w:r>
          </w:p>
        </w:tc>
        <w:tc>
          <w:tcPr>
            <w:tcW w:w="1842" w:type="dxa"/>
          </w:tcPr>
          <w:p w14:paraId="5DC270D8" w14:textId="77777777" w:rsidR="009A4730" w:rsidRPr="00716BDA" w:rsidRDefault="009A4730" w:rsidP="00716BDA">
            <w:pPr>
              <w:shd w:val="clear" w:color="auto" w:fill="FFFFFF"/>
              <w:jc w:val="center"/>
              <w:rPr>
                <w:sz w:val="20"/>
                <w:szCs w:val="20"/>
              </w:rPr>
            </w:pPr>
            <w:r w:rsidRPr="00716BDA">
              <w:rPr>
                <w:sz w:val="20"/>
                <w:szCs w:val="20"/>
              </w:rPr>
              <w:t>50.98 (8.50)</w:t>
            </w:r>
          </w:p>
          <w:p w14:paraId="0770060F" w14:textId="77777777" w:rsidR="009A4730" w:rsidRPr="00716BDA" w:rsidRDefault="009A4730" w:rsidP="00716BDA">
            <w:pPr>
              <w:shd w:val="clear" w:color="auto" w:fill="FFFFFF"/>
              <w:jc w:val="center"/>
              <w:rPr>
                <w:sz w:val="20"/>
                <w:szCs w:val="20"/>
              </w:rPr>
            </w:pPr>
          </w:p>
        </w:tc>
        <w:tc>
          <w:tcPr>
            <w:tcW w:w="1843" w:type="dxa"/>
          </w:tcPr>
          <w:p w14:paraId="6FA51D07" w14:textId="77777777" w:rsidR="009A4730" w:rsidRPr="00716BDA" w:rsidRDefault="009A4730" w:rsidP="00716BDA">
            <w:pPr>
              <w:shd w:val="clear" w:color="auto" w:fill="FFFFFF"/>
              <w:jc w:val="center"/>
              <w:rPr>
                <w:sz w:val="20"/>
                <w:szCs w:val="20"/>
              </w:rPr>
            </w:pPr>
            <w:r w:rsidRPr="00716BDA">
              <w:rPr>
                <w:sz w:val="20"/>
                <w:szCs w:val="20"/>
              </w:rPr>
              <w:t>50.89 (11.00)</w:t>
            </w:r>
          </w:p>
          <w:p w14:paraId="2C577C7F" w14:textId="77777777" w:rsidR="009A4730" w:rsidRPr="00716BDA" w:rsidRDefault="009A4730" w:rsidP="00716BDA">
            <w:pPr>
              <w:shd w:val="clear" w:color="auto" w:fill="FFFFFF"/>
              <w:jc w:val="center"/>
              <w:rPr>
                <w:sz w:val="20"/>
                <w:szCs w:val="20"/>
              </w:rPr>
            </w:pPr>
          </w:p>
        </w:tc>
        <w:tc>
          <w:tcPr>
            <w:tcW w:w="1887" w:type="dxa"/>
          </w:tcPr>
          <w:p w14:paraId="334FDDCB"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=0.967, </w:t>
            </w:r>
            <w:r w:rsidRPr="00716BDA">
              <w:rPr>
                <w:i/>
                <w:iCs/>
                <w:sz w:val="20"/>
                <w:szCs w:val="20"/>
              </w:rPr>
              <w:t>F</w:t>
            </w:r>
            <w:r w:rsidRPr="00716BDA">
              <w:rPr>
                <w:sz w:val="20"/>
                <w:szCs w:val="20"/>
              </w:rPr>
              <w:t>=0.002</w:t>
            </w:r>
          </w:p>
        </w:tc>
      </w:tr>
      <w:tr w:rsidR="009A4730" w:rsidRPr="00D617B4" w14:paraId="17A27A53" w14:textId="77777777" w:rsidTr="00716BDA">
        <w:tc>
          <w:tcPr>
            <w:tcW w:w="2547" w:type="dxa"/>
          </w:tcPr>
          <w:p w14:paraId="06649FC9" w14:textId="77777777" w:rsidR="009A4730" w:rsidRPr="00716BDA" w:rsidRDefault="009A4730" w:rsidP="00716BDA">
            <w:pPr>
              <w:shd w:val="clear" w:color="auto" w:fill="FFFFFF"/>
              <w:rPr>
                <w:iCs/>
                <w:sz w:val="20"/>
                <w:szCs w:val="20"/>
              </w:rPr>
            </w:pPr>
            <w:r w:rsidRPr="00716BDA">
              <w:rPr>
                <w:iCs/>
                <w:sz w:val="20"/>
                <w:szCs w:val="20"/>
              </w:rPr>
              <w:t>Number sequence</w:t>
            </w:r>
          </w:p>
        </w:tc>
        <w:tc>
          <w:tcPr>
            <w:tcW w:w="1842" w:type="dxa"/>
          </w:tcPr>
          <w:p w14:paraId="5D5285AF" w14:textId="77777777" w:rsidR="009A4730" w:rsidRPr="00716BDA" w:rsidRDefault="009A4730" w:rsidP="00716BDA">
            <w:pPr>
              <w:shd w:val="clear" w:color="auto" w:fill="FFFFFF"/>
              <w:jc w:val="center"/>
              <w:rPr>
                <w:sz w:val="20"/>
                <w:szCs w:val="20"/>
              </w:rPr>
            </w:pPr>
            <w:r w:rsidRPr="00716BDA">
              <w:rPr>
                <w:sz w:val="20"/>
                <w:szCs w:val="20"/>
              </w:rPr>
              <w:t>20.29 (4.23)</w:t>
            </w:r>
          </w:p>
          <w:p w14:paraId="41DF7619" w14:textId="77777777" w:rsidR="009A4730" w:rsidRPr="00716BDA" w:rsidRDefault="009A4730" w:rsidP="00716BDA">
            <w:pPr>
              <w:shd w:val="clear" w:color="auto" w:fill="FFFFFF"/>
              <w:jc w:val="center"/>
              <w:rPr>
                <w:sz w:val="20"/>
                <w:szCs w:val="20"/>
              </w:rPr>
            </w:pPr>
          </w:p>
        </w:tc>
        <w:tc>
          <w:tcPr>
            <w:tcW w:w="1843" w:type="dxa"/>
          </w:tcPr>
          <w:p w14:paraId="34C269A9" w14:textId="77777777" w:rsidR="009A4730" w:rsidRPr="00716BDA" w:rsidRDefault="009A4730" w:rsidP="00716BDA">
            <w:pPr>
              <w:shd w:val="clear" w:color="auto" w:fill="FFFFFF"/>
              <w:jc w:val="center"/>
              <w:rPr>
                <w:sz w:val="20"/>
                <w:szCs w:val="20"/>
              </w:rPr>
            </w:pPr>
            <w:r w:rsidRPr="00716BDA">
              <w:rPr>
                <w:sz w:val="20"/>
                <w:szCs w:val="20"/>
              </w:rPr>
              <w:t>21.22 (3.72)</w:t>
            </w:r>
          </w:p>
          <w:p w14:paraId="215C444D" w14:textId="77777777" w:rsidR="009A4730" w:rsidRPr="00716BDA" w:rsidRDefault="009A4730" w:rsidP="00716BDA">
            <w:pPr>
              <w:shd w:val="clear" w:color="auto" w:fill="FFFFFF"/>
              <w:jc w:val="center"/>
              <w:rPr>
                <w:sz w:val="20"/>
                <w:szCs w:val="20"/>
              </w:rPr>
            </w:pPr>
          </w:p>
        </w:tc>
        <w:tc>
          <w:tcPr>
            <w:tcW w:w="1887" w:type="dxa"/>
          </w:tcPr>
          <w:p w14:paraId="6BB4F185"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=0.368, </w:t>
            </w:r>
            <w:r w:rsidRPr="00716BDA">
              <w:rPr>
                <w:i/>
                <w:iCs/>
                <w:sz w:val="20"/>
                <w:szCs w:val="20"/>
              </w:rPr>
              <w:t>F</w:t>
            </w:r>
            <w:r w:rsidRPr="00716BDA">
              <w:rPr>
                <w:sz w:val="20"/>
                <w:szCs w:val="20"/>
              </w:rPr>
              <w:t>=0.813</w:t>
            </w:r>
          </w:p>
        </w:tc>
      </w:tr>
      <w:tr w:rsidR="009A4730" w:rsidRPr="00D617B4" w14:paraId="49B587D0" w14:textId="77777777" w:rsidTr="00716BDA">
        <w:tc>
          <w:tcPr>
            <w:tcW w:w="2547" w:type="dxa"/>
          </w:tcPr>
          <w:p w14:paraId="4F3B7122" w14:textId="77777777" w:rsidR="009A4730" w:rsidRPr="00716BDA" w:rsidRDefault="009A4730" w:rsidP="00716BDA">
            <w:pPr>
              <w:shd w:val="clear" w:color="auto" w:fill="FFFFFF"/>
              <w:rPr>
                <w:bCs/>
                <w:iCs/>
                <w:sz w:val="20"/>
                <w:szCs w:val="20"/>
              </w:rPr>
            </w:pPr>
            <w:r w:rsidRPr="00716BDA">
              <w:rPr>
                <w:bCs/>
                <w:iCs/>
                <w:sz w:val="20"/>
                <w:szCs w:val="20"/>
              </w:rPr>
              <w:t>Symbol coding</w:t>
            </w:r>
          </w:p>
        </w:tc>
        <w:tc>
          <w:tcPr>
            <w:tcW w:w="1842" w:type="dxa"/>
          </w:tcPr>
          <w:p w14:paraId="366FFAEC" w14:textId="77777777" w:rsidR="009A4730" w:rsidRPr="00716BDA" w:rsidRDefault="009A4730" w:rsidP="00716BDA">
            <w:pPr>
              <w:shd w:val="clear" w:color="auto" w:fill="FFFFFF"/>
              <w:jc w:val="center"/>
              <w:rPr>
                <w:sz w:val="20"/>
                <w:szCs w:val="20"/>
              </w:rPr>
            </w:pPr>
            <w:r w:rsidRPr="00716BDA">
              <w:rPr>
                <w:sz w:val="20"/>
                <w:szCs w:val="20"/>
              </w:rPr>
              <w:t>57.34 (11.15)</w:t>
            </w:r>
          </w:p>
          <w:p w14:paraId="00F9F3D9" w14:textId="77777777" w:rsidR="009A4730" w:rsidRPr="00716BDA" w:rsidRDefault="009A4730" w:rsidP="00716BDA">
            <w:pPr>
              <w:shd w:val="clear" w:color="auto" w:fill="FFFFFF"/>
              <w:jc w:val="center"/>
              <w:rPr>
                <w:sz w:val="20"/>
                <w:szCs w:val="20"/>
              </w:rPr>
            </w:pPr>
          </w:p>
        </w:tc>
        <w:tc>
          <w:tcPr>
            <w:tcW w:w="1843" w:type="dxa"/>
          </w:tcPr>
          <w:p w14:paraId="100C8395" w14:textId="77777777" w:rsidR="009A4730" w:rsidRPr="00716BDA" w:rsidRDefault="009A4730" w:rsidP="00716BDA">
            <w:pPr>
              <w:shd w:val="clear" w:color="auto" w:fill="FFFFFF"/>
              <w:jc w:val="center"/>
              <w:rPr>
                <w:sz w:val="20"/>
                <w:szCs w:val="20"/>
              </w:rPr>
            </w:pPr>
            <w:r w:rsidRPr="00716BDA">
              <w:rPr>
                <w:sz w:val="20"/>
                <w:szCs w:val="20"/>
              </w:rPr>
              <w:t>54.94 (10.96)</w:t>
            </w:r>
          </w:p>
          <w:p w14:paraId="4B20A400" w14:textId="77777777" w:rsidR="009A4730" w:rsidRPr="00716BDA" w:rsidRDefault="009A4730" w:rsidP="00716BDA">
            <w:pPr>
              <w:shd w:val="clear" w:color="auto" w:fill="FFFFFF"/>
              <w:jc w:val="center"/>
              <w:rPr>
                <w:sz w:val="20"/>
                <w:szCs w:val="20"/>
              </w:rPr>
            </w:pPr>
          </w:p>
        </w:tc>
        <w:tc>
          <w:tcPr>
            <w:tcW w:w="1887" w:type="dxa"/>
          </w:tcPr>
          <w:p w14:paraId="3E40742C"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=0.384, </w:t>
            </w:r>
            <w:r w:rsidRPr="00716BDA">
              <w:rPr>
                <w:i/>
                <w:iCs/>
                <w:sz w:val="20"/>
                <w:szCs w:val="20"/>
              </w:rPr>
              <w:t>F</w:t>
            </w:r>
            <w:r w:rsidRPr="00716BDA">
              <w:rPr>
                <w:sz w:val="20"/>
                <w:szCs w:val="20"/>
              </w:rPr>
              <w:t>=0.761</w:t>
            </w:r>
          </w:p>
        </w:tc>
      </w:tr>
      <w:tr w:rsidR="009A4730" w:rsidRPr="00D617B4" w14:paraId="7A35BDD6" w14:textId="77777777" w:rsidTr="00716BDA">
        <w:tc>
          <w:tcPr>
            <w:tcW w:w="2547" w:type="dxa"/>
          </w:tcPr>
          <w:p w14:paraId="54280982" w14:textId="77777777" w:rsidR="009A4730" w:rsidRPr="00716BDA" w:rsidRDefault="009A4730" w:rsidP="00716BDA">
            <w:pPr>
              <w:shd w:val="clear" w:color="auto" w:fill="FFFFFF"/>
              <w:rPr>
                <w:b/>
                <w:iCs/>
                <w:sz w:val="20"/>
                <w:szCs w:val="20"/>
              </w:rPr>
            </w:pPr>
            <w:r w:rsidRPr="00716BDA">
              <w:rPr>
                <w:b/>
                <w:iCs/>
                <w:sz w:val="20"/>
                <w:szCs w:val="20"/>
              </w:rPr>
              <w:t>CANTAB</w:t>
            </w:r>
          </w:p>
        </w:tc>
        <w:tc>
          <w:tcPr>
            <w:tcW w:w="1842" w:type="dxa"/>
          </w:tcPr>
          <w:p w14:paraId="1F019CFD" w14:textId="77777777" w:rsidR="009A4730" w:rsidRPr="00716BDA" w:rsidRDefault="009A4730" w:rsidP="00716BDA">
            <w:pPr>
              <w:shd w:val="clear" w:color="auto" w:fill="FFFFFF"/>
              <w:jc w:val="center"/>
              <w:rPr>
                <w:sz w:val="20"/>
                <w:szCs w:val="20"/>
              </w:rPr>
            </w:pPr>
          </w:p>
        </w:tc>
        <w:tc>
          <w:tcPr>
            <w:tcW w:w="1843" w:type="dxa"/>
          </w:tcPr>
          <w:p w14:paraId="1BF06ACE" w14:textId="77777777" w:rsidR="009A4730" w:rsidRPr="00716BDA" w:rsidRDefault="009A4730" w:rsidP="00716BDA">
            <w:pPr>
              <w:shd w:val="clear" w:color="auto" w:fill="FFFFFF"/>
              <w:jc w:val="center"/>
              <w:rPr>
                <w:sz w:val="20"/>
                <w:szCs w:val="20"/>
              </w:rPr>
            </w:pPr>
          </w:p>
        </w:tc>
        <w:tc>
          <w:tcPr>
            <w:tcW w:w="1887" w:type="dxa"/>
          </w:tcPr>
          <w:p w14:paraId="713E32F4" w14:textId="77777777" w:rsidR="009A4730" w:rsidRPr="00716BDA" w:rsidRDefault="009A4730" w:rsidP="00716BDA">
            <w:pPr>
              <w:shd w:val="clear" w:color="auto" w:fill="FFFFFF"/>
              <w:jc w:val="center"/>
              <w:rPr>
                <w:sz w:val="20"/>
                <w:szCs w:val="20"/>
              </w:rPr>
            </w:pPr>
          </w:p>
        </w:tc>
      </w:tr>
      <w:tr w:rsidR="009A4730" w:rsidRPr="00D617B4" w14:paraId="7D90087A" w14:textId="77777777" w:rsidTr="00716BDA">
        <w:tc>
          <w:tcPr>
            <w:tcW w:w="2547" w:type="dxa"/>
          </w:tcPr>
          <w:p w14:paraId="7AC0BD0A" w14:textId="77777777" w:rsidR="009A4730" w:rsidRPr="00716BDA" w:rsidRDefault="009A4730" w:rsidP="00716BDA">
            <w:pPr>
              <w:shd w:val="clear" w:color="auto" w:fill="FFFFFF"/>
              <w:rPr>
                <w:bCs/>
                <w:iCs/>
                <w:sz w:val="20"/>
                <w:szCs w:val="20"/>
              </w:rPr>
            </w:pPr>
            <w:r w:rsidRPr="00716BDA">
              <w:rPr>
                <w:iCs/>
                <w:sz w:val="20"/>
                <w:szCs w:val="20"/>
              </w:rPr>
              <w:t>SWM total error</w:t>
            </w:r>
          </w:p>
        </w:tc>
        <w:tc>
          <w:tcPr>
            <w:tcW w:w="1842" w:type="dxa"/>
          </w:tcPr>
          <w:p w14:paraId="4F21240A" w14:textId="77777777" w:rsidR="009A4730" w:rsidRPr="00716BDA" w:rsidRDefault="009A4730" w:rsidP="00716BDA">
            <w:pPr>
              <w:shd w:val="clear" w:color="auto" w:fill="FFFFFF"/>
              <w:jc w:val="center"/>
              <w:rPr>
                <w:sz w:val="20"/>
                <w:szCs w:val="20"/>
              </w:rPr>
            </w:pPr>
            <w:r w:rsidRPr="00716BDA">
              <w:rPr>
                <w:sz w:val="20"/>
                <w:szCs w:val="20"/>
              </w:rPr>
              <w:t>12.35 (12.65)</w:t>
            </w:r>
          </w:p>
          <w:p w14:paraId="457073C4" w14:textId="77777777" w:rsidR="009A4730" w:rsidRPr="00716BDA" w:rsidRDefault="009A4730" w:rsidP="00716BDA">
            <w:pPr>
              <w:shd w:val="clear" w:color="auto" w:fill="FFFFFF"/>
              <w:jc w:val="center"/>
              <w:rPr>
                <w:sz w:val="20"/>
                <w:szCs w:val="20"/>
              </w:rPr>
            </w:pPr>
          </w:p>
        </w:tc>
        <w:tc>
          <w:tcPr>
            <w:tcW w:w="1843" w:type="dxa"/>
          </w:tcPr>
          <w:p w14:paraId="061601C5" w14:textId="77777777" w:rsidR="009A4730" w:rsidRPr="00716BDA" w:rsidRDefault="009A4730" w:rsidP="00716BDA">
            <w:pPr>
              <w:shd w:val="clear" w:color="auto" w:fill="FFFFFF"/>
              <w:jc w:val="center"/>
              <w:rPr>
                <w:sz w:val="20"/>
                <w:szCs w:val="20"/>
              </w:rPr>
            </w:pPr>
            <w:r w:rsidRPr="00716BDA">
              <w:rPr>
                <w:sz w:val="20"/>
                <w:szCs w:val="20"/>
              </w:rPr>
              <w:t>10.78 (11.20)</w:t>
            </w:r>
          </w:p>
          <w:p w14:paraId="154E94B2" w14:textId="77777777" w:rsidR="009A4730" w:rsidRPr="00716BDA" w:rsidRDefault="009A4730" w:rsidP="00716BDA">
            <w:pPr>
              <w:shd w:val="clear" w:color="auto" w:fill="FFFFFF"/>
              <w:jc w:val="center"/>
              <w:rPr>
                <w:sz w:val="20"/>
                <w:szCs w:val="20"/>
              </w:rPr>
            </w:pPr>
          </w:p>
        </w:tc>
        <w:tc>
          <w:tcPr>
            <w:tcW w:w="1887" w:type="dxa"/>
          </w:tcPr>
          <w:p w14:paraId="02AB3800"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=0.613, </w:t>
            </w:r>
            <w:r w:rsidRPr="00716BDA">
              <w:rPr>
                <w:i/>
                <w:iCs/>
                <w:sz w:val="20"/>
                <w:szCs w:val="20"/>
              </w:rPr>
              <w:t>F</w:t>
            </w:r>
            <w:r w:rsidRPr="00716BDA">
              <w:rPr>
                <w:sz w:val="20"/>
                <w:szCs w:val="20"/>
              </w:rPr>
              <w:t>=0.257</w:t>
            </w:r>
          </w:p>
        </w:tc>
      </w:tr>
      <w:tr w:rsidR="009A4730" w:rsidRPr="00D617B4" w14:paraId="43EC6723" w14:textId="77777777" w:rsidTr="00716BDA">
        <w:tc>
          <w:tcPr>
            <w:tcW w:w="2547" w:type="dxa"/>
          </w:tcPr>
          <w:p w14:paraId="19A21E2C" w14:textId="77777777" w:rsidR="009A4730" w:rsidRPr="00716BDA" w:rsidRDefault="009A4730" w:rsidP="00716BDA">
            <w:pPr>
              <w:shd w:val="clear" w:color="auto" w:fill="FFFFFF"/>
              <w:rPr>
                <w:bCs/>
                <w:iCs/>
                <w:sz w:val="20"/>
                <w:szCs w:val="20"/>
              </w:rPr>
            </w:pPr>
            <w:r w:rsidRPr="00716BDA">
              <w:rPr>
                <w:bCs/>
                <w:iCs/>
                <w:sz w:val="20"/>
                <w:szCs w:val="20"/>
              </w:rPr>
              <w:t>SWM Strategy</w:t>
            </w:r>
          </w:p>
        </w:tc>
        <w:tc>
          <w:tcPr>
            <w:tcW w:w="1842" w:type="dxa"/>
          </w:tcPr>
          <w:p w14:paraId="7B6C2D1C" w14:textId="77777777" w:rsidR="009A4730" w:rsidRPr="00716BDA" w:rsidRDefault="009A4730" w:rsidP="00716BDA">
            <w:pPr>
              <w:shd w:val="clear" w:color="auto" w:fill="FFFFFF"/>
              <w:jc w:val="center"/>
              <w:rPr>
                <w:sz w:val="20"/>
                <w:szCs w:val="20"/>
              </w:rPr>
            </w:pPr>
            <w:r w:rsidRPr="00716BDA">
              <w:rPr>
                <w:sz w:val="20"/>
                <w:szCs w:val="20"/>
              </w:rPr>
              <w:t>27.45 (6.34)</w:t>
            </w:r>
          </w:p>
          <w:p w14:paraId="000B950B" w14:textId="77777777" w:rsidR="009A4730" w:rsidRPr="00716BDA" w:rsidRDefault="009A4730" w:rsidP="00716BDA">
            <w:pPr>
              <w:shd w:val="clear" w:color="auto" w:fill="FFFFFF"/>
              <w:jc w:val="center"/>
              <w:rPr>
                <w:sz w:val="20"/>
                <w:szCs w:val="20"/>
              </w:rPr>
            </w:pPr>
          </w:p>
        </w:tc>
        <w:tc>
          <w:tcPr>
            <w:tcW w:w="1843" w:type="dxa"/>
          </w:tcPr>
          <w:p w14:paraId="576182DD" w14:textId="77777777" w:rsidR="009A4730" w:rsidRPr="00716BDA" w:rsidRDefault="009A4730" w:rsidP="00716BDA">
            <w:pPr>
              <w:shd w:val="clear" w:color="auto" w:fill="FFFFFF"/>
              <w:jc w:val="center"/>
              <w:rPr>
                <w:sz w:val="20"/>
                <w:szCs w:val="20"/>
              </w:rPr>
            </w:pPr>
            <w:r w:rsidRPr="00716BDA">
              <w:rPr>
                <w:sz w:val="20"/>
                <w:szCs w:val="20"/>
              </w:rPr>
              <w:t>28.33 (5.72)</w:t>
            </w:r>
          </w:p>
          <w:p w14:paraId="52E63725" w14:textId="77777777" w:rsidR="009A4730" w:rsidRPr="00716BDA" w:rsidRDefault="009A4730" w:rsidP="00716BDA">
            <w:pPr>
              <w:shd w:val="clear" w:color="auto" w:fill="FFFFFF"/>
              <w:jc w:val="center"/>
              <w:rPr>
                <w:sz w:val="20"/>
                <w:szCs w:val="20"/>
              </w:rPr>
            </w:pPr>
          </w:p>
        </w:tc>
        <w:tc>
          <w:tcPr>
            <w:tcW w:w="1887" w:type="dxa"/>
          </w:tcPr>
          <w:p w14:paraId="64DE6C44"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=0.570, </w:t>
            </w:r>
            <w:r w:rsidRPr="00716BDA">
              <w:rPr>
                <w:i/>
                <w:iCs/>
                <w:sz w:val="20"/>
                <w:szCs w:val="20"/>
              </w:rPr>
              <w:t>F</w:t>
            </w:r>
            <w:r w:rsidRPr="00716BDA">
              <w:rPr>
                <w:sz w:val="20"/>
                <w:szCs w:val="20"/>
              </w:rPr>
              <w:t>=0.232</w:t>
            </w:r>
          </w:p>
        </w:tc>
      </w:tr>
      <w:tr w:rsidR="009A4730" w:rsidRPr="00D617B4" w14:paraId="6A39B15B" w14:textId="77777777" w:rsidTr="00716BDA">
        <w:tc>
          <w:tcPr>
            <w:tcW w:w="2547" w:type="dxa"/>
          </w:tcPr>
          <w:p w14:paraId="5F3D7BE9" w14:textId="77777777" w:rsidR="009A4730" w:rsidRPr="00716BDA" w:rsidRDefault="009A4730" w:rsidP="00716BDA">
            <w:pPr>
              <w:shd w:val="clear" w:color="auto" w:fill="FFFFFF"/>
              <w:rPr>
                <w:bCs/>
                <w:iCs/>
                <w:sz w:val="20"/>
                <w:szCs w:val="20"/>
              </w:rPr>
            </w:pPr>
            <w:r w:rsidRPr="00716BDA">
              <w:rPr>
                <w:iCs/>
                <w:sz w:val="20"/>
                <w:szCs w:val="20"/>
              </w:rPr>
              <w:t>SOC problem solved in minimum moves</w:t>
            </w:r>
          </w:p>
        </w:tc>
        <w:tc>
          <w:tcPr>
            <w:tcW w:w="1842" w:type="dxa"/>
          </w:tcPr>
          <w:p w14:paraId="54C77D73" w14:textId="77777777" w:rsidR="009A4730" w:rsidRPr="00716BDA" w:rsidRDefault="009A4730" w:rsidP="00716BDA">
            <w:pPr>
              <w:shd w:val="clear" w:color="auto" w:fill="FFFFFF"/>
              <w:jc w:val="center"/>
              <w:rPr>
                <w:sz w:val="20"/>
                <w:szCs w:val="20"/>
              </w:rPr>
            </w:pPr>
            <w:r w:rsidRPr="00716BDA">
              <w:rPr>
                <w:sz w:val="20"/>
                <w:szCs w:val="20"/>
              </w:rPr>
              <w:t>9.77 (1.73)</w:t>
            </w:r>
          </w:p>
          <w:p w14:paraId="04247C86" w14:textId="77777777" w:rsidR="009A4730" w:rsidRPr="00716BDA" w:rsidRDefault="009A4730" w:rsidP="00716BDA">
            <w:pPr>
              <w:shd w:val="clear" w:color="auto" w:fill="FFFFFF"/>
              <w:jc w:val="center"/>
              <w:rPr>
                <w:sz w:val="20"/>
                <w:szCs w:val="20"/>
              </w:rPr>
            </w:pPr>
          </w:p>
        </w:tc>
        <w:tc>
          <w:tcPr>
            <w:tcW w:w="1843" w:type="dxa"/>
          </w:tcPr>
          <w:p w14:paraId="06C9C8B2" w14:textId="77777777" w:rsidR="009A4730" w:rsidRPr="00716BDA" w:rsidRDefault="009A4730" w:rsidP="00716BDA">
            <w:pPr>
              <w:shd w:val="clear" w:color="auto" w:fill="FFFFFF"/>
              <w:jc w:val="center"/>
              <w:rPr>
                <w:sz w:val="20"/>
                <w:szCs w:val="20"/>
              </w:rPr>
            </w:pPr>
            <w:r w:rsidRPr="00716BDA">
              <w:rPr>
                <w:sz w:val="20"/>
                <w:szCs w:val="20"/>
              </w:rPr>
              <w:t>9.78 (1.90)</w:t>
            </w:r>
          </w:p>
          <w:p w14:paraId="062507FE" w14:textId="77777777" w:rsidR="009A4730" w:rsidRPr="00716BDA" w:rsidRDefault="009A4730" w:rsidP="00716BDA">
            <w:pPr>
              <w:shd w:val="clear" w:color="auto" w:fill="FFFFFF"/>
              <w:jc w:val="center"/>
              <w:rPr>
                <w:sz w:val="20"/>
                <w:szCs w:val="20"/>
              </w:rPr>
            </w:pPr>
          </w:p>
        </w:tc>
        <w:tc>
          <w:tcPr>
            <w:tcW w:w="1887" w:type="dxa"/>
          </w:tcPr>
          <w:p w14:paraId="55B05F02"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=0.989, </w:t>
            </w:r>
            <w:r w:rsidRPr="00716BDA">
              <w:rPr>
                <w:i/>
                <w:iCs/>
                <w:sz w:val="20"/>
                <w:szCs w:val="20"/>
              </w:rPr>
              <w:t>F</w:t>
            </w:r>
            <w:r w:rsidRPr="00716BDA">
              <w:rPr>
                <w:sz w:val="20"/>
                <w:szCs w:val="20"/>
              </w:rPr>
              <w:t>&lt;0.001</w:t>
            </w:r>
          </w:p>
        </w:tc>
      </w:tr>
      <w:tr w:rsidR="009A4730" w:rsidRPr="00D617B4" w14:paraId="085D9A84" w14:textId="77777777" w:rsidTr="00716BDA">
        <w:tc>
          <w:tcPr>
            <w:tcW w:w="2547" w:type="dxa"/>
          </w:tcPr>
          <w:p w14:paraId="4255E3E6" w14:textId="77777777" w:rsidR="009A4730" w:rsidRPr="00716BDA" w:rsidRDefault="009A4730" w:rsidP="00716BDA">
            <w:pPr>
              <w:shd w:val="clear" w:color="auto" w:fill="FFFFFF"/>
              <w:rPr>
                <w:bCs/>
                <w:iCs/>
                <w:sz w:val="20"/>
                <w:szCs w:val="20"/>
              </w:rPr>
            </w:pPr>
            <w:r w:rsidRPr="00716BDA">
              <w:rPr>
                <w:iCs/>
                <w:sz w:val="20"/>
                <w:szCs w:val="20"/>
              </w:rPr>
              <w:t>SOC initial thinking time</w:t>
            </w:r>
          </w:p>
        </w:tc>
        <w:tc>
          <w:tcPr>
            <w:tcW w:w="1842" w:type="dxa"/>
          </w:tcPr>
          <w:p w14:paraId="7414C159" w14:textId="77777777" w:rsidR="009A4730" w:rsidRPr="00716BDA" w:rsidRDefault="009A4730" w:rsidP="00716BDA">
            <w:pPr>
              <w:shd w:val="clear" w:color="auto" w:fill="FFFFFF"/>
              <w:jc w:val="center"/>
              <w:rPr>
                <w:sz w:val="20"/>
                <w:szCs w:val="20"/>
              </w:rPr>
            </w:pPr>
            <w:r w:rsidRPr="00716BDA">
              <w:rPr>
                <w:sz w:val="20"/>
                <w:szCs w:val="20"/>
              </w:rPr>
              <w:t>10245.34 (6571.14)</w:t>
            </w:r>
          </w:p>
        </w:tc>
        <w:tc>
          <w:tcPr>
            <w:tcW w:w="1843" w:type="dxa"/>
          </w:tcPr>
          <w:p w14:paraId="5B4A6885" w14:textId="77777777" w:rsidR="009A4730" w:rsidRPr="00716BDA" w:rsidRDefault="009A4730" w:rsidP="00716BDA">
            <w:pPr>
              <w:shd w:val="clear" w:color="auto" w:fill="FFFFFF"/>
              <w:jc w:val="center"/>
              <w:rPr>
                <w:sz w:val="20"/>
                <w:szCs w:val="20"/>
              </w:rPr>
            </w:pPr>
            <w:r w:rsidRPr="00716BDA">
              <w:rPr>
                <w:sz w:val="20"/>
                <w:szCs w:val="20"/>
              </w:rPr>
              <w:t>7362.54 (2959.58)</w:t>
            </w:r>
          </w:p>
        </w:tc>
        <w:tc>
          <w:tcPr>
            <w:tcW w:w="1887" w:type="dxa"/>
          </w:tcPr>
          <w:p w14:paraId="50989374"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=0.667, </w:t>
            </w:r>
            <w:r w:rsidRPr="00716BDA">
              <w:rPr>
                <w:i/>
                <w:iCs/>
                <w:sz w:val="20"/>
                <w:szCs w:val="20"/>
              </w:rPr>
              <w:t>F</w:t>
            </w:r>
            <w:r w:rsidRPr="00716BDA">
              <w:rPr>
                <w:sz w:val="20"/>
                <w:szCs w:val="20"/>
              </w:rPr>
              <w:t>=3.384</w:t>
            </w:r>
          </w:p>
        </w:tc>
      </w:tr>
      <w:tr w:rsidR="009A4730" w:rsidRPr="00D617B4" w14:paraId="6C32A2F2" w14:textId="77777777" w:rsidTr="00716BDA">
        <w:tc>
          <w:tcPr>
            <w:tcW w:w="2547" w:type="dxa"/>
          </w:tcPr>
          <w:p w14:paraId="09FD7779" w14:textId="77777777" w:rsidR="009A4730" w:rsidRPr="00716BDA" w:rsidRDefault="009A4730" w:rsidP="00716BDA">
            <w:pPr>
              <w:shd w:val="clear" w:color="auto" w:fill="FFFFFF"/>
              <w:rPr>
                <w:bCs/>
                <w:iCs/>
                <w:sz w:val="20"/>
                <w:szCs w:val="20"/>
              </w:rPr>
            </w:pPr>
            <w:r w:rsidRPr="00716BDA">
              <w:rPr>
                <w:iCs/>
                <w:sz w:val="20"/>
                <w:szCs w:val="20"/>
              </w:rPr>
              <w:t>RVP_A</w:t>
            </w:r>
          </w:p>
        </w:tc>
        <w:tc>
          <w:tcPr>
            <w:tcW w:w="1842" w:type="dxa"/>
          </w:tcPr>
          <w:p w14:paraId="5BDD154D" w14:textId="77777777" w:rsidR="009A4730" w:rsidRPr="00716BDA" w:rsidRDefault="009A4730" w:rsidP="00716BDA">
            <w:pPr>
              <w:shd w:val="clear" w:color="auto" w:fill="FFFFFF"/>
              <w:jc w:val="center"/>
              <w:rPr>
                <w:sz w:val="20"/>
                <w:szCs w:val="20"/>
              </w:rPr>
            </w:pPr>
            <w:r w:rsidRPr="00716BDA">
              <w:rPr>
                <w:sz w:val="20"/>
                <w:szCs w:val="20"/>
              </w:rPr>
              <w:t>0.916 (0.059)</w:t>
            </w:r>
          </w:p>
        </w:tc>
        <w:tc>
          <w:tcPr>
            <w:tcW w:w="1843" w:type="dxa"/>
          </w:tcPr>
          <w:p w14:paraId="4B871B97" w14:textId="77777777" w:rsidR="009A4730" w:rsidRPr="00716BDA" w:rsidRDefault="009A4730" w:rsidP="00716BDA">
            <w:pPr>
              <w:shd w:val="clear" w:color="auto" w:fill="FFFFFF"/>
              <w:jc w:val="center"/>
              <w:rPr>
                <w:sz w:val="20"/>
                <w:szCs w:val="20"/>
              </w:rPr>
            </w:pPr>
            <w:r w:rsidRPr="00716BDA">
              <w:rPr>
                <w:sz w:val="20"/>
                <w:szCs w:val="20"/>
              </w:rPr>
              <w:t>0.917 (0.052)</w:t>
            </w:r>
          </w:p>
        </w:tc>
        <w:tc>
          <w:tcPr>
            <w:tcW w:w="1887" w:type="dxa"/>
          </w:tcPr>
          <w:p w14:paraId="193A49EC"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=0.949, </w:t>
            </w:r>
            <w:r w:rsidRPr="00716BDA">
              <w:rPr>
                <w:i/>
                <w:iCs/>
                <w:sz w:val="20"/>
                <w:szCs w:val="20"/>
              </w:rPr>
              <w:t>F</w:t>
            </w:r>
            <w:r w:rsidRPr="00716BDA">
              <w:rPr>
                <w:sz w:val="20"/>
                <w:szCs w:val="20"/>
              </w:rPr>
              <w:t>=0.004</w:t>
            </w:r>
          </w:p>
        </w:tc>
      </w:tr>
      <w:tr w:rsidR="009A4730" w:rsidRPr="00D617B4" w14:paraId="7F6664ED" w14:textId="77777777" w:rsidTr="00716BDA">
        <w:tc>
          <w:tcPr>
            <w:tcW w:w="2547" w:type="dxa"/>
          </w:tcPr>
          <w:p w14:paraId="6DA2114D" w14:textId="77777777" w:rsidR="009A4730" w:rsidRPr="00716BDA" w:rsidRDefault="009A4730" w:rsidP="00716BDA">
            <w:pPr>
              <w:shd w:val="clear" w:color="auto" w:fill="FFFFFF"/>
              <w:rPr>
                <w:bCs/>
                <w:iCs/>
                <w:sz w:val="20"/>
                <w:szCs w:val="20"/>
              </w:rPr>
            </w:pPr>
            <w:proofErr w:type="spellStart"/>
            <w:r w:rsidRPr="00716BDA">
              <w:rPr>
                <w:iCs/>
                <w:sz w:val="20"/>
                <w:szCs w:val="20"/>
              </w:rPr>
              <w:t>RTI</w:t>
            </w:r>
            <w:r w:rsidRPr="00716BDA">
              <w:rPr>
                <w:iCs/>
                <w:sz w:val="20"/>
                <w:szCs w:val="20"/>
                <w:vertAlign w:val="superscript"/>
              </w:rPr>
              <w:t>a</w:t>
            </w:r>
            <w:proofErr w:type="spellEnd"/>
          </w:p>
        </w:tc>
        <w:tc>
          <w:tcPr>
            <w:tcW w:w="1842" w:type="dxa"/>
          </w:tcPr>
          <w:p w14:paraId="7D7EACAE" w14:textId="77777777" w:rsidR="009A4730" w:rsidRPr="00716BDA" w:rsidRDefault="009A4730" w:rsidP="00716BDA">
            <w:pPr>
              <w:shd w:val="clear" w:color="auto" w:fill="FFFFFF"/>
              <w:jc w:val="center"/>
              <w:rPr>
                <w:sz w:val="20"/>
                <w:szCs w:val="20"/>
              </w:rPr>
            </w:pPr>
            <w:r w:rsidRPr="00716BDA">
              <w:rPr>
                <w:sz w:val="20"/>
                <w:szCs w:val="20"/>
              </w:rPr>
              <w:t>N/A</w:t>
            </w:r>
          </w:p>
        </w:tc>
        <w:tc>
          <w:tcPr>
            <w:tcW w:w="1843" w:type="dxa"/>
          </w:tcPr>
          <w:p w14:paraId="7FB39D32" w14:textId="77777777" w:rsidR="009A4730" w:rsidRPr="00716BDA" w:rsidRDefault="009A4730" w:rsidP="00716BDA">
            <w:pPr>
              <w:spacing w:line="259" w:lineRule="auto"/>
              <w:jc w:val="center"/>
              <w:rPr>
                <w:sz w:val="20"/>
                <w:szCs w:val="20"/>
              </w:rPr>
            </w:pPr>
            <w:r w:rsidRPr="00716BDA">
              <w:rPr>
                <w:sz w:val="20"/>
                <w:szCs w:val="20"/>
              </w:rPr>
              <w:t>N/A</w:t>
            </w:r>
          </w:p>
        </w:tc>
        <w:tc>
          <w:tcPr>
            <w:tcW w:w="1887" w:type="dxa"/>
          </w:tcPr>
          <w:p w14:paraId="28A28F76"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=0.754, </w:t>
            </w:r>
            <w:r w:rsidRPr="00716BDA">
              <w:rPr>
                <w:i/>
                <w:iCs/>
                <w:sz w:val="20"/>
                <w:szCs w:val="20"/>
              </w:rPr>
              <w:t>F</w:t>
            </w:r>
            <w:r w:rsidRPr="00716BDA">
              <w:rPr>
                <w:sz w:val="20"/>
                <w:szCs w:val="20"/>
              </w:rPr>
              <w:t>=0.098</w:t>
            </w:r>
          </w:p>
        </w:tc>
      </w:tr>
      <w:tr w:rsidR="009A4730" w:rsidRPr="00D617B4" w14:paraId="2944947F" w14:textId="77777777" w:rsidTr="00716BDA">
        <w:tc>
          <w:tcPr>
            <w:tcW w:w="2547" w:type="dxa"/>
          </w:tcPr>
          <w:p w14:paraId="163AC7BE" w14:textId="77777777" w:rsidR="009A4730" w:rsidRPr="00716BDA" w:rsidRDefault="009A4730" w:rsidP="00716BDA">
            <w:pPr>
              <w:shd w:val="clear" w:color="auto" w:fill="FFFFFF"/>
              <w:rPr>
                <w:bCs/>
                <w:iCs/>
                <w:sz w:val="20"/>
                <w:szCs w:val="20"/>
              </w:rPr>
            </w:pPr>
            <w:r w:rsidRPr="00716BDA">
              <w:rPr>
                <w:iCs/>
                <w:sz w:val="20"/>
                <w:szCs w:val="20"/>
              </w:rPr>
              <w:t>IED total errors adjusted</w:t>
            </w:r>
          </w:p>
        </w:tc>
        <w:tc>
          <w:tcPr>
            <w:tcW w:w="1842" w:type="dxa"/>
          </w:tcPr>
          <w:p w14:paraId="680D9060" w14:textId="77777777" w:rsidR="009A4730" w:rsidRPr="00716BDA" w:rsidRDefault="009A4730" w:rsidP="00716BDA">
            <w:pPr>
              <w:shd w:val="clear" w:color="auto" w:fill="FFFFFF"/>
              <w:jc w:val="center"/>
              <w:rPr>
                <w:sz w:val="20"/>
                <w:szCs w:val="20"/>
              </w:rPr>
            </w:pPr>
            <w:r w:rsidRPr="00716BDA">
              <w:rPr>
                <w:sz w:val="20"/>
                <w:szCs w:val="20"/>
              </w:rPr>
              <w:t>19.21 (17.65)</w:t>
            </w:r>
          </w:p>
        </w:tc>
        <w:tc>
          <w:tcPr>
            <w:tcW w:w="1843" w:type="dxa"/>
          </w:tcPr>
          <w:p w14:paraId="6B68903C" w14:textId="77777777" w:rsidR="009A4730" w:rsidRPr="00716BDA" w:rsidRDefault="009A4730" w:rsidP="00716BDA">
            <w:pPr>
              <w:shd w:val="clear" w:color="auto" w:fill="FFFFFF"/>
              <w:jc w:val="center"/>
              <w:rPr>
                <w:sz w:val="20"/>
                <w:szCs w:val="20"/>
              </w:rPr>
            </w:pPr>
            <w:r w:rsidRPr="00716BDA">
              <w:rPr>
                <w:sz w:val="20"/>
                <w:szCs w:val="20"/>
              </w:rPr>
              <w:t>20.28 (16.49)</w:t>
            </w:r>
          </w:p>
        </w:tc>
        <w:tc>
          <w:tcPr>
            <w:tcW w:w="1887" w:type="dxa"/>
          </w:tcPr>
          <w:p w14:paraId="25723413"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=0.807, </w:t>
            </w:r>
            <w:r w:rsidRPr="00716BDA">
              <w:rPr>
                <w:i/>
                <w:iCs/>
                <w:sz w:val="20"/>
                <w:szCs w:val="20"/>
              </w:rPr>
              <w:t>F</w:t>
            </w:r>
            <w:r w:rsidRPr="00716BDA">
              <w:rPr>
                <w:sz w:val="20"/>
                <w:szCs w:val="20"/>
              </w:rPr>
              <w:t>=0.060</w:t>
            </w:r>
          </w:p>
        </w:tc>
      </w:tr>
      <w:tr w:rsidR="009A4730" w:rsidRPr="00D617B4" w14:paraId="56855330" w14:textId="77777777" w:rsidTr="00716BDA">
        <w:tc>
          <w:tcPr>
            <w:tcW w:w="2547" w:type="dxa"/>
          </w:tcPr>
          <w:p w14:paraId="47018C93" w14:textId="77777777" w:rsidR="009A4730" w:rsidRPr="00716BDA" w:rsidRDefault="009A4730" w:rsidP="00716BDA">
            <w:pPr>
              <w:shd w:val="clear" w:color="auto" w:fill="FFFFFF"/>
              <w:rPr>
                <w:bCs/>
                <w:iCs/>
                <w:sz w:val="20"/>
                <w:szCs w:val="20"/>
              </w:rPr>
            </w:pPr>
            <w:r w:rsidRPr="00716BDA">
              <w:rPr>
                <w:iCs/>
                <w:sz w:val="20"/>
                <w:szCs w:val="20"/>
              </w:rPr>
              <w:t>IED latency</w:t>
            </w:r>
          </w:p>
        </w:tc>
        <w:tc>
          <w:tcPr>
            <w:tcW w:w="1842" w:type="dxa"/>
          </w:tcPr>
          <w:p w14:paraId="217AC556" w14:textId="77777777" w:rsidR="009A4730" w:rsidRPr="00716BDA" w:rsidRDefault="009A4730" w:rsidP="00716BDA">
            <w:pPr>
              <w:shd w:val="clear" w:color="auto" w:fill="FFFFFF"/>
              <w:jc w:val="center"/>
              <w:rPr>
                <w:sz w:val="20"/>
                <w:szCs w:val="20"/>
              </w:rPr>
            </w:pPr>
            <w:r w:rsidRPr="00716BDA">
              <w:rPr>
                <w:sz w:val="20"/>
                <w:szCs w:val="20"/>
              </w:rPr>
              <w:t>15459.56</w:t>
            </w:r>
          </w:p>
          <w:p w14:paraId="7DF1373A" w14:textId="77777777" w:rsidR="009A4730" w:rsidRPr="00716BDA" w:rsidRDefault="009A4730" w:rsidP="00716BDA">
            <w:pPr>
              <w:shd w:val="clear" w:color="auto" w:fill="FFFFFF"/>
              <w:jc w:val="center"/>
              <w:rPr>
                <w:sz w:val="20"/>
                <w:szCs w:val="20"/>
              </w:rPr>
            </w:pPr>
            <w:r w:rsidRPr="00716BDA">
              <w:rPr>
                <w:sz w:val="20"/>
                <w:szCs w:val="20"/>
              </w:rPr>
              <w:t>(41465.70)</w:t>
            </w:r>
          </w:p>
        </w:tc>
        <w:tc>
          <w:tcPr>
            <w:tcW w:w="1843" w:type="dxa"/>
          </w:tcPr>
          <w:p w14:paraId="29E094BF" w14:textId="77777777" w:rsidR="009A4730" w:rsidRPr="00716BDA" w:rsidRDefault="009A4730" w:rsidP="00716BDA">
            <w:pPr>
              <w:shd w:val="clear" w:color="auto" w:fill="FFFFFF"/>
              <w:jc w:val="center"/>
              <w:rPr>
                <w:sz w:val="20"/>
                <w:szCs w:val="20"/>
              </w:rPr>
            </w:pPr>
            <w:r w:rsidRPr="00716BDA">
              <w:rPr>
                <w:sz w:val="20"/>
                <w:szCs w:val="20"/>
              </w:rPr>
              <w:t>139464.72</w:t>
            </w:r>
          </w:p>
          <w:p w14:paraId="27B733C9" w14:textId="77777777" w:rsidR="009A4730" w:rsidRPr="00716BDA" w:rsidRDefault="009A4730" w:rsidP="00716BDA">
            <w:pPr>
              <w:shd w:val="clear" w:color="auto" w:fill="FFFFFF"/>
              <w:jc w:val="center"/>
              <w:rPr>
                <w:sz w:val="20"/>
                <w:szCs w:val="20"/>
              </w:rPr>
            </w:pPr>
            <w:r w:rsidRPr="00716BDA">
              <w:rPr>
                <w:sz w:val="20"/>
                <w:szCs w:val="20"/>
              </w:rPr>
              <w:t>(30806.79)</w:t>
            </w:r>
          </w:p>
        </w:tc>
        <w:tc>
          <w:tcPr>
            <w:tcW w:w="1887" w:type="dxa"/>
          </w:tcPr>
          <w:p w14:paraId="3A4A7C0A"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=0.134, </w:t>
            </w:r>
            <w:r w:rsidRPr="00716BDA">
              <w:rPr>
                <w:i/>
                <w:iCs/>
                <w:sz w:val="20"/>
                <w:szCs w:val="20"/>
              </w:rPr>
              <w:t>F</w:t>
            </w:r>
            <w:r w:rsidRPr="00716BDA">
              <w:rPr>
                <w:sz w:val="20"/>
                <w:szCs w:val="20"/>
              </w:rPr>
              <w:t>=2.267</w:t>
            </w:r>
          </w:p>
        </w:tc>
      </w:tr>
      <w:tr w:rsidR="009A4730" w:rsidRPr="00D617B4" w14:paraId="1D25FCDB" w14:textId="77777777" w:rsidTr="00716BDA">
        <w:tc>
          <w:tcPr>
            <w:tcW w:w="2547" w:type="dxa"/>
          </w:tcPr>
          <w:p w14:paraId="53D5442F" w14:textId="77777777" w:rsidR="009A4730" w:rsidRPr="00716BDA" w:rsidRDefault="009A4730" w:rsidP="00716BDA">
            <w:pPr>
              <w:shd w:val="clear" w:color="auto" w:fill="FFFFFF"/>
              <w:rPr>
                <w:bCs/>
                <w:iCs/>
                <w:sz w:val="20"/>
                <w:szCs w:val="20"/>
              </w:rPr>
            </w:pPr>
            <w:r w:rsidRPr="00716BDA">
              <w:rPr>
                <w:iCs/>
                <w:sz w:val="20"/>
                <w:szCs w:val="20"/>
              </w:rPr>
              <w:t>IED EDS errors</w:t>
            </w:r>
          </w:p>
        </w:tc>
        <w:tc>
          <w:tcPr>
            <w:tcW w:w="1842" w:type="dxa"/>
          </w:tcPr>
          <w:p w14:paraId="37A5A08F" w14:textId="77777777" w:rsidR="009A4730" w:rsidRPr="00716BDA" w:rsidRDefault="009A4730" w:rsidP="00716BDA">
            <w:pPr>
              <w:shd w:val="clear" w:color="auto" w:fill="FFFFFF"/>
              <w:jc w:val="center"/>
              <w:rPr>
                <w:sz w:val="20"/>
                <w:szCs w:val="20"/>
              </w:rPr>
            </w:pPr>
            <w:r w:rsidRPr="00716BDA">
              <w:rPr>
                <w:sz w:val="20"/>
                <w:szCs w:val="20"/>
              </w:rPr>
              <w:t>7.66 (9.44)</w:t>
            </w:r>
          </w:p>
        </w:tc>
        <w:tc>
          <w:tcPr>
            <w:tcW w:w="1843" w:type="dxa"/>
          </w:tcPr>
          <w:p w14:paraId="680D4D7C" w14:textId="77777777" w:rsidR="009A4730" w:rsidRPr="00716BDA" w:rsidRDefault="009A4730" w:rsidP="00716BDA">
            <w:pPr>
              <w:shd w:val="clear" w:color="auto" w:fill="FFFFFF"/>
              <w:jc w:val="center"/>
              <w:rPr>
                <w:sz w:val="20"/>
                <w:szCs w:val="20"/>
              </w:rPr>
            </w:pPr>
            <w:r w:rsidRPr="00716BDA">
              <w:rPr>
                <w:sz w:val="20"/>
                <w:szCs w:val="20"/>
              </w:rPr>
              <w:t>8.44 (8.96)</w:t>
            </w:r>
          </w:p>
        </w:tc>
        <w:tc>
          <w:tcPr>
            <w:tcW w:w="1887" w:type="dxa"/>
          </w:tcPr>
          <w:p w14:paraId="61628F72" w14:textId="77777777" w:rsidR="009A4730" w:rsidRPr="00716BDA" w:rsidRDefault="009A4730" w:rsidP="00716BDA">
            <w:pPr>
              <w:shd w:val="clear" w:color="auto" w:fill="FFFFFF"/>
              <w:jc w:val="center"/>
              <w:rPr>
                <w:sz w:val="20"/>
                <w:szCs w:val="20"/>
              </w:rPr>
            </w:pPr>
            <w:r w:rsidRPr="00716BDA">
              <w:rPr>
                <w:i/>
                <w:iCs/>
                <w:sz w:val="20"/>
                <w:szCs w:val="20"/>
              </w:rPr>
              <w:t>p</w:t>
            </w:r>
            <w:r w:rsidRPr="00716BDA">
              <w:rPr>
                <w:sz w:val="20"/>
                <w:szCs w:val="20"/>
              </w:rPr>
              <w:t xml:space="preserve">=0.737, </w:t>
            </w:r>
            <w:r w:rsidRPr="00716BDA">
              <w:rPr>
                <w:i/>
                <w:iCs/>
                <w:sz w:val="20"/>
                <w:szCs w:val="20"/>
              </w:rPr>
              <w:t>F</w:t>
            </w:r>
            <w:r w:rsidRPr="00716BDA">
              <w:rPr>
                <w:sz w:val="20"/>
                <w:szCs w:val="20"/>
              </w:rPr>
              <w:t>=0.113</w:t>
            </w:r>
          </w:p>
        </w:tc>
      </w:tr>
    </w:tbl>
    <w:p w14:paraId="6BD372D6" w14:textId="7AE24229" w:rsidR="00716BDA" w:rsidRPr="00716BDA" w:rsidRDefault="00716BDA" w:rsidP="00716BDA">
      <w:pPr>
        <w:spacing w:line="360" w:lineRule="auto"/>
        <w:rPr>
          <w:b/>
          <w:bCs/>
        </w:rPr>
      </w:pPr>
      <w:r w:rsidRPr="00083D2F">
        <w:rPr>
          <w:b/>
          <w:bCs/>
        </w:rPr>
        <w:t>Supplementary Table S</w:t>
      </w:r>
      <w:r>
        <w:rPr>
          <w:b/>
          <w:bCs/>
        </w:rPr>
        <w:t xml:space="preserve">2 </w:t>
      </w:r>
      <w:r w:rsidRPr="00716BDA">
        <w:rPr>
          <w:b/>
          <w:bCs/>
        </w:rPr>
        <w:t>Co</w:t>
      </w:r>
      <w:r>
        <w:rPr>
          <w:b/>
          <w:bCs/>
        </w:rPr>
        <w:t xml:space="preserve">mparison UHR-individuals with transition to non-transitioners on cognitive functions </w:t>
      </w:r>
    </w:p>
    <w:p w14:paraId="0D0211B6" w14:textId="77777777" w:rsidR="00C85255" w:rsidRDefault="00C85255" w:rsidP="00C85255">
      <w:pPr>
        <w:autoSpaceDE w:val="0"/>
        <w:autoSpaceDN w:val="0"/>
        <w:adjustRightInd w:val="0"/>
        <w:spacing w:after="0" w:line="360" w:lineRule="auto"/>
        <w:rPr>
          <w:b/>
          <w:bCs/>
          <w:sz w:val="24"/>
          <w:szCs w:val="24"/>
        </w:rPr>
      </w:pPr>
    </w:p>
    <w:p w14:paraId="54F65971" w14:textId="77777777" w:rsidR="00C85255" w:rsidRDefault="00C85255" w:rsidP="00C85255">
      <w:pPr>
        <w:autoSpaceDE w:val="0"/>
        <w:autoSpaceDN w:val="0"/>
        <w:adjustRightInd w:val="0"/>
        <w:spacing w:after="0" w:line="360" w:lineRule="auto"/>
        <w:rPr>
          <w:b/>
          <w:bCs/>
          <w:sz w:val="24"/>
          <w:szCs w:val="24"/>
        </w:rPr>
      </w:pPr>
    </w:p>
    <w:p w14:paraId="5BC351A8" w14:textId="77777777" w:rsidR="00C85255" w:rsidRDefault="00C85255" w:rsidP="00C85255">
      <w:pPr>
        <w:autoSpaceDE w:val="0"/>
        <w:autoSpaceDN w:val="0"/>
        <w:adjustRightInd w:val="0"/>
        <w:spacing w:after="0" w:line="360" w:lineRule="auto"/>
        <w:rPr>
          <w:b/>
          <w:bCs/>
          <w:sz w:val="24"/>
          <w:szCs w:val="24"/>
        </w:rPr>
      </w:pPr>
    </w:p>
    <w:p w14:paraId="4B887DFE" w14:textId="77777777" w:rsidR="00C85255" w:rsidRDefault="00C85255" w:rsidP="00C85255">
      <w:pPr>
        <w:autoSpaceDE w:val="0"/>
        <w:autoSpaceDN w:val="0"/>
        <w:adjustRightInd w:val="0"/>
        <w:spacing w:after="0" w:line="360" w:lineRule="auto"/>
        <w:rPr>
          <w:b/>
          <w:bCs/>
          <w:sz w:val="24"/>
          <w:szCs w:val="24"/>
        </w:rPr>
      </w:pPr>
    </w:p>
    <w:p w14:paraId="62463F9E" w14:textId="77777777" w:rsidR="00C85255" w:rsidRDefault="00C85255" w:rsidP="00C85255">
      <w:pPr>
        <w:autoSpaceDE w:val="0"/>
        <w:autoSpaceDN w:val="0"/>
        <w:adjustRightInd w:val="0"/>
        <w:spacing w:after="0" w:line="360" w:lineRule="auto"/>
        <w:rPr>
          <w:b/>
          <w:bCs/>
          <w:sz w:val="24"/>
          <w:szCs w:val="24"/>
        </w:rPr>
      </w:pPr>
    </w:p>
    <w:p w14:paraId="6C3D1EBE" w14:textId="77777777" w:rsidR="00C85255" w:rsidRDefault="00C85255" w:rsidP="00C85255">
      <w:pPr>
        <w:autoSpaceDE w:val="0"/>
        <w:autoSpaceDN w:val="0"/>
        <w:adjustRightInd w:val="0"/>
        <w:spacing w:after="0" w:line="360" w:lineRule="auto"/>
        <w:rPr>
          <w:b/>
          <w:bCs/>
          <w:sz w:val="24"/>
          <w:szCs w:val="24"/>
        </w:rPr>
      </w:pPr>
    </w:p>
    <w:p w14:paraId="1959BE35" w14:textId="77777777" w:rsidR="00C85255" w:rsidRDefault="00C85255" w:rsidP="00C85255">
      <w:pPr>
        <w:autoSpaceDE w:val="0"/>
        <w:autoSpaceDN w:val="0"/>
        <w:adjustRightInd w:val="0"/>
        <w:spacing w:after="0" w:line="360" w:lineRule="auto"/>
        <w:rPr>
          <w:b/>
          <w:bCs/>
          <w:sz w:val="24"/>
          <w:szCs w:val="24"/>
        </w:rPr>
      </w:pPr>
    </w:p>
    <w:p w14:paraId="6CC81916" w14:textId="77777777" w:rsidR="00C85255" w:rsidRDefault="00C85255" w:rsidP="00C85255">
      <w:pPr>
        <w:autoSpaceDE w:val="0"/>
        <w:autoSpaceDN w:val="0"/>
        <w:adjustRightInd w:val="0"/>
        <w:spacing w:after="0" w:line="360" w:lineRule="auto"/>
        <w:rPr>
          <w:b/>
          <w:bCs/>
          <w:sz w:val="24"/>
          <w:szCs w:val="24"/>
        </w:rPr>
      </w:pPr>
    </w:p>
    <w:p w14:paraId="234EEA24" w14:textId="77777777" w:rsidR="00C85255" w:rsidRDefault="00C85255" w:rsidP="00C85255">
      <w:pPr>
        <w:autoSpaceDE w:val="0"/>
        <w:autoSpaceDN w:val="0"/>
        <w:adjustRightInd w:val="0"/>
        <w:spacing w:after="0" w:line="360" w:lineRule="auto"/>
        <w:rPr>
          <w:b/>
          <w:bCs/>
          <w:sz w:val="24"/>
          <w:szCs w:val="24"/>
        </w:rPr>
      </w:pPr>
    </w:p>
    <w:p w14:paraId="348ECDA5" w14:textId="77777777" w:rsidR="00C85255" w:rsidRDefault="00C85255" w:rsidP="00C85255">
      <w:pPr>
        <w:autoSpaceDE w:val="0"/>
        <w:autoSpaceDN w:val="0"/>
        <w:adjustRightInd w:val="0"/>
        <w:spacing w:after="0" w:line="360" w:lineRule="auto"/>
        <w:rPr>
          <w:b/>
          <w:bCs/>
          <w:sz w:val="24"/>
          <w:szCs w:val="24"/>
        </w:rPr>
      </w:pPr>
    </w:p>
    <w:p w14:paraId="2C976ECF" w14:textId="77777777" w:rsidR="00C85255" w:rsidRDefault="00C85255" w:rsidP="00C85255">
      <w:pPr>
        <w:autoSpaceDE w:val="0"/>
        <w:autoSpaceDN w:val="0"/>
        <w:adjustRightInd w:val="0"/>
        <w:spacing w:after="0" w:line="360" w:lineRule="auto"/>
        <w:rPr>
          <w:b/>
          <w:bCs/>
          <w:sz w:val="24"/>
          <w:szCs w:val="24"/>
        </w:rPr>
      </w:pPr>
    </w:p>
    <w:p w14:paraId="5BF7AC0A" w14:textId="77777777" w:rsidR="00C85255" w:rsidRDefault="00C85255" w:rsidP="00C85255">
      <w:pPr>
        <w:autoSpaceDE w:val="0"/>
        <w:autoSpaceDN w:val="0"/>
        <w:adjustRightInd w:val="0"/>
        <w:spacing w:after="0" w:line="360" w:lineRule="auto"/>
        <w:rPr>
          <w:b/>
          <w:bCs/>
          <w:sz w:val="24"/>
          <w:szCs w:val="24"/>
        </w:rPr>
      </w:pPr>
    </w:p>
    <w:p w14:paraId="7616DC71" w14:textId="77777777" w:rsidR="00C85255" w:rsidRDefault="00C85255" w:rsidP="00C85255">
      <w:pPr>
        <w:autoSpaceDE w:val="0"/>
        <w:autoSpaceDN w:val="0"/>
        <w:adjustRightInd w:val="0"/>
        <w:spacing w:after="0" w:line="360" w:lineRule="auto"/>
        <w:rPr>
          <w:b/>
          <w:bCs/>
          <w:sz w:val="24"/>
          <w:szCs w:val="24"/>
        </w:rPr>
      </w:pPr>
    </w:p>
    <w:p w14:paraId="223C84E2" w14:textId="77777777" w:rsidR="00C85255" w:rsidRDefault="00C85255" w:rsidP="00C85255">
      <w:pPr>
        <w:autoSpaceDE w:val="0"/>
        <w:autoSpaceDN w:val="0"/>
        <w:adjustRightInd w:val="0"/>
        <w:spacing w:after="0" w:line="360" w:lineRule="auto"/>
        <w:rPr>
          <w:b/>
          <w:bCs/>
          <w:sz w:val="24"/>
          <w:szCs w:val="24"/>
        </w:rPr>
      </w:pPr>
    </w:p>
    <w:p w14:paraId="34722EE8" w14:textId="77777777" w:rsidR="00C85255" w:rsidRDefault="00C85255" w:rsidP="00C85255">
      <w:pPr>
        <w:autoSpaceDE w:val="0"/>
        <w:autoSpaceDN w:val="0"/>
        <w:adjustRightInd w:val="0"/>
        <w:spacing w:after="0" w:line="360" w:lineRule="auto"/>
        <w:rPr>
          <w:b/>
          <w:bCs/>
          <w:sz w:val="24"/>
          <w:szCs w:val="24"/>
        </w:rPr>
      </w:pPr>
    </w:p>
    <w:p w14:paraId="2E735CDB" w14:textId="77777777" w:rsidR="00C85255" w:rsidRDefault="00C85255" w:rsidP="00C85255">
      <w:pPr>
        <w:autoSpaceDE w:val="0"/>
        <w:autoSpaceDN w:val="0"/>
        <w:adjustRightInd w:val="0"/>
        <w:spacing w:after="0" w:line="360" w:lineRule="auto"/>
        <w:rPr>
          <w:b/>
          <w:bCs/>
          <w:sz w:val="24"/>
          <w:szCs w:val="24"/>
        </w:rPr>
      </w:pPr>
    </w:p>
    <w:p w14:paraId="05F3FF81" w14:textId="77777777" w:rsidR="00C85255" w:rsidRDefault="00C85255" w:rsidP="00C85255">
      <w:pPr>
        <w:autoSpaceDE w:val="0"/>
        <w:autoSpaceDN w:val="0"/>
        <w:adjustRightInd w:val="0"/>
        <w:spacing w:after="0" w:line="360" w:lineRule="auto"/>
        <w:rPr>
          <w:b/>
          <w:bCs/>
          <w:sz w:val="24"/>
          <w:szCs w:val="24"/>
        </w:rPr>
      </w:pPr>
    </w:p>
    <w:p w14:paraId="45F42F19" w14:textId="77777777" w:rsidR="00C85255" w:rsidRDefault="00C85255" w:rsidP="00C85255">
      <w:pPr>
        <w:autoSpaceDE w:val="0"/>
        <w:autoSpaceDN w:val="0"/>
        <w:adjustRightInd w:val="0"/>
        <w:spacing w:after="0" w:line="360" w:lineRule="auto"/>
        <w:rPr>
          <w:b/>
          <w:bCs/>
          <w:sz w:val="24"/>
          <w:szCs w:val="24"/>
        </w:rPr>
      </w:pPr>
    </w:p>
    <w:p w14:paraId="2CD6FB87" w14:textId="77777777" w:rsidR="00C85255" w:rsidRDefault="00C85255" w:rsidP="00C85255">
      <w:pPr>
        <w:autoSpaceDE w:val="0"/>
        <w:autoSpaceDN w:val="0"/>
        <w:adjustRightInd w:val="0"/>
        <w:spacing w:after="0" w:line="360" w:lineRule="auto"/>
        <w:rPr>
          <w:b/>
          <w:bCs/>
          <w:sz w:val="24"/>
          <w:szCs w:val="24"/>
        </w:rPr>
      </w:pPr>
    </w:p>
    <w:p w14:paraId="0C45B4D1" w14:textId="77777777" w:rsidR="00C85255" w:rsidRDefault="00C85255" w:rsidP="00C85255">
      <w:pPr>
        <w:autoSpaceDE w:val="0"/>
        <w:autoSpaceDN w:val="0"/>
        <w:adjustRightInd w:val="0"/>
        <w:spacing w:after="0" w:line="360" w:lineRule="auto"/>
        <w:rPr>
          <w:b/>
          <w:bCs/>
          <w:sz w:val="24"/>
          <w:szCs w:val="24"/>
        </w:rPr>
      </w:pPr>
    </w:p>
    <w:p w14:paraId="68C996D4" w14:textId="77777777" w:rsidR="00C85255" w:rsidRDefault="00C85255" w:rsidP="00C85255">
      <w:pPr>
        <w:autoSpaceDE w:val="0"/>
        <w:autoSpaceDN w:val="0"/>
        <w:adjustRightInd w:val="0"/>
        <w:spacing w:after="0" w:line="360" w:lineRule="auto"/>
        <w:rPr>
          <w:b/>
          <w:bCs/>
          <w:sz w:val="24"/>
          <w:szCs w:val="24"/>
        </w:rPr>
      </w:pPr>
    </w:p>
    <w:p w14:paraId="1FA7BA8A" w14:textId="77777777" w:rsidR="00C85255" w:rsidRDefault="00C85255" w:rsidP="00C85255">
      <w:pPr>
        <w:autoSpaceDE w:val="0"/>
        <w:autoSpaceDN w:val="0"/>
        <w:adjustRightInd w:val="0"/>
        <w:spacing w:after="0" w:line="360" w:lineRule="auto"/>
        <w:rPr>
          <w:b/>
          <w:bCs/>
          <w:sz w:val="24"/>
          <w:szCs w:val="24"/>
        </w:rPr>
      </w:pPr>
    </w:p>
    <w:p w14:paraId="7D50E55D" w14:textId="5531C0F2" w:rsidR="00E4539C" w:rsidRPr="00E4539C" w:rsidRDefault="00E4539C" w:rsidP="00E4539C">
      <w:pPr>
        <w:spacing w:line="276" w:lineRule="auto"/>
        <w:jc w:val="both"/>
        <w:rPr>
          <w:i/>
          <w:iCs/>
          <w:sz w:val="20"/>
          <w:szCs w:val="20"/>
          <w:lang w:val="en-AU"/>
        </w:rPr>
      </w:pPr>
      <w:r>
        <w:rPr>
          <w:i/>
          <w:iCs/>
          <w:sz w:val="20"/>
          <w:szCs w:val="20"/>
        </w:rPr>
        <w:t xml:space="preserve">Abbreviations: </w:t>
      </w:r>
      <w:r w:rsidRPr="008841FB">
        <w:rPr>
          <w:i/>
          <w:iCs/>
          <w:sz w:val="20"/>
          <w:szCs w:val="20"/>
        </w:rPr>
        <w:t>FEP</w:t>
      </w:r>
      <w:r>
        <w:rPr>
          <w:i/>
          <w:iCs/>
          <w:sz w:val="20"/>
          <w:szCs w:val="20"/>
        </w:rPr>
        <w:t xml:space="preserve">: patients with first episode psychosis; HC: healthy </w:t>
      </w:r>
      <w:r w:rsidRPr="00E4539C">
        <w:rPr>
          <w:i/>
          <w:iCs/>
          <w:sz w:val="20"/>
          <w:szCs w:val="20"/>
        </w:rPr>
        <w:t xml:space="preserve">controls; IED: </w:t>
      </w:r>
      <w:r w:rsidRPr="00E4539C">
        <w:rPr>
          <w:rStyle w:val="None"/>
          <w:rFonts w:eastAsia="Cambria"/>
          <w:i/>
          <w:iCs/>
          <w:sz w:val="20"/>
          <w:szCs w:val="20"/>
        </w:rPr>
        <w:t>Intra-Extra-Dimensional Set-shifting</w:t>
      </w:r>
      <w:r w:rsidRPr="00E4539C">
        <w:rPr>
          <w:i/>
          <w:iCs/>
          <w:sz w:val="20"/>
          <w:szCs w:val="20"/>
        </w:rPr>
        <w:t xml:space="preserve">; SCZ: individuals with </w:t>
      </w:r>
      <w:r w:rsidR="001A500B">
        <w:rPr>
          <w:i/>
          <w:iCs/>
          <w:sz w:val="20"/>
          <w:szCs w:val="20"/>
        </w:rPr>
        <w:t>a</w:t>
      </w:r>
      <w:r w:rsidRPr="00E4539C">
        <w:rPr>
          <w:i/>
          <w:iCs/>
          <w:sz w:val="20"/>
          <w:szCs w:val="20"/>
        </w:rPr>
        <w:t xml:space="preserve"> history of schizophrenia; SOC: stockings of Cambridge; SWM: spatial working memory; UHR-T/NT: individuals at ultra-high risk for psychosis with transition / non-transition; </w:t>
      </w:r>
      <w:r>
        <w:rPr>
          <w:i/>
          <w:iCs/>
          <w:sz w:val="20"/>
          <w:szCs w:val="20"/>
        </w:rPr>
        <w:t xml:space="preserve">RTI: reaction time index; </w:t>
      </w:r>
      <w:r w:rsidRPr="00E4539C">
        <w:rPr>
          <w:i/>
          <w:iCs/>
          <w:sz w:val="20"/>
          <w:szCs w:val="20"/>
        </w:rPr>
        <w:t xml:space="preserve">RVP: </w:t>
      </w:r>
      <w:r>
        <w:rPr>
          <w:i/>
          <w:iCs/>
          <w:sz w:val="20"/>
          <w:szCs w:val="20"/>
        </w:rPr>
        <w:t>rapid visual processing</w:t>
      </w:r>
      <w:r w:rsidRPr="00E4539C">
        <w:rPr>
          <w:i/>
          <w:iCs/>
          <w:sz w:val="20"/>
          <w:szCs w:val="20"/>
        </w:rPr>
        <w:t>.</w:t>
      </w:r>
    </w:p>
    <w:p w14:paraId="6F73F721" w14:textId="77777777" w:rsidR="00C85255" w:rsidRDefault="00C85255" w:rsidP="00C85255">
      <w:pPr>
        <w:autoSpaceDE w:val="0"/>
        <w:autoSpaceDN w:val="0"/>
        <w:adjustRightInd w:val="0"/>
        <w:spacing w:after="0" w:line="360" w:lineRule="auto"/>
        <w:rPr>
          <w:b/>
          <w:bCs/>
          <w:sz w:val="24"/>
          <w:szCs w:val="24"/>
        </w:rPr>
      </w:pPr>
    </w:p>
    <w:p w14:paraId="00D93A8D" w14:textId="77777777" w:rsidR="00C85255" w:rsidRDefault="00C85255" w:rsidP="00C85255">
      <w:pPr>
        <w:autoSpaceDE w:val="0"/>
        <w:autoSpaceDN w:val="0"/>
        <w:adjustRightInd w:val="0"/>
        <w:spacing w:after="0" w:line="360" w:lineRule="auto"/>
        <w:rPr>
          <w:b/>
          <w:bCs/>
          <w:sz w:val="24"/>
          <w:szCs w:val="24"/>
        </w:rPr>
      </w:pPr>
    </w:p>
    <w:p w14:paraId="4D94C3D4" w14:textId="77777777" w:rsidR="00C85255" w:rsidRDefault="00C85255" w:rsidP="00C85255">
      <w:pPr>
        <w:autoSpaceDE w:val="0"/>
        <w:autoSpaceDN w:val="0"/>
        <w:adjustRightInd w:val="0"/>
        <w:spacing w:after="0" w:line="360" w:lineRule="auto"/>
        <w:rPr>
          <w:b/>
          <w:bCs/>
          <w:sz w:val="24"/>
          <w:szCs w:val="24"/>
        </w:rPr>
      </w:pPr>
    </w:p>
    <w:p w14:paraId="10C64C88" w14:textId="77777777" w:rsidR="00C85255" w:rsidRDefault="00C85255">
      <w:pPr>
        <w:rPr>
          <w:b/>
          <w:bCs/>
          <w:sz w:val="24"/>
          <w:szCs w:val="24"/>
        </w:rPr>
      </w:pPr>
      <w:r>
        <w:rPr>
          <w:b/>
          <w:bCs/>
          <w:sz w:val="24"/>
          <w:szCs w:val="24"/>
        </w:rPr>
        <w:br w:type="page"/>
      </w:r>
    </w:p>
    <w:p w14:paraId="19BA202E" w14:textId="77777777" w:rsidR="00716BDA" w:rsidRPr="00716BDA" w:rsidRDefault="00716BDA" w:rsidP="00716BDA">
      <w:pPr>
        <w:spacing w:line="360" w:lineRule="auto"/>
        <w:rPr>
          <w:b/>
          <w:bCs/>
        </w:rPr>
      </w:pPr>
      <w:r w:rsidRPr="00716BDA">
        <w:rPr>
          <w:b/>
          <w:bCs/>
        </w:rPr>
        <w:lastRenderedPageBreak/>
        <w:t>Supplementary Text S1: Details on participants</w:t>
      </w:r>
    </w:p>
    <w:p w14:paraId="14714707" w14:textId="77777777" w:rsidR="00716BDA" w:rsidRPr="0041599E" w:rsidRDefault="00716BDA" w:rsidP="00716BDA">
      <w:pPr>
        <w:spacing w:line="360" w:lineRule="auto"/>
        <w:rPr>
          <w:sz w:val="24"/>
          <w:szCs w:val="24"/>
        </w:rPr>
      </w:pPr>
      <w:r w:rsidRPr="0041599E">
        <w:rPr>
          <w:sz w:val="24"/>
          <w:szCs w:val="24"/>
          <w:u w:val="single"/>
        </w:rPr>
        <w:t>UHR individuals:</w:t>
      </w:r>
      <w:r w:rsidRPr="0041599E">
        <w:rPr>
          <w:sz w:val="24"/>
          <w:szCs w:val="24"/>
        </w:rPr>
        <w:t xml:space="preserve"> Both UHR samples consisted of help-seeking individuals aged 18–40 years who fulfilled one or more of the UHR criteria as assessed by the Comprehensive Assessment of At-Risk Mental State (CAARMS)</w:t>
      </w:r>
      <w:r>
        <w:rPr>
          <w:sz w:val="24"/>
          <w:szCs w:val="24"/>
        </w:rPr>
        <w:t xml:space="preserve"> (Ref)</w:t>
      </w:r>
      <w:r w:rsidRPr="0041599E">
        <w:rPr>
          <w:sz w:val="24"/>
          <w:szCs w:val="24"/>
        </w:rPr>
        <w:t>. Exclusion criteria were history of a psychotic episode of ≥one-week duration; psychiatric symptoms that were explained by a physical illness with psychotropic effect (e.g. delirium) or acute intoxication (e.g. cannabis use); a diagnosis of a serious developmental disorder (e.g., Asperger's syndrome); currently receiving methylphenidate.</w:t>
      </w:r>
    </w:p>
    <w:p w14:paraId="58BE8180" w14:textId="77777777" w:rsidR="00716BDA" w:rsidRPr="0041599E" w:rsidRDefault="00716BDA" w:rsidP="00716BDA">
      <w:pPr>
        <w:spacing w:line="360" w:lineRule="auto"/>
        <w:rPr>
          <w:sz w:val="24"/>
          <w:szCs w:val="24"/>
        </w:rPr>
      </w:pPr>
      <w:r w:rsidRPr="0041599E">
        <w:rPr>
          <w:sz w:val="24"/>
          <w:szCs w:val="24"/>
        </w:rPr>
        <w:t xml:space="preserve">All the clinical assessors were psychologists and medical doctors with extensive training in using the clinical instruments. ICC was conducted on major outcomes and reported to be good/excellent (ref). Cognitive tests were done by psychologists or psychologist students trained and supervised by </w:t>
      </w:r>
      <w:r>
        <w:rPr>
          <w:sz w:val="24"/>
          <w:szCs w:val="24"/>
        </w:rPr>
        <w:t xml:space="preserve">identical </w:t>
      </w:r>
      <w:r w:rsidRPr="0041599E">
        <w:rPr>
          <w:sz w:val="24"/>
          <w:szCs w:val="24"/>
        </w:rPr>
        <w:t xml:space="preserve">senior psychologists </w:t>
      </w:r>
      <w:r>
        <w:rPr>
          <w:sz w:val="24"/>
          <w:szCs w:val="24"/>
        </w:rPr>
        <w:t>across cohorts</w:t>
      </w:r>
    </w:p>
    <w:p w14:paraId="1F7B00EA" w14:textId="77777777" w:rsidR="00716BDA" w:rsidRPr="0041599E" w:rsidRDefault="00716BDA" w:rsidP="00716BDA">
      <w:pPr>
        <w:spacing w:line="360" w:lineRule="auto"/>
        <w:rPr>
          <w:sz w:val="24"/>
          <w:szCs w:val="24"/>
        </w:rPr>
      </w:pPr>
      <w:r w:rsidRPr="0041599E">
        <w:rPr>
          <w:sz w:val="24"/>
          <w:szCs w:val="24"/>
        </w:rPr>
        <w:t xml:space="preserve">Healthy controls (HC) living in the same geographical area as the UHR individuals were recruited via a website for study participants, or via ads at local educational institutions.  HC received payment for </w:t>
      </w:r>
      <w:proofErr w:type="gramStart"/>
      <w:r w:rsidRPr="0041599E">
        <w:rPr>
          <w:sz w:val="24"/>
          <w:szCs w:val="24"/>
        </w:rPr>
        <w:t>participation, and</w:t>
      </w:r>
      <w:proofErr w:type="gramEnd"/>
      <w:r w:rsidRPr="0041599E">
        <w:rPr>
          <w:sz w:val="24"/>
          <w:szCs w:val="24"/>
        </w:rPr>
        <w:t xml:space="preserve"> were matched with UHR individuals on sex</w:t>
      </w:r>
      <w:r>
        <w:rPr>
          <w:sz w:val="24"/>
          <w:szCs w:val="24"/>
        </w:rPr>
        <w:t xml:space="preserve"> and</w:t>
      </w:r>
      <w:r w:rsidRPr="0041599E">
        <w:rPr>
          <w:sz w:val="24"/>
          <w:szCs w:val="24"/>
        </w:rPr>
        <w:t xml:space="preserve"> age (within two years</w:t>
      </w:r>
      <w:r>
        <w:rPr>
          <w:sz w:val="24"/>
          <w:szCs w:val="24"/>
        </w:rPr>
        <w:t>)</w:t>
      </w:r>
      <w:r w:rsidRPr="0041599E">
        <w:rPr>
          <w:sz w:val="24"/>
          <w:szCs w:val="24"/>
        </w:rPr>
        <w:t xml:space="preserve">. HC did not meet criteria for any DSM-IV disorder and did not have a first degree relative with a psychotic disorder currently or previously. </w:t>
      </w:r>
    </w:p>
    <w:p w14:paraId="4CDEDCAF" w14:textId="77777777" w:rsidR="00716BDA" w:rsidRPr="0041599E" w:rsidRDefault="00716BDA" w:rsidP="00716BDA">
      <w:pPr>
        <w:spacing w:line="360" w:lineRule="auto"/>
        <w:rPr>
          <w:sz w:val="24"/>
          <w:szCs w:val="24"/>
        </w:rPr>
      </w:pPr>
      <w:r w:rsidRPr="0041599E">
        <w:rPr>
          <w:sz w:val="24"/>
          <w:szCs w:val="24"/>
        </w:rPr>
        <w:t xml:space="preserve">Study 1. The Prodromal Project was a case–control research project on UHR-individuals. Inclusion period was September 2009 to August 2014. UHR individuals were referred to the Research Unit, Mental Health Center Copenhagen, from psychiatric in- and outpatient facilities in the Copenhagen catchment area. Healthy controls were matched one-to-one with UHR individuals. The Prodromal Project was approved by the Regional Ethics Committee of the Capital Region of Denmark (H-D-2009-013) as well the Danish Data Protection Agency (2014- 41-2861). It was carried out in accordance with the Declaration of Helsinki. Clinical, functional, and cognitive data on part of the sample have previously been reported in </w:t>
      </w:r>
      <w:r w:rsidRPr="0041599E">
        <w:rPr>
          <w:color w:val="000000"/>
          <w:sz w:val="24"/>
          <w:szCs w:val="24"/>
        </w:rPr>
        <w:t>Madsen et al (2017)</w:t>
      </w:r>
      <w:r w:rsidRPr="0041599E">
        <w:rPr>
          <w:color w:val="000000"/>
          <w:sz w:val="24"/>
          <w:szCs w:val="24"/>
          <w:lang w:val="en-GB"/>
        </w:rPr>
        <w:fldChar w:fldCharType="begin" w:fldLock="1"/>
      </w:r>
      <w:r>
        <w:rPr>
          <w:color w:val="000000"/>
          <w:sz w:val="24"/>
          <w:szCs w:val="24"/>
        </w:rPr>
        <w:instrText>ADDIN CSL_CITATION {"citationItems":[{"id":"ITEM-1","itemData":{"DOI":"10.1111/eip.12438","ISSN":"17517893","PMID":"28422422","abstract":"Aim: To make a thorough characterization of the co-morbidity, psychopathology and demographics in the first Danish ultra high-risk (UHR) sample. Method: Forty-two UHR subjects went through comprehensive interviews assessing their psychopathology, psychiatric disorders, substance use and family history of psychiatric disorders. Results: All UHR subjects met the criteria of at least 1 axis I diagnosis in the Diagnostic and Statistical Manual of Mental Disorders, Fourth Edition (DSM-IV) and met on average four diagnoses (both axis I and II), mostly within the areas of depression, anxiety and substance abuse. A total of 48% had schizotypal personality disorder and 19% had borderline personality disorder. Level of functioning was low with a mean score on the Social and Occupational Functioning Assessment Scale corresponding to “major impairment in several areas,” and mean scores in the Global Functioning: Social and Role scales between “moderate impairment in social functioning” and “very serious impairment independently.” Forty-seven percent were unemployed and 29% on sick leave. Fifty-five percent relied financially on public support. Conclusion: As seen in previous UHR populations, Danish UHR subjects had low function socio-economically and met criteria of several psychiatric diagnoses, suggesting that they require pharmacological and non-pharmacological psychiatric treatment as well as vocational and educational guidance and support.","author":[{"dropping-particle":"","family":"Madsen","given":"Helle Karkov","non-dropping-particle":"","parse-names":false,"suffix":""},{"dropping-particle":"","family":"Nordholm","given":"Dorte","non-dropping-particle":"","parse-names":false,"suffix":""},{"dropping-particle":"","family":"Krakauer","given":"Kristine","non-dropping-particle":"","parse-names":false,"suffix":""},{"dropping-particle":"","family":"Randers","given":"Lasse","non-dropping-particle":"","parse-names":false,"suffix":""},{"dropping-particle":"","family":"Nordentoft","given":"Merete","non-dropping-particle":"","parse-names":false,"suffix":""}],"container-title":"Early Intervention in Psychiatry","id":"ITEM-1","issue":"6","issued":{"date-parts":[["2018"]]},"page":"1181-1187","title":"Psychopathology and social functioning of 42 subjects from a Danish ultra high-risk cohort","type":"article-journal","volume":"12"},"uris":["http://www.mendeley.com/documents/?uuid=1e9912f9-64a7-43c7-bd41-0cd58b37114c"]}],"mendeley":{"formattedCitation":"&lt;sup&gt;16&lt;/sup&gt;","plainTextFormattedCitation":"16","previouslyFormattedCitation":"&lt;sup&gt;16&lt;/sup&gt;"},"properties":{"noteIndex":0},"schema":"https://github.com/citation-style-language/schema/raw/master/csl-citation.json"}</w:instrText>
      </w:r>
      <w:r w:rsidRPr="0041599E">
        <w:rPr>
          <w:color w:val="000000"/>
          <w:sz w:val="24"/>
          <w:szCs w:val="24"/>
          <w:lang w:val="en-GB"/>
        </w:rPr>
        <w:fldChar w:fldCharType="separate"/>
      </w:r>
      <w:r w:rsidRPr="00C0013B">
        <w:rPr>
          <w:noProof/>
          <w:color w:val="000000"/>
          <w:sz w:val="24"/>
          <w:szCs w:val="24"/>
          <w:vertAlign w:val="superscript"/>
        </w:rPr>
        <w:t>16</w:t>
      </w:r>
      <w:r w:rsidRPr="0041599E">
        <w:rPr>
          <w:color w:val="000000"/>
          <w:sz w:val="24"/>
          <w:szCs w:val="24"/>
          <w:lang w:val="en-GB"/>
        </w:rPr>
        <w:fldChar w:fldCharType="end"/>
      </w:r>
      <w:r>
        <w:rPr>
          <w:color w:val="000000"/>
          <w:sz w:val="24"/>
          <w:szCs w:val="24"/>
          <w:lang w:val="en-GB"/>
        </w:rPr>
        <w:t xml:space="preserve">. </w:t>
      </w:r>
      <w:r w:rsidRPr="0041599E">
        <w:rPr>
          <w:sz w:val="24"/>
          <w:szCs w:val="24"/>
        </w:rPr>
        <w:t>All participants provided oral and written informed consent prior to inclusion in the study.</w:t>
      </w:r>
    </w:p>
    <w:p w14:paraId="1CC510F3" w14:textId="2A859A59" w:rsidR="00716BDA" w:rsidRPr="0041599E" w:rsidRDefault="00716BDA" w:rsidP="00716BDA">
      <w:pPr>
        <w:spacing w:line="360" w:lineRule="auto"/>
        <w:rPr>
          <w:sz w:val="24"/>
          <w:szCs w:val="24"/>
        </w:rPr>
      </w:pPr>
      <w:r w:rsidRPr="0041599E">
        <w:rPr>
          <w:sz w:val="24"/>
          <w:szCs w:val="24"/>
        </w:rPr>
        <w:t>Study 2: The FOCUS-trial was a randomized, assessor-blinded, parallel-group, superiority clinical trial comparing treatment as usual (TAU) plus 20</w:t>
      </w:r>
      <w:r>
        <w:rPr>
          <w:sz w:val="24"/>
          <w:szCs w:val="24"/>
        </w:rPr>
        <w:t xml:space="preserve"> </w:t>
      </w:r>
      <w:r w:rsidRPr="0041599E">
        <w:rPr>
          <w:sz w:val="24"/>
          <w:szCs w:val="24"/>
        </w:rPr>
        <w:t>weeks of intensive cognitive remediation with treatment as usual. The trial protocol has been published elsewhere</w:t>
      </w:r>
      <w:r w:rsidRPr="0041599E">
        <w:rPr>
          <w:sz w:val="24"/>
          <w:szCs w:val="24"/>
        </w:rPr>
        <w:fldChar w:fldCharType="begin" w:fldLock="1"/>
      </w:r>
      <w:r w:rsidR="00E417DE">
        <w:rPr>
          <w:sz w:val="24"/>
          <w:szCs w:val="24"/>
        </w:rPr>
        <w:instrText>ADDIN CSL_CITATION {"citationItems":[{"id":"ITEM-1","itemData":{"DOI":"10.1186/s13063-014-0542-8","ISSN":"1745-6215","author":[{"dropping-particle":"","family":"Glenthøj","given":"Louise B","non-dropping-particle":"","parse-names":false,"suffix":""},{"dropping-particle":"","family":"Fagerlund","given":"Birgitte","non-dropping-particle":"","parse-names":false,"suffix":""},{"dropping-particle":"","family":"Randers","given":"Lasse","non-dropping-particle":"","parse-names":false,"suffix":""},{"dropping-particle":"","family":"Hjorthøj","given":"Carsten R","non-dropping-particle":"","parse-names":false,"suffix":""},{"dropping-particle":"","family":"Wenneberg","given":"Christina","non-dropping-particle":"","parse-names":false,"suffix":""},{"dropping-particle":"","family":"Krakauer","given":"Kristine","non-dropping-particle":"","parse-names":false,"suffix":""},{"dropping-particle":"","family":"Vosgerau","given":"Astrid","non-dropping-particle":"","parse-names":false,"suffix":""},{"dropping-particle":"","family":"Gluud","given":"Christian","non-dropping-particle":"","parse-names":false,"suffix":""},{"dropping-particle":"","family":"Medalia","given":"Alice","non-dropping-particle":"","parse-names":false,"suffix":""},{"dropping-particle":"","family":"Roberts","given":"David L","non-dropping-particle":"","parse-names":false,"suffix":""},{"dropping-particle":"","family":"Nordentoft","given":"Merete","non-dropping-particle":"","parse-names":false,"suffix":""}],"container-title":"Trials","id":"ITEM-1","issue":"1","issued":{"date-parts":[["2015"]]},"page":"1-10","title":"The FOCUS trial: cognitive remediation plus standard treatment versus standard treatment for patients at ultra-high risk for psychosis: study protocol for a randomised controlled trial","type":"article-journal","volume":"16"},"uris":["http://www.mendeley.com/documents/?uuid=3ce21b3f-78ad-451b-95bd-c3aa4c1e3097"]}],"mendeley":{"formattedCitation":"&lt;sup&gt;78&lt;/sup&gt;","plainTextFormattedCitation":"78","previouslyFormattedCitation":"&lt;sup&gt;78&lt;/sup&gt;"},"properties":{"noteIndex":0},"schema":"https://github.com/citation-style-language/schema/raw/master/csl-citation.json"}</w:instrText>
      </w:r>
      <w:r w:rsidRPr="0041599E">
        <w:rPr>
          <w:sz w:val="24"/>
          <w:szCs w:val="24"/>
        </w:rPr>
        <w:fldChar w:fldCharType="separate"/>
      </w:r>
      <w:r w:rsidR="00711A71" w:rsidRPr="00711A71">
        <w:rPr>
          <w:noProof/>
          <w:sz w:val="24"/>
          <w:szCs w:val="24"/>
          <w:vertAlign w:val="superscript"/>
        </w:rPr>
        <w:t>78</w:t>
      </w:r>
      <w:r w:rsidRPr="0041599E">
        <w:rPr>
          <w:sz w:val="24"/>
          <w:szCs w:val="24"/>
        </w:rPr>
        <w:fldChar w:fldCharType="end"/>
      </w:r>
      <w:r w:rsidRPr="0041599E">
        <w:rPr>
          <w:sz w:val="24"/>
          <w:szCs w:val="24"/>
        </w:rPr>
        <w:t xml:space="preserve">. The </w:t>
      </w:r>
      <w:r w:rsidRPr="0041599E">
        <w:rPr>
          <w:sz w:val="24"/>
          <w:szCs w:val="24"/>
        </w:rPr>
        <w:lastRenderedPageBreak/>
        <w:t xml:space="preserve">study was carried out at Mental Health Centre Copenhagen, Denmark. Participants were recruited from psychiatric in-and outpatient facilities in the catchment area of Copenhagen. Healthy controls were matched </w:t>
      </w:r>
      <w:r>
        <w:rPr>
          <w:sz w:val="24"/>
          <w:szCs w:val="24"/>
        </w:rPr>
        <w:t>2:1</w:t>
      </w:r>
      <w:r w:rsidRPr="0041599E">
        <w:rPr>
          <w:sz w:val="24"/>
          <w:szCs w:val="24"/>
        </w:rPr>
        <w:t xml:space="preserve"> with UHR individuals. The FOCUS trial was approved by the Committee on Health Research Ethics of the Capital Region Denmark (H-6-2013-015) and the Danish Data Protection Agency (RHP-2014-009-02670). The trial was carried out in accordance with the Declaration of </w:t>
      </w:r>
      <w:proofErr w:type="gramStart"/>
      <w:r w:rsidRPr="0041599E">
        <w:rPr>
          <w:sz w:val="24"/>
          <w:szCs w:val="24"/>
        </w:rPr>
        <w:t>Helsinki, and</w:t>
      </w:r>
      <w:proofErr w:type="gramEnd"/>
      <w:r w:rsidRPr="0041599E">
        <w:rPr>
          <w:sz w:val="24"/>
          <w:szCs w:val="24"/>
        </w:rPr>
        <w:t xml:space="preserve"> was registered at ClinicalTrial.gov (NCT02098408). Trial protocol and results of the trial have been reported in </w:t>
      </w:r>
      <w:r w:rsidRPr="0041599E">
        <w:rPr>
          <w:rFonts w:cstheme="minorHAnsi"/>
          <w:color w:val="000000"/>
          <w:sz w:val="24"/>
          <w:szCs w:val="24"/>
        </w:rPr>
        <w:t>Glenthøj et al (2016, 2020)</w:t>
      </w:r>
      <w:r w:rsidRPr="0041599E">
        <w:rPr>
          <w:rFonts w:cstheme="minorHAnsi"/>
          <w:color w:val="000000"/>
          <w:sz w:val="24"/>
          <w:szCs w:val="24"/>
          <w:lang w:val="en-GB"/>
        </w:rPr>
        <w:fldChar w:fldCharType="begin" w:fldLock="1"/>
      </w:r>
      <w:r w:rsidR="00E417DE">
        <w:rPr>
          <w:rFonts w:cstheme="minorHAnsi"/>
          <w:color w:val="000000"/>
          <w:sz w:val="24"/>
          <w:szCs w:val="24"/>
        </w:rPr>
        <w:instrText>ADDIN CSL_CITATION {"citationItems":[{"id":"ITEM-1","itemData":{"DOI":"10.1111/acps.12682","ISSN":"0001690X","abstract":"© 2016 John Wiley  &amp;  Sons A/S. Published by John Wiley  &amp;  Sons Ltd Objective: Neurocognition is known to impact functioning in individuals at ultrahigh risk (UHR) for psychosis, but studies investigating potential mediators of this relationship are scarce. Building on evidence from schizophrenia spectrum disorders, the study tested whether negative symptoms and social skills act as mediators between neurocognition and functional outcome in UHR individuals. Methods: Ultrahigh risk participants (N = 84) underwent neurocognitive testing using the Brief Assessment of Cognition in Schizophrenia. Social skills and negative symptoms were assessed using the High-Risk Social Challenge task and the Scale for the Assessment of Negative Symptoms respectively. Four instruments were used to assess overall functioning, and one instrument assessed quality of life encompassing social functioning. Results: The cross-sectional analyses revealed that neurocognition was related to the measures of functioning. Negative symptoms mediated the relationship between neurocognition and four of the five measures of functioning. We did not find social skills to mediate between neurocognition and functioning. Conclusion: Negative symptoms appear to mediate the relationship between neurocognition and functional outcome in UHR individuals, but the finding needs to be confirmed and extended to longitudinal studies. This underscores the importance of focusing on both neurocognition and negative symptoms when aiming at improving the functional outcome of UHR individuals.","author":[{"dropping-particle":"","family":"Glenthøj","given":"Louise B. L.B.","non-dropping-particle":"","parse-names":false,"suffix":""},{"dropping-particle":"","family":"Jepsen","given":"J.R.M. R. M.","non-dropping-particle":"","parse-names":false,"suffix":""},{"dropping-particle":"","family":"Hjorthøj","given":"C.","non-dropping-particle":"","parse-names":false,"suffix":""},{"dropping-particle":"","family":"Bak","given":"N.","non-dropping-particle":"","parse-names":false,"suffix":""},{"dropping-particle":"","family":"Kristensen","given":"T.D. D.","non-dropping-particle":"","parse-names":false,"suffix":""},{"dropping-particle":"","family":"Wenneberg","given":"C.","non-dropping-particle":"","parse-names":false,"suffix":""},{"dropping-particle":"","family":"Krakauer","given":"K.","non-dropping-particle":"","parse-names":false,"suffix":""},{"dropping-particle":"","family":"Nordentoft","given":"M.","non-dropping-particle":"","parse-names":false,"suffix":""},{"dropping-particle":"","family":"Fagerlund","given":"B.","non-dropping-particle":"","parse-names":false,"suffix":""}],"container-title":"Acta Psychiatrica Scandinavica","id":"ITEM-1","issue":"3","issued":{"date-parts":[["2016"]]},"page":"1-9","title":"Negative symptoms mediate the relationship between neurocognition and function in individuals at ultrahigh risk for psychosis","type":"article-journal","volume":"135"},"uris":["http://www.mendeley.com/documents/?uuid=949d0e22-2a01-4b78-8bc6-ad4bc51ddedd"]},{"id":"ITEM-2","itemData":{"DOI":"10.1002/wps.20760","author":[{"dropping-particle":"","family":"Glenthøj","given":"Louise B.","non-dropping-particle":"","parse-names":false,"suffix":""},{"dropping-particle":"","family":"Mariegaard","given":"Lise S.","non-dropping-particle":"","parse-names":false,"suffix":""},{"dropping-particle":"","family":"Fagerlund","given":"Birgitte","non-dropping-particle":"","parse-names":false,"suffix":""},{"dropping-particle":"","family":"Jepsen","given":"Jens R.M.","non-dropping-particle":"","parse-names":false,"suffix":""},{"dropping-particle":"","family":"Kristensen","given":"Tina D.","non-dropping-particle":"","parse-names":false,"suffix":""},{"dropping-particle":"","family":"Wenneberg","given":"Christina","non-dropping-particle":"","parse-names":false,"suffix":""},{"dropping-particle":"","family":"Krakauer","given":"Kristine","non-dropping-particle":"","parse-names":false,"suffix":""},{"dropping-particle":"","family":"Medalia","given":"Alice","non-dropping-particle":"","parse-names":false,"suffix":""},{"dropping-particle":"","family":"Roberts","given":"David L.","non-dropping-particle":"","parse-names":false,"suffix":""},{"dropping-particle":"","family":"Hjorthøj","given":"Carsten","non-dropping-particle":"","parse-names":false,"suffix":""},{"dropping-particle":"","family":"Nordentoft","given":"Merete","non-dropping-particle":"","parse-names":false,"suffix":""}],"container-title":"World Psychiatry","id":"ITEM-2","issue":"September","issued":{"date-parts":[["2020"]]},"page":"54-55","title":"Effectiveness of cognitive remediation in the ultra-high risk state for psychosis","type":"article-journal","volume":"19:2"},"uris":["http://www.mendeley.com/documents/?uuid=c0030242-1572-4442-9dba-d408cd191bc1"]}],"mendeley":{"formattedCitation":"&lt;sup&gt;17,79&lt;/sup&gt;","plainTextFormattedCitation":"17,79","previouslyFormattedCitation":"&lt;sup&gt;17,79&lt;/sup&gt;"},"properties":{"noteIndex":0},"schema":"https://github.com/citation-style-language/schema/raw/master/csl-citation.json"}</w:instrText>
      </w:r>
      <w:r w:rsidRPr="0041599E">
        <w:rPr>
          <w:rFonts w:cstheme="minorHAnsi"/>
          <w:color w:val="000000"/>
          <w:sz w:val="24"/>
          <w:szCs w:val="24"/>
          <w:lang w:val="en-GB"/>
        </w:rPr>
        <w:fldChar w:fldCharType="separate"/>
      </w:r>
      <w:r w:rsidR="00711A71" w:rsidRPr="00711A71">
        <w:rPr>
          <w:rFonts w:cstheme="minorHAnsi"/>
          <w:noProof/>
          <w:color w:val="000000"/>
          <w:sz w:val="24"/>
          <w:szCs w:val="24"/>
          <w:vertAlign w:val="superscript"/>
        </w:rPr>
        <w:t>17,79</w:t>
      </w:r>
      <w:r w:rsidRPr="0041599E">
        <w:rPr>
          <w:rFonts w:cstheme="minorHAnsi"/>
          <w:color w:val="000000"/>
          <w:sz w:val="24"/>
          <w:szCs w:val="24"/>
          <w:lang w:val="en-GB"/>
        </w:rPr>
        <w:fldChar w:fldCharType="end"/>
      </w:r>
      <w:r w:rsidRPr="0041599E">
        <w:rPr>
          <w:rFonts w:cstheme="minorHAnsi"/>
          <w:color w:val="000000"/>
          <w:sz w:val="24"/>
          <w:szCs w:val="24"/>
        </w:rPr>
        <w:t>.</w:t>
      </w:r>
      <w:r>
        <w:rPr>
          <w:rFonts w:cstheme="minorHAnsi"/>
          <w:color w:val="000000"/>
          <w:sz w:val="24"/>
          <w:szCs w:val="24"/>
        </w:rPr>
        <w:t xml:space="preserve"> </w:t>
      </w:r>
      <w:r w:rsidRPr="0041599E">
        <w:rPr>
          <w:sz w:val="24"/>
          <w:szCs w:val="24"/>
        </w:rPr>
        <w:t>All participants provided oral and written informed consent prior to inclusion in the study.</w:t>
      </w:r>
    </w:p>
    <w:p w14:paraId="4F27F8EB" w14:textId="77777777" w:rsidR="00716BDA" w:rsidRPr="0041599E" w:rsidRDefault="00716BDA" w:rsidP="00716BDA">
      <w:pPr>
        <w:spacing w:line="360" w:lineRule="auto"/>
        <w:rPr>
          <w:sz w:val="24"/>
          <w:szCs w:val="24"/>
        </w:rPr>
      </w:pPr>
      <w:r w:rsidRPr="0041599E">
        <w:rPr>
          <w:sz w:val="24"/>
          <w:szCs w:val="24"/>
          <w:u w:val="single"/>
        </w:rPr>
        <w:t>FEP patients:</w:t>
      </w:r>
      <w:r w:rsidRPr="0041599E">
        <w:rPr>
          <w:sz w:val="24"/>
          <w:szCs w:val="24"/>
        </w:rPr>
        <w:t xml:space="preserve"> Data for the FEP samples were acquired as part of two consecutive cohorts PECANS I and II (Pan European Collaboration on Antipsychotic Naïve Schizophrenia) conducted in the Capital Region of Copenhagen, Denmark, in the period of 2008–2019 [42, 43]. The studies comply with the Committee on Biomedical Research Ethics (H-D-2008-088, H-3-2013-149) and with the Helsinki Declaration of 1975, and were registered at Clinicaltrials.gov (NCT01154829, NCT02339844). All participants provided oral and written informed consent prior to inclusion in the study.</w:t>
      </w:r>
    </w:p>
    <w:p w14:paraId="4B852384" w14:textId="77777777" w:rsidR="00716BDA" w:rsidRPr="0041599E" w:rsidRDefault="00716BDA" w:rsidP="00716BDA">
      <w:pPr>
        <w:spacing w:line="360" w:lineRule="auto"/>
        <w:rPr>
          <w:sz w:val="24"/>
          <w:szCs w:val="24"/>
        </w:rPr>
      </w:pPr>
      <w:r w:rsidRPr="0041599E">
        <w:rPr>
          <w:sz w:val="24"/>
          <w:szCs w:val="24"/>
        </w:rPr>
        <w:t xml:space="preserve">Patients were recruited from psychiatric hospitals and outpatient mental health centers in the Capital Region of Denmark. The International Classification of Diseases 10th Edition (ICD-10) diagnoses were based on a structured diagnostic interview (Schedule of Clinical Assessment in Neuropsychiatry, version </w:t>
      </w:r>
      <w:proofErr w:type="gramStart"/>
      <w:r w:rsidRPr="0041599E">
        <w:rPr>
          <w:sz w:val="24"/>
          <w:szCs w:val="24"/>
        </w:rPr>
        <w:t>2.1)[</w:t>
      </w:r>
      <w:proofErr w:type="gramEnd"/>
      <w:r w:rsidRPr="0041599E">
        <w:rPr>
          <w:sz w:val="24"/>
          <w:szCs w:val="24"/>
        </w:rPr>
        <w:t xml:space="preserve"> (Wing et al., 1990)]. Exclusion criteria for patients were previous treatment with antipsychotics or methylphenidate, a current diagnosis of drug dependency according to ICD-10, treatment with antidepressant medication within the last month, involuntary admission or treatment, or severe somatic or neurological illness; a history of head injury with loss of consciousness&gt;5 min. Previous substance abuse, and current occasional substance </w:t>
      </w:r>
      <w:proofErr w:type="gramStart"/>
      <w:r w:rsidRPr="0041599E">
        <w:rPr>
          <w:sz w:val="24"/>
          <w:szCs w:val="24"/>
        </w:rPr>
        <w:t>use</w:t>
      </w:r>
      <w:proofErr w:type="gramEnd"/>
      <w:r w:rsidRPr="0041599E">
        <w:rPr>
          <w:sz w:val="24"/>
          <w:szCs w:val="24"/>
        </w:rPr>
        <w:t xml:space="preserve"> and benzodiazepine prescriptions were accepted (assessed by interview and urine screening). HCs were recruited using online advertising and matched to patients based on age, sex, and parental socioeconomic status. Exclusion criteria for HCs were any physical or mental illness, having a first degree relative with psychotic symptoms, or substance abuse during the last three months before inclusion. </w:t>
      </w:r>
    </w:p>
    <w:p w14:paraId="4DB0581E" w14:textId="15123473" w:rsidR="00716BDA" w:rsidRPr="00083D2F" w:rsidRDefault="00716BDA" w:rsidP="00716BDA">
      <w:pPr>
        <w:spacing w:line="360" w:lineRule="auto"/>
        <w:rPr>
          <w:sz w:val="24"/>
          <w:szCs w:val="24"/>
        </w:rPr>
      </w:pPr>
      <w:r w:rsidRPr="0041599E">
        <w:rPr>
          <w:sz w:val="24"/>
          <w:szCs w:val="24"/>
        </w:rPr>
        <w:t>Study 3: PECANS I</w:t>
      </w:r>
      <w:r>
        <w:rPr>
          <w:sz w:val="24"/>
          <w:szCs w:val="24"/>
        </w:rPr>
        <w:t>.</w:t>
      </w:r>
      <w:r w:rsidRPr="0041599E">
        <w:rPr>
          <w:sz w:val="24"/>
          <w:szCs w:val="24"/>
        </w:rPr>
        <w:t xml:space="preserve"> A total of 69 patients and 67 healthy controls were recruited, and the cohort was initially presented in Nielsen et al. (2012). </w:t>
      </w:r>
      <w:r w:rsidRPr="0041599E">
        <w:rPr>
          <w:color w:val="000000"/>
          <w:sz w:val="24"/>
          <w:szCs w:val="24"/>
          <w:lang w:val="en-GB"/>
        </w:rPr>
        <w:t>PECANS II</w:t>
      </w:r>
      <w:r w:rsidRPr="0041599E">
        <w:rPr>
          <w:sz w:val="24"/>
          <w:szCs w:val="24"/>
        </w:rPr>
        <w:t xml:space="preserve"> was a longitudinal cohort </w:t>
      </w:r>
      <w:r w:rsidRPr="0041599E">
        <w:rPr>
          <w:sz w:val="24"/>
          <w:szCs w:val="24"/>
        </w:rPr>
        <w:lastRenderedPageBreak/>
        <w:t>study in which participants underwent clinical assessment and magnetic resonance imaging at 4 visits: before first antipsychotic treatment (baseline), after 6 weeks of monotherapy with ami</w:t>
      </w:r>
      <w:r>
        <w:rPr>
          <w:sz w:val="24"/>
          <w:szCs w:val="24"/>
        </w:rPr>
        <w:t>s</w:t>
      </w:r>
      <w:r w:rsidRPr="0041599E">
        <w:rPr>
          <w:sz w:val="24"/>
          <w:szCs w:val="24"/>
        </w:rPr>
        <w:t>ulpride, and after 6 months and 2 years of naturalistic treatment. Data from this study has been used in a study examining the impact of schizophrenia and intelligence on the relationship between age and brain volume</w:t>
      </w:r>
      <w:r w:rsidRPr="0041599E">
        <w:rPr>
          <w:sz w:val="24"/>
          <w:szCs w:val="24"/>
        </w:rPr>
        <w:fldChar w:fldCharType="begin" w:fldLock="1"/>
      </w:r>
      <w:r w:rsidR="00E417DE">
        <w:rPr>
          <w:sz w:val="24"/>
          <w:szCs w:val="24"/>
        </w:rPr>
        <w:instrText>ADDIN CSL_CITATION {"citationItems":[{"id":"ITEM-1","itemData":{"DOI":"10.1016/j.scog.2018.09.002","ISSN":"22150013","abstract":"Age has been shown to have an impact on both grey (GM) and white matter (WM) volume, with a steeper slope of age-related decline in schizophrenia compared to healthy controls. In schizophrenia, the relation between age and brain volume is further complicated by factors such as lower intelligence, antipsychotic medication, and cannabis use, all of which have been shown to have independent effects on brain volume. In a study of first-episode, antipsychotic-naïve schizophrenia patients (N = 54) and healthy controls (N = 56), we examined the effects of age on whole brain measures of GM and WM volume, and whether these relationships were moderated by schizophrenia and intelligence (IQ). Secondarily, we examined lifetime cannabis use as a moderator of the relationship between age and brain volume. Schizophrenia patients had lower GM volumes than healthy controls but did not differ on WM volume. We found an age effect on GM indicating that increasing age was associated with lower GM volumes, which did not differ between groups. IQ did not have a direct effect on GM, but showed a trend-level interaction with age, suggesting a greater impact of age with lower IQ. There were no age effects on WM volume, but a direct effect of IQ, with higher IQ showing an association with larger WM volume. Lifetime cannabis use did not alter these findings significantly. This study points to effects of schizophrenia on GM early in the illness, before antipsychotic treatment is initiated, suggesting that WM changes may occur later in the disease process.","author":[{"dropping-particle":"","family":"Jensen","given":"Maria H.","non-dropping-particle":"","parse-names":false,"suffix":""},{"dropping-particle":"","family":"Bak","given":"Nikolaj","non-dropping-particle":"","parse-names":false,"suffix":""},{"dropping-particle":"","family":"Rostrup","given":"Egill","non-dropping-particle":"","parse-names":false,"suffix":""},{"dropping-particle":"","family":"Nielsen","given":"Mette Ø.","non-dropping-particle":"","parse-names":false,"suffix":""},{"dropping-particle":"","family":"Pantelis","given":"Christos","non-dropping-particle":"","parse-names":false,"suffix":""},{"dropping-particle":"","family":"Glenthøj","given":"Birte Y.","non-dropping-particle":"","parse-names":false,"suffix":""},{"dropping-particle":"","family":"Ebdrup","given":"Bjørn H.","non-dropping-particle":"","parse-names":false,"suffix":""},{"dropping-particle":"","family":"Fagerlund","given":"Birgitte","non-dropping-particle":"","parse-names":false,"suffix":""}],"container-title":"Schizophrenia Research: Cognition","id":"ITEM-1","issue":"September 2018","issued":{"date-parts":[["2019"]]},"page":"1-6","publisher":"Elsevier","title":"The impact of schizophrenia and intelligence on the relationship between age and brain volume","type":"article-journal","volume":"15"},"uris":["http://www.mendeley.com/documents/?uuid=fd702a47-0041-4f44-975e-f6ec066d984b"]}],"mendeley":{"formattedCitation":"&lt;sup&gt;80&lt;/sup&gt;","plainTextFormattedCitation":"80","previouslyFormattedCitation":"&lt;sup&gt;80&lt;/sup&gt;"},"properties":{"noteIndex":0},"schema":"https://github.com/citation-style-language/schema/raw/master/csl-citation.json"}</w:instrText>
      </w:r>
      <w:r w:rsidRPr="0041599E">
        <w:rPr>
          <w:sz w:val="24"/>
          <w:szCs w:val="24"/>
        </w:rPr>
        <w:fldChar w:fldCharType="separate"/>
      </w:r>
      <w:r w:rsidR="00711A71" w:rsidRPr="00711A71">
        <w:rPr>
          <w:noProof/>
          <w:sz w:val="24"/>
          <w:szCs w:val="24"/>
          <w:vertAlign w:val="superscript"/>
        </w:rPr>
        <w:t>80</w:t>
      </w:r>
      <w:r w:rsidRPr="0041599E">
        <w:rPr>
          <w:sz w:val="24"/>
          <w:szCs w:val="24"/>
        </w:rPr>
        <w:fldChar w:fldCharType="end"/>
      </w:r>
      <w:r w:rsidRPr="0041599E">
        <w:rPr>
          <w:color w:val="000000"/>
          <w:sz w:val="24"/>
          <w:szCs w:val="24"/>
          <w:lang w:val="en-GB"/>
        </w:rPr>
        <w:t>, as well as associations between cognition and white matter microstructure in first-episode antipsychotic-naive patients with schizophrenia and healthy controls</w:t>
      </w:r>
      <w:r w:rsidRPr="0041599E">
        <w:rPr>
          <w:color w:val="000000"/>
          <w:sz w:val="24"/>
          <w:szCs w:val="24"/>
          <w:lang w:val="en-GB"/>
        </w:rPr>
        <w:fldChar w:fldCharType="begin" w:fldLock="1"/>
      </w:r>
      <w:r w:rsidR="00E417DE">
        <w:rPr>
          <w:color w:val="000000"/>
          <w:sz w:val="24"/>
          <w:szCs w:val="24"/>
          <w:lang w:val="en-GB"/>
        </w:rPr>
        <w:instrText>ADDIN CSL_CITATION {"citationItems":[{"id":"ITEM-1","itemData":{"DOI":"10.1016/j.cortex.2021.03.003","ISSN":"19738102","PMID":"33933719","abstract":"Background: Cognitive functions have been associated with white matter (WM) microstructure in schizophrenia, but most studies are limited by examining only select cognitive measures and single WM tracts in chronic, medicated patients. It is unclear if the cognition-WM relationship differs between antipsychotic-naïve patients with schizophrenia and healthy controls, as differential associations have not been directly examined. Here we examine if there are differential patterns of associations between cognition and WM microstructure in first-episode antipsychotic-naïve patients with schizophrenia and healthy controls, and we characterize reliable contributors to the pattern of associations across multiple cognitive domains and WM regions, in order to elucidate white matter contribution to the neural underpinnings of cognitive deficits. Methods: Thirty-six first-episode antipsychotic-naïve patients with schizophrenia and 52 matched healthy controls underwent cognitive tests and diffusion-weighted imaging on a 3T Magnetic Resonance Imaging scanner. Using a multivariate partial least squares correlation analysis, we included 14 cognitive variables and mean fractional anisotropy values of 48 WM regions. Results: Initial analyses showed significant group differences in both measures of WM and cognition. There was no group interaction effect in the pattern of associations between cognition and WM microstructure. The combined analysis of patients and controls lead to a significant pattern of associations (omnibus test p = .015). Thirty-four regions and seven cognitive functions contributed reliably to the associations. Conclusions: The lack of an interaction effect suggests similar associations in first-episode antipsychotic-naïve patients with schizophrenia and healthy controls. This, together with the differences in both WM and cognitive measurements, supports the involvement of WM in cognitive deficits in schizophrenia. Our findings add to the field by showing a coherent picture of the overall pattern of association between cognition and WM. These findings increase our understanding of the impact of WM on cognition, contributing to the search for neuromarkers of cognitive deficits in schizophrenia.","author":[{"dropping-particle":"","family":"Thomas","given":"Marie B.","non-dropping-particle":"","parse-names":false,"suffix":""},{"dropping-particle":"","family":"Raghava","given":"Jayachandra M.","non-dropping-particle":"","parse-names":false,"suffix":""},{"dropping-particle":"","family":"Pantelis","given":"Christos","non-dropping-particle":"","parse-names":false,"suffix":""},{"dropping-particle":"","family":"Rostrup","given":"Egill","non-dropping-particle":"","parse-names":false,"suffix":""},{"dropping-particle":"","family":"Nielsen","given":"Mette","non-dropping-particle":"","parse-names":false,"suffix":""},{"dropping-particle":"","family":"Jensen","given":"Maria H.","non-dropping-particle":"","parse-names":false,"suffix":""},{"dropping-particle":"","family":"Glenthøj","given":"Birte Y.","non-dropping-particle":"","parse-names":false,"suffix":""},{"dropping-particle":"","family":"Mandl","given":"René C.W.","non-dropping-particle":"","parse-names":false,"suffix":""},{"dropping-particle":"","family":"Ebdrup","given":"Bjørn H.","non-dropping-particle":"","parse-names":false,"suffix":""},{"dropping-particle":"","family":"Fagerlund","given":"Birgitte","non-dropping-particle":"","parse-names":false,"suffix":""}],"container-title":"Cortex","id":"ITEM-1","issued":{"date-parts":[["2021"]]},"page":"282-297","title":"Associations between cognition and white matter microstructure in first-episode antipsychotic-naïve patients with schizophrenia and healthy controls: A multivariate pattern analysis","type":"article-journal","volume":"139"},"uris":["http://www.mendeley.com/documents/?uuid=c267e933-fec9-4158-a162-047a99d8f14b"]}],"mendeley":{"formattedCitation":"&lt;sup&gt;81&lt;/sup&gt;","plainTextFormattedCitation":"81","previouslyFormattedCitation":"&lt;sup&gt;81&lt;/sup&gt;"},"properties":{"noteIndex":0},"schema":"https://github.com/citation-style-language/schema/raw/master/csl-citation.json"}</w:instrText>
      </w:r>
      <w:r w:rsidRPr="0041599E">
        <w:rPr>
          <w:color w:val="000000"/>
          <w:sz w:val="24"/>
          <w:szCs w:val="24"/>
          <w:lang w:val="en-GB"/>
        </w:rPr>
        <w:fldChar w:fldCharType="separate"/>
      </w:r>
      <w:r w:rsidR="00711A71" w:rsidRPr="00711A71">
        <w:rPr>
          <w:noProof/>
          <w:color w:val="000000"/>
          <w:sz w:val="24"/>
          <w:szCs w:val="24"/>
          <w:vertAlign w:val="superscript"/>
          <w:lang w:val="en-GB"/>
        </w:rPr>
        <w:t>81</w:t>
      </w:r>
      <w:r w:rsidRPr="0041599E">
        <w:rPr>
          <w:color w:val="000000"/>
          <w:sz w:val="24"/>
          <w:szCs w:val="24"/>
          <w:lang w:val="en-GB"/>
        </w:rPr>
        <w:fldChar w:fldCharType="end"/>
      </w:r>
      <w:r w:rsidRPr="0041599E">
        <w:rPr>
          <w:color w:val="000000"/>
          <w:sz w:val="24"/>
          <w:szCs w:val="24"/>
          <w:lang w:val="en-GB"/>
        </w:rPr>
        <w:t>, see also www.cinsr.dk for other publications from this cohort.</w:t>
      </w:r>
    </w:p>
    <w:p w14:paraId="01315696" w14:textId="3E65BA24" w:rsidR="00716BDA" w:rsidRPr="0041599E" w:rsidRDefault="00716BDA" w:rsidP="00716BDA">
      <w:pPr>
        <w:spacing w:line="360" w:lineRule="auto"/>
        <w:rPr>
          <w:color w:val="000000"/>
          <w:sz w:val="24"/>
          <w:szCs w:val="24"/>
          <w:lang w:val="en-GB"/>
        </w:rPr>
      </w:pPr>
      <w:r w:rsidRPr="0041599E">
        <w:rPr>
          <w:sz w:val="24"/>
          <w:szCs w:val="24"/>
        </w:rPr>
        <w:t xml:space="preserve">Study 2: PECANS II. A total of 65 patients and 57 healthy controls were recruited, and the cohort was initially presented in </w:t>
      </w:r>
      <w:r w:rsidRPr="0041599E">
        <w:rPr>
          <w:rFonts w:cstheme="minorHAnsi"/>
          <w:sz w:val="24"/>
          <w:szCs w:val="24"/>
        </w:rPr>
        <w:t>Bojesen et al (2020)</w:t>
      </w:r>
      <w:r w:rsidRPr="0041599E">
        <w:rPr>
          <w:rFonts w:cstheme="minorHAnsi"/>
          <w:sz w:val="24"/>
          <w:szCs w:val="24"/>
        </w:rPr>
        <w:fldChar w:fldCharType="begin" w:fldLock="1"/>
      </w:r>
      <w:r>
        <w:rPr>
          <w:rFonts w:cstheme="minorHAnsi"/>
          <w:sz w:val="24"/>
          <w:szCs w:val="24"/>
        </w:rPr>
        <w:instrText>ADDIN CSL_CITATION {"citationItems":[{"id":"ITEM-1","itemData":{"DOI":"10.1016/j.biopsych.2020.06.027","ISSN":"00063223","abstract":"&lt;h3 class=\"u-h4 u-margin-m-top u-margin-xs-bottom\"&gt;Background&lt;/h3&gt;&lt;p&gt;Abnormal glutamate and gamma-aminobutyric acid (GABA) levels have been found in the early phase of schizophrenia and may underlie cognitive deficits. However, the association between cognitive function and levels of glutamatergic metabolites and GABA has not been investigated in a large group of antipsychotic-naïve patients.&lt;/p&gt;&lt;h3 class=\"u-h4 u-margin-m-top u-margin-xs-bottom\"&gt;Methods&lt;/h3&gt;&lt;p&gt;Fifty-six antipsychotic-naïve patients with schizophrenia or psychotic disorder and 51 healthy controls underwent magnetic resonance spectroscopy to measure glutamate, glutamate+glutamine (glx), and GABA levels in dorsal anterior cingulate cortex (ACC) and glutamate and glx levels in left thalamus. The cognitive domains attention, working memory, and IQ were assessed.&lt;/p&gt;&lt;h3 class=\"u-h4 u-margin-m-top u-margin-xs-bottom\"&gt;Results&lt;/h3&gt;&lt;p&gt;The whole group of antipsychotic-naïve patients had lower levels of GABA in dorsal ACC (p=0.03) and the subgroup of patients with a schizophrenia diagnosis had higher glutamate levels in thalamus (p=0.01), but glx levels in dorsal ACC and thalamus did not differ between groups. Glx levels in dorsal ACC were positively associated with working memory (logarithmically transformed: b=-0.016 (higher score indicates worse performance), p=0.005) and attention (b=0.056, p=0.035) in both patients and healthy controls, although the association with attention did not survive adjustment for multiple comparisons.&lt;/p&gt;&lt;h3 class=\"u-h4 u-margin-m-top u-margin-xs-bottom\"&gt;Conclusions&lt;/h3&gt;&lt;p&gt;The findings suggest a positive association between glutamatergic metabolites and cognitive function that do not differ between patients and healthy controls. Moreover, our data indicate that decreased GABAergic levels in dorsal ACC are involved in schizophrenia and psychotic disorder, whereas increased glutamate levels in thalamus seem implicated in the schizophrenia pathophysiology. The findings imply that first-episode patients with cognitive deficits may gain from glutamate modulating compounds.&lt;/p&gt;","author":[{"dropping-particle":"","family":"Bojesen","given":"Kirsten Borup","non-dropping-particle":"","parse-names":false,"suffix":""},{"dropping-particle":"","family":"Broberg","given":"Brian Villumsen","non-dropping-particle":"","parse-names":false,"suffix":""},{"dropping-particle":"","family":"Fagerlund","given":"Birgitte","non-dropping-particle":"","parse-names":false,"suffix":""},{"dropping-particle":"","family":"Jessen","given":"Kasper","non-dropping-particle":"","parse-names":false,"suffix":""},{"dropping-particle":"","family":"Thomas","given":"Marie Bjerregaard","non-dropping-particle":"","parse-names":false,"suffix":""},{"dropping-particle":"","family":"Sigvard","given":"Anne","non-dropping-particle":"","parse-names":false,"suffix":""},{"dropping-particle":"","family":"Tangmose","given":"Karen","non-dropping-particle":"","parse-names":false,"suffix":""},{"dropping-particle":"","family":"Nielsen","given":"Mette Ødegaard","non-dropping-particle":"","parse-names":false,"suffix":""},{"dropping-particle":"","family":"Andersen","given":"Gitte Saltoft","non-dropping-particle":"","parse-names":false,"suffix":""},{"dropping-particle":"","family":"Wiberg Larsson","given":"Henrik Bo","non-dropping-particle":"","parse-names":false,"suffix":""},{"dropping-particle":"","family":"Edden","given":"Richard A.E.","non-dropping-particle":"","parse-names":false,"suffix":""},{"dropping-particle":"","family":"Rostrup","given":"Egill","non-dropping-particle":"","parse-names":false,"suffix":""},{"dropping-particle":"","family":"Glenthøj","given":"Birte","non-dropping-particle":"","parse-names":false,"suffix":""}],"container-title":"Biological Psychiatry","id":"ITEM-1","issued":{"date-parts":[["2020"]]},"publisher":"Society of Biological Psychiatry","title":"Associations between cognitive function and levels of glutamatergic metabolites and GABA in antipsychotic-naïve patients with schizophrenia or psychosis","type":"article-journal"},"uris":["http://www.mendeley.com/documents/?uuid=8cdd4438-3bce-4caa-96be-796372d5d2a9"]}],"mendeley":{"formattedCitation":"&lt;sup&gt;20&lt;/sup&gt;","plainTextFormattedCitation":"20","previouslyFormattedCitation":"&lt;sup&gt;20&lt;/sup&gt;"},"properties":{"noteIndex":0},"schema":"https://github.com/citation-style-language/schema/raw/master/csl-citation.json"}</w:instrText>
      </w:r>
      <w:r w:rsidRPr="0041599E">
        <w:rPr>
          <w:rFonts w:cstheme="minorHAnsi"/>
          <w:sz w:val="24"/>
          <w:szCs w:val="24"/>
        </w:rPr>
        <w:fldChar w:fldCharType="separate"/>
      </w:r>
      <w:r w:rsidRPr="00C0013B">
        <w:rPr>
          <w:rFonts w:cstheme="minorHAnsi"/>
          <w:noProof/>
          <w:sz w:val="24"/>
          <w:szCs w:val="24"/>
          <w:vertAlign w:val="superscript"/>
        </w:rPr>
        <w:t>20</w:t>
      </w:r>
      <w:r w:rsidRPr="0041599E">
        <w:rPr>
          <w:rFonts w:cstheme="minorHAnsi"/>
          <w:sz w:val="24"/>
          <w:szCs w:val="24"/>
        </w:rPr>
        <w:fldChar w:fldCharType="end"/>
      </w:r>
      <w:r w:rsidRPr="0041599E">
        <w:rPr>
          <w:rFonts w:cstheme="minorHAnsi"/>
          <w:sz w:val="24"/>
          <w:szCs w:val="24"/>
        </w:rPr>
        <w:t>.</w:t>
      </w:r>
      <w:r w:rsidRPr="0041599E">
        <w:rPr>
          <w:sz w:val="24"/>
          <w:szCs w:val="24"/>
        </w:rPr>
        <w:t xml:space="preserve"> </w:t>
      </w:r>
      <w:r w:rsidRPr="0041599E">
        <w:rPr>
          <w:color w:val="000000"/>
          <w:sz w:val="24"/>
          <w:szCs w:val="24"/>
          <w:lang w:val="en-GB"/>
        </w:rPr>
        <w:t xml:space="preserve">Inclusion criteria for patients were here extended to fulfilment of diagnostic criteria for schizophrenia, schizoaffective disorder, </w:t>
      </w:r>
      <w:r w:rsidRPr="0041599E">
        <w:rPr>
          <w:color w:val="000000"/>
          <w:sz w:val="24"/>
          <w:szCs w:val="24"/>
          <w:u w:val="single"/>
          <w:lang w:val="en-GB"/>
        </w:rPr>
        <w:t>or</w:t>
      </w:r>
      <w:r w:rsidRPr="0041599E">
        <w:rPr>
          <w:color w:val="000000"/>
          <w:sz w:val="24"/>
          <w:szCs w:val="24"/>
          <w:lang w:val="en-GB"/>
        </w:rPr>
        <w:t xml:space="preserve"> non-organic psychosis according to ICD-10 criteria (DF 20.X assessed with the Schedules for Clinical Assessment in Neuropsychiatry (SCAN) (38). PECANS II</w:t>
      </w:r>
      <w:r w:rsidRPr="0041599E">
        <w:rPr>
          <w:sz w:val="24"/>
          <w:szCs w:val="24"/>
        </w:rPr>
        <w:t xml:space="preserve"> was a longitudinal cohort study in which participants underwent clinical assessment and magnetic resonance imaging at 4 visits: before first antipsychotic treatment (baseline), after 6 weeks of monotherapy with aripiprazole, and after 6 months and 2 years of naturalistic treatment. Data from this study has been used in a study examining the differential effects of age at illness onset on verbal memory functions in antipsychotic-naïve schizophrenia patients aged 12–43 years</w:t>
      </w:r>
      <w:r w:rsidRPr="0041599E">
        <w:rPr>
          <w:sz w:val="24"/>
          <w:szCs w:val="24"/>
        </w:rPr>
        <w:fldChar w:fldCharType="begin" w:fldLock="1"/>
      </w:r>
      <w:r w:rsidR="00E417DE">
        <w:rPr>
          <w:sz w:val="24"/>
          <w:szCs w:val="24"/>
        </w:rPr>
        <w:instrText>ADDIN CSL_CITATION {"citationItems":[{"id":"ITEM-1","itemData":{"DOI":"10.1017/S0033291720000409","ISSN":"14698978","PMID":"32156323","abstract":"Background The typical onset of schizophrenia coincides with the maturational peak in cognition; however, for a significant proportion of patients the onset is before age 18 and after age 30 years. While cognitive deficits are considered core features of schizophrenia, few studies have directly examined the impact of age of illness onset on cognition. Methods The aim of the study was to examine if the effects of age on cognition differ between healthy controls (HCs) and patients with schizophrenia at illness onset. We examined 156 first-episode antipsychotic-naïve patients across a wide age span (12-43 years), and 161 age- and sex-matched HCs. Diagnoses were made according to ICD-10 criteria. Cognition was assessed using the Brief Assessment of Cognition in Schizophrenia (BACS), and IQ was estimated using subtests from the Wechsler adult- or child-intelligence scales. Multivariate analysis of covariance (MANCOVA) was used to examine linear and quadratic effects of age on cognitive scores and interactions by group, including sex and parental socioeconomic status as covariates. Results There was a significant overall effect of age on BACS and IQ (p &lt; 0.001). Significant group-by-age interactions for verbal memory (for age-squared, p = 0.009), and digit sequencing (for age, p = 0.01; age-squared, p &lt; 0.001), indicated differential age-related trajectories between patients and HCs. Conclusions Cognitive functions showing protracted maturation into adulthood, such as verbal memory and verbal working memory, may be particularly impaired in both early- and late-schizophrenia onset. Our findings indicate a potential interaction between the timing of neurodevelopmental maturation and a possible premature age effect in late-onset schizophrenia.","author":[{"dropping-particle":"","family":"Fagerlund","given":"Birgitte","non-dropping-particle":"","parse-names":false,"suffix":""},{"dropping-particle":"","family":"Pantelis","given":"Christos","non-dropping-particle":"","parse-names":false,"suffix":""},{"dropping-particle":"","family":"Jepsen","given":"Jens Richardt Mollegaard","non-dropping-particle":"","parse-names":false,"suffix":""},{"dropping-particle":"","family":"Raghava","given":"Jayachandra Mitta","non-dropping-particle":"","parse-names":false,"suffix":""},{"dropping-particle":"","family":"Rostrup","given":"Egill","non-dropping-particle":"","parse-names":false,"suffix":""},{"dropping-particle":"","family":"Thomas","given":"Marie Bjerregaard","non-dropping-particle":"","parse-names":false,"suffix":""},{"dropping-particle":"","family":"Nielsen","given":"Mette Odegaard","non-dropping-particle":"","parse-names":false,"suffix":""},{"dropping-particle":"","family":"Bojesen","given":"Kirsten","non-dropping-particle":"","parse-names":false,"suffix":""},{"dropping-particle":"","family":"Jensen","given":"Karsten Gjessing","non-dropping-particle":"","parse-names":false,"suffix":""},{"dropping-particle":"","family":"Stentebjerg-Decara","given":"Marie","non-dropping-particle":"","parse-names":false,"suffix":""},{"dropping-particle":"","family":"Klauber","given":"Dea Gowers","non-dropping-particle":"","parse-names":false,"suffix":""},{"dropping-particle":"","family":"Rudå","given":"Ditte","non-dropping-particle":"","parse-names":false,"suffix":""},{"dropping-particle":"","family":"Ebdrup","given":"Bjorn H.","non-dropping-particle":"","parse-names":false,"suffix":""},{"dropping-particle":"","family":"Jessen","given":"Kasper","non-dropping-particle":"","parse-names":false,"suffix":""},{"dropping-particle":"","family":"Sigvard","given":"Anne","non-dropping-particle":"","parse-names":false,"suffix":""},{"dropping-particle":"","family":"Tangmose","given":"Karen","non-dropping-particle":"","parse-names":false,"suffix":""},{"dropping-particle":"","family":"Jeppesen","given":"Pia","non-dropping-particle":"","parse-names":false,"suffix":""},{"dropping-particle":"","family":"Correll","given":"Christoph U.","non-dropping-particle":"","parse-names":false,"suffix":""},{"dropping-particle":"","family":"Fink-Jensen","given":"Anders","non-dropping-particle":"","parse-names":false,"suffix":""},{"dropping-particle":"","family":"Pagsberg","given":"Anne Katrine","non-dropping-particle":"","parse-names":false,"suffix":""},{"dropping-particle":"","family":"Glenthoj","given":"Birte Yding","non-dropping-particle":"","parse-names":false,"suffix":""}],"container-title":"Psychological Medicine","id":"ITEM-1","issue":"9","issued":{"date-parts":[["2021"]]},"page":"1570-1580","title":"Differential effects of age at illness onset on verbal memory functions in antipsychotic-naïve schizophrenia patients aged 12-43 years","type":"article-journal","volume":"51"},"uris":["http://www.mendeley.com/documents/?uuid=26d98a98-085b-4640-b599-1fd89fde489c"]}],"mendeley":{"formattedCitation":"&lt;sup&gt;82&lt;/sup&gt;","plainTextFormattedCitation":"82","previouslyFormattedCitation":"&lt;sup&gt;82&lt;/sup&gt;"},"properties":{"noteIndex":0},"schema":"https://github.com/citation-style-language/schema/raw/master/csl-citation.json"}</w:instrText>
      </w:r>
      <w:r w:rsidRPr="0041599E">
        <w:rPr>
          <w:sz w:val="24"/>
          <w:szCs w:val="24"/>
        </w:rPr>
        <w:fldChar w:fldCharType="separate"/>
      </w:r>
      <w:r w:rsidR="00711A71" w:rsidRPr="00711A71">
        <w:rPr>
          <w:noProof/>
          <w:sz w:val="24"/>
          <w:szCs w:val="24"/>
          <w:vertAlign w:val="superscript"/>
        </w:rPr>
        <w:t>82</w:t>
      </w:r>
      <w:r w:rsidRPr="0041599E">
        <w:rPr>
          <w:sz w:val="24"/>
          <w:szCs w:val="24"/>
        </w:rPr>
        <w:fldChar w:fldCharType="end"/>
      </w:r>
      <w:r w:rsidRPr="0041599E">
        <w:rPr>
          <w:color w:val="000000"/>
          <w:sz w:val="24"/>
          <w:szCs w:val="24"/>
          <w:lang w:val="en-GB"/>
        </w:rPr>
        <w:t>, see also www.cinsr.dk for other publications from this cohort.</w:t>
      </w:r>
    </w:p>
    <w:p w14:paraId="5CD36A3E" w14:textId="77777777" w:rsidR="00716BDA" w:rsidRDefault="00716BDA" w:rsidP="00716BDA">
      <w:pPr>
        <w:spacing w:line="360" w:lineRule="auto"/>
        <w:rPr>
          <w:color w:val="000000"/>
          <w:sz w:val="24"/>
          <w:szCs w:val="24"/>
          <w:lang w:val="en-GB"/>
        </w:rPr>
      </w:pPr>
    </w:p>
    <w:p w14:paraId="359FBDBE" w14:textId="77777777" w:rsidR="00716BDA" w:rsidRPr="0041599E" w:rsidRDefault="00716BDA" w:rsidP="00716BDA">
      <w:pPr>
        <w:spacing w:line="360" w:lineRule="auto"/>
        <w:rPr>
          <w:color w:val="000000"/>
          <w:sz w:val="24"/>
          <w:szCs w:val="24"/>
          <w:lang w:val="en-GB"/>
        </w:rPr>
      </w:pPr>
      <w:r>
        <w:rPr>
          <w:sz w:val="24"/>
          <w:szCs w:val="24"/>
          <w:u w:val="single"/>
        </w:rPr>
        <w:t>SCZ</w:t>
      </w:r>
      <w:r w:rsidRPr="0041599E">
        <w:rPr>
          <w:sz w:val="24"/>
          <w:szCs w:val="24"/>
          <w:u w:val="single"/>
        </w:rPr>
        <w:t xml:space="preserve"> patients:</w:t>
      </w:r>
    </w:p>
    <w:p w14:paraId="4C3EF292" w14:textId="77777777" w:rsidR="00716BDA" w:rsidRPr="00083D2F" w:rsidRDefault="00716BDA" w:rsidP="00716BDA">
      <w:pPr>
        <w:spacing w:line="360" w:lineRule="auto"/>
        <w:rPr>
          <w:sz w:val="24"/>
          <w:szCs w:val="24"/>
        </w:rPr>
      </w:pPr>
      <w:r w:rsidRPr="0041599E">
        <w:rPr>
          <w:color w:val="000000"/>
          <w:sz w:val="24"/>
          <w:szCs w:val="24"/>
          <w:lang w:val="en-GB"/>
        </w:rPr>
        <w:t xml:space="preserve">Study 5: VIP. </w:t>
      </w:r>
      <w:r w:rsidRPr="0041599E">
        <w:rPr>
          <w:color w:val="000000"/>
          <w:sz w:val="24"/>
          <w:szCs w:val="24"/>
        </w:rPr>
        <w:t xml:space="preserve">The participants with schizophrenia were part of the Vulnerability Indicators of Psychosis (VIP) study, which has been approved by The Danish Health and Medicines Authority, The Danish Data Protection Agency (2010-41-5468), and The Danish National Committee on Health Research Ethics (H-2-2010-128). </w:t>
      </w:r>
      <w:r w:rsidRPr="0041599E">
        <w:rPr>
          <w:sz w:val="24"/>
          <w:szCs w:val="24"/>
        </w:rPr>
        <w:t>All participants provided oral and written informed consent prior to inclusion in the study.</w:t>
      </w:r>
      <w:r w:rsidRPr="0041599E">
        <w:rPr>
          <w:color w:val="000000"/>
          <w:sz w:val="24"/>
          <w:szCs w:val="24"/>
        </w:rPr>
        <w:t xml:space="preserve"> Data have previously been published (</w:t>
      </w:r>
      <w:proofErr w:type="spellStart"/>
      <w:r w:rsidRPr="0041599E">
        <w:rPr>
          <w:color w:val="000000"/>
          <w:sz w:val="24"/>
          <w:szCs w:val="24"/>
        </w:rPr>
        <w:t>Legind</w:t>
      </w:r>
      <w:proofErr w:type="spellEnd"/>
      <w:r w:rsidRPr="0041599E">
        <w:rPr>
          <w:color w:val="000000"/>
          <w:sz w:val="24"/>
          <w:szCs w:val="24"/>
        </w:rPr>
        <w:t xml:space="preserve"> et al., </w:t>
      </w:r>
      <w:r w:rsidRPr="0041599E">
        <w:rPr>
          <w:color w:val="0000FF"/>
          <w:sz w:val="24"/>
          <w:szCs w:val="24"/>
        </w:rPr>
        <w:t>2019a</w:t>
      </w:r>
      <w:r w:rsidRPr="0041599E">
        <w:rPr>
          <w:color w:val="000000"/>
          <w:sz w:val="24"/>
          <w:szCs w:val="24"/>
        </w:rPr>
        <w:t xml:space="preserve">, </w:t>
      </w:r>
      <w:r w:rsidRPr="0041599E">
        <w:rPr>
          <w:color w:val="0000FF"/>
          <w:sz w:val="24"/>
          <w:szCs w:val="24"/>
        </w:rPr>
        <w:t>2019b</w:t>
      </w:r>
      <w:r w:rsidRPr="0041599E">
        <w:rPr>
          <w:color w:val="000000"/>
          <w:sz w:val="24"/>
          <w:szCs w:val="24"/>
        </w:rPr>
        <w:t>).</w:t>
      </w:r>
    </w:p>
    <w:p w14:paraId="25ECAEFF" w14:textId="77777777" w:rsidR="00716BDA" w:rsidRPr="0041599E" w:rsidRDefault="00716BDA" w:rsidP="00716BDA">
      <w:pPr>
        <w:autoSpaceDE w:val="0"/>
        <w:autoSpaceDN w:val="0"/>
        <w:adjustRightInd w:val="0"/>
        <w:spacing w:after="0" w:line="360" w:lineRule="auto"/>
        <w:rPr>
          <w:color w:val="000000"/>
          <w:sz w:val="24"/>
          <w:szCs w:val="24"/>
        </w:rPr>
      </w:pPr>
      <w:r w:rsidRPr="0041599E">
        <w:rPr>
          <w:color w:val="000000"/>
          <w:sz w:val="24"/>
          <w:szCs w:val="24"/>
        </w:rPr>
        <w:t xml:space="preserve">To identify monozygotic (MZ) and dizygotic (DZ) twin pairs concordant or discordant for a diagnosis in the schizophrenia spectrum (main or secondary lifetime diagnosis in ICD-8 of 295, 297, 298.29, 298.39, 298.89, 298.99, 299.05, 299.09, 301.09, 301.29, or in ICD-10 of </w:t>
      </w:r>
      <w:r w:rsidRPr="0041599E">
        <w:rPr>
          <w:color w:val="000000"/>
          <w:sz w:val="24"/>
          <w:szCs w:val="24"/>
        </w:rPr>
        <w:lastRenderedPageBreak/>
        <w:t>F2x.x), The Danish Twin Register (</w:t>
      </w:r>
      <w:proofErr w:type="spellStart"/>
      <w:r w:rsidRPr="0041599E">
        <w:rPr>
          <w:color w:val="000000"/>
          <w:sz w:val="24"/>
          <w:szCs w:val="24"/>
        </w:rPr>
        <w:t>Skytthe</w:t>
      </w:r>
      <w:proofErr w:type="spellEnd"/>
      <w:r w:rsidRPr="0041599E">
        <w:rPr>
          <w:color w:val="000000"/>
          <w:sz w:val="24"/>
          <w:szCs w:val="24"/>
        </w:rPr>
        <w:t xml:space="preserve">, Ohm </w:t>
      </w:r>
      <w:proofErr w:type="spellStart"/>
      <w:r w:rsidRPr="0041599E">
        <w:rPr>
          <w:color w:val="000000"/>
          <w:sz w:val="24"/>
          <w:szCs w:val="24"/>
        </w:rPr>
        <w:t>Kyvik</w:t>
      </w:r>
      <w:proofErr w:type="spellEnd"/>
      <w:r w:rsidRPr="0041599E">
        <w:rPr>
          <w:color w:val="000000"/>
          <w:sz w:val="24"/>
          <w:szCs w:val="24"/>
        </w:rPr>
        <w:t xml:space="preserve">, </w:t>
      </w:r>
      <w:proofErr w:type="spellStart"/>
      <w:r w:rsidRPr="0041599E">
        <w:rPr>
          <w:color w:val="000000"/>
          <w:sz w:val="24"/>
          <w:szCs w:val="24"/>
        </w:rPr>
        <w:t>Vilstrup</w:t>
      </w:r>
      <w:proofErr w:type="spellEnd"/>
      <w:r w:rsidRPr="0041599E">
        <w:rPr>
          <w:color w:val="000000"/>
          <w:sz w:val="24"/>
          <w:szCs w:val="24"/>
        </w:rPr>
        <w:t xml:space="preserve"> Holm, &amp; Christensen, </w:t>
      </w:r>
      <w:r w:rsidRPr="0041599E">
        <w:rPr>
          <w:color w:val="0000FF"/>
          <w:sz w:val="24"/>
          <w:szCs w:val="24"/>
        </w:rPr>
        <w:t>2011</w:t>
      </w:r>
      <w:r w:rsidRPr="0041599E">
        <w:rPr>
          <w:color w:val="000000"/>
          <w:sz w:val="24"/>
          <w:szCs w:val="24"/>
        </w:rPr>
        <w:t xml:space="preserve">) was linked with The Danish Psychiatric Central Research Register (Mors, </w:t>
      </w:r>
      <w:proofErr w:type="spellStart"/>
      <w:r w:rsidRPr="0041599E">
        <w:rPr>
          <w:color w:val="000000"/>
          <w:sz w:val="24"/>
          <w:szCs w:val="24"/>
        </w:rPr>
        <w:t>Perto</w:t>
      </w:r>
      <w:proofErr w:type="spellEnd"/>
      <w:r w:rsidRPr="0041599E">
        <w:rPr>
          <w:color w:val="000000"/>
          <w:sz w:val="24"/>
          <w:szCs w:val="24"/>
        </w:rPr>
        <w:t xml:space="preserve">, &amp; Mortensen, </w:t>
      </w:r>
      <w:r w:rsidRPr="0041599E">
        <w:rPr>
          <w:color w:val="0000FF"/>
          <w:sz w:val="24"/>
          <w:szCs w:val="24"/>
        </w:rPr>
        <w:t>2011</w:t>
      </w:r>
      <w:r w:rsidRPr="0041599E">
        <w:rPr>
          <w:color w:val="000000"/>
          <w:sz w:val="24"/>
          <w:szCs w:val="24"/>
        </w:rPr>
        <w:t>). Zygosity was verified by blood samples (</w:t>
      </w:r>
      <w:proofErr w:type="spellStart"/>
      <w:r w:rsidRPr="0041599E">
        <w:rPr>
          <w:color w:val="000000"/>
          <w:sz w:val="24"/>
          <w:szCs w:val="24"/>
        </w:rPr>
        <w:t>PsychCHIP</w:t>
      </w:r>
      <w:proofErr w:type="spellEnd"/>
      <w:r w:rsidRPr="0041599E">
        <w:rPr>
          <w:color w:val="000000"/>
          <w:sz w:val="24"/>
          <w:szCs w:val="24"/>
        </w:rPr>
        <w:t xml:space="preserve"> v.1-1, Illumina, San Diego, California, USA). In cases where DNA was not available (N = 17) register-based information was used. Register diagnoses were verified according to ICD-10 criteria using the Schedules for Clinical Assessment in Neuropsychiatry (SCAN) interview (Wing et al., </w:t>
      </w:r>
      <w:r w:rsidRPr="0041599E">
        <w:rPr>
          <w:color w:val="0000FF"/>
          <w:sz w:val="24"/>
          <w:szCs w:val="24"/>
        </w:rPr>
        <w:t>1990</w:t>
      </w:r>
      <w:r w:rsidRPr="0041599E">
        <w:rPr>
          <w:color w:val="000000"/>
          <w:sz w:val="24"/>
          <w:szCs w:val="24"/>
        </w:rPr>
        <w:t xml:space="preserve">). In cases of discrepancy between the register and project diagnosis, the project diagnosis was used. The baseline population was restricted to twin pairs aged 18–60 years, where both twins were alive and resided in Denmark (MZ = 61, DZ = 143). All MZ pairs were invited to participate in clinical examinations. DZ proband pairs and healthy control (HC) pairs were </w:t>
      </w:r>
      <w:r w:rsidRPr="0041599E">
        <w:rPr>
          <w:sz w:val="24"/>
          <w:szCs w:val="24"/>
        </w:rPr>
        <w:t>subsequently recruited and matched on age and gender according</w:t>
      </w:r>
      <w:r w:rsidRPr="0041599E">
        <w:rPr>
          <w:color w:val="000000"/>
          <w:sz w:val="24"/>
          <w:szCs w:val="24"/>
        </w:rPr>
        <w:t xml:space="preserve"> </w:t>
      </w:r>
      <w:r w:rsidRPr="0041599E">
        <w:rPr>
          <w:sz w:val="24"/>
          <w:szCs w:val="24"/>
        </w:rPr>
        <w:t>to the included MZ proband pairs. Exclusion criteria included</w:t>
      </w:r>
      <w:r w:rsidRPr="0041599E">
        <w:rPr>
          <w:color w:val="000000"/>
          <w:sz w:val="24"/>
          <w:szCs w:val="24"/>
        </w:rPr>
        <w:t xml:space="preserve"> </w:t>
      </w:r>
      <w:r w:rsidRPr="0041599E">
        <w:rPr>
          <w:sz w:val="24"/>
          <w:szCs w:val="24"/>
        </w:rPr>
        <w:t>serious head trauma (recorded in the medical journal), drugs/</w:t>
      </w:r>
      <w:r w:rsidRPr="0041599E">
        <w:rPr>
          <w:color w:val="000000"/>
          <w:sz w:val="24"/>
          <w:szCs w:val="24"/>
        </w:rPr>
        <w:t xml:space="preserve"> </w:t>
      </w:r>
      <w:r w:rsidRPr="0041599E">
        <w:rPr>
          <w:sz w:val="24"/>
          <w:szCs w:val="24"/>
        </w:rPr>
        <w:t>alcohol addiction, serious physical illness, and pregnancy (due</w:t>
      </w:r>
    </w:p>
    <w:p w14:paraId="04022BF5" w14:textId="77777777" w:rsidR="00716BDA" w:rsidRPr="0041599E" w:rsidRDefault="00716BDA" w:rsidP="00716BDA">
      <w:pPr>
        <w:autoSpaceDE w:val="0"/>
        <w:autoSpaceDN w:val="0"/>
        <w:adjustRightInd w:val="0"/>
        <w:spacing w:after="0" w:line="360" w:lineRule="auto"/>
        <w:rPr>
          <w:sz w:val="24"/>
          <w:szCs w:val="24"/>
        </w:rPr>
      </w:pPr>
      <w:r w:rsidRPr="0041599E">
        <w:rPr>
          <w:sz w:val="24"/>
          <w:szCs w:val="24"/>
        </w:rPr>
        <w:t xml:space="preserve">to MRI scans). HC pairs were excluded based on the presence of a diagnosis of major psychosis in any first-degree relatives (F2x.x, F30, F31, and F32.3). A total of 214 individuals participated in cognitive assessments: 32 complete MZ and 22 complete DZ proband pairs and 29 complete MZ and 20 complete DZ HC pairs. Five of the complete MZ proband pairs were concordant for a schizophrenia spectrum diagnosis. All the DZ proband pairs were discordant for the disease. Additionally, eight twins from proband pairs participated without their sibling (MZ patient = 1, MZ co twin = 1, DZ patient = 3, DZ co twin = 3). In the present study, we only included MZ and DZ patients, and excluded the proband co-twin to ensure independent </w:t>
      </w:r>
      <w:proofErr w:type="gramStart"/>
      <w:r w:rsidRPr="0041599E">
        <w:rPr>
          <w:sz w:val="24"/>
          <w:szCs w:val="24"/>
        </w:rPr>
        <w:t>data;</w:t>
      </w:r>
      <w:proofErr w:type="gramEnd"/>
      <w:r w:rsidRPr="0041599E">
        <w:rPr>
          <w:sz w:val="24"/>
          <w:szCs w:val="24"/>
        </w:rPr>
        <w:t xml:space="preserve"> similarly in the sample of healthy controls.</w:t>
      </w:r>
    </w:p>
    <w:p w14:paraId="625CF5C6" w14:textId="77777777" w:rsidR="00716BDA" w:rsidRPr="0041599E" w:rsidRDefault="00716BDA" w:rsidP="00716BDA">
      <w:pPr>
        <w:spacing w:line="360" w:lineRule="auto"/>
        <w:rPr>
          <w:color w:val="000000"/>
          <w:sz w:val="24"/>
          <w:szCs w:val="24"/>
        </w:rPr>
      </w:pPr>
      <w:r w:rsidRPr="0041599E">
        <w:rPr>
          <w:color w:val="000000"/>
          <w:sz w:val="24"/>
          <w:szCs w:val="24"/>
        </w:rPr>
        <w:t xml:space="preserve">General exclusion criteria </w:t>
      </w:r>
      <w:proofErr w:type="gramStart"/>
      <w:r w:rsidRPr="0041599E">
        <w:rPr>
          <w:color w:val="000000"/>
          <w:sz w:val="24"/>
          <w:szCs w:val="24"/>
        </w:rPr>
        <w:t>were:</w:t>
      </w:r>
      <w:proofErr w:type="gramEnd"/>
      <w:r w:rsidRPr="0041599E">
        <w:rPr>
          <w:color w:val="000000"/>
          <w:sz w:val="24"/>
          <w:szCs w:val="24"/>
        </w:rPr>
        <w:t xml:space="preserve"> serious physical illness, current addiction to alcohol or illicit drugs, serious head trauma (loss of consciousness of more than 5 minutes), and pregnancy. Diagnoses were confirmed with semi-structured interviews: Schedules for Clinical Assessment in Neuropsychiatry 2.0 (Ref) and Comprehensive Assessment of </w:t>
      </w:r>
      <w:proofErr w:type="gramStart"/>
      <w:r w:rsidRPr="0041599E">
        <w:rPr>
          <w:color w:val="000000"/>
          <w:sz w:val="24"/>
          <w:szCs w:val="24"/>
        </w:rPr>
        <w:t>At Risk</w:t>
      </w:r>
      <w:proofErr w:type="gramEnd"/>
      <w:r w:rsidRPr="0041599E">
        <w:rPr>
          <w:color w:val="000000"/>
          <w:sz w:val="24"/>
          <w:szCs w:val="24"/>
        </w:rPr>
        <w:t xml:space="preserve"> Mental State. (Ref) The study was conducted in accordance with the Declaration of Helsinki II and approved by the National Committee on Health Research ethics (journal number H-2-2010-1289) and the Data Protection Agency (journal number 2010-41-5468).</w:t>
      </w:r>
    </w:p>
    <w:p w14:paraId="234D875F" w14:textId="77777777" w:rsidR="00716BDA" w:rsidRDefault="00716BDA" w:rsidP="00716BDA">
      <w:r>
        <w:br w:type="page"/>
      </w:r>
    </w:p>
    <w:p w14:paraId="704F0433" w14:textId="77777777" w:rsidR="00716BDA" w:rsidRPr="00083D2F" w:rsidRDefault="00716BDA" w:rsidP="00716BDA">
      <w:pPr>
        <w:spacing w:line="360" w:lineRule="auto"/>
        <w:rPr>
          <w:b/>
          <w:bCs/>
          <w:sz w:val="24"/>
          <w:szCs w:val="24"/>
        </w:rPr>
      </w:pPr>
      <w:r w:rsidRPr="00083D2F">
        <w:rPr>
          <w:b/>
          <w:bCs/>
          <w:sz w:val="24"/>
          <w:szCs w:val="24"/>
        </w:rPr>
        <w:lastRenderedPageBreak/>
        <w:t xml:space="preserve">Supplementary Text S2 </w:t>
      </w:r>
      <w:proofErr w:type="spellStart"/>
      <w:r w:rsidRPr="00083D2F">
        <w:rPr>
          <w:b/>
          <w:bCs/>
          <w:sz w:val="24"/>
          <w:szCs w:val="24"/>
        </w:rPr>
        <w:t>Convertion</w:t>
      </w:r>
      <w:proofErr w:type="spellEnd"/>
      <w:r w:rsidRPr="00083D2F">
        <w:rPr>
          <w:b/>
          <w:bCs/>
          <w:sz w:val="24"/>
          <w:szCs w:val="24"/>
        </w:rPr>
        <w:t xml:space="preserve"> between scales of functional measures</w:t>
      </w:r>
    </w:p>
    <w:p w14:paraId="22611DAD" w14:textId="77777777" w:rsidR="00716BDA" w:rsidRPr="00083D2F" w:rsidRDefault="00716BDA" w:rsidP="00E4539C">
      <w:pPr>
        <w:autoSpaceDE w:val="0"/>
        <w:autoSpaceDN w:val="0"/>
        <w:adjustRightInd w:val="0"/>
        <w:spacing w:line="360" w:lineRule="auto"/>
        <w:rPr>
          <w:sz w:val="24"/>
          <w:szCs w:val="24"/>
          <w:lang w:val="en-GB"/>
        </w:rPr>
      </w:pPr>
      <w:r w:rsidRPr="00083D2F">
        <w:rPr>
          <w:sz w:val="24"/>
          <w:szCs w:val="24"/>
          <w:lang w:val="en-GB"/>
        </w:rPr>
        <w:t>As some participants had functional level assessed with both PSP and SOFAS, we were able to use the converting formula as described in van Erp et al (2014)</w:t>
      </w:r>
      <w:r w:rsidRPr="00083D2F">
        <w:rPr>
          <w:sz w:val="24"/>
          <w:szCs w:val="24"/>
          <w:lang w:val="en-GB"/>
        </w:rPr>
        <w:fldChar w:fldCharType="begin" w:fldLock="1"/>
      </w:r>
      <w:r>
        <w:rPr>
          <w:sz w:val="24"/>
          <w:szCs w:val="24"/>
          <w:lang w:val="en-GB"/>
        </w:rPr>
        <w:instrText>ADDIN CSL_CITATION {"citationItems":[{"id":"ITEM-1","itemData":{"DOI":"10.1016/j.schres.2013.11.013","ISSN":"15732509","PMID":"24332632","abstract":"The Scale for the Assessment of Positive Symptoms (SAPS), the Scale for the Assessment of Negative Symptoms (SANS), and the Positive and Negative Syndrome Scale for Schizophrenia (PANSS) are the most widely used schizophrenia symptom rating scales, but despite their co-existence for 25. years no easily usable between-scale conversion mechanism exists. The aim of this study was to provide equations for between-scale symptom rating conversions. Two-hundred-and-five schizophrenia patients [mean age. ±. SD. = 39.5. ±. 11.6, 156 males] were assessed with the SANS, SAPS, and PANSS. Pearson's correlations between symptom scores from each of the scales were computed. Linear regression analyses, on data from 176 randomly selected patients, were performed to derive equations for converting ratings between the scales. Intraclass correlations, on data from the remaining 29 patients, not part of the regression analyses, were performed to determine rating conversion accuracy. Between-scale positive and negative symptom ratings were highly correlated. Intraclass correlations between the original positive and negative symptom ratings and those obtained via conversion of alternative ratings using the conversion equations were moderate to high (ICCs. = 0.65 to 0.91). Regression-based equations may be useful for conversion between schizophrenia symptom severity as measured by the SANS/SAPS and PANSS, though additional validation is warranted. This study's conversion equations, implemented at http:/converteasy.org, may aid in the comparison of medication efficacy studies, in meta- and mega-analyses examining symptoms as moderator variables, and in retrospective combination of symptom data in multi-center data sharing projects that need to pool symptom rating data when such data are obtained using different scales. © 2013 Elsevier B.V.","author":[{"dropping-particle":"","family":"Erp","given":"Theo G.M.","non-dropping-particle":"Van","parse-names":false,"suffix":""},{"dropping-particle":"","family":"Preda","given":"Adrian","non-dropping-particle":"","parse-names":false,"suffix":""},{"dropping-particle":"","family":"Nguyen","given":"Dana","non-dropping-particle":"","parse-names":false,"suffix":""},{"dropping-particle":"","family":"Faziola","given":"Lawrence","non-dropping-particle":"","parse-names":false,"suffix":""},{"dropping-particle":"","family":"Turner","given":"Jessica","non-dropping-particle":"","parse-names":false,"suffix":""},{"dropping-particle":"","family":"Bustillo","given":"Juan","non-dropping-particle":"","parse-names":false,"suffix":""},{"dropping-particle":"","family":"Belger","given":"Aysenil","non-dropping-particle":"","parse-names":false,"suffix":""},{"dropping-particle":"","family":"Lim","given":"Kelvin O.","non-dropping-particle":"","parse-names":false,"suffix":""},{"dropping-particle":"","family":"McEwen","given":"Sarah","non-dropping-particle":"","parse-names":false,"suffix":""},{"dropping-particle":"","family":"Voyvodic","given":"James","non-dropping-particle":"","parse-names":false,"suffix":""},{"dropping-particle":"","family":"Mathalon","given":"Daniel H.","non-dropping-particle":"","parse-names":false,"suffix":""},{"dropping-particle":"","family":"Ford","given":"Judith","non-dropping-particle":"","parse-names":false,"suffix":""},{"dropping-particle":"","family":"Potkin","given":"Steven G.","non-dropping-particle":"","parse-names":false,"suffix":""}],"container-title":"Schizophrenia Research","id":"ITEM-1","issue":"1","issued":{"date-parts":[["2014"]]},"page":"289-294","title":"Converting positive and negative symptom scores between PANSS and SAPS/SANS","type":"article-journal","volume":"152"},"uris":["http://www.mendeley.com/documents/?uuid=2a460359-5dad-4483-abb7-26daf8f9a5f7"]}],"mendeley":{"formattedCitation":"&lt;sup&gt;29&lt;/sup&gt;","plainTextFormattedCitation":"29","previouslyFormattedCitation":"&lt;sup&gt;29&lt;/sup&gt;"},"properties":{"noteIndex":0},"schema":"https://github.com/citation-style-language/schema/raw/master/csl-citation.json"}</w:instrText>
      </w:r>
      <w:r w:rsidRPr="00083D2F">
        <w:rPr>
          <w:sz w:val="24"/>
          <w:szCs w:val="24"/>
          <w:lang w:val="en-GB"/>
        </w:rPr>
        <w:fldChar w:fldCharType="separate"/>
      </w:r>
      <w:r w:rsidRPr="00FF0980">
        <w:rPr>
          <w:noProof/>
          <w:sz w:val="24"/>
          <w:szCs w:val="24"/>
          <w:vertAlign w:val="superscript"/>
          <w:lang w:val="en-GB"/>
        </w:rPr>
        <w:t>29</w:t>
      </w:r>
      <w:r w:rsidRPr="00083D2F">
        <w:rPr>
          <w:sz w:val="24"/>
          <w:szCs w:val="24"/>
          <w:lang w:val="en-GB"/>
        </w:rPr>
        <w:fldChar w:fldCharType="end"/>
      </w:r>
      <w:r w:rsidRPr="00083D2F">
        <w:rPr>
          <w:sz w:val="24"/>
          <w:szCs w:val="24"/>
          <w:lang w:val="en-GB"/>
        </w:rPr>
        <w:t xml:space="preserve"> to derive converting rates between PSP and SOFAS. A hold-out sample of 25% (n=131) that was not part of the regression analysis was randomly selected with similar proportion of groups for validation purpose, and the model was trained on the remaining 75% of the participants. Initial correlation between the PSP and SOFAS was highly significant in the training sample with </w:t>
      </w:r>
      <w:r w:rsidRPr="00083D2F">
        <w:rPr>
          <w:i/>
          <w:iCs/>
          <w:sz w:val="24"/>
          <w:szCs w:val="24"/>
          <w:lang w:val="en-GB"/>
        </w:rPr>
        <w:t>r</w:t>
      </w:r>
      <w:r w:rsidRPr="00083D2F">
        <w:rPr>
          <w:sz w:val="24"/>
          <w:szCs w:val="24"/>
          <w:lang w:val="en-GB"/>
        </w:rPr>
        <w:t xml:space="preserve">=0.94, </w:t>
      </w:r>
      <w:r w:rsidRPr="00083D2F">
        <w:rPr>
          <w:i/>
          <w:iCs/>
          <w:sz w:val="24"/>
          <w:szCs w:val="24"/>
          <w:lang w:val="en-GB"/>
        </w:rPr>
        <w:t>p</w:t>
      </w:r>
      <w:r w:rsidRPr="00083D2F">
        <w:rPr>
          <w:sz w:val="24"/>
          <w:szCs w:val="24"/>
          <w:lang w:val="en-GB"/>
        </w:rPr>
        <w:t>&lt;0.001. Next step, we used the coefficients from the linear regression (PSP as independent and SOFAS as the dependent variable) in the training sample, in the converting formula: Converted PSP = F_SOFAS = B</w:t>
      </w:r>
      <w:r w:rsidRPr="00083D2F">
        <w:rPr>
          <w:sz w:val="24"/>
          <w:szCs w:val="24"/>
          <w:vertAlign w:val="subscript"/>
          <w:lang w:val="en-GB"/>
        </w:rPr>
        <w:t>0</w:t>
      </w:r>
      <w:r w:rsidRPr="00083D2F">
        <w:rPr>
          <w:sz w:val="24"/>
          <w:szCs w:val="24"/>
          <w:lang w:val="en-GB"/>
        </w:rPr>
        <w:t xml:space="preserve"> [intercept=0.939] + B</w:t>
      </w:r>
      <w:r w:rsidRPr="00083D2F">
        <w:rPr>
          <w:sz w:val="24"/>
          <w:szCs w:val="24"/>
          <w:vertAlign w:val="subscript"/>
          <w:lang w:val="en-GB"/>
        </w:rPr>
        <w:t>1</w:t>
      </w:r>
      <w:r w:rsidRPr="00083D2F">
        <w:rPr>
          <w:sz w:val="24"/>
          <w:szCs w:val="24"/>
          <w:lang w:val="en-GB"/>
        </w:rPr>
        <w:t xml:space="preserve"> [slope=0.</w:t>
      </w:r>
      <w:proofErr w:type="gramStart"/>
      <w:r w:rsidRPr="00083D2F">
        <w:rPr>
          <w:sz w:val="24"/>
          <w:szCs w:val="24"/>
          <w:lang w:val="en-GB"/>
        </w:rPr>
        <w:t>971]*</w:t>
      </w:r>
      <w:proofErr w:type="gramEnd"/>
      <w:r w:rsidRPr="00083D2F">
        <w:rPr>
          <w:sz w:val="24"/>
          <w:szCs w:val="24"/>
          <w:lang w:val="en-GB"/>
        </w:rPr>
        <w:t xml:space="preserve">PSP). The correlation between SOFAS and F_SOFAS was high with </w:t>
      </w:r>
      <w:r w:rsidRPr="00083D2F">
        <w:rPr>
          <w:i/>
          <w:iCs/>
          <w:sz w:val="24"/>
          <w:szCs w:val="24"/>
          <w:lang w:val="en-GB"/>
        </w:rPr>
        <w:t>r</w:t>
      </w:r>
      <w:r w:rsidRPr="00083D2F">
        <w:rPr>
          <w:sz w:val="24"/>
          <w:szCs w:val="24"/>
          <w:lang w:val="en-GB"/>
        </w:rPr>
        <w:t xml:space="preserve">=0.93, </w:t>
      </w:r>
      <w:r w:rsidRPr="00083D2F">
        <w:rPr>
          <w:i/>
          <w:iCs/>
          <w:sz w:val="24"/>
          <w:szCs w:val="24"/>
          <w:lang w:val="en-GB"/>
        </w:rPr>
        <w:t>p</w:t>
      </w:r>
      <w:r w:rsidRPr="00083D2F">
        <w:rPr>
          <w:sz w:val="24"/>
          <w:szCs w:val="24"/>
          <w:lang w:val="en-GB"/>
        </w:rPr>
        <w:t xml:space="preserve">&lt;0.001 in the training sample. Finally, we tested the interclass correlation between SOFAS and F_SOFAS testing the rating conversion accuracy of the formula in the hold out sample. We used a paired samples t-test, revealing that SOFAS (mean 87.93 (SD 5.89)) and F_SOFAS </w:t>
      </w:r>
      <w:proofErr w:type="gramStart"/>
      <w:r w:rsidRPr="00083D2F">
        <w:rPr>
          <w:sz w:val="24"/>
          <w:szCs w:val="24"/>
          <w:lang w:val="en-GB"/>
        </w:rPr>
        <w:t>_(</w:t>
      </w:r>
      <w:proofErr w:type="gramEnd"/>
      <w:r w:rsidRPr="00083D2F">
        <w:rPr>
          <w:sz w:val="24"/>
          <w:szCs w:val="24"/>
          <w:lang w:val="en-GB"/>
        </w:rPr>
        <w:t>mean 87.89 (SD 5.56)) had high ICC (</w:t>
      </w:r>
      <w:r w:rsidRPr="00083D2F">
        <w:rPr>
          <w:i/>
          <w:iCs/>
          <w:sz w:val="24"/>
          <w:szCs w:val="24"/>
          <w:lang w:val="en-GB"/>
        </w:rPr>
        <w:t>r</w:t>
      </w:r>
      <w:r w:rsidRPr="00083D2F">
        <w:rPr>
          <w:sz w:val="24"/>
          <w:szCs w:val="24"/>
          <w:lang w:val="en-GB"/>
        </w:rPr>
        <w:t xml:space="preserve">=0.942, </w:t>
      </w:r>
      <w:r w:rsidRPr="00083D2F">
        <w:rPr>
          <w:i/>
          <w:iCs/>
          <w:sz w:val="24"/>
          <w:szCs w:val="24"/>
          <w:lang w:val="en-GB"/>
        </w:rPr>
        <w:t>p</w:t>
      </w:r>
      <w:r w:rsidRPr="00083D2F">
        <w:rPr>
          <w:sz w:val="24"/>
          <w:szCs w:val="24"/>
          <w:lang w:val="en-GB"/>
        </w:rPr>
        <w:t xml:space="preserve">&lt;0.001), while the paired samples test were satisfactory with </w:t>
      </w:r>
      <w:r w:rsidRPr="00083D2F">
        <w:rPr>
          <w:i/>
          <w:iCs/>
          <w:sz w:val="24"/>
          <w:szCs w:val="24"/>
          <w:lang w:val="en-GB"/>
        </w:rPr>
        <w:t>t</w:t>
      </w:r>
      <w:r w:rsidRPr="00083D2F">
        <w:rPr>
          <w:sz w:val="24"/>
          <w:szCs w:val="24"/>
          <w:lang w:val="en-GB"/>
        </w:rPr>
        <w:t xml:space="preserve">=0.166, </w:t>
      </w:r>
      <w:r w:rsidRPr="00083D2F">
        <w:rPr>
          <w:i/>
          <w:iCs/>
          <w:sz w:val="24"/>
          <w:szCs w:val="24"/>
          <w:lang w:val="en-GB"/>
        </w:rPr>
        <w:t>p</w:t>
      </w:r>
      <w:r w:rsidRPr="00083D2F">
        <w:rPr>
          <w:sz w:val="24"/>
          <w:szCs w:val="24"/>
          <w:lang w:val="en-GB"/>
        </w:rPr>
        <w:t>=0.869. The procedure was repeated ten-fold.</w:t>
      </w:r>
    </w:p>
    <w:p w14:paraId="46BDDC2A" w14:textId="45C11179" w:rsidR="00A02201" w:rsidRPr="00065F2E" w:rsidRDefault="00A02201" w:rsidP="00E4539C">
      <w:pPr>
        <w:spacing w:line="360" w:lineRule="auto"/>
        <w:rPr>
          <w:b/>
          <w:bCs/>
          <w:sz w:val="24"/>
          <w:szCs w:val="24"/>
          <w:highlight w:val="yellow"/>
        </w:rPr>
      </w:pPr>
    </w:p>
    <w:sectPr w:rsidR="00A02201" w:rsidRPr="00065F2E">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3569" w14:textId="77777777" w:rsidR="00B33F4A" w:rsidRDefault="00B33F4A" w:rsidP="005D7D35">
      <w:pPr>
        <w:spacing w:after="0" w:line="240" w:lineRule="auto"/>
      </w:pPr>
      <w:r>
        <w:separator/>
      </w:r>
    </w:p>
  </w:endnote>
  <w:endnote w:type="continuationSeparator" w:id="0">
    <w:p w14:paraId="64E7372B" w14:textId="77777777" w:rsidR="00B33F4A" w:rsidRDefault="00B33F4A" w:rsidP="005D7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A22EE" w14:textId="77777777" w:rsidR="00B33F4A" w:rsidRDefault="00B33F4A" w:rsidP="005D7D35">
      <w:pPr>
        <w:spacing w:after="0" w:line="240" w:lineRule="auto"/>
      </w:pPr>
      <w:r>
        <w:separator/>
      </w:r>
    </w:p>
  </w:footnote>
  <w:footnote w:type="continuationSeparator" w:id="0">
    <w:p w14:paraId="686B6F7B" w14:textId="77777777" w:rsidR="00B33F4A" w:rsidRDefault="00B33F4A" w:rsidP="005D7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2958A0F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45D13B5"/>
    <w:multiLevelType w:val="hybridMultilevel"/>
    <w:tmpl w:val="70D41030"/>
    <w:lvl w:ilvl="0" w:tplc="4E183F02">
      <w:start w:val="1"/>
      <w:numFmt w:val="bullet"/>
      <w:lvlText w:val="•"/>
      <w:lvlJc w:val="left"/>
      <w:pPr>
        <w:tabs>
          <w:tab w:val="num" w:pos="720"/>
        </w:tabs>
        <w:ind w:left="720" w:hanging="360"/>
      </w:pPr>
      <w:rPr>
        <w:rFonts w:ascii="Arial" w:hAnsi="Arial" w:hint="default"/>
      </w:rPr>
    </w:lvl>
    <w:lvl w:ilvl="1" w:tplc="AEB86D2A" w:tentative="1">
      <w:start w:val="1"/>
      <w:numFmt w:val="bullet"/>
      <w:lvlText w:val="•"/>
      <w:lvlJc w:val="left"/>
      <w:pPr>
        <w:tabs>
          <w:tab w:val="num" w:pos="1440"/>
        </w:tabs>
        <w:ind w:left="1440" w:hanging="360"/>
      </w:pPr>
      <w:rPr>
        <w:rFonts w:ascii="Arial" w:hAnsi="Arial" w:hint="default"/>
      </w:rPr>
    </w:lvl>
    <w:lvl w:ilvl="2" w:tplc="781C463C" w:tentative="1">
      <w:start w:val="1"/>
      <w:numFmt w:val="bullet"/>
      <w:lvlText w:val="•"/>
      <w:lvlJc w:val="left"/>
      <w:pPr>
        <w:tabs>
          <w:tab w:val="num" w:pos="2160"/>
        </w:tabs>
        <w:ind w:left="2160" w:hanging="360"/>
      </w:pPr>
      <w:rPr>
        <w:rFonts w:ascii="Arial" w:hAnsi="Arial" w:hint="default"/>
      </w:rPr>
    </w:lvl>
    <w:lvl w:ilvl="3" w:tplc="C5F83EEE" w:tentative="1">
      <w:start w:val="1"/>
      <w:numFmt w:val="bullet"/>
      <w:lvlText w:val="•"/>
      <w:lvlJc w:val="left"/>
      <w:pPr>
        <w:tabs>
          <w:tab w:val="num" w:pos="2880"/>
        </w:tabs>
        <w:ind w:left="2880" w:hanging="360"/>
      </w:pPr>
      <w:rPr>
        <w:rFonts w:ascii="Arial" w:hAnsi="Arial" w:hint="default"/>
      </w:rPr>
    </w:lvl>
    <w:lvl w:ilvl="4" w:tplc="B88C71B0" w:tentative="1">
      <w:start w:val="1"/>
      <w:numFmt w:val="bullet"/>
      <w:lvlText w:val="•"/>
      <w:lvlJc w:val="left"/>
      <w:pPr>
        <w:tabs>
          <w:tab w:val="num" w:pos="3600"/>
        </w:tabs>
        <w:ind w:left="3600" w:hanging="360"/>
      </w:pPr>
      <w:rPr>
        <w:rFonts w:ascii="Arial" w:hAnsi="Arial" w:hint="default"/>
      </w:rPr>
    </w:lvl>
    <w:lvl w:ilvl="5" w:tplc="CC3CD3C2" w:tentative="1">
      <w:start w:val="1"/>
      <w:numFmt w:val="bullet"/>
      <w:lvlText w:val="•"/>
      <w:lvlJc w:val="left"/>
      <w:pPr>
        <w:tabs>
          <w:tab w:val="num" w:pos="4320"/>
        </w:tabs>
        <w:ind w:left="4320" w:hanging="360"/>
      </w:pPr>
      <w:rPr>
        <w:rFonts w:ascii="Arial" w:hAnsi="Arial" w:hint="default"/>
      </w:rPr>
    </w:lvl>
    <w:lvl w:ilvl="6" w:tplc="43D4A7EE" w:tentative="1">
      <w:start w:val="1"/>
      <w:numFmt w:val="bullet"/>
      <w:lvlText w:val="•"/>
      <w:lvlJc w:val="left"/>
      <w:pPr>
        <w:tabs>
          <w:tab w:val="num" w:pos="5040"/>
        </w:tabs>
        <w:ind w:left="5040" w:hanging="360"/>
      </w:pPr>
      <w:rPr>
        <w:rFonts w:ascii="Arial" w:hAnsi="Arial" w:hint="default"/>
      </w:rPr>
    </w:lvl>
    <w:lvl w:ilvl="7" w:tplc="D270A3C2" w:tentative="1">
      <w:start w:val="1"/>
      <w:numFmt w:val="bullet"/>
      <w:lvlText w:val="•"/>
      <w:lvlJc w:val="left"/>
      <w:pPr>
        <w:tabs>
          <w:tab w:val="num" w:pos="5760"/>
        </w:tabs>
        <w:ind w:left="5760" w:hanging="360"/>
      </w:pPr>
      <w:rPr>
        <w:rFonts w:ascii="Arial" w:hAnsi="Arial" w:hint="default"/>
      </w:rPr>
    </w:lvl>
    <w:lvl w:ilvl="8" w:tplc="EFB829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E85D1C"/>
    <w:multiLevelType w:val="multilevel"/>
    <w:tmpl w:val="86B2B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D0E56"/>
    <w:multiLevelType w:val="multilevel"/>
    <w:tmpl w:val="3DD2F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5971D2"/>
    <w:multiLevelType w:val="multilevel"/>
    <w:tmpl w:val="C00C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F6205"/>
    <w:multiLevelType w:val="hybridMultilevel"/>
    <w:tmpl w:val="37064452"/>
    <w:lvl w:ilvl="0" w:tplc="0392730A">
      <w:numFmt w:val="bullet"/>
      <w:lvlText w:val="-"/>
      <w:lvlJc w:val="left"/>
      <w:pPr>
        <w:ind w:left="360" w:hanging="360"/>
      </w:pPr>
      <w:rPr>
        <w:rFonts w:ascii="Cambria" w:eastAsia="Cambria" w:hAnsi="Cambria" w:cs="Cambr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E5C7763"/>
    <w:multiLevelType w:val="multilevel"/>
    <w:tmpl w:val="DF6E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82213"/>
    <w:multiLevelType w:val="hybridMultilevel"/>
    <w:tmpl w:val="D4740F8A"/>
    <w:lvl w:ilvl="0" w:tplc="FEB86882">
      <w:start w:val="11"/>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D2C2C60"/>
    <w:multiLevelType w:val="multilevel"/>
    <w:tmpl w:val="1E5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5432EA"/>
    <w:multiLevelType w:val="hybridMultilevel"/>
    <w:tmpl w:val="B8DC7576"/>
    <w:lvl w:ilvl="0" w:tplc="0392730A">
      <w:numFmt w:val="bullet"/>
      <w:lvlText w:val="-"/>
      <w:lvlJc w:val="left"/>
      <w:pPr>
        <w:ind w:left="360" w:hanging="360"/>
      </w:pPr>
      <w:rPr>
        <w:rFonts w:ascii="Cambria" w:eastAsia="Cambria" w:hAnsi="Cambria" w:cs="Cambr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705993"/>
    <w:multiLevelType w:val="multilevel"/>
    <w:tmpl w:val="50AC6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80253"/>
    <w:multiLevelType w:val="hybridMultilevel"/>
    <w:tmpl w:val="937EDF60"/>
    <w:lvl w:ilvl="0" w:tplc="0392730A">
      <w:numFmt w:val="bullet"/>
      <w:lvlText w:val="-"/>
      <w:lvlJc w:val="left"/>
      <w:pPr>
        <w:ind w:left="360" w:hanging="360"/>
      </w:pPr>
      <w:rPr>
        <w:rFonts w:ascii="Cambria" w:eastAsia="Cambria" w:hAnsi="Cambria" w:cs="Cambr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4F50F0"/>
    <w:multiLevelType w:val="hybridMultilevel"/>
    <w:tmpl w:val="F8CEA876"/>
    <w:lvl w:ilvl="0" w:tplc="0392730A">
      <w:numFmt w:val="bullet"/>
      <w:lvlText w:val="-"/>
      <w:lvlJc w:val="left"/>
      <w:pPr>
        <w:ind w:left="360" w:hanging="360"/>
      </w:pPr>
      <w:rPr>
        <w:rFonts w:ascii="Cambria" w:eastAsia="Cambria" w:hAnsi="Cambria" w:cs="Cambr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79A2B09"/>
    <w:multiLevelType w:val="multilevel"/>
    <w:tmpl w:val="7B5C0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103CE1"/>
    <w:multiLevelType w:val="multilevel"/>
    <w:tmpl w:val="708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03A8E"/>
    <w:multiLevelType w:val="hybridMultilevel"/>
    <w:tmpl w:val="F49A4916"/>
    <w:lvl w:ilvl="0" w:tplc="4F90C728">
      <w:start w:val="1"/>
      <w:numFmt w:val="bullet"/>
      <w:lvlText w:val=""/>
      <w:lvlJc w:val="left"/>
      <w:pPr>
        <w:ind w:left="720" w:hanging="360"/>
      </w:pPr>
      <w:rPr>
        <w:rFonts w:ascii="Symbol" w:eastAsia="Calibr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BC97642"/>
    <w:multiLevelType w:val="multilevel"/>
    <w:tmpl w:val="25D2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C01A4"/>
    <w:multiLevelType w:val="hybridMultilevel"/>
    <w:tmpl w:val="2D50C10A"/>
    <w:lvl w:ilvl="0" w:tplc="245409BC">
      <w:start w:val="1"/>
      <w:numFmt w:val="bullet"/>
      <w:lvlText w:val=""/>
      <w:lvlJc w:val="left"/>
      <w:pPr>
        <w:ind w:left="1440" w:hanging="360"/>
      </w:pPr>
      <w:rPr>
        <w:rFonts w:ascii="Symbol" w:hAnsi="Symbol"/>
      </w:rPr>
    </w:lvl>
    <w:lvl w:ilvl="1" w:tplc="D3E6BA2E">
      <w:start w:val="1"/>
      <w:numFmt w:val="bullet"/>
      <w:lvlText w:val=""/>
      <w:lvlJc w:val="left"/>
      <w:pPr>
        <w:ind w:left="1440" w:hanging="360"/>
      </w:pPr>
      <w:rPr>
        <w:rFonts w:ascii="Symbol" w:hAnsi="Symbol"/>
      </w:rPr>
    </w:lvl>
    <w:lvl w:ilvl="2" w:tplc="EAECF824">
      <w:start w:val="1"/>
      <w:numFmt w:val="bullet"/>
      <w:lvlText w:val=""/>
      <w:lvlJc w:val="left"/>
      <w:pPr>
        <w:ind w:left="1440" w:hanging="360"/>
      </w:pPr>
      <w:rPr>
        <w:rFonts w:ascii="Symbol" w:hAnsi="Symbol"/>
      </w:rPr>
    </w:lvl>
    <w:lvl w:ilvl="3" w:tplc="1234A9CE">
      <w:start w:val="1"/>
      <w:numFmt w:val="bullet"/>
      <w:lvlText w:val=""/>
      <w:lvlJc w:val="left"/>
      <w:pPr>
        <w:ind w:left="1440" w:hanging="360"/>
      </w:pPr>
      <w:rPr>
        <w:rFonts w:ascii="Symbol" w:hAnsi="Symbol"/>
      </w:rPr>
    </w:lvl>
    <w:lvl w:ilvl="4" w:tplc="F7A8B46C">
      <w:start w:val="1"/>
      <w:numFmt w:val="bullet"/>
      <w:lvlText w:val=""/>
      <w:lvlJc w:val="left"/>
      <w:pPr>
        <w:ind w:left="1440" w:hanging="360"/>
      </w:pPr>
      <w:rPr>
        <w:rFonts w:ascii="Symbol" w:hAnsi="Symbol"/>
      </w:rPr>
    </w:lvl>
    <w:lvl w:ilvl="5" w:tplc="472CEA70">
      <w:start w:val="1"/>
      <w:numFmt w:val="bullet"/>
      <w:lvlText w:val=""/>
      <w:lvlJc w:val="left"/>
      <w:pPr>
        <w:ind w:left="1440" w:hanging="360"/>
      </w:pPr>
      <w:rPr>
        <w:rFonts w:ascii="Symbol" w:hAnsi="Symbol"/>
      </w:rPr>
    </w:lvl>
    <w:lvl w:ilvl="6" w:tplc="47D88D9C">
      <w:start w:val="1"/>
      <w:numFmt w:val="bullet"/>
      <w:lvlText w:val=""/>
      <w:lvlJc w:val="left"/>
      <w:pPr>
        <w:ind w:left="1440" w:hanging="360"/>
      </w:pPr>
      <w:rPr>
        <w:rFonts w:ascii="Symbol" w:hAnsi="Symbol"/>
      </w:rPr>
    </w:lvl>
    <w:lvl w:ilvl="7" w:tplc="2800D802">
      <w:start w:val="1"/>
      <w:numFmt w:val="bullet"/>
      <w:lvlText w:val=""/>
      <w:lvlJc w:val="left"/>
      <w:pPr>
        <w:ind w:left="1440" w:hanging="360"/>
      </w:pPr>
      <w:rPr>
        <w:rFonts w:ascii="Symbol" w:hAnsi="Symbol"/>
      </w:rPr>
    </w:lvl>
    <w:lvl w:ilvl="8" w:tplc="46C46382">
      <w:start w:val="1"/>
      <w:numFmt w:val="bullet"/>
      <w:lvlText w:val=""/>
      <w:lvlJc w:val="left"/>
      <w:pPr>
        <w:ind w:left="1440" w:hanging="360"/>
      </w:pPr>
      <w:rPr>
        <w:rFonts w:ascii="Symbol" w:hAnsi="Symbol"/>
      </w:rPr>
    </w:lvl>
  </w:abstractNum>
  <w:abstractNum w:abstractNumId="18" w15:restartNumberingAfterBreak="0">
    <w:nsid w:val="66755650"/>
    <w:multiLevelType w:val="multilevel"/>
    <w:tmpl w:val="2950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7D0028"/>
    <w:multiLevelType w:val="hybridMultilevel"/>
    <w:tmpl w:val="3850AB34"/>
    <w:lvl w:ilvl="0" w:tplc="69BA7A3C">
      <w:start w:val="1"/>
      <w:numFmt w:val="bullet"/>
      <w:lvlText w:val="•"/>
      <w:lvlJc w:val="left"/>
      <w:pPr>
        <w:tabs>
          <w:tab w:val="num" w:pos="720"/>
        </w:tabs>
        <w:ind w:left="720" w:hanging="360"/>
      </w:pPr>
      <w:rPr>
        <w:rFonts w:ascii="Arial" w:hAnsi="Arial" w:hint="default"/>
      </w:rPr>
    </w:lvl>
    <w:lvl w:ilvl="1" w:tplc="AB6CCCE4" w:tentative="1">
      <w:start w:val="1"/>
      <w:numFmt w:val="bullet"/>
      <w:lvlText w:val="•"/>
      <w:lvlJc w:val="left"/>
      <w:pPr>
        <w:tabs>
          <w:tab w:val="num" w:pos="1440"/>
        </w:tabs>
        <w:ind w:left="1440" w:hanging="360"/>
      </w:pPr>
      <w:rPr>
        <w:rFonts w:ascii="Arial" w:hAnsi="Arial" w:hint="default"/>
      </w:rPr>
    </w:lvl>
    <w:lvl w:ilvl="2" w:tplc="CB922E62" w:tentative="1">
      <w:start w:val="1"/>
      <w:numFmt w:val="bullet"/>
      <w:lvlText w:val="•"/>
      <w:lvlJc w:val="left"/>
      <w:pPr>
        <w:tabs>
          <w:tab w:val="num" w:pos="2160"/>
        </w:tabs>
        <w:ind w:left="2160" w:hanging="360"/>
      </w:pPr>
      <w:rPr>
        <w:rFonts w:ascii="Arial" w:hAnsi="Arial" w:hint="default"/>
      </w:rPr>
    </w:lvl>
    <w:lvl w:ilvl="3" w:tplc="C2BE7544" w:tentative="1">
      <w:start w:val="1"/>
      <w:numFmt w:val="bullet"/>
      <w:lvlText w:val="•"/>
      <w:lvlJc w:val="left"/>
      <w:pPr>
        <w:tabs>
          <w:tab w:val="num" w:pos="2880"/>
        </w:tabs>
        <w:ind w:left="2880" w:hanging="360"/>
      </w:pPr>
      <w:rPr>
        <w:rFonts w:ascii="Arial" w:hAnsi="Arial" w:hint="default"/>
      </w:rPr>
    </w:lvl>
    <w:lvl w:ilvl="4" w:tplc="15F2267C" w:tentative="1">
      <w:start w:val="1"/>
      <w:numFmt w:val="bullet"/>
      <w:lvlText w:val="•"/>
      <w:lvlJc w:val="left"/>
      <w:pPr>
        <w:tabs>
          <w:tab w:val="num" w:pos="3600"/>
        </w:tabs>
        <w:ind w:left="3600" w:hanging="360"/>
      </w:pPr>
      <w:rPr>
        <w:rFonts w:ascii="Arial" w:hAnsi="Arial" w:hint="default"/>
      </w:rPr>
    </w:lvl>
    <w:lvl w:ilvl="5" w:tplc="DC622EDA" w:tentative="1">
      <w:start w:val="1"/>
      <w:numFmt w:val="bullet"/>
      <w:lvlText w:val="•"/>
      <w:lvlJc w:val="left"/>
      <w:pPr>
        <w:tabs>
          <w:tab w:val="num" w:pos="4320"/>
        </w:tabs>
        <w:ind w:left="4320" w:hanging="360"/>
      </w:pPr>
      <w:rPr>
        <w:rFonts w:ascii="Arial" w:hAnsi="Arial" w:hint="default"/>
      </w:rPr>
    </w:lvl>
    <w:lvl w:ilvl="6" w:tplc="C5748212" w:tentative="1">
      <w:start w:val="1"/>
      <w:numFmt w:val="bullet"/>
      <w:lvlText w:val="•"/>
      <w:lvlJc w:val="left"/>
      <w:pPr>
        <w:tabs>
          <w:tab w:val="num" w:pos="5040"/>
        </w:tabs>
        <w:ind w:left="5040" w:hanging="360"/>
      </w:pPr>
      <w:rPr>
        <w:rFonts w:ascii="Arial" w:hAnsi="Arial" w:hint="default"/>
      </w:rPr>
    </w:lvl>
    <w:lvl w:ilvl="7" w:tplc="6A50E006" w:tentative="1">
      <w:start w:val="1"/>
      <w:numFmt w:val="bullet"/>
      <w:lvlText w:val="•"/>
      <w:lvlJc w:val="left"/>
      <w:pPr>
        <w:tabs>
          <w:tab w:val="num" w:pos="5760"/>
        </w:tabs>
        <w:ind w:left="5760" w:hanging="360"/>
      </w:pPr>
      <w:rPr>
        <w:rFonts w:ascii="Arial" w:hAnsi="Arial" w:hint="default"/>
      </w:rPr>
    </w:lvl>
    <w:lvl w:ilvl="8" w:tplc="F85EF4F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2B27434"/>
    <w:multiLevelType w:val="hybridMultilevel"/>
    <w:tmpl w:val="A8D6A1C6"/>
    <w:lvl w:ilvl="0" w:tplc="0392730A">
      <w:numFmt w:val="bullet"/>
      <w:lvlText w:val="-"/>
      <w:lvlJc w:val="left"/>
      <w:pPr>
        <w:ind w:left="360" w:hanging="360"/>
      </w:pPr>
      <w:rPr>
        <w:rFonts w:ascii="Cambria" w:eastAsia="Cambria" w:hAnsi="Cambria" w:cs="Cambria"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73BF3B59"/>
    <w:multiLevelType w:val="hybridMultilevel"/>
    <w:tmpl w:val="FD228DB8"/>
    <w:lvl w:ilvl="0" w:tplc="0392730A">
      <w:numFmt w:val="bullet"/>
      <w:lvlText w:val="-"/>
      <w:lvlJc w:val="left"/>
      <w:pPr>
        <w:ind w:left="360" w:hanging="360"/>
      </w:pPr>
      <w:rPr>
        <w:rFonts w:ascii="Cambria" w:eastAsia="Cambria" w:hAnsi="Cambria" w:cs="Cambri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41109BB"/>
    <w:multiLevelType w:val="multilevel"/>
    <w:tmpl w:val="16204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0576D3"/>
    <w:multiLevelType w:val="multilevel"/>
    <w:tmpl w:val="786A0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F3D32"/>
    <w:multiLevelType w:val="hybridMultilevel"/>
    <w:tmpl w:val="F744A3D6"/>
    <w:lvl w:ilvl="0" w:tplc="A802E612">
      <w:numFmt w:val="bullet"/>
      <w:lvlText w:val=""/>
      <w:lvlJc w:val="left"/>
      <w:pPr>
        <w:ind w:left="720" w:hanging="360"/>
      </w:pPr>
      <w:rPr>
        <w:rFonts w:ascii="Symbol" w:eastAsia="Calibr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C936476"/>
    <w:multiLevelType w:val="multilevel"/>
    <w:tmpl w:val="B8E0E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8129149">
    <w:abstractNumId w:val="13"/>
  </w:num>
  <w:num w:numId="2" w16cid:durableId="917249685">
    <w:abstractNumId w:val="18"/>
  </w:num>
  <w:num w:numId="3" w16cid:durableId="557211356">
    <w:abstractNumId w:val="2"/>
  </w:num>
  <w:num w:numId="4" w16cid:durableId="850484185">
    <w:abstractNumId w:val="24"/>
  </w:num>
  <w:num w:numId="5" w16cid:durableId="1242763261">
    <w:abstractNumId w:val="7"/>
  </w:num>
  <w:num w:numId="6" w16cid:durableId="97719361">
    <w:abstractNumId w:val="20"/>
  </w:num>
  <w:num w:numId="7" w16cid:durableId="881869441">
    <w:abstractNumId w:val="12"/>
  </w:num>
  <w:num w:numId="8" w16cid:durableId="419449406">
    <w:abstractNumId w:val="11"/>
  </w:num>
  <w:num w:numId="9" w16cid:durableId="2109350415">
    <w:abstractNumId w:val="21"/>
  </w:num>
  <w:num w:numId="10" w16cid:durableId="1656642816">
    <w:abstractNumId w:val="9"/>
  </w:num>
  <w:num w:numId="11" w16cid:durableId="605189078">
    <w:abstractNumId w:val="5"/>
  </w:num>
  <w:num w:numId="12" w16cid:durableId="538662411">
    <w:abstractNumId w:val="15"/>
  </w:num>
  <w:num w:numId="13" w16cid:durableId="1963264494">
    <w:abstractNumId w:val="19"/>
  </w:num>
  <w:num w:numId="14" w16cid:durableId="482892436">
    <w:abstractNumId w:val="14"/>
  </w:num>
  <w:num w:numId="15" w16cid:durableId="1586068145">
    <w:abstractNumId w:val="3"/>
  </w:num>
  <w:num w:numId="16" w16cid:durableId="1243493598">
    <w:abstractNumId w:val="1"/>
  </w:num>
  <w:num w:numId="17" w16cid:durableId="769278229">
    <w:abstractNumId w:val="0"/>
  </w:num>
  <w:num w:numId="18" w16cid:durableId="1287275529">
    <w:abstractNumId w:val="23"/>
  </w:num>
  <w:num w:numId="19" w16cid:durableId="66847416">
    <w:abstractNumId w:val="22"/>
  </w:num>
  <w:num w:numId="20" w16cid:durableId="1951158857">
    <w:abstractNumId w:val="10"/>
  </w:num>
  <w:num w:numId="21" w16cid:durableId="1814181389">
    <w:abstractNumId w:val="25"/>
  </w:num>
  <w:num w:numId="22" w16cid:durableId="628899203">
    <w:abstractNumId w:val="8"/>
  </w:num>
  <w:num w:numId="23" w16cid:durableId="243416532">
    <w:abstractNumId w:val="6"/>
  </w:num>
  <w:num w:numId="24" w16cid:durableId="4134016">
    <w:abstractNumId w:val="17"/>
  </w:num>
  <w:num w:numId="25" w16cid:durableId="1224099993">
    <w:abstractNumId w:val="4"/>
  </w:num>
  <w:num w:numId="26" w16cid:durableId="16013744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81E"/>
    <w:rsid w:val="00000D98"/>
    <w:rsid w:val="0000379E"/>
    <w:rsid w:val="00003D07"/>
    <w:rsid w:val="00007797"/>
    <w:rsid w:val="00007FA6"/>
    <w:rsid w:val="0001120D"/>
    <w:rsid w:val="00012CFD"/>
    <w:rsid w:val="00014B4F"/>
    <w:rsid w:val="000165A3"/>
    <w:rsid w:val="00016BD4"/>
    <w:rsid w:val="00021745"/>
    <w:rsid w:val="0002547C"/>
    <w:rsid w:val="00025B5A"/>
    <w:rsid w:val="00026150"/>
    <w:rsid w:val="00035D5E"/>
    <w:rsid w:val="0004017C"/>
    <w:rsid w:val="00055F32"/>
    <w:rsid w:val="00060CA0"/>
    <w:rsid w:val="00060F87"/>
    <w:rsid w:val="0006167A"/>
    <w:rsid w:val="00062C39"/>
    <w:rsid w:val="00064360"/>
    <w:rsid w:val="00065F2E"/>
    <w:rsid w:val="0006671A"/>
    <w:rsid w:val="00067104"/>
    <w:rsid w:val="00067E75"/>
    <w:rsid w:val="00070E32"/>
    <w:rsid w:val="00073073"/>
    <w:rsid w:val="00077309"/>
    <w:rsid w:val="00081666"/>
    <w:rsid w:val="000825BE"/>
    <w:rsid w:val="0008295E"/>
    <w:rsid w:val="00083D2F"/>
    <w:rsid w:val="00086402"/>
    <w:rsid w:val="000913E5"/>
    <w:rsid w:val="0009664F"/>
    <w:rsid w:val="000A018B"/>
    <w:rsid w:val="000A4218"/>
    <w:rsid w:val="000A56B0"/>
    <w:rsid w:val="000A67AC"/>
    <w:rsid w:val="000B4742"/>
    <w:rsid w:val="000C3B5F"/>
    <w:rsid w:val="000C40BE"/>
    <w:rsid w:val="000C58BF"/>
    <w:rsid w:val="000D09D5"/>
    <w:rsid w:val="000D1444"/>
    <w:rsid w:val="000D28D8"/>
    <w:rsid w:val="000D446B"/>
    <w:rsid w:val="000D4C12"/>
    <w:rsid w:val="000D4DA8"/>
    <w:rsid w:val="000D5869"/>
    <w:rsid w:val="000E5218"/>
    <w:rsid w:val="000E6950"/>
    <w:rsid w:val="000F19BF"/>
    <w:rsid w:val="000F41D5"/>
    <w:rsid w:val="001010C0"/>
    <w:rsid w:val="00101CB7"/>
    <w:rsid w:val="00102616"/>
    <w:rsid w:val="00105B19"/>
    <w:rsid w:val="00107674"/>
    <w:rsid w:val="001137F5"/>
    <w:rsid w:val="0011398B"/>
    <w:rsid w:val="00114E90"/>
    <w:rsid w:val="00116507"/>
    <w:rsid w:val="001234C5"/>
    <w:rsid w:val="00133C25"/>
    <w:rsid w:val="0013474E"/>
    <w:rsid w:val="00141352"/>
    <w:rsid w:val="00142A4D"/>
    <w:rsid w:val="001442AF"/>
    <w:rsid w:val="00150E67"/>
    <w:rsid w:val="001523DE"/>
    <w:rsid w:val="001643C8"/>
    <w:rsid w:val="00172B08"/>
    <w:rsid w:val="00174786"/>
    <w:rsid w:val="00184FA0"/>
    <w:rsid w:val="001856E5"/>
    <w:rsid w:val="00187A4F"/>
    <w:rsid w:val="00192A06"/>
    <w:rsid w:val="00195B0A"/>
    <w:rsid w:val="00195FBB"/>
    <w:rsid w:val="00196299"/>
    <w:rsid w:val="00197009"/>
    <w:rsid w:val="00197047"/>
    <w:rsid w:val="001971F3"/>
    <w:rsid w:val="00197FDE"/>
    <w:rsid w:val="001A0D25"/>
    <w:rsid w:val="001A500B"/>
    <w:rsid w:val="001A5D1E"/>
    <w:rsid w:val="001A615E"/>
    <w:rsid w:val="001A6E04"/>
    <w:rsid w:val="001B4DC6"/>
    <w:rsid w:val="001C18BC"/>
    <w:rsid w:val="001C3FB3"/>
    <w:rsid w:val="001C5A42"/>
    <w:rsid w:val="001C6588"/>
    <w:rsid w:val="001C6796"/>
    <w:rsid w:val="001C737C"/>
    <w:rsid w:val="001D3271"/>
    <w:rsid w:val="001D3BED"/>
    <w:rsid w:val="001D4248"/>
    <w:rsid w:val="001D4B7E"/>
    <w:rsid w:val="001E30BF"/>
    <w:rsid w:val="001E5DB1"/>
    <w:rsid w:val="001F35E8"/>
    <w:rsid w:val="001F50C0"/>
    <w:rsid w:val="001F53A2"/>
    <w:rsid w:val="001F71ED"/>
    <w:rsid w:val="00200CC1"/>
    <w:rsid w:val="0020295F"/>
    <w:rsid w:val="00203202"/>
    <w:rsid w:val="00203F76"/>
    <w:rsid w:val="00205C2F"/>
    <w:rsid w:val="0021197C"/>
    <w:rsid w:val="00222F8C"/>
    <w:rsid w:val="0022396C"/>
    <w:rsid w:val="002264BD"/>
    <w:rsid w:val="00226507"/>
    <w:rsid w:val="00226860"/>
    <w:rsid w:val="00235857"/>
    <w:rsid w:val="00241E04"/>
    <w:rsid w:val="00243970"/>
    <w:rsid w:val="00247B30"/>
    <w:rsid w:val="00250011"/>
    <w:rsid w:val="00253C7E"/>
    <w:rsid w:val="00254294"/>
    <w:rsid w:val="0025486B"/>
    <w:rsid w:val="00263892"/>
    <w:rsid w:val="00263922"/>
    <w:rsid w:val="0026513A"/>
    <w:rsid w:val="00265D36"/>
    <w:rsid w:val="002664A2"/>
    <w:rsid w:val="00267EF0"/>
    <w:rsid w:val="00271375"/>
    <w:rsid w:val="002771A5"/>
    <w:rsid w:val="002779AD"/>
    <w:rsid w:val="00282485"/>
    <w:rsid w:val="00286FE2"/>
    <w:rsid w:val="00287D0A"/>
    <w:rsid w:val="00297AD9"/>
    <w:rsid w:val="002A3F6C"/>
    <w:rsid w:val="002B13AF"/>
    <w:rsid w:val="002B3A81"/>
    <w:rsid w:val="002B6A8C"/>
    <w:rsid w:val="002B6C11"/>
    <w:rsid w:val="002B6FBC"/>
    <w:rsid w:val="002C6B6E"/>
    <w:rsid w:val="002C6D63"/>
    <w:rsid w:val="002C7BBC"/>
    <w:rsid w:val="002D3D1D"/>
    <w:rsid w:val="002D4931"/>
    <w:rsid w:val="002D5491"/>
    <w:rsid w:val="002D55E0"/>
    <w:rsid w:val="002E1848"/>
    <w:rsid w:val="002E3B8C"/>
    <w:rsid w:val="002E46AE"/>
    <w:rsid w:val="002E5DA3"/>
    <w:rsid w:val="002F4D98"/>
    <w:rsid w:val="002F5C90"/>
    <w:rsid w:val="002F76B0"/>
    <w:rsid w:val="00300785"/>
    <w:rsid w:val="00301282"/>
    <w:rsid w:val="00305FE7"/>
    <w:rsid w:val="003065AD"/>
    <w:rsid w:val="00325FC8"/>
    <w:rsid w:val="00327433"/>
    <w:rsid w:val="0033381E"/>
    <w:rsid w:val="003360C9"/>
    <w:rsid w:val="003376BD"/>
    <w:rsid w:val="0035102F"/>
    <w:rsid w:val="003524FC"/>
    <w:rsid w:val="00354903"/>
    <w:rsid w:val="003570BC"/>
    <w:rsid w:val="0036226E"/>
    <w:rsid w:val="003657E2"/>
    <w:rsid w:val="00372198"/>
    <w:rsid w:val="00373707"/>
    <w:rsid w:val="00373ADC"/>
    <w:rsid w:val="0037456B"/>
    <w:rsid w:val="0038282F"/>
    <w:rsid w:val="00385EE8"/>
    <w:rsid w:val="00385F6D"/>
    <w:rsid w:val="00387AF3"/>
    <w:rsid w:val="00391432"/>
    <w:rsid w:val="00391F34"/>
    <w:rsid w:val="003944C0"/>
    <w:rsid w:val="003960E3"/>
    <w:rsid w:val="003A05D3"/>
    <w:rsid w:val="003A1559"/>
    <w:rsid w:val="003A3225"/>
    <w:rsid w:val="003B10F5"/>
    <w:rsid w:val="003B2920"/>
    <w:rsid w:val="003B43F1"/>
    <w:rsid w:val="003B46EE"/>
    <w:rsid w:val="003B6C29"/>
    <w:rsid w:val="003B7476"/>
    <w:rsid w:val="003B7CA7"/>
    <w:rsid w:val="003C419E"/>
    <w:rsid w:val="003C65C1"/>
    <w:rsid w:val="003D5110"/>
    <w:rsid w:val="003D6545"/>
    <w:rsid w:val="003E1D2C"/>
    <w:rsid w:val="003E2D64"/>
    <w:rsid w:val="003E4621"/>
    <w:rsid w:val="003E68F5"/>
    <w:rsid w:val="003E7566"/>
    <w:rsid w:val="003E7BBB"/>
    <w:rsid w:val="003F16A7"/>
    <w:rsid w:val="003F1A4A"/>
    <w:rsid w:val="003F2DD6"/>
    <w:rsid w:val="003F3353"/>
    <w:rsid w:val="003F3F0E"/>
    <w:rsid w:val="003F4BFB"/>
    <w:rsid w:val="003F5721"/>
    <w:rsid w:val="003F5F96"/>
    <w:rsid w:val="003F6F62"/>
    <w:rsid w:val="003F72D6"/>
    <w:rsid w:val="003F77AD"/>
    <w:rsid w:val="00407CF5"/>
    <w:rsid w:val="00411BA5"/>
    <w:rsid w:val="0041398C"/>
    <w:rsid w:val="00415989"/>
    <w:rsid w:val="0041599E"/>
    <w:rsid w:val="0041647A"/>
    <w:rsid w:val="00424F20"/>
    <w:rsid w:val="0043151B"/>
    <w:rsid w:val="00431D66"/>
    <w:rsid w:val="00432C89"/>
    <w:rsid w:val="0044401C"/>
    <w:rsid w:val="00444A5F"/>
    <w:rsid w:val="00451E22"/>
    <w:rsid w:val="004533C2"/>
    <w:rsid w:val="00460267"/>
    <w:rsid w:val="00461140"/>
    <w:rsid w:val="00461C33"/>
    <w:rsid w:val="00464C07"/>
    <w:rsid w:val="00465F30"/>
    <w:rsid w:val="004663BD"/>
    <w:rsid w:val="00474B0A"/>
    <w:rsid w:val="00481CF5"/>
    <w:rsid w:val="00486F9B"/>
    <w:rsid w:val="00487C5D"/>
    <w:rsid w:val="004906DD"/>
    <w:rsid w:val="004908A0"/>
    <w:rsid w:val="004919E7"/>
    <w:rsid w:val="00492691"/>
    <w:rsid w:val="004A0D62"/>
    <w:rsid w:val="004A5CFF"/>
    <w:rsid w:val="004A7481"/>
    <w:rsid w:val="004A7616"/>
    <w:rsid w:val="004B3363"/>
    <w:rsid w:val="004B365C"/>
    <w:rsid w:val="004B4BB8"/>
    <w:rsid w:val="004B5908"/>
    <w:rsid w:val="004B7B58"/>
    <w:rsid w:val="004C1A77"/>
    <w:rsid w:val="004C1BBF"/>
    <w:rsid w:val="004C2569"/>
    <w:rsid w:val="004C2F33"/>
    <w:rsid w:val="004C6F38"/>
    <w:rsid w:val="004D269E"/>
    <w:rsid w:val="004E1C0F"/>
    <w:rsid w:val="004E2714"/>
    <w:rsid w:val="004E27DF"/>
    <w:rsid w:val="004E2A64"/>
    <w:rsid w:val="004E4842"/>
    <w:rsid w:val="004F1786"/>
    <w:rsid w:val="004F4A55"/>
    <w:rsid w:val="004F4F5E"/>
    <w:rsid w:val="004F7A50"/>
    <w:rsid w:val="00500F20"/>
    <w:rsid w:val="00502D01"/>
    <w:rsid w:val="00502D47"/>
    <w:rsid w:val="00510779"/>
    <w:rsid w:val="0051206A"/>
    <w:rsid w:val="0051391B"/>
    <w:rsid w:val="00517095"/>
    <w:rsid w:val="00517423"/>
    <w:rsid w:val="0052089F"/>
    <w:rsid w:val="00522752"/>
    <w:rsid w:val="00522DF0"/>
    <w:rsid w:val="00532FD5"/>
    <w:rsid w:val="00536824"/>
    <w:rsid w:val="0054019E"/>
    <w:rsid w:val="00543826"/>
    <w:rsid w:val="00546FDD"/>
    <w:rsid w:val="00551C7A"/>
    <w:rsid w:val="00552E48"/>
    <w:rsid w:val="00553A2E"/>
    <w:rsid w:val="005545F4"/>
    <w:rsid w:val="00555459"/>
    <w:rsid w:val="00555E2B"/>
    <w:rsid w:val="00557B12"/>
    <w:rsid w:val="005620E8"/>
    <w:rsid w:val="00562FBA"/>
    <w:rsid w:val="00566FFF"/>
    <w:rsid w:val="005678CD"/>
    <w:rsid w:val="00570BD3"/>
    <w:rsid w:val="00571494"/>
    <w:rsid w:val="0057521D"/>
    <w:rsid w:val="0057627A"/>
    <w:rsid w:val="00581169"/>
    <w:rsid w:val="005829BC"/>
    <w:rsid w:val="00586934"/>
    <w:rsid w:val="00587F34"/>
    <w:rsid w:val="00587FBC"/>
    <w:rsid w:val="005926F3"/>
    <w:rsid w:val="0059737C"/>
    <w:rsid w:val="005A154B"/>
    <w:rsid w:val="005A4CFB"/>
    <w:rsid w:val="005A69BA"/>
    <w:rsid w:val="005B0493"/>
    <w:rsid w:val="005B2108"/>
    <w:rsid w:val="005B54F8"/>
    <w:rsid w:val="005B6DE0"/>
    <w:rsid w:val="005D083B"/>
    <w:rsid w:val="005D1219"/>
    <w:rsid w:val="005D266B"/>
    <w:rsid w:val="005D7D35"/>
    <w:rsid w:val="005E0F08"/>
    <w:rsid w:val="005E2B48"/>
    <w:rsid w:val="005E6325"/>
    <w:rsid w:val="005E6BC9"/>
    <w:rsid w:val="005F1A59"/>
    <w:rsid w:val="005F479D"/>
    <w:rsid w:val="005F4CD3"/>
    <w:rsid w:val="005F5ACA"/>
    <w:rsid w:val="0060390B"/>
    <w:rsid w:val="006057FC"/>
    <w:rsid w:val="00605A42"/>
    <w:rsid w:val="006060FF"/>
    <w:rsid w:val="00607ED2"/>
    <w:rsid w:val="00612697"/>
    <w:rsid w:val="006179C2"/>
    <w:rsid w:val="00621716"/>
    <w:rsid w:val="0062185C"/>
    <w:rsid w:val="0062204A"/>
    <w:rsid w:val="006229BB"/>
    <w:rsid w:val="00625818"/>
    <w:rsid w:val="00627089"/>
    <w:rsid w:val="006318E1"/>
    <w:rsid w:val="00634144"/>
    <w:rsid w:val="006354EA"/>
    <w:rsid w:val="00635998"/>
    <w:rsid w:val="00642A1D"/>
    <w:rsid w:val="00644737"/>
    <w:rsid w:val="00646E6C"/>
    <w:rsid w:val="006509A0"/>
    <w:rsid w:val="0065416D"/>
    <w:rsid w:val="00655A74"/>
    <w:rsid w:val="00656E42"/>
    <w:rsid w:val="00664BA3"/>
    <w:rsid w:val="00671DF5"/>
    <w:rsid w:val="00674B8C"/>
    <w:rsid w:val="006766D7"/>
    <w:rsid w:val="00680637"/>
    <w:rsid w:val="006817DD"/>
    <w:rsid w:val="00684253"/>
    <w:rsid w:val="00687E4B"/>
    <w:rsid w:val="00693C09"/>
    <w:rsid w:val="006969FD"/>
    <w:rsid w:val="006A1DB0"/>
    <w:rsid w:val="006A22F9"/>
    <w:rsid w:val="006A3568"/>
    <w:rsid w:val="006A47C1"/>
    <w:rsid w:val="006A48D3"/>
    <w:rsid w:val="006A5AC4"/>
    <w:rsid w:val="006B126A"/>
    <w:rsid w:val="006B19B2"/>
    <w:rsid w:val="006B236A"/>
    <w:rsid w:val="006B6673"/>
    <w:rsid w:val="006C3552"/>
    <w:rsid w:val="006C4D0B"/>
    <w:rsid w:val="006C70E9"/>
    <w:rsid w:val="006C7250"/>
    <w:rsid w:val="006D135D"/>
    <w:rsid w:val="006D1C23"/>
    <w:rsid w:val="006D2D91"/>
    <w:rsid w:val="006D706C"/>
    <w:rsid w:val="006E33B0"/>
    <w:rsid w:val="006E4D26"/>
    <w:rsid w:val="006E75F4"/>
    <w:rsid w:val="006F0E23"/>
    <w:rsid w:val="006F1D0A"/>
    <w:rsid w:val="006F616B"/>
    <w:rsid w:val="006F74C4"/>
    <w:rsid w:val="00700C65"/>
    <w:rsid w:val="00702981"/>
    <w:rsid w:val="00703341"/>
    <w:rsid w:val="00703653"/>
    <w:rsid w:val="007039CA"/>
    <w:rsid w:val="00710BFE"/>
    <w:rsid w:val="00711A71"/>
    <w:rsid w:val="00716697"/>
    <w:rsid w:val="00716BDA"/>
    <w:rsid w:val="00722E71"/>
    <w:rsid w:val="007244C3"/>
    <w:rsid w:val="00724FC1"/>
    <w:rsid w:val="0073165A"/>
    <w:rsid w:val="0073167B"/>
    <w:rsid w:val="007328F9"/>
    <w:rsid w:val="00734F93"/>
    <w:rsid w:val="00737214"/>
    <w:rsid w:val="00737CF5"/>
    <w:rsid w:val="00742284"/>
    <w:rsid w:val="0074533E"/>
    <w:rsid w:val="007468E0"/>
    <w:rsid w:val="00750B79"/>
    <w:rsid w:val="00753320"/>
    <w:rsid w:val="00754BB9"/>
    <w:rsid w:val="00755DA7"/>
    <w:rsid w:val="007601DB"/>
    <w:rsid w:val="007632C9"/>
    <w:rsid w:val="007754D9"/>
    <w:rsid w:val="0077759F"/>
    <w:rsid w:val="00781BC5"/>
    <w:rsid w:val="0078253B"/>
    <w:rsid w:val="00783A64"/>
    <w:rsid w:val="007867DF"/>
    <w:rsid w:val="007878C2"/>
    <w:rsid w:val="00795C5E"/>
    <w:rsid w:val="007A0D16"/>
    <w:rsid w:val="007A5B4D"/>
    <w:rsid w:val="007B2417"/>
    <w:rsid w:val="007B2696"/>
    <w:rsid w:val="007B3B66"/>
    <w:rsid w:val="007B44E3"/>
    <w:rsid w:val="007B4C82"/>
    <w:rsid w:val="007B6FB7"/>
    <w:rsid w:val="007B7732"/>
    <w:rsid w:val="007C009C"/>
    <w:rsid w:val="007C27EC"/>
    <w:rsid w:val="007C70C7"/>
    <w:rsid w:val="007C7263"/>
    <w:rsid w:val="007C72ED"/>
    <w:rsid w:val="007C7FD3"/>
    <w:rsid w:val="007D237F"/>
    <w:rsid w:val="007D60EF"/>
    <w:rsid w:val="007D6EA1"/>
    <w:rsid w:val="007E23C1"/>
    <w:rsid w:val="007E2B85"/>
    <w:rsid w:val="007E4744"/>
    <w:rsid w:val="007E6080"/>
    <w:rsid w:val="007F02FC"/>
    <w:rsid w:val="007F03BC"/>
    <w:rsid w:val="007F1AB8"/>
    <w:rsid w:val="007F23F3"/>
    <w:rsid w:val="007F33C2"/>
    <w:rsid w:val="007F364D"/>
    <w:rsid w:val="007F4823"/>
    <w:rsid w:val="007F4D62"/>
    <w:rsid w:val="008007AC"/>
    <w:rsid w:val="00802817"/>
    <w:rsid w:val="0080525E"/>
    <w:rsid w:val="008052C0"/>
    <w:rsid w:val="00807EED"/>
    <w:rsid w:val="00812740"/>
    <w:rsid w:val="00812C6E"/>
    <w:rsid w:val="008162F9"/>
    <w:rsid w:val="0082138F"/>
    <w:rsid w:val="008213C0"/>
    <w:rsid w:val="00821FF9"/>
    <w:rsid w:val="00822369"/>
    <w:rsid w:val="008230F9"/>
    <w:rsid w:val="00824158"/>
    <w:rsid w:val="008269EF"/>
    <w:rsid w:val="008273C7"/>
    <w:rsid w:val="0083115A"/>
    <w:rsid w:val="00835E82"/>
    <w:rsid w:val="00837585"/>
    <w:rsid w:val="0084021F"/>
    <w:rsid w:val="00846A2A"/>
    <w:rsid w:val="00851193"/>
    <w:rsid w:val="00851365"/>
    <w:rsid w:val="00851C7F"/>
    <w:rsid w:val="008521C4"/>
    <w:rsid w:val="0085353A"/>
    <w:rsid w:val="00860E70"/>
    <w:rsid w:val="00861226"/>
    <w:rsid w:val="00864560"/>
    <w:rsid w:val="0087051D"/>
    <w:rsid w:val="00871A3A"/>
    <w:rsid w:val="00872264"/>
    <w:rsid w:val="00873294"/>
    <w:rsid w:val="008735D0"/>
    <w:rsid w:val="00880440"/>
    <w:rsid w:val="00882657"/>
    <w:rsid w:val="00883DD1"/>
    <w:rsid w:val="008841FB"/>
    <w:rsid w:val="0088507D"/>
    <w:rsid w:val="008935F9"/>
    <w:rsid w:val="0089363B"/>
    <w:rsid w:val="00894C16"/>
    <w:rsid w:val="008966E5"/>
    <w:rsid w:val="008978A9"/>
    <w:rsid w:val="008A010D"/>
    <w:rsid w:val="008A0885"/>
    <w:rsid w:val="008A1D36"/>
    <w:rsid w:val="008A2CAD"/>
    <w:rsid w:val="008A3855"/>
    <w:rsid w:val="008A4CAE"/>
    <w:rsid w:val="008B53A5"/>
    <w:rsid w:val="008C076E"/>
    <w:rsid w:val="008C718E"/>
    <w:rsid w:val="008D68ED"/>
    <w:rsid w:val="008D7539"/>
    <w:rsid w:val="008E4E51"/>
    <w:rsid w:val="008E519B"/>
    <w:rsid w:val="008E6ED2"/>
    <w:rsid w:val="008F0104"/>
    <w:rsid w:val="008F0A4B"/>
    <w:rsid w:val="008F2417"/>
    <w:rsid w:val="008F27AB"/>
    <w:rsid w:val="008F4669"/>
    <w:rsid w:val="008F6306"/>
    <w:rsid w:val="008F6470"/>
    <w:rsid w:val="008F657D"/>
    <w:rsid w:val="00901FC3"/>
    <w:rsid w:val="009062C6"/>
    <w:rsid w:val="009063F8"/>
    <w:rsid w:val="00910002"/>
    <w:rsid w:val="00912A6F"/>
    <w:rsid w:val="00913A76"/>
    <w:rsid w:val="00916248"/>
    <w:rsid w:val="009234DF"/>
    <w:rsid w:val="0092514A"/>
    <w:rsid w:val="00925ADD"/>
    <w:rsid w:val="00926538"/>
    <w:rsid w:val="0093139D"/>
    <w:rsid w:val="00931E92"/>
    <w:rsid w:val="00932E51"/>
    <w:rsid w:val="009359AF"/>
    <w:rsid w:val="00936F19"/>
    <w:rsid w:val="009415D3"/>
    <w:rsid w:val="009453BF"/>
    <w:rsid w:val="00946CE2"/>
    <w:rsid w:val="009476FD"/>
    <w:rsid w:val="00953AD4"/>
    <w:rsid w:val="00954CF9"/>
    <w:rsid w:val="009563EF"/>
    <w:rsid w:val="009577A7"/>
    <w:rsid w:val="0096037E"/>
    <w:rsid w:val="00960CB1"/>
    <w:rsid w:val="00974E7C"/>
    <w:rsid w:val="009755BA"/>
    <w:rsid w:val="00976A26"/>
    <w:rsid w:val="009770C2"/>
    <w:rsid w:val="0098280C"/>
    <w:rsid w:val="00984338"/>
    <w:rsid w:val="009A1CFD"/>
    <w:rsid w:val="009A4730"/>
    <w:rsid w:val="009A4BEF"/>
    <w:rsid w:val="009A5E1A"/>
    <w:rsid w:val="009A7EFD"/>
    <w:rsid w:val="009B400C"/>
    <w:rsid w:val="009B4ED4"/>
    <w:rsid w:val="009B6BA1"/>
    <w:rsid w:val="009C1748"/>
    <w:rsid w:val="009C6EB0"/>
    <w:rsid w:val="009D1729"/>
    <w:rsid w:val="009D1A05"/>
    <w:rsid w:val="009D22AB"/>
    <w:rsid w:val="009D4DD5"/>
    <w:rsid w:val="009E0829"/>
    <w:rsid w:val="009F1313"/>
    <w:rsid w:val="009F44BA"/>
    <w:rsid w:val="009F683D"/>
    <w:rsid w:val="00A02201"/>
    <w:rsid w:val="00A026B7"/>
    <w:rsid w:val="00A04011"/>
    <w:rsid w:val="00A04C9D"/>
    <w:rsid w:val="00A05122"/>
    <w:rsid w:val="00A073DE"/>
    <w:rsid w:val="00A10BE7"/>
    <w:rsid w:val="00A131CE"/>
    <w:rsid w:val="00A21C96"/>
    <w:rsid w:val="00A220D5"/>
    <w:rsid w:val="00A2355E"/>
    <w:rsid w:val="00A27FBF"/>
    <w:rsid w:val="00A3085B"/>
    <w:rsid w:val="00A30C04"/>
    <w:rsid w:val="00A31718"/>
    <w:rsid w:val="00A32580"/>
    <w:rsid w:val="00A3376A"/>
    <w:rsid w:val="00A350ED"/>
    <w:rsid w:val="00A3593F"/>
    <w:rsid w:val="00A35A3E"/>
    <w:rsid w:val="00A35C99"/>
    <w:rsid w:val="00A3754B"/>
    <w:rsid w:val="00A40D15"/>
    <w:rsid w:val="00A41359"/>
    <w:rsid w:val="00A4269D"/>
    <w:rsid w:val="00A456A2"/>
    <w:rsid w:val="00A5232E"/>
    <w:rsid w:val="00A52FCC"/>
    <w:rsid w:val="00A54C8A"/>
    <w:rsid w:val="00A55B69"/>
    <w:rsid w:val="00A60F6E"/>
    <w:rsid w:val="00A6271F"/>
    <w:rsid w:val="00A62B39"/>
    <w:rsid w:val="00A64758"/>
    <w:rsid w:val="00A6563B"/>
    <w:rsid w:val="00A65CD2"/>
    <w:rsid w:val="00A677BE"/>
    <w:rsid w:val="00A735DA"/>
    <w:rsid w:val="00A753BE"/>
    <w:rsid w:val="00A76389"/>
    <w:rsid w:val="00A81467"/>
    <w:rsid w:val="00A82C3F"/>
    <w:rsid w:val="00A864B0"/>
    <w:rsid w:val="00A90CDD"/>
    <w:rsid w:val="00A93DA0"/>
    <w:rsid w:val="00A96003"/>
    <w:rsid w:val="00AA04DB"/>
    <w:rsid w:val="00AA0A39"/>
    <w:rsid w:val="00AA1B45"/>
    <w:rsid w:val="00AB0263"/>
    <w:rsid w:val="00AB0745"/>
    <w:rsid w:val="00AB3E57"/>
    <w:rsid w:val="00AB4E0B"/>
    <w:rsid w:val="00AB6984"/>
    <w:rsid w:val="00AB7C27"/>
    <w:rsid w:val="00AC1F14"/>
    <w:rsid w:val="00AC4877"/>
    <w:rsid w:val="00AC5BAC"/>
    <w:rsid w:val="00AC63F4"/>
    <w:rsid w:val="00AD0174"/>
    <w:rsid w:val="00AD1644"/>
    <w:rsid w:val="00AE02B8"/>
    <w:rsid w:val="00AE0E84"/>
    <w:rsid w:val="00AE31B4"/>
    <w:rsid w:val="00AE433E"/>
    <w:rsid w:val="00AE4BB0"/>
    <w:rsid w:val="00AE59EF"/>
    <w:rsid w:val="00AE7C50"/>
    <w:rsid w:val="00AF5BB8"/>
    <w:rsid w:val="00AF60B7"/>
    <w:rsid w:val="00B00D16"/>
    <w:rsid w:val="00B01489"/>
    <w:rsid w:val="00B049F7"/>
    <w:rsid w:val="00B1009C"/>
    <w:rsid w:val="00B10704"/>
    <w:rsid w:val="00B12230"/>
    <w:rsid w:val="00B24EE0"/>
    <w:rsid w:val="00B276BB"/>
    <w:rsid w:val="00B30054"/>
    <w:rsid w:val="00B320C7"/>
    <w:rsid w:val="00B33F4A"/>
    <w:rsid w:val="00B37DFC"/>
    <w:rsid w:val="00B413DC"/>
    <w:rsid w:val="00B41908"/>
    <w:rsid w:val="00B46B48"/>
    <w:rsid w:val="00B56E43"/>
    <w:rsid w:val="00B600D3"/>
    <w:rsid w:val="00B70046"/>
    <w:rsid w:val="00B708B6"/>
    <w:rsid w:val="00B7300E"/>
    <w:rsid w:val="00B73207"/>
    <w:rsid w:val="00B7524D"/>
    <w:rsid w:val="00B766C1"/>
    <w:rsid w:val="00B76AC5"/>
    <w:rsid w:val="00B82673"/>
    <w:rsid w:val="00B92FD3"/>
    <w:rsid w:val="00B93895"/>
    <w:rsid w:val="00B95A5B"/>
    <w:rsid w:val="00BA2CE0"/>
    <w:rsid w:val="00BA659F"/>
    <w:rsid w:val="00BA661D"/>
    <w:rsid w:val="00BA6FD3"/>
    <w:rsid w:val="00BB2E95"/>
    <w:rsid w:val="00BB4ABD"/>
    <w:rsid w:val="00BB735C"/>
    <w:rsid w:val="00BC0596"/>
    <w:rsid w:val="00BC6EC0"/>
    <w:rsid w:val="00BD1E3B"/>
    <w:rsid w:val="00BD49F0"/>
    <w:rsid w:val="00BD754B"/>
    <w:rsid w:val="00BE20F9"/>
    <w:rsid w:val="00BE29CF"/>
    <w:rsid w:val="00BE6F87"/>
    <w:rsid w:val="00BE7156"/>
    <w:rsid w:val="00BE7252"/>
    <w:rsid w:val="00BE7CD9"/>
    <w:rsid w:val="00BF1A5A"/>
    <w:rsid w:val="00BF26C9"/>
    <w:rsid w:val="00BF2BE5"/>
    <w:rsid w:val="00BF7616"/>
    <w:rsid w:val="00BF7670"/>
    <w:rsid w:val="00C0011E"/>
    <w:rsid w:val="00C0013B"/>
    <w:rsid w:val="00C00AA1"/>
    <w:rsid w:val="00C00FD6"/>
    <w:rsid w:val="00C0119C"/>
    <w:rsid w:val="00C01565"/>
    <w:rsid w:val="00C05506"/>
    <w:rsid w:val="00C05797"/>
    <w:rsid w:val="00C12463"/>
    <w:rsid w:val="00C126D4"/>
    <w:rsid w:val="00C155BF"/>
    <w:rsid w:val="00C15784"/>
    <w:rsid w:val="00C161F7"/>
    <w:rsid w:val="00C1741F"/>
    <w:rsid w:val="00C174E3"/>
    <w:rsid w:val="00C22E6F"/>
    <w:rsid w:val="00C243FD"/>
    <w:rsid w:val="00C26052"/>
    <w:rsid w:val="00C31583"/>
    <w:rsid w:val="00C35059"/>
    <w:rsid w:val="00C419A3"/>
    <w:rsid w:val="00C53429"/>
    <w:rsid w:val="00C56E86"/>
    <w:rsid w:val="00C57B79"/>
    <w:rsid w:val="00C65131"/>
    <w:rsid w:val="00C7218C"/>
    <w:rsid w:val="00C73EB2"/>
    <w:rsid w:val="00C74170"/>
    <w:rsid w:val="00C776BF"/>
    <w:rsid w:val="00C77BAD"/>
    <w:rsid w:val="00C80566"/>
    <w:rsid w:val="00C831BE"/>
    <w:rsid w:val="00C8335C"/>
    <w:rsid w:val="00C84BBC"/>
    <w:rsid w:val="00C85255"/>
    <w:rsid w:val="00C91DC9"/>
    <w:rsid w:val="00C9568D"/>
    <w:rsid w:val="00C96D68"/>
    <w:rsid w:val="00C96E69"/>
    <w:rsid w:val="00C97345"/>
    <w:rsid w:val="00C97912"/>
    <w:rsid w:val="00CA1661"/>
    <w:rsid w:val="00CA78F9"/>
    <w:rsid w:val="00CB2F49"/>
    <w:rsid w:val="00CB3844"/>
    <w:rsid w:val="00CC187D"/>
    <w:rsid w:val="00CC1FE8"/>
    <w:rsid w:val="00CC3F62"/>
    <w:rsid w:val="00CD6FA9"/>
    <w:rsid w:val="00CE04AD"/>
    <w:rsid w:val="00CE1572"/>
    <w:rsid w:val="00CE1C31"/>
    <w:rsid w:val="00CF2CFE"/>
    <w:rsid w:val="00CF7E10"/>
    <w:rsid w:val="00D05B6F"/>
    <w:rsid w:val="00D13C40"/>
    <w:rsid w:val="00D15FFC"/>
    <w:rsid w:val="00D17EA9"/>
    <w:rsid w:val="00D21064"/>
    <w:rsid w:val="00D21A67"/>
    <w:rsid w:val="00D24C1B"/>
    <w:rsid w:val="00D307F4"/>
    <w:rsid w:val="00D30E0B"/>
    <w:rsid w:val="00D325D1"/>
    <w:rsid w:val="00D32698"/>
    <w:rsid w:val="00D428ED"/>
    <w:rsid w:val="00D43653"/>
    <w:rsid w:val="00D45811"/>
    <w:rsid w:val="00D46CA6"/>
    <w:rsid w:val="00D5086D"/>
    <w:rsid w:val="00D53B01"/>
    <w:rsid w:val="00D53F81"/>
    <w:rsid w:val="00D5554E"/>
    <w:rsid w:val="00D5670E"/>
    <w:rsid w:val="00D56C27"/>
    <w:rsid w:val="00D575F5"/>
    <w:rsid w:val="00D6501A"/>
    <w:rsid w:val="00D6520C"/>
    <w:rsid w:val="00D66629"/>
    <w:rsid w:val="00D73992"/>
    <w:rsid w:val="00D740BC"/>
    <w:rsid w:val="00D8291B"/>
    <w:rsid w:val="00D838BD"/>
    <w:rsid w:val="00DA06E3"/>
    <w:rsid w:val="00DA0950"/>
    <w:rsid w:val="00DA0FD3"/>
    <w:rsid w:val="00DA1906"/>
    <w:rsid w:val="00DB0BF8"/>
    <w:rsid w:val="00DB2D45"/>
    <w:rsid w:val="00DB3608"/>
    <w:rsid w:val="00DB3628"/>
    <w:rsid w:val="00DB64A2"/>
    <w:rsid w:val="00DC20C5"/>
    <w:rsid w:val="00DC2709"/>
    <w:rsid w:val="00DC4BC0"/>
    <w:rsid w:val="00DD154A"/>
    <w:rsid w:val="00DD3091"/>
    <w:rsid w:val="00DD57C7"/>
    <w:rsid w:val="00DD6CFB"/>
    <w:rsid w:val="00DE6A86"/>
    <w:rsid w:val="00DF1BFA"/>
    <w:rsid w:val="00DF26BA"/>
    <w:rsid w:val="00DF34DB"/>
    <w:rsid w:val="00DF51F1"/>
    <w:rsid w:val="00E00A38"/>
    <w:rsid w:val="00E024E1"/>
    <w:rsid w:val="00E070B4"/>
    <w:rsid w:val="00E10F7E"/>
    <w:rsid w:val="00E1191A"/>
    <w:rsid w:val="00E1385F"/>
    <w:rsid w:val="00E16A28"/>
    <w:rsid w:val="00E20F1B"/>
    <w:rsid w:val="00E217AD"/>
    <w:rsid w:val="00E23D58"/>
    <w:rsid w:val="00E243AE"/>
    <w:rsid w:val="00E27DBD"/>
    <w:rsid w:val="00E310A0"/>
    <w:rsid w:val="00E31682"/>
    <w:rsid w:val="00E32733"/>
    <w:rsid w:val="00E3397A"/>
    <w:rsid w:val="00E356CC"/>
    <w:rsid w:val="00E417DE"/>
    <w:rsid w:val="00E4539C"/>
    <w:rsid w:val="00E472C7"/>
    <w:rsid w:val="00E51484"/>
    <w:rsid w:val="00E5231B"/>
    <w:rsid w:val="00E53CD7"/>
    <w:rsid w:val="00E55377"/>
    <w:rsid w:val="00E55724"/>
    <w:rsid w:val="00E55872"/>
    <w:rsid w:val="00E60DB4"/>
    <w:rsid w:val="00E6174F"/>
    <w:rsid w:val="00E621C9"/>
    <w:rsid w:val="00E67868"/>
    <w:rsid w:val="00E72D4A"/>
    <w:rsid w:val="00E73D4E"/>
    <w:rsid w:val="00E7473A"/>
    <w:rsid w:val="00E748D9"/>
    <w:rsid w:val="00E761D8"/>
    <w:rsid w:val="00E76D14"/>
    <w:rsid w:val="00E836B7"/>
    <w:rsid w:val="00E854A7"/>
    <w:rsid w:val="00E87DE4"/>
    <w:rsid w:val="00E921ED"/>
    <w:rsid w:val="00E931FD"/>
    <w:rsid w:val="00E9372E"/>
    <w:rsid w:val="00E97F9A"/>
    <w:rsid w:val="00EA0267"/>
    <w:rsid w:val="00EA4822"/>
    <w:rsid w:val="00EA5F69"/>
    <w:rsid w:val="00EB3461"/>
    <w:rsid w:val="00EC1BAE"/>
    <w:rsid w:val="00EC4809"/>
    <w:rsid w:val="00EC4812"/>
    <w:rsid w:val="00EC682A"/>
    <w:rsid w:val="00ED40B2"/>
    <w:rsid w:val="00ED6D24"/>
    <w:rsid w:val="00EE2542"/>
    <w:rsid w:val="00EE2672"/>
    <w:rsid w:val="00EE2D88"/>
    <w:rsid w:val="00EE357E"/>
    <w:rsid w:val="00EE4EE1"/>
    <w:rsid w:val="00EE6963"/>
    <w:rsid w:val="00EE797D"/>
    <w:rsid w:val="00EF43AF"/>
    <w:rsid w:val="00EF6D22"/>
    <w:rsid w:val="00F006D5"/>
    <w:rsid w:val="00F00C9D"/>
    <w:rsid w:val="00F029DE"/>
    <w:rsid w:val="00F02E02"/>
    <w:rsid w:val="00F030E7"/>
    <w:rsid w:val="00F05B33"/>
    <w:rsid w:val="00F05B73"/>
    <w:rsid w:val="00F070DF"/>
    <w:rsid w:val="00F11F82"/>
    <w:rsid w:val="00F1313D"/>
    <w:rsid w:val="00F14B86"/>
    <w:rsid w:val="00F1631D"/>
    <w:rsid w:val="00F2457D"/>
    <w:rsid w:val="00F3087F"/>
    <w:rsid w:val="00F338A7"/>
    <w:rsid w:val="00F35D3E"/>
    <w:rsid w:val="00F43AA6"/>
    <w:rsid w:val="00F51884"/>
    <w:rsid w:val="00F547AA"/>
    <w:rsid w:val="00F56966"/>
    <w:rsid w:val="00F578CE"/>
    <w:rsid w:val="00F614DD"/>
    <w:rsid w:val="00F61B91"/>
    <w:rsid w:val="00F62528"/>
    <w:rsid w:val="00F63011"/>
    <w:rsid w:val="00F632DB"/>
    <w:rsid w:val="00F635E5"/>
    <w:rsid w:val="00F64E94"/>
    <w:rsid w:val="00F652DD"/>
    <w:rsid w:val="00F66A96"/>
    <w:rsid w:val="00F66BC3"/>
    <w:rsid w:val="00F679AC"/>
    <w:rsid w:val="00F712DF"/>
    <w:rsid w:val="00F7151D"/>
    <w:rsid w:val="00F72393"/>
    <w:rsid w:val="00F727D2"/>
    <w:rsid w:val="00F73ECF"/>
    <w:rsid w:val="00F7566C"/>
    <w:rsid w:val="00F7593C"/>
    <w:rsid w:val="00F81733"/>
    <w:rsid w:val="00F8261A"/>
    <w:rsid w:val="00F82C0B"/>
    <w:rsid w:val="00F853C6"/>
    <w:rsid w:val="00F86662"/>
    <w:rsid w:val="00F90949"/>
    <w:rsid w:val="00F913F1"/>
    <w:rsid w:val="00F92070"/>
    <w:rsid w:val="00F933E0"/>
    <w:rsid w:val="00F94107"/>
    <w:rsid w:val="00F96280"/>
    <w:rsid w:val="00F97B99"/>
    <w:rsid w:val="00FA04C4"/>
    <w:rsid w:val="00FA0D77"/>
    <w:rsid w:val="00FA1A49"/>
    <w:rsid w:val="00FA2BB5"/>
    <w:rsid w:val="00FA3CB8"/>
    <w:rsid w:val="00FB39D3"/>
    <w:rsid w:val="00FB5BF4"/>
    <w:rsid w:val="00FC047C"/>
    <w:rsid w:val="00FC22D1"/>
    <w:rsid w:val="00FC5C8F"/>
    <w:rsid w:val="00FC5D7B"/>
    <w:rsid w:val="00FD1F84"/>
    <w:rsid w:val="00FD2F51"/>
    <w:rsid w:val="00FD6BAA"/>
    <w:rsid w:val="00FE0557"/>
    <w:rsid w:val="00FE1913"/>
    <w:rsid w:val="00FE4CB6"/>
    <w:rsid w:val="00FE56C4"/>
    <w:rsid w:val="00FE59CB"/>
    <w:rsid w:val="00FF0980"/>
    <w:rsid w:val="00FF23B9"/>
    <w:rsid w:val="00FF3B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A6782"/>
  <w15:docId w15:val="{3F88C661-8E12-4819-AD16-C8116720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Listeafsnit">
    <w:name w:val="List Paragraph"/>
    <w:basedOn w:val="Normal"/>
    <w:uiPriority w:val="34"/>
    <w:qFormat/>
    <w:rsid w:val="0083086F"/>
    <w:pPr>
      <w:ind w:left="720"/>
      <w:contextualSpacing/>
    </w:pPr>
  </w:style>
  <w:style w:type="paragraph" w:customStyle="1" w:styleId="EndNoteBibliographyTitle">
    <w:name w:val="EndNote Bibliography Title"/>
    <w:basedOn w:val="Normal"/>
    <w:link w:val="EndNoteBibliographyTitleChar"/>
    <w:rsid w:val="00991E23"/>
    <w:pPr>
      <w:spacing w:after="0"/>
      <w:jc w:val="center"/>
    </w:pPr>
    <w:rPr>
      <w:noProof/>
    </w:rPr>
  </w:style>
  <w:style w:type="character" w:customStyle="1" w:styleId="EndNoteBibliographyTitleChar">
    <w:name w:val="EndNote Bibliography Title Char"/>
    <w:basedOn w:val="Standardskrifttypeiafsnit"/>
    <w:link w:val="EndNoteBibliographyTitle"/>
    <w:rsid w:val="00991E23"/>
    <w:rPr>
      <w:rFonts w:ascii="Calibri" w:hAnsi="Calibri" w:cs="Calibri"/>
      <w:noProof/>
      <w:lang w:val="en-US"/>
    </w:rPr>
  </w:style>
  <w:style w:type="paragraph" w:customStyle="1" w:styleId="EndNoteBibliography">
    <w:name w:val="EndNote Bibliography"/>
    <w:basedOn w:val="Normal"/>
    <w:link w:val="EndNoteBibliographyChar"/>
    <w:rsid w:val="00991E23"/>
    <w:pPr>
      <w:spacing w:line="240" w:lineRule="auto"/>
    </w:pPr>
    <w:rPr>
      <w:noProof/>
    </w:rPr>
  </w:style>
  <w:style w:type="character" w:customStyle="1" w:styleId="EndNoteBibliographyChar">
    <w:name w:val="EndNote Bibliography Char"/>
    <w:basedOn w:val="Standardskrifttypeiafsnit"/>
    <w:link w:val="EndNoteBibliography"/>
    <w:rsid w:val="00991E23"/>
    <w:rPr>
      <w:rFonts w:ascii="Calibri" w:hAnsi="Calibri" w:cs="Calibri"/>
      <w:noProof/>
      <w:lang w:val="en-US"/>
    </w:rPr>
  </w:style>
  <w:style w:type="table" w:styleId="Tabel-Gitter">
    <w:name w:val="Table Grid"/>
    <w:basedOn w:val="Tabel-Normal"/>
    <w:uiPriority w:val="39"/>
    <w:rsid w:val="008B3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B47BB5"/>
    <w:rPr>
      <w:color w:val="0000FF"/>
      <w:u w:val="single"/>
    </w:rPr>
  </w:style>
  <w:style w:type="paragraph" w:styleId="Korrektur">
    <w:name w:val="Revision"/>
    <w:hidden/>
    <w:uiPriority w:val="99"/>
    <w:semiHidden/>
    <w:rsid w:val="00E91063"/>
    <w:pPr>
      <w:spacing w:after="0" w:line="240" w:lineRule="auto"/>
    </w:pPr>
  </w:style>
  <w:style w:type="character" w:styleId="Kommentarhenvisning">
    <w:name w:val="annotation reference"/>
    <w:basedOn w:val="Standardskrifttypeiafsnit"/>
    <w:uiPriority w:val="99"/>
    <w:semiHidden/>
    <w:unhideWhenUsed/>
    <w:rsid w:val="00E41924"/>
    <w:rPr>
      <w:sz w:val="16"/>
      <w:szCs w:val="16"/>
    </w:rPr>
  </w:style>
  <w:style w:type="paragraph" w:styleId="Kommentartekst">
    <w:name w:val="annotation text"/>
    <w:basedOn w:val="Normal"/>
    <w:link w:val="KommentartekstTegn"/>
    <w:uiPriority w:val="99"/>
    <w:unhideWhenUsed/>
    <w:rsid w:val="00E41924"/>
    <w:pPr>
      <w:spacing w:line="240" w:lineRule="auto"/>
    </w:pPr>
    <w:rPr>
      <w:sz w:val="20"/>
      <w:szCs w:val="20"/>
    </w:rPr>
  </w:style>
  <w:style w:type="character" w:customStyle="1" w:styleId="KommentartekstTegn">
    <w:name w:val="Kommentartekst Tegn"/>
    <w:basedOn w:val="Standardskrifttypeiafsnit"/>
    <w:link w:val="Kommentartekst"/>
    <w:uiPriority w:val="99"/>
    <w:rsid w:val="00E41924"/>
    <w:rPr>
      <w:sz w:val="20"/>
      <w:szCs w:val="20"/>
    </w:rPr>
  </w:style>
  <w:style w:type="paragraph" w:styleId="Kommentaremne">
    <w:name w:val="annotation subject"/>
    <w:basedOn w:val="Kommentartekst"/>
    <w:next w:val="Kommentartekst"/>
    <w:link w:val="KommentaremneTegn"/>
    <w:uiPriority w:val="99"/>
    <w:semiHidden/>
    <w:unhideWhenUsed/>
    <w:rsid w:val="00E41924"/>
    <w:rPr>
      <w:b/>
      <w:bCs/>
    </w:rPr>
  </w:style>
  <w:style w:type="character" w:customStyle="1" w:styleId="KommentaremneTegn">
    <w:name w:val="Kommentaremne Tegn"/>
    <w:basedOn w:val="KommentartekstTegn"/>
    <w:link w:val="Kommentaremne"/>
    <w:uiPriority w:val="99"/>
    <w:semiHidden/>
    <w:rsid w:val="00E41924"/>
    <w:rPr>
      <w:b/>
      <w:bCs/>
      <w:sz w:val="20"/>
      <w:szCs w:val="20"/>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el-Normal"/>
    <w:pPr>
      <w:spacing w:after="0" w:line="240" w:lineRule="auto"/>
    </w:pPr>
    <w:tblPr>
      <w:tblStyleRowBandSize w:val="1"/>
      <w:tblStyleColBandSize w:val="1"/>
    </w:tbl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tblPr>
      <w:tblStyleRowBandSize w:val="1"/>
      <w:tblStyleColBandSize w:val="1"/>
      <w:tblCellMar>
        <w:top w:w="100" w:type="dxa"/>
        <w:left w:w="100" w:type="dxa"/>
        <w:bottom w:w="100" w:type="dxa"/>
        <w:right w:w="100" w:type="dxa"/>
      </w:tblCellMar>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paragraph" w:styleId="Ingenafstand">
    <w:name w:val="No Spacing"/>
    <w:qFormat/>
    <w:rsid w:val="00D46CA6"/>
    <w:pPr>
      <w:spacing w:after="0" w:line="240" w:lineRule="auto"/>
    </w:pPr>
    <w:rPr>
      <w:rFonts w:asciiTheme="minorHAnsi" w:eastAsiaTheme="minorEastAsia" w:hAnsiTheme="minorHAnsi" w:cstheme="minorBidi"/>
      <w:lang w:val="de-DE" w:eastAsia="en-US"/>
    </w:rPr>
  </w:style>
  <w:style w:type="character" w:customStyle="1" w:styleId="None">
    <w:name w:val="None"/>
    <w:rsid w:val="00D46CA6"/>
  </w:style>
  <w:style w:type="table" w:customStyle="1" w:styleId="TableNormal1">
    <w:name w:val="Table Normal1"/>
    <w:rsid w:val="00D46CA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da-DK"/>
    </w:rPr>
    <w:tblPr>
      <w:tblInd w:w="0" w:type="dxa"/>
      <w:tblCellMar>
        <w:top w:w="0" w:type="dxa"/>
        <w:left w:w="0" w:type="dxa"/>
        <w:bottom w:w="0" w:type="dxa"/>
        <w:right w:w="0" w:type="dxa"/>
      </w:tblCellMar>
    </w:tblPr>
  </w:style>
  <w:style w:type="paragraph" w:styleId="NormalWeb">
    <w:name w:val="Normal (Web)"/>
    <w:basedOn w:val="Normal"/>
    <w:uiPriority w:val="99"/>
    <w:rsid w:val="001E5DB1"/>
    <w:pPr>
      <w:spacing w:after="0" w:line="360" w:lineRule="auto"/>
      <w:ind w:right="284"/>
    </w:pPr>
    <w:rPr>
      <w:rFonts w:ascii="Times New Roman" w:eastAsia="Times New Roman" w:hAnsi="Times New Roman" w:cs="Times New Roman"/>
      <w:sz w:val="24"/>
      <w:szCs w:val="24"/>
      <w:lang w:val="en-GB" w:eastAsia="en-US"/>
    </w:rPr>
  </w:style>
  <w:style w:type="character" w:customStyle="1" w:styleId="cf01">
    <w:name w:val="cf01"/>
    <w:basedOn w:val="Standardskrifttypeiafsnit"/>
    <w:rsid w:val="000D4DA8"/>
    <w:rPr>
      <w:rFonts w:ascii="Segoe UI" w:hAnsi="Segoe UI" w:cs="Segoe UI" w:hint="default"/>
      <w:color w:val="262626"/>
      <w:sz w:val="36"/>
      <w:szCs w:val="36"/>
    </w:rPr>
  </w:style>
  <w:style w:type="paragraph" w:styleId="Sidehoved">
    <w:name w:val="header"/>
    <w:basedOn w:val="Normal"/>
    <w:link w:val="SidehovedTegn"/>
    <w:uiPriority w:val="99"/>
    <w:unhideWhenUsed/>
    <w:rsid w:val="005D7D3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D7D35"/>
  </w:style>
  <w:style w:type="paragraph" w:styleId="Sidefod">
    <w:name w:val="footer"/>
    <w:basedOn w:val="Normal"/>
    <w:link w:val="SidefodTegn"/>
    <w:uiPriority w:val="99"/>
    <w:unhideWhenUsed/>
    <w:rsid w:val="005D7D3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D7D35"/>
  </w:style>
  <w:style w:type="character" w:styleId="Ulstomtale">
    <w:name w:val="Unresolved Mention"/>
    <w:basedOn w:val="Standardskrifttypeiafsnit"/>
    <w:uiPriority w:val="99"/>
    <w:semiHidden/>
    <w:unhideWhenUsed/>
    <w:rsid w:val="00A52FCC"/>
    <w:rPr>
      <w:color w:val="605E5C"/>
      <w:shd w:val="clear" w:color="auto" w:fill="E1DFDD"/>
    </w:rPr>
  </w:style>
  <w:style w:type="character" w:customStyle="1" w:styleId="overflow-hidden">
    <w:name w:val="overflow-hidden"/>
    <w:basedOn w:val="Standardskrifttypeiafsnit"/>
    <w:rsid w:val="008521C4"/>
  </w:style>
  <w:style w:type="paragraph" w:customStyle="1" w:styleId="Body">
    <w:name w:val="Body"/>
    <w:rsid w:val="004533C2"/>
    <w:pPr>
      <w:pBdr>
        <w:top w:val="nil"/>
        <w:left w:val="nil"/>
        <w:bottom w:val="nil"/>
        <w:right w:val="nil"/>
        <w:between w:val="nil"/>
        <w:bar w:val="nil"/>
      </w:pBdr>
      <w:spacing w:after="200" w:line="276" w:lineRule="auto"/>
    </w:pPr>
    <w:rPr>
      <w:rFonts w:eastAsia="Arial Unicode MS" w:cs="Arial Unicode MS"/>
      <w:color w:val="000000"/>
      <w:u w:color="000000"/>
      <w:bdr w:val="nil"/>
      <w14:textOutline w14:w="0" w14:cap="flat" w14:cmpd="sng" w14:algn="ctr">
        <w14:noFill/>
        <w14:prstDash w14:val="solid"/>
        <w14:bevel/>
      </w14:textOutline>
    </w:rPr>
  </w:style>
  <w:style w:type="paragraph" w:customStyle="1" w:styleId="FirstParagraph">
    <w:name w:val="First Paragraph"/>
    <w:basedOn w:val="Brdtekst"/>
    <w:next w:val="Brdtekst"/>
    <w:qFormat/>
    <w:rsid w:val="003A1559"/>
    <w:pPr>
      <w:spacing w:before="180" w:after="180" w:line="240" w:lineRule="auto"/>
    </w:pPr>
    <w:rPr>
      <w:rFonts w:asciiTheme="minorHAnsi" w:eastAsiaTheme="minorHAnsi" w:hAnsiTheme="minorHAnsi" w:cstheme="minorBidi"/>
      <w:sz w:val="24"/>
      <w:szCs w:val="24"/>
      <w:lang w:eastAsia="en-US"/>
    </w:rPr>
  </w:style>
  <w:style w:type="paragraph" w:customStyle="1" w:styleId="Compact">
    <w:name w:val="Compact"/>
    <w:basedOn w:val="Brdtekst"/>
    <w:qFormat/>
    <w:rsid w:val="003A1559"/>
    <w:pPr>
      <w:spacing w:before="36" w:after="36" w:line="240" w:lineRule="auto"/>
    </w:pPr>
    <w:rPr>
      <w:rFonts w:asciiTheme="minorHAnsi" w:eastAsiaTheme="minorHAnsi" w:hAnsiTheme="minorHAnsi" w:cstheme="minorBidi"/>
      <w:sz w:val="24"/>
      <w:szCs w:val="24"/>
      <w:lang w:eastAsia="en-US"/>
    </w:rPr>
  </w:style>
  <w:style w:type="paragraph" w:styleId="Brdtekst">
    <w:name w:val="Body Text"/>
    <w:basedOn w:val="Normal"/>
    <w:link w:val="BrdtekstTegn"/>
    <w:uiPriority w:val="99"/>
    <w:unhideWhenUsed/>
    <w:rsid w:val="003A1559"/>
    <w:pPr>
      <w:spacing w:after="120"/>
    </w:pPr>
  </w:style>
  <w:style w:type="character" w:customStyle="1" w:styleId="BrdtekstTegn">
    <w:name w:val="Brødtekst Tegn"/>
    <w:basedOn w:val="Standardskrifttypeiafsnit"/>
    <w:link w:val="Brdtekst"/>
    <w:uiPriority w:val="99"/>
    <w:rsid w:val="003A1559"/>
  </w:style>
  <w:style w:type="character" w:styleId="BesgtLink">
    <w:name w:val="FollowedHyperlink"/>
    <w:basedOn w:val="Standardskrifttypeiafsnit"/>
    <w:uiPriority w:val="99"/>
    <w:semiHidden/>
    <w:unhideWhenUsed/>
    <w:rsid w:val="006A48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0096">
      <w:bodyDiv w:val="1"/>
      <w:marLeft w:val="0"/>
      <w:marRight w:val="0"/>
      <w:marTop w:val="0"/>
      <w:marBottom w:val="0"/>
      <w:divBdr>
        <w:top w:val="none" w:sz="0" w:space="0" w:color="auto"/>
        <w:left w:val="none" w:sz="0" w:space="0" w:color="auto"/>
        <w:bottom w:val="none" w:sz="0" w:space="0" w:color="auto"/>
        <w:right w:val="none" w:sz="0" w:space="0" w:color="auto"/>
      </w:divBdr>
      <w:divsChild>
        <w:div w:id="497118075">
          <w:marLeft w:val="0"/>
          <w:marRight w:val="0"/>
          <w:marTop w:val="0"/>
          <w:marBottom w:val="0"/>
          <w:divBdr>
            <w:top w:val="none" w:sz="0" w:space="0" w:color="auto"/>
            <w:left w:val="none" w:sz="0" w:space="0" w:color="auto"/>
            <w:bottom w:val="none" w:sz="0" w:space="0" w:color="auto"/>
            <w:right w:val="none" w:sz="0" w:space="0" w:color="auto"/>
          </w:divBdr>
        </w:div>
      </w:divsChild>
    </w:div>
    <w:div w:id="98457508">
      <w:bodyDiv w:val="1"/>
      <w:marLeft w:val="0"/>
      <w:marRight w:val="0"/>
      <w:marTop w:val="0"/>
      <w:marBottom w:val="0"/>
      <w:divBdr>
        <w:top w:val="none" w:sz="0" w:space="0" w:color="auto"/>
        <w:left w:val="none" w:sz="0" w:space="0" w:color="auto"/>
        <w:bottom w:val="none" w:sz="0" w:space="0" w:color="auto"/>
        <w:right w:val="none" w:sz="0" w:space="0" w:color="auto"/>
      </w:divBdr>
      <w:divsChild>
        <w:div w:id="695888023">
          <w:marLeft w:val="0"/>
          <w:marRight w:val="0"/>
          <w:marTop w:val="0"/>
          <w:marBottom w:val="0"/>
          <w:divBdr>
            <w:top w:val="none" w:sz="0" w:space="0" w:color="auto"/>
            <w:left w:val="none" w:sz="0" w:space="0" w:color="auto"/>
            <w:bottom w:val="none" w:sz="0" w:space="0" w:color="auto"/>
            <w:right w:val="none" w:sz="0" w:space="0" w:color="auto"/>
          </w:divBdr>
        </w:div>
      </w:divsChild>
    </w:div>
    <w:div w:id="108011066">
      <w:bodyDiv w:val="1"/>
      <w:marLeft w:val="0"/>
      <w:marRight w:val="0"/>
      <w:marTop w:val="0"/>
      <w:marBottom w:val="0"/>
      <w:divBdr>
        <w:top w:val="none" w:sz="0" w:space="0" w:color="auto"/>
        <w:left w:val="none" w:sz="0" w:space="0" w:color="auto"/>
        <w:bottom w:val="none" w:sz="0" w:space="0" w:color="auto"/>
        <w:right w:val="none" w:sz="0" w:space="0" w:color="auto"/>
      </w:divBdr>
    </w:div>
    <w:div w:id="165561178">
      <w:bodyDiv w:val="1"/>
      <w:marLeft w:val="0"/>
      <w:marRight w:val="0"/>
      <w:marTop w:val="0"/>
      <w:marBottom w:val="0"/>
      <w:divBdr>
        <w:top w:val="none" w:sz="0" w:space="0" w:color="auto"/>
        <w:left w:val="none" w:sz="0" w:space="0" w:color="auto"/>
        <w:bottom w:val="none" w:sz="0" w:space="0" w:color="auto"/>
        <w:right w:val="none" w:sz="0" w:space="0" w:color="auto"/>
      </w:divBdr>
    </w:div>
    <w:div w:id="178783426">
      <w:bodyDiv w:val="1"/>
      <w:marLeft w:val="0"/>
      <w:marRight w:val="0"/>
      <w:marTop w:val="0"/>
      <w:marBottom w:val="0"/>
      <w:divBdr>
        <w:top w:val="none" w:sz="0" w:space="0" w:color="auto"/>
        <w:left w:val="none" w:sz="0" w:space="0" w:color="auto"/>
        <w:bottom w:val="none" w:sz="0" w:space="0" w:color="auto"/>
        <w:right w:val="none" w:sz="0" w:space="0" w:color="auto"/>
      </w:divBdr>
    </w:div>
    <w:div w:id="198905399">
      <w:bodyDiv w:val="1"/>
      <w:marLeft w:val="0"/>
      <w:marRight w:val="0"/>
      <w:marTop w:val="0"/>
      <w:marBottom w:val="0"/>
      <w:divBdr>
        <w:top w:val="none" w:sz="0" w:space="0" w:color="auto"/>
        <w:left w:val="none" w:sz="0" w:space="0" w:color="auto"/>
        <w:bottom w:val="none" w:sz="0" w:space="0" w:color="auto"/>
        <w:right w:val="none" w:sz="0" w:space="0" w:color="auto"/>
      </w:divBdr>
      <w:divsChild>
        <w:div w:id="841316968">
          <w:marLeft w:val="0"/>
          <w:marRight w:val="0"/>
          <w:marTop w:val="0"/>
          <w:marBottom w:val="0"/>
          <w:divBdr>
            <w:top w:val="none" w:sz="0" w:space="0" w:color="auto"/>
            <w:left w:val="none" w:sz="0" w:space="0" w:color="auto"/>
            <w:bottom w:val="none" w:sz="0" w:space="0" w:color="auto"/>
            <w:right w:val="none" w:sz="0" w:space="0" w:color="auto"/>
          </w:divBdr>
        </w:div>
      </w:divsChild>
    </w:div>
    <w:div w:id="245655464">
      <w:bodyDiv w:val="1"/>
      <w:marLeft w:val="0"/>
      <w:marRight w:val="0"/>
      <w:marTop w:val="0"/>
      <w:marBottom w:val="0"/>
      <w:divBdr>
        <w:top w:val="none" w:sz="0" w:space="0" w:color="auto"/>
        <w:left w:val="none" w:sz="0" w:space="0" w:color="auto"/>
        <w:bottom w:val="none" w:sz="0" w:space="0" w:color="auto"/>
        <w:right w:val="none" w:sz="0" w:space="0" w:color="auto"/>
      </w:divBdr>
    </w:div>
    <w:div w:id="273875272">
      <w:bodyDiv w:val="1"/>
      <w:marLeft w:val="0"/>
      <w:marRight w:val="0"/>
      <w:marTop w:val="0"/>
      <w:marBottom w:val="0"/>
      <w:divBdr>
        <w:top w:val="none" w:sz="0" w:space="0" w:color="auto"/>
        <w:left w:val="none" w:sz="0" w:space="0" w:color="auto"/>
        <w:bottom w:val="none" w:sz="0" w:space="0" w:color="auto"/>
        <w:right w:val="none" w:sz="0" w:space="0" w:color="auto"/>
      </w:divBdr>
      <w:divsChild>
        <w:div w:id="1423530414">
          <w:marLeft w:val="0"/>
          <w:marRight w:val="0"/>
          <w:marTop w:val="0"/>
          <w:marBottom w:val="0"/>
          <w:divBdr>
            <w:top w:val="none" w:sz="0" w:space="0" w:color="auto"/>
            <w:left w:val="none" w:sz="0" w:space="0" w:color="auto"/>
            <w:bottom w:val="none" w:sz="0" w:space="0" w:color="auto"/>
            <w:right w:val="none" w:sz="0" w:space="0" w:color="auto"/>
          </w:divBdr>
        </w:div>
      </w:divsChild>
    </w:div>
    <w:div w:id="292516600">
      <w:bodyDiv w:val="1"/>
      <w:marLeft w:val="0"/>
      <w:marRight w:val="0"/>
      <w:marTop w:val="0"/>
      <w:marBottom w:val="0"/>
      <w:divBdr>
        <w:top w:val="none" w:sz="0" w:space="0" w:color="auto"/>
        <w:left w:val="none" w:sz="0" w:space="0" w:color="auto"/>
        <w:bottom w:val="none" w:sz="0" w:space="0" w:color="auto"/>
        <w:right w:val="none" w:sz="0" w:space="0" w:color="auto"/>
      </w:divBdr>
    </w:div>
    <w:div w:id="332492710">
      <w:bodyDiv w:val="1"/>
      <w:marLeft w:val="0"/>
      <w:marRight w:val="0"/>
      <w:marTop w:val="0"/>
      <w:marBottom w:val="0"/>
      <w:divBdr>
        <w:top w:val="none" w:sz="0" w:space="0" w:color="auto"/>
        <w:left w:val="none" w:sz="0" w:space="0" w:color="auto"/>
        <w:bottom w:val="none" w:sz="0" w:space="0" w:color="auto"/>
        <w:right w:val="none" w:sz="0" w:space="0" w:color="auto"/>
      </w:divBdr>
      <w:divsChild>
        <w:div w:id="204684569">
          <w:marLeft w:val="0"/>
          <w:marRight w:val="0"/>
          <w:marTop w:val="0"/>
          <w:marBottom w:val="0"/>
          <w:divBdr>
            <w:top w:val="none" w:sz="0" w:space="0" w:color="auto"/>
            <w:left w:val="none" w:sz="0" w:space="0" w:color="auto"/>
            <w:bottom w:val="none" w:sz="0" w:space="0" w:color="auto"/>
            <w:right w:val="none" w:sz="0" w:space="0" w:color="auto"/>
          </w:divBdr>
        </w:div>
      </w:divsChild>
    </w:div>
    <w:div w:id="344402192">
      <w:bodyDiv w:val="1"/>
      <w:marLeft w:val="0"/>
      <w:marRight w:val="0"/>
      <w:marTop w:val="0"/>
      <w:marBottom w:val="0"/>
      <w:divBdr>
        <w:top w:val="none" w:sz="0" w:space="0" w:color="auto"/>
        <w:left w:val="none" w:sz="0" w:space="0" w:color="auto"/>
        <w:bottom w:val="none" w:sz="0" w:space="0" w:color="auto"/>
        <w:right w:val="none" w:sz="0" w:space="0" w:color="auto"/>
      </w:divBdr>
    </w:div>
    <w:div w:id="366608948">
      <w:bodyDiv w:val="1"/>
      <w:marLeft w:val="0"/>
      <w:marRight w:val="0"/>
      <w:marTop w:val="0"/>
      <w:marBottom w:val="0"/>
      <w:divBdr>
        <w:top w:val="none" w:sz="0" w:space="0" w:color="auto"/>
        <w:left w:val="none" w:sz="0" w:space="0" w:color="auto"/>
        <w:bottom w:val="none" w:sz="0" w:space="0" w:color="auto"/>
        <w:right w:val="none" w:sz="0" w:space="0" w:color="auto"/>
      </w:divBdr>
    </w:div>
    <w:div w:id="415519572">
      <w:bodyDiv w:val="1"/>
      <w:marLeft w:val="0"/>
      <w:marRight w:val="0"/>
      <w:marTop w:val="0"/>
      <w:marBottom w:val="0"/>
      <w:divBdr>
        <w:top w:val="none" w:sz="0" w:space="0" w:color="auto"/>
        <w:left w:val="none" w:sz="0" w:space="0" w:color="auto"/>
        <w:bottom w:val="none" w:sz="0" w:space="0" w:color="auto"/>
        <w:right w:val="none" w:sz="0" w:space="0" w:color="auto"/>
      </w:divBdr>
    </w:div>
    <w:div w:id="462889475">
      <w:bodyDiv w:val="1"/>
      <w:marLeft w:val="0"/>
      <w:marRight w:val="0"/>
      <w:marTop w:val="0"/>
      <w:marBottom w:val="0"/>
      <w:divBdr>
        <w:top w:val="none" w:sz="0" w:space="0" w:color="auto"/>
        <w:left w:val="none" w:sz="0" w:space="0" w:color="auto"/>
        <w:bottom w:val="none" w:sz="0" w:space="0" w:color="auto"/>
        <w:right w:val="none" w:sz="0" w:space="0" w:color="auto"/>
      </w:divBdr>
      <w:divsChild>
        <w:div w:id="425469155">
          <w:marLeft w:val="0"/>
          <w:marRight w:val="0"/>
          <w:marTop w:val="0"/>
          <w:marBottom w:val="0"/>
          <w:divBdr>
            <w:top w:val="none" w:sz="0" w:space="0" w:color="auto"/>
            <w:left w:val="none" w:sz="0" w:space="0" w:color="auto"/>
            <w:bottom w:val="none" w:sz="0" w:space="0" w:color="auto"/>
            <w:right w:val="none" w:sz="0" w:space="0" w:color="auto"/>
          </w:divBdr>
        </w:div>
      </w:divsChild>
    </w:div>
    <w:div w:id="469593686">
      <w:bodyDiv w:val="1"/>
      <w:marLeft w:val="0"/>
      <w:marRight w:val="0"/>
      <w:marTop w:val="0"/>
      <w:marBottom w:val="0"/>
      <w:divBdr>
        <w:top w:val="none" w:sz="0" w:space="0" w:color="auto"/>
        <w:left w:val="none" w:sz="0" w:space="0" w:color="auto"/>
        <w:bottom w:val="none" w:sz="0" w:space="0" w:color="auto"/>
        <w:right w:val="none" w:sz="0" w:space="0" w:color="auto"/>
      </w:divBdr>
      <w:divsChild>
        <w:div w:id="2065329771">
          <w:marLeft w:val="0"/>
          <w:marRight w:val="0"/>
          <w:marTop w:val="0"/>
          <w:marBottom w:val="0"/>
          <w:divBdr>
            <w:top w:val="none" w:sz="0" w:space="0" w:color="auto"/>
            <w:left w:val="none" w:sz="0" w:space="0" w:color="auto"/>
            <w:bottom w:val="none" w:sz="0" w:space="0" w:color="auto"/>
            <w:right w:val="none" w:sz="0" w:space="0" w:color="auto"/>
          </w:divBdr>
        </w:div>
      </w:divsChild>
    </w:div>
    <w:div w:id="475073866">
      <w:bodyDiv w:val="1"/>
      <w:marLeft w:val="0"/>
      <w:marRight w:val="0"/>
      <w:marTop w:val="0"/>
      <w:marBottom w:val="0"/>
      <w:divBdr>
        <w:top w:val="none" w:sz="0" w:space="0" w:color="auto"/>
        <w:left w:val="none" w:sz="0" w:space="0" w:color="auto"/>
        <w:bottom w:val="none" w:sz="0" w:space="0" w:color="auto"/>
        <w:right w:val="none" w:sz="0" w:space="0" w:color="auto"/>
      </w:divBdr>
    </w:div>
    <w:div w:id="499735848">
      <w:bodyDiv w:val="1"/>
      <w:marLeft w:val="0"/>
      <w:marRight w:val="0"/>
      <w:marTop w:val="0"/>
      <w:marBottom w:val="0"/>
      <w:divBdr>
        <w:top w:val="none" w:sz="0" w:space="0" w:color="auto"/>
        <w:left w:val="none" w:sz="0" w:space="0" w:color="auto"/>
        <w:bottom w:val="none" w:sz="0" w:space="0" w:color="auto"/>
        <w:right w:val="none" w:sz="0" w:space="0" w:color="auto"/>
      </w:divBdr>
    </w:div>
    <w:div w:id="528951740">
      <w:bodyDiv w:val="1"/>
      <w:marLeft w:val="0"/>
      <w:marRight w:val="0"/>
      <w:marTop w:val="0"/>
      <w:marBottom w:val="0"/>
      <w:divBdr>
        <w:top w:val="none" w:sz="0" w:space="0" w:color="auto"/>
        <w:left w:val="none" w:sz="0" w:space="0" w:color="auto"/>
        <w:bottom w:val="none" w:sz="0" w:space="0" w:color="auto"/>
        <w:right w:val="none" w:sz="0" w:space="0" w:color="auto"/>
      </w:divBdr>
      <w:divsChild>
        <w:div w:id="1610702051">
          <w:marLeft w:val="0"/>
          <w:marRight w:val="0"/>
          <w:marTop w:val="0"/>
          <w:marBottom w:val="0"/>
          <w:divBdr>
            <w:top w:val="none" w:sz="0" w:space="0" w:color="auto"/>
            <w:left w:val="none" w:sz="0" w:space="0" w:color="auto"/>
            <w:bottom w:val="none" w:sz="0" w:space="0" w:color="auto"/>
            <w:right w:val="none" w:sz="0" w:space="0" w:color="auto"/>
          </w:divBdr>
        </w:div>
      </w:divsChild>
    </w:div>
    <w:div w:id="567811139">
      <w:bodyDiv w:val="1"/>
      <w:marLeft w:val="0"/>
      <w:marRight w:val="0"/>
      <w:marTop w:val="0"/>
      <w:marBottom w:val="0"/>
      <w:divBdr>
        <w:top w:val="none" w:sz="0" w:space="0" w:color="auto"/>
        <w:left w:val="none" w:sz="0" w:space="0" w:color="auto"/>
        <w:bottom w:val="none" w:sz="0" w:space="0" w:color="auto"/>
        <w:right w:val="none" w:sz="0" w:space="0" w:color="auto"/>
      </w:divBdr>
      <w:divsChild>
        <w:div w:id="1192063761">
          <w:marLeft w:val="446"/>
          <w:marRight w:val="0"/>
          <w:marTop w:val="0"/>
          <w:marBottom w:val="160"/>
          <w:divBdr>
            <w:top w:val="none" w:sz="0" w:space="0" w:color="auto"/>
            <w:left w:val="none" w:sz="0" w:space="0" w:color="auto"/>
            <w:bottom w:val="none" w:sz="0" w:space="0" w:color="auto"/>
            <w:right w:val="none" w:sz="0" w:space="0" w:color="auto"/>
          </w:divBdr>
        </w:div>
        <w:div w:id="2095004003">
          <w:marLeft w:val="446"/>
          <w:marRight w:val="0"/>
          <w:marTop w:val="0"/>
          <w:marBottom w:val="160"/>
          <w:divBdr>
            <w:top w:val="none" w:sz="0" w:space="0" w:color="auto"/>
            <w:left w:val="none" w:sz="0" w:space="0" w:color="auto"/>
            <w:bottom w:val="none" w:sz="0" w:space="0" w:color="auto"/>
            <w:right w:val="none" w:sz="0" w:space="0" w:color="auto"/>
          </w:divBdr>
        </w:div>
        <w:div w:id="149297568">
          <w:marLeft w:val="446"/>
          <w:marRight w:val="0"/>
          <w:marTop w:val="0"/>
          <w:marBottom w:val="160"/>
          <w:divBdr>
            <w:top w:val="none" w:sz="0" w:space="0" w:color="auto"/>
            <w:left w:val="none" w:sz="0" w:space="0" w:color="auto"/>
            <w:bottom w:val="none" w:sz="0" w:space="0" w:color="auto"/>
            <w:right w:val="none" w:sz="0" w:space="0" w:color="auto"/>
          </w:divBdr>
        </w:div>
      </w:divsChild>
    </w:div>
    <w:div w:id="637733968">
      <w:bodyDiv w:val="1"/>
      <w:marLeft w:val="0"/>
      <w:marRight w:val="0"/>
      <w:marTop w:val="0"/>
      <w:marBottom w:val="0"/>
      <w:divBdr>
        <w:top w:val="none" w:sz="0" w:space="0" w:color="auto"/>
        <w:left w:val="none" w:sz="0" w:space="0" w:color="auto"/>
        <w:bottom w:val="none" w:sz="0" w:space="0" w:color="auto"/>
        <w:right w:val="none" w:sz="0" w:space="0" w:color="auto"/>
      </w:divBdr>
    </w:div>
    <w:div w:id="658115079">
      <w:bodyDiv w:val="1"/>
      <w:marLeft w:val="0"/>
      <w:marRight w:val="0"/>
      <w:marTop w:val="0"/>
      <w:marBottom w:val="0"/>
      <w:divBdr>
        <w:top w:val="none" w:sz="0" w:space="0" w:color="auto"/>
        <w:left w:val="none" w:sz="0" w:space="0" w:color="auto"/>
        <w:bottom w:val="none" w:sz="0" w:space="0" w:color="auto"/>
        <w:right w:val="none" w:sz="0" w:space="0" w:color="auto"/>
      </w:divBdr>
      <w:divsChild>
        <w:div w:id="889002987">
          <w:marLeft w:val="0"/>
          <w:marRight w:val="0"/>
          <w:marTop w:val="0"/>
          <w:marBottom w:val="0"/>
          <w:divBdr>
            <w:top w:val="none" w:sz="0" w:space="0" w:color="auto"/>
            <w:left w:val="none" w:sz="0" w:space="0" w:color="auto"/>
            <w:bottom w:val="none" w:sz="0" w:space="0" w:color="auto"/>
            <w:right w:val="none" w:sz="0" w:space="0" w:color="auto"/>
          </w:divBdr>
        </w:div>
      </w:divsChild>
    </w:div>
    <w:div w:id="661127879">
      <w:bodyDiv w:val="1"/>
      <w:marLeft w:val="0"/>
      <w:marRight w:val="0"/>
      <w:marTop w:val="0"/>
      <w:marBottom w:val="0"/>
      <w:divBdr>
        <w:top w:val="none" w:sz="0" w:space="0" w:color="auto"/>
        <w:left w:val="none" w:sz="0" w:space="0" w:color="auto"/>
        <w:bottom w:val="none" w:sz="0" w:space="0" w:color="auto"/>
        <w:right w:val="none" w:sz="0" w:space="0" w:color="auto"/>
      </w:divBdr>
      <w:divsChild>
        <w:div w:id="1707868631">
          <w:marLeft w:val="0"/>
          <w:marRight w:val="0"/>
          <w:marTop w:val="0"/>
          <w:marBottom w:val="0"/>
          <w:divBdr>
            <w:top w:val="none" w:sz="0" w:space="0" w:color="auto"/>
            <w:left w:val="none" w:sz="0" w:space="0" w:color="auto"/>
            <w:bottom w:val="none" w:sz="0" w:space="0" w:color="auto"/>
            <w:right w:val="none" w:sz="0" w:space="0" w:color="auto"/>
          </w:divBdr>
        </w:div>
      </w:divsChild>
    </w:div>
    <w:div w:id="674461121">
      <w:bodyDiv w:val="1"/>
      <w:marLeft w:val="0"/>
      <w:marRight w:val="0"/>
      <w:marTop w:val="0"/>
      <w:marBottom w:val="0"/>
      <w:divBdr>
        <w:top w:val="none" w:sz="0" w:space="0" w:color="auto"/>
        <w:left w:val="none" w:sz="0" w:space="0" w:color="auto"/>
        <w:bottom w:val="none" w:sz="0" w:space="0" w:color="auto"/>
        <w:right w:val="none" w:sz="0" w:space="0" w:color="auto"/>
      </w:divBdr>
      <w:divsChild>
        <w:div w:id="1867908998">
          <w:marLeft w:val="0"/>
          <w:marRight w:val="0"/>
          <w:marTop w:val="0"/>
          <w:marBottom w:val="0"/>
          <w:divBdr>
            <w:top w:val="none" w:sz="0" w:space="0" w:color="auto"/>
            <w:left w:val="none" w:sz="0" w:space="0" w:color="auto"/>
            <w:bottom w:val="none" w:sz="0" w:space="0" w:color="auto"/>
            <w:right w:val="none" w:sz="0" w:space="0" w:color="auto"/>
          </w:divBdr>
        </w:div>
      </w:divsChild>
    </w:div>
    <w:div w:id="698429299">
      <w:bodyDiv w:val="1"/>
      <w:marLeft w:val="0"/>
      <w:marRight w:val="0"/>
      <w:marTop w:val="0"/>
      <w:marBottom w:val="0"/>
      <w:divBdr>
        <w:top w:val="none" w:sz="0" w:space="0" w:color="auto"/>
        <w:left w:val="none" w:sz="0" w:space="0" w:color="auto"/>
        <w:bottom w:val="none" w:sz="0" w:space="0" w:color="auto"/>
        <w:right w:val="none" w:sz="0" w:space="0" w:color="auto"/>
      </w:divBdr>
    </w:div>
    <w:div w:id="771508758">
      <w:bodyDiv w:val="1"/>
      <w:marLeft w:val="0"/>
      <w:marRight w:val="0"/>
      <w:marTop w:val="0"/>
      <w:marBottom w:val="0"/>
      <w:divBdr>
        <w:top w:val="none" w:sz="0" w:space="0" w:color="auto"/>
        <w:left w:val="none" w:sz="0" w:space="0" w:color="auto"/>
        <w:bottom w:val="none" w:sz="0" w:space="0" w:color="auto"/>
        <w:right w:val="none" w:sz="0" w:space="0" w:color="auto"/>
      </w:divBdr>
    </w:div>
    <w:div w:id="860246665">
      <w:bodyDiv w:val="1"/>
      <w:marLeft w:val="0"/>
      <w:marRight w:val="0"/>
      <w:marTop w:val="0"/>
      <w:marBottom w:val="0"/>
      <w:divBdr>
        <w:top w:val="none" w:sz="0" w:space="0" w:color="auto"/>
        <w:left w:val="none" w:sz="0" w:space="0" w:color="auto"/>
        <w:bottom w:val="none" w:sz="0" w:space="0" w:color="auto"/>
        <w:right w:val="none" w:sz="0" w:space="0" w:color="auto"/>
      </w:divBdr>
      <w:divsChild>
        <w:div w:id="1191185090">
          <w:marLeft w:val="0"/>
          <w:marRight w:val="0"/>
          <w:marTop w:val="0"/>
          <w:marBottom w:val="0"/>
          <w:divBdr>
            <w:top w:val="none" w:sz="0" w:space="0" w:color="auto"/>
            <w:left w:val="none" w:sz="0" w:space="0" w:color="auto"/>
            <w:bottom w:val="none" w:sz="0" w:space="0" w:color="auto"/>
            <w:right w:val="none" w:sz="0" w:space="0" w:color="auto"/>
          </w:divBdr>
        </w:div>
      </w:divsChild>
    </w:div>
    <w:div w:id="873008378">
      <w:bodyDiv w:val="1"/>
      <w:marLeft w:val="0"/>
      <w:marRight w:val="0"/>
      <w:marTop w:val="0"/>
      <w:marBottom w:val="0"/>
      <w:divBdr>
        <w:top w:val="none" w:sz="0" w:space="0" w:color="auto"/>
        <w:left w:val="none" w:sz="0" w:space="0" w:color="auto"/>
        <w:bottom w:val="none" w:sz="0" w:space="0" w:color="auto"/>
        <w:right w:val="none" w:sz="0" w:space="0" w:color="auto"/>
      </w:divBdr>
      <w:divsChild>
        <w:div w:id="1305115298">
          <w:marLeft w:val="0"/>
          <w:marRight w:val="0"/>
          <w:marTop w:val="0"/>
          <w:marBottom w:val="0"/>
          <w:divBdr>
            <w:top w:val="none" w:sz="0" w:space="0" w:color="auto"/>
            <w:left w:val="none" w:sz="0" w:space="0" w:color="auto"/>
            <w:bottom w:val="none" w:sz="0" w:space="0" w:color="auto"/>
            <w:right w:val="none" w:sz="0" w:space="0" w:color="auto"/>
          </w:divBdr>
        </w:div>
      </w:divsChild>
    </w:div>
    <w:div w:id="876937763">
      <w:bodyDiv w:val="1"/>
      <w:marLeft w:val="0"/>
      <w:marRight w:val="0"/>
      <w:marTop w:val="0"/>
      <w:marBottom w:val="0"/>
      <w:divBdr>
        <w:top w:val="none" w:sz="0" w:space="0" w:color="auto"/>
        <w:left w:val="none" w:sz="0" w:space="0" w:color="auto"/>
        <w:bottom w:val="none" w:sz="0" w:space="0" w:color="auto"/>
        <w:right w:val="none" w:sz="0" w:space="0" w:color="auto"/>
      </w:divBdr>
      <w:divsChild>
        <w:div w:id="1533031639">
          <w:marLeft w:val="0"/>
          <w:marRight w:val="0"/>
          <w:marTop w:val="0"/>
          <w:marBottom w:val="0"/>
          <w:divBdr>
            <w:top w:val="none" w:sz="0" w:space="0" w:color="auto"/>
            <w:left w:val="none" w:sz="0" w:space="0" w:color="auto"/>
            <w:bottom w:val="none" w:sz="0" w:space="0" w:color="auto"/>
            <w:right w:val="none" w:sz="0" w:space="0" w:color="auto"/>
          </w:divBdr>
        </w:div>
      </w:divsChild>
    </w:div>
    <w:div w:id="901326571">
      <w:bodyDiv w:val="1"/>
      <w:marLeft w:val="0"/>
      <w:marRight w:val="0"/>
      <w:marTop w:val="0"/>
      <w:marBottom w:val="0"/>
      <w:divBdr>
        <w:top w:val="none" w:sz="0" w:space="0" w:color="auto"/>
        <w:left w:val="none" w:sz="0" w:space="0" w:color="auto"/>
        <w:bottom w:val="none" w:sz="0" w:space="0" w:color="auto"/>
        <w:right w:val="none" w:sz="0" w:space="0" w:color="auto"/>
      </w:divBdr>
      <w:divsChild>
        <w:div w:id="494417902">
          <w:marLeft w:val="0"/>
          <w:marRight w:val="0"/>
          <w:marTop w:val="0"/>
          <w:marBottom w:val="0"/>
          <w:divBdr>
            <w:top w:val="none" w:sz="0" w:space="0" w:color="auto"/>
            <w:left w:val="none" w:sz="0" w:space="0" w:color="auto"/>
            <w:bottom w:val="none" w:sz="0" w:space="0" w:color="auto"/>
            <w:right w:val="none" w:sz="0" w:space="0" w:color="auto"/>
          </w:divBdr>
        </w:div>
      </w:divsChild>
    </w:div>
    <w:div w:id="932519881">
      <w:bodyDiv w:val="1"/>
      <w:marLeft w:val="0"/>
      <w:marRight w:val="0"/>
      <w:marTop w:val="0"/>
      <w:marBottom w:val="0"/>
      <w:divBdr>
        <w:top w:val="none" w:sz="0" w:space="0" w:color="auto"/>
        <w:left w:val="none" w:sz="0" w:space="0" w:color="auto"/>
        <w:bottom w:val="none" w:sz="0" w:space="0" w:color="auto"/>
        <w:right w:val="none" w:sz="0" w:space="0" w:color="auto"/>
      </w:divBdr>
    </w:div>
    <w:div w:id="943155055">
      <w:bodyDiv w:val="1"/>
      <w:marLeft w:val="0"/>
      <w:marRight w:val="0"/>
      <w:marTop w:val="0"/>
      <w:marBottom w:val="0"/>
      <w:divBdr>
        <w:top w:val="none" w:sz="0" w:space="0" w:color="auto"/>
        <w:left w:val="none" w:sz="0" w:space="0" w:color="auto"/>
        <w:bottom w:val="none" w:sz="0" w:space="0" w:color="auto"/>
        <w:right w:val="none" w:sz="0" w:space="0" w:color="auto"/>
      </w:divBdr>
    </w:div>
    <w:div w:id="1112553908">
      <w:bodyDiv w:val="1"/>
      <w:marLeft w:val="0"/>
      <w:marRight w:val="0"/>
      <w:marTop w:val="0"/>
      <w:marBottom w:val="0"/>
      <w:divBdr>
        <w:top w:val="none" w:sz="0" w:space="0" w:color="auto"/>
        <w:left w:val="none" w:sz="0" w:space="0" w:color="auto"/>
        <w:bottom w:val="none" w:sz="0" w:space="0" w:color="auto"/>
        <w:right w:val="none" w:sz="0" w:space="0" w:color="auto"/>
      </w:divBdr>
      <w:divsChild>
        <w:div w:id="396635601">
          <w:marLeft w:val="0"/>
          <w:marRight w:val="0"/>
          <w:marTop w:val="0"/>
          <w:marBottom w:val="0"/>
          <w:divBdr>
            <w:top w:val="none" w:sz="0" w:space="0" w:color="auto"/>
            <w:left w:val="none" w:sz="0" w:space="0" w:color="auto"/>
            <w:bottom w:val="none" w:sz="0" w:space="0" w:color="auto"/>
            <w:right w:val="none" w:sz="0" w:space="0" w:color="auto"/>
          </w:divBdr>
          <w:divsChild>
            <w:div w:id="653922419">
              <w:marLeft w:val="0"/>
              <w:marRight w:val="0"/>
              <w:marTop w:val="0"/>
              <w:marBottom w:val="0"/>
              <w:divBdr>
                <w:top w:val="none" w:sz="0" w:space="0" w:color="auto"/>
                <w:left w:val="none" w:sz="0" w:space="0" w:color="auto"/>
                <w:bottom w:val="none" w:sz="0" w:space="0" w:color="auto"/>
                <w:right w:val="none" w:sz="0" w:space="0" w:color="auto"/>
              </w:divBdr>
              <w:divsChild>
                <w:div w:id="1962223179">
                  <w:marLeft w:val="0"/>
                  <w:marRight w:val="0"/>
                  <w:marTop w:val="0"/>
                  <w:marBottom w:val="0"/>
                  <w:divBdr>
                    <w:top w:val="none" w:sz="0" w:space="0" w:color="auto"/>
                    <w:left w:val="none" w:sz="0" w:space="0" w:color="auto"/>
                    <w:bottom w:val="none" w:sz="0" w:space="0" w:color="auto"/>
                    <w:right w:val="none" w:sz="0" w:space="0" w:color="auto"/>
                  </w:divBdr>
                  <w:divsChild>
                    <w:div w:id="1305312958">
                      <w:marLeft w:val="0"/>
                      <w:marRight w:val="0"/>
                      <w:marTop w:val="0"/>
                      <w:marBottom w:val="0"/>
                      <w:divBdr>
                        <w:top w:val="none" w:sz="0" w:space="0" w:color="auto"/>
                        <w:left w:val="none" w:sz="0" w:space="0" w:color="auto"/>
                        <w:bottom w:val="none" w:sz="0" w:space="0" w:color="auto"/>
                        <w:right w:val="none" w:sz="0" w:space="0" w:color="auto"/>
                      </w:divBdr>
                      <w:divsChild>
                        <w:div w:id="1117482020">
                          <w:marLeft w:val="0"/>
                          <w:marRight w:val="0"/>
                          <w:marTop w:val="0"/>
                          <w:marBottom w:val="0"/>
                          <w:divBdr>
                            <w:top w:val="none" w:sz="0" w:space="0" w:color="auto"/>
                            <w:left w:val="none" w:sz="0" w:space="0" w:color="auto"/>
                            <w:bottom w:val="none" w:sz="0" w:space="0" w:color="auto"/>
                            <w:right w:val="none" w:sz="0" w:space="0" w:color="auto"/>
                          </w:divBdr>
                          <w:divsChild>
                            <w:div w:id="527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038387">
      <w:bodyDiv w:val="1"/>
      <w:marLeft w:val="0"/>
      <w:marRight w:val="0"/>
      <w:marTop w:val="0"/>
      <w:marBottom w:val="0"/>
      <w:divBdr>
        <w:top w:val="none" w:sz="0" w:space="0" w:color="auto"/>
        <w:left w:val="none" w:sz="0" w:space="0" w:color="auto"/>
        <w:bottom w:val="none" w:sz="0" w:space="0" w:color="auto"/>
        <w:right w:val="none" w:sz="0" w:space="0" w:color="auto"/>
      </w:divBdr>
    </w:div>
    <w:div w:id="1249073651">
      <w:bodyDiv w:val="1"/>
      <w:marLeft w:val="0"/>
      <w:marRight w:val="0"/>
      <w:marTop w:val="0"/>
      <w:marBottom w:val="0"/>
      <w:divBdr>
        <w:top w:val="none" w:sz="0" w:space="0" w:color="auto"/>
        <w:left w:val="none" w:sz="0" w:space="0" w:color="auto"/>
        <w:bottom w:val="none" w:sz="0" w:space="0" w:color="auto"/>
        <w:right w:val="none" w:sz="0" w:space="0" w:color="auto"/>
      </w:divBdr>
    </w:div>
    <w:div w:id="1254168113">
      <w:bodyDiv w:val="1"/>
      <w:marLeft w:val="0"/>
      <w:marRight w:val="0"/>
      <w:marTop w:val="0"/>
      <w:marBottom w:val="0"/>
      <w:divBdr>
        <w:top w:val="none" w:sz="0" w:space="0" w:color="auto"/>
        <w:left w:val="none" w:sz="0" w:space="0" w:color="auto"/>
        <w:bottom w:val="none" w:sz="0" w:space="0" w:color="auto"/>
        <w:right w:val="none" w:sz="0" w:space="0" w:color="auto"/>
      </w:divBdr>
      <w:divsChild>
        <w:div w:id="1631013161">
          <w:marLeft w:val="0"/>
          <w:marRight w:val="0"/>
          <w:marTop w:val="0"/>
          <w:marBottom w:val="0"/>
          <w:divBdr>
            <w:top w:val="none" w:sz="0" w:space="0" w:color="auto"/>
            <w:left w:val="none" w:sz="0" w:space="0" w:color="auto"/>
            <w:bottom w:val="none" w:sz="0" w:space="0" w:color="auto"/>
            <w:right w:val="none" w:sz="0" w:space="0" w:color="auto"/>
          </w:divBdr>
        </w:div>
      </w:divsChild>
    </w:div>
    <w:div w:id="1254821103">
      <w:bodyDiv w:val="1"/>
      <w:marLeft w:val="0"/>
      <w:marRight w:val="0"/>
      <w:marTop w:val="0"/>
      <w:marBottom w:val="0"/>
      <w:divBdr>
        <w:top w:val="none" w:sz="0" w:space="0" w:color="auto"/>
        <w:left w:val="none" w:sz="0" w:space="0" w:color="auto"/>
        <w:bottom w:val="none" w:sz="0" w:space="0" w:color="auto"/>
        <w:right w:val="none" w:sz="0" w:space="0" w:color="auto"/>
      </w:divBdr>
      <w:divsChild>
        <w:div w:id="719287730">
          <w:marLeft w:val="0"/>
          <w:marRight w:val="0"/>
          <w:marTop w:val="0"/>
          <w:marBottom w:val="0"/>
          <w:divBdr>
            <w:top w:val="none" w:sz="0" w:space="0" w:color="auto"/>
            <w:left w:val="none" w:sz="0" w:space="0" w:color="auto"/>
            <w:bottom w:val="none" w:sz="0" w:space="0" w:color="auto"/>
            <w:right w:val="none" w:sz="0" w:space="0" w:color="auto"/>
          </w:divBdr>
        </w:div>
      </w:divsChild>
    </w:div>
    <w:div w:id="1314262433">
      <w:bodyDiv w:val="1"/>
      <w:marLeft w:val="0"/>
      <w:marRight w:val="0"/>
      <w:marTop w:val="0"/>
      <w:marBottom w:val="0"/>
      <w:divBdr>
        <w:top w:val="none" w:sz="0" w:space="0" w:color="auto"/>
        <w:left w:val="none" w:sz="0" w:space="0" w:color="auto"/>
        <w:bottom w:val="none" w:sz="0" w:space="0" w:color="auto"/>
        <w:right w:val="none" w:sz="0" w:space="0" w:color="auto"/>
      </w:divBdr>
      <w:divsChild>
        <w:div w:id="1371491188">
          <w:marLeft w:val="0"/>
          <w:marRight w:val="0"/>
          <w:marTop w:val="0"/>
          <w:marBottom w:val="0"/>
          <w:divBdr>
            <w:top w:val="none" w:sz="0" w:space="0" w:color="auto"/>
            <w:left w:val="none" w:sz="0" w:space="0" w:color="auto"/>
            <w:bottom w:val="none" w:sz="0" w:space="0" w:color="auto"/>
            <w:right w:val="none" w:sz="0" w:space="0" w:color="auto"/>
          </w:divBdr>
        </w:div>
      </w:divsChild>
    </w:div>
    <w:div w:id="1325931664">
      <w:bodyDiv w:val="1"/>
      <w:marLeft w:val="0"/>
      <w:marRight w:val="0"/>
      <w:marTop w:val="0"/>
      <w:marBottom w:val="0"/>
      <w:divBdr>
        <w:top w:val="none" w:sz="0" w:space="0" w:color="auto"/>
        <w:left w:val="none" w:sz="0" w:space="0" w:color="auto"/>
        <w:bottom w:val="none" w:sz="0" w:space="0" w:color="auto"/>
        <w:right w:val="none" w:sz="0" w:space="0" w:color="auto"/>
      </w:divBdr>
      <w:divsChild>
        <w:div w:id="401951831">
          <w:marLeft w:val="547"/>
          <w:marRight w:val="0"/>
          <w:marTop w:val="0"/>
          <w:marBottom w:val="0"/>
          <w:divBdr>
            <w:top w:val="none" w:sz="0" w:space="0" w:color="auto"/>
            <w:left w:val="none" w:sz="0" w:space="0" w:color="auto"/>
            <w:bottom w:val="none" w:sz="0" w:space="0" w:color="auto"/>
            <w:right w:val="none" w:sz="0" w:space="0" w:color="auto"/>
          </w:divBdr>
        </w:div>
        <w:div w:id="731847454">
          <w:marLeft w:val="547"/>
          <w:marRight w:val="0"/>
          <w:marTop w:val="0"/>
          <w:marBottom w:val="0"/>
          <w:divBdr>
            <w:top w:val="none" w:sz="0" w:space="0" w:color="auto"/>
            <w:left w:val="none" w:sz="0" w:space="0" w:color="auto"/>
            <w:bottom w:val="none" w:sz="0" w:space="0" w:color="auto"/>
            <w:right w:val="none" w:sz="0" w:space="0" w:color="auto"/>
          </w:divBdr>
        </w:div>
      </w:divsChild>
    </w:div>
    <w:div w:id="1331566255">
      <w:bodyDiv w:val="1"/>
      <w:marLeft w:val="0"/>
      <w:marRight w:val="0"/>
      <w:marTop w:val="0"/>
      <w:marBottom w:val="0"/>
      <w:divBdr>
        <w:top w:val="none" w:sz="0" w:space="0" w:color="auto"/>
        <w:left w:val="none" w:sz="0" w:space="0" w:color="auto"/>
        <w:bottom w:val="none" w:sz="0" w:space="0" w:color="auto"/>
        <w:right w:val="none" w:sz="0" w:space="0" w:color="auto"/>
      </w:divBdr>
    </w:div>
    <w:div w:id="1336570562">
      <w:bodyDiv w:val="1"/>
      <w:marLeft w:val="0"/>
      <w:marRight w:val="0"/>
      <w:marTop w:val="0"/>
      <w:marBottom w:val="0"/>
      <w:divBdr>
        <w:top w:val="none" w:sz="0" w:space="0" w:color="auto"/>
        <w:left w:val="none" w:sz="0" w:space="0" w:color="auto"/>
        <w:bottom w:val="none" w:sz="0" w:space="0" w:color="auto"/>
        <w:right w:val="none" w:sz="0" w:space="0" w:color="auto"/>
      </w:divBdr>
      <w:divsChild>
        <w:div w:id="1320160479">
          <w:marLeft w:val="0"/>
          <w:marRight w:val="0"/>
          <w:marTop w:val="0"/>
          <w:marBottom w:val="0"/>
          <w:divBdr>
            <w:top w:val="none" w:sz="0" w:space="0" w:color="auto"/>
            <w:left w:val="none" w:sz="0" w:space="0" w:color="auto"/>
            <w:bottom w:val="none" w:sz="0" w:space="0" w:color="auto"/>
            <w:right w:val="none" w:sz="0" w:space="0" w:color="auto"/>
          </w:divBdr>
        </w:div>
      </w:divsChild>
    </w:div>
    <w:div w:id="1355185478">
      <w:bodyDiv w:val="1"/>
      <w:marLeft w:val="0"/>
      <w:marRight w:val="0"/>
      <w:marTop w:val="0"/>
      <w:marBottom w:val="0"/>
      <w:divBdr>
        <w:top w:val="none" w:sz="0" w:space="0" w:color="auto"/>
        <w:left w:val="none" w:sz="0" w:space="0" w:color="auto"/>
        <w:bottom w:val="none" w:sz="0" w:space="0" w:color="auto"/>
        <w:right w:val="none" w:sz="0" w:space="0" w:color="auto"/>
      </w:divBdr>
      <w:divsChild>
        <w:div w:id="243882956">
          <w:marLeft w:val="0"/>
          <w:marRight w:val="0"/>
          <w:marTop w:val="0"/>
          <w:marBottom w:val="0"/>
          <w:divBdr>
            <w:top w:val="none" w:sz="0" w:space="0" w:color="auto"/>
            <w:left w:val="none" w:sz="0" w:space="0" w:color="auto"/>
            <w:bottom w:val="none" w:sz="0" w:space="0" w:color="auto"/>
            <w:right w:val="none" w:sz="0" w:space="0" w:color="auto"/>
          </w:divBdr>
          <w:divsChild>
            <w:div w:id="405148203">
              <w:marLeft w:val="0"/>
              <w:marRight w:val="0"/>
              <w:marTop w:val="0"/>
              <w:marBottom w:val="0"/>
              <w:divBdr>
                <w:top w:val="none" w:sz="0" w:space="0" w:color="auto"/>
                <w:left w:val="none" w:sz="0" w:space="0" w:color="auto"/>
                <w:bottom w:val="none" w:sz="0" w:space="0" w:color="auto"/>
                <w:right w:val="none" w:sz="0" w:space="0" w:color="auto"/>
              </w:divBdr>
              <w:divsChild>
                <w:div w:id="1956519038">
                  <w:marLeft w:val="0"/>
                  <w:marRight w:val="0"/>
                  <w:marTop w:val="0"/>
                  <w:marBottom w:val="0"/>
                  <w:divBdr>
                    <w:top w:val="none" w:sz="0" w:space="0" w:color="auto"/>
                    <w:left w:val="none" w:sz="0" w:space="0" w:color="auto"/>
                    <w:bottom w:val="none" w:sz="0" w:space="0" w:color="auto"/>
                    <w:right w:val="none" w:sz="0" w:space="0" w:color="auto"/>
                  </w:divBdr>
                  <w:divsChild>
                    <w:div w:id="650867032">
                      <w:marLeft w:val="0"/>
                      <w:marRight w:val="0"/>
                      <w:marTop w:val="0"/>
                      <w:marBottom w:val="0"/>
                      <w:divBdr>
                        <w:top w:val="none" w:sz="0" w:space="0" w:color="auto"/>
                        <w:left w:val="none" w:sz="0" w:space="0" w:color="auto"/>
                        <w:bottom w:val="none" w:sz="0" w:space="0" w:color="auto"/>
                        <w:right w:val="none" w:sz="0" w:space="0" w:color="auto"/>
                      </w:divBdr>
                      <w:divsChild>
                        <w:div w:id="1229808504">
                          <w:marLeft w:val="0"/>
                          <w:marRight w:val="0"/>
                          <w:marTop w:val="0"/>
                          <w:marBottom w:val="0"/>
                          <w:divBdr>
                            <w:top w:val="none" w:sz="0" w:space="0" w:color="auto"/>
                            <w:left w:val="none" w:sz="0" w:space="0" w:color="auto"/>
                            <w:bottom w:val="none" w:sz="0" w:space="0" w:color="auto"/>
                            <w:right w:val="none" w:sz="0" w:space="0" w:color="auto"/>
                          </w:divBdr>
                          <w:divsChild>
                            <w:div w:id="4557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79112">
      <w:bodyDiv w:val="1"/>
      <w:marLeft w:val="0"/>
      <w:marRight w:val="0"/>
      <w:marTop w:val="0"/>
      <w:marBottom w:val="0"/>
      <w:divBdr>
        <w:top w:val="none" w:sz="0" w:space="0" w:color="auto"/>
        <w:left w:val="none" w:sz="0" w:space="0" w:color="auto"/>
        <w:bottom w:val="none" w:sz="0" w:space="0" w:color="auto"/>
        <w:right w:val="none" w:sz="0" w:space="0" w:color="auto"/>
      </w:divBdr>
      <w:divsChild>
        <w:div w:id="1684473074">
          <w:marLeft w:val="0"/>
          <w:marRight w:val="0"/>
          <w:marTop w:val="0"/>
          <w:marBottom w:val="0"/>
          <w:divBdr>
            <w:top w:val="none" w:sz="0" w:space="0" w:color="auto"/>
            <w:left w:val="none" w:sz="0" w:space="0" w:color="auto"/>
            <w:bottom w:val="none" w:sz="0" w:space="0" w:color="auto"/>
            <w:right w:val="none" w:sz="0" w:space="0" w:color="auto"/>
          </w:divBdr>
        </w:div>
      </w:divsChild>
    </w:div>
    <w:div w:id="1365592619">
      <w:bodyDiv w:val="1"/>
      <w:marLeft w:val="0"/>
      <w:marRight w:val="0"/>
      <w:marTop w:val="0"/>
      <w:marBottom w:val="0"/>
      <w:divBdr>
        <w:top w:val="none" w:sz="0" w:space="0" w:color="auto"/>
        <w:left w:val="none" w:sz="0" w:space="0" w:color="auto"/>
        <w:bottom w:val="none" w:sz="0" w:space="0" w:color="auto"/>
        <w:right w:val="none" w:sz="0" w:space="0" w:color="auto"/>
      </w:divBdr>
    </w:div>
    <w:div w:id="1387728436">
      <w:bodyDiv w:val="1"/>
      <w:marLeft w:val="0"/>
      <w:marRight w:val="0"/>
      <w:marTop w:val="0"/>
      <w:marBottom w:val="0"/>
      <w:divBdr>
        <w:top w:val="none" w:sz="0" w:space="0" w:color="auto"/>
        <w:left w:val="none" w:sz="0" w:space="0" w:color="auto"/>
        <w:bottom w:val="none" w:sz="0" w:space="0" w:color="auto"/>
        <w:right w:val="none" w:sz="0" w:space="0" w:color="auto"/>
      </w:divBdr>
    </w:div>
    <w:div w:id="1405838919">
      <w:bodyDiv w:val="1"/>
      <w:marLeft w:val="0"/>
      <w:marRight w:val="0"/>
      <w:marTop w:val="0"/>
      <w:marBottom w:val="0"/>
      <w:divBdr>
        <w:top w:val="none" w:sz="0" w:space="0" w:color="auto"/>
        <w:left w:val="none" w:sz="0" w:space="0" w:color="auto"/>
        <w:bottom w:val="none" w:sz="0" w:space="0" w:color="auto"/>
        <w:right w:val="none" w:sz="0" w:space="0" w:color="auto"/>
      </w:divBdr>
      <w:divsChild>
        <w:div w:id="583685595">
          <w:marLeft w:val="0"/>
          <w:marRight w:val="0"/>
          <w:marTop w:val="0"/>
          <w:marBottom w:val="0"/>
          <w:divBdr>
            <w:top w:val="none" w:sz="0" w:space="0" w:color="auto"/>
            <w:left w:val="none" w:sz="0" w:space="0" w:color="auto"/>
            <w:bottom w:val="none" w:sz="0" w:space="0" w:color="auto"/>
            <w:right w:val="none" w:sz="0" w:space="0" w:color="auto"/>
          </w:divBdr>
        </w:div>
      </w:divsChild>
    </w:div>
    <w:div w:id="1406607084">
      <w:bodyDiv w:val="1"/>
      <w:marLeft w:val="0"/>
      <w:marRight w:val="0"/>
      <w:marTop w:val="0"/>
      <w:marBottom w:val="0"/>
      <w:divBdr>
        <w:top w:val="none" w:sz="0" w:space="0" w:color="auto"/>
        <w:left w:val="none" w:sz="0" w:space="0" w:color="auto"/>
        <w:bottom w:val="none" w:sz="0" w:space="0" w:color="auto"/>
        <w:right w:val="none" w:sz="0" w:space="0" w:color="auto"/>
      </w:divBdr>
    </w:div>
    <w:div w:id="1427387177">
      <w:bodyDiv w:val="1"/>
      <w:marLeft w:val="0"/>
      <w:marRight w:val="0"/>
      <w:marTop w:val="0"/>
      <w:marBottom w:val="0"/>
      <w:divBdr>
        <w:top w:val="none" w:sz="0" w:space="0" w:color="auto"/>
        <w:left w:val="none" w:sz="0" w:space="0" w:color="auto"/>
        <w:bottom w:val="none" w:sz="0" w:space="0" w:color="auto"/>
        <w:right w:val="none" w:sz="0" w:space="0" w:color="auto"/>
      </w:divBdr>
      <w:divsChild>
        <w:div w:id="395592331">
          <w:marLeft w:val="0"/>
          <w:marRight w:val="0"/>
          <w:marTop w:val="0"/>
          <w:marBottom w:val="0"/>
          <w:divBdr>
            <w:top w:val="none" w:sz="0" w:space="0" w:color="auto"/>
            <w:left w:val="none" w:sz="0" w:space="0" w:color="auto"/>
            <w:bottom w:val="none" w:sz="0" w:space="0" w:color="auto"/>
            <w:right w:val="none" w:sz="0" w:space="0" w:color="auto"/>
          </w:divBdr>
        </w:div>
        <w:div w:id="778522515">
          <w:marLeft w:val="0"/>
          <w:marRight w:val="0"/>
          <w:marTop w:val="0"/>
          <w:marBottom w:val="0"/>
          <w:divBdr>
            <w:top w:val="none" w:sz="0" w:space="0" w:color="auto"/>
            <w:left w:val="none" w:sz="0" w:space="0" w:color="auto"/>
            <w:bottom w:val="none" w:sz="0" w:space="0" w:color="auto"/>
            <w:right w:val="none" w:sz="0" w:space="0" w:color="auto"/>
          </w:divBdr>
          <w:divsChild>
            <w:div w:id="844898681">
              <w:marLeft w:val="0"/>
              <w:marRight w:val="0"/>
              <w:marTop w:val="0"/>
              <w:marBottom w:val="0"/>
              <w:divBdr>
                <w:top w:val="none" w:sz="0" w:space="0" w:color="auto"/>
                <w:left w:val="none" w:sz="0" w:space="0" w:color="auto"/>
                <w:bottom w:val="none" w:sz="0" w:space="0" w:color="auto"/>
                <w:right w:val="none" w:sz="0" w:space="0" w:color="auto"/>
              </w:divBdr>
              <w:divsChild>
                <w:div w:id="16848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1821">
      <w:bodyDiv w:val="1"/>
      <w:marLeft w:val="0"/>
      <w:marRight w:val="0"/>
      <w:marTop w:val="0"/>
      <w:marBottom w:val="0"/>
      <w:divBdr>
        <w:top w:val="none" w:sz="0" w:space="0" w:color="auto"/>
        <w:left w:val="none" w:sz="0" w:space="0" w:color="auto"/>
        <w:bottom w:val="none" w:sz="0" w:space="0" w:color="auto"/>
        <w:right w:val="none" w:sz="0" w:space="0" w:color="auto"/>
      </w:divBdr>
      <w:divsChild>
        <w:div w:id="930429841">
          <w:marLeft w:val="0"/>
          <w:marRight w:val="0"/>
          <w:marTop w:val="0"/>
          <w:marBottom w:val="0"/>
          <w:divBdr>
            <w:top w:val="none" w:sz="0" w:space="0" w:color="auto"/>
            <w:left w:val="none" w:sz="0" w:space="0" w:color="auto"/>
            <w:bottom w:val="none" w:sz="0" w:space="0" w:color="auto"/>
            <w:right w:val="none" w:sz="0" w:space="0" w:color="auto"/>
          </w:divBdr>
        </w:div>
      </w:divsChild>
    </w:div>
    <w:div w:id="1470830266">
      <w:bodyDiv w:val="1"/>
      <w:marLeft w:val="0"/>
      <w:marRight w:val="0"/>
      <w:marTop w:val="0"/>
      <w:marBottom w:val="0"/>
      <w:divBdr>
        <w:top w:val="none" w:sz="0" w:space="0" w:color="auto"/>
        <w:left w:val="none" w:sz="0" w:space="0" w:color="auto"/>
        <w:bottom w:val="none" w:sz="0" w:space="0" w:color="auto"/>
        <w:right w:val="none" w:sz="0" w:space="0" w:color="auto"/>
      </w:divBdr>
      <w:divsChild>
        <w:div w:id="1411657760">
          <w:marLeft w:val="0"/>
          <w:marRight w:val="0"/>
          <w:marTop w:val="0"/>
          <w:marBottom w:val="0"/>
          <w:divBdr>
            <w:top w:val="none" w:sz="0" w:space="0" w:color="auto"/>
            <w:left w:val="none" w:sz="0" w:space="0" w:color="auto"/>
            <w:bottom w:val="none" w:sz="0" w:space="0" w:color="auto"/>
            <w:right w:val="none" w:sz="0" w:space="0" w:color="auto"/>
          </w:divBdr>
        </w:div>
      </w:divsChild>
    </w:div>
    <w:div w:id="1496916148">
      <w:bodyDiv w:val="1"/>
      <w:marLeft w:val="0"/>
      <w:marRight w:val="0"/>
      <w:marTop w:val="0"/>
      <w:marBottom w:val="0"/>
      <w:divBdr>
        <w:top w:val="none" w:sz="0" w:space="0" w:color="auto"/>
        <w:left w:val="none" w:sz="0" w:space="0" w:color="auto"/>
        <w:bottom w:val="none" w:sz="0" w:space="0" w:color="auto"/>
        <w:right w:val="none" w:sz="0" w:space="0" w:color="auto"/>
      </w:divBdr>
    </w:div>
    <w:div w:id="1499732705">
      <w:bodyDiv w:val="1"/>
      <w:marLeft w:val="0"/>
      <w:marRight w:val="0"/>
      <w:marTop w:val="0"/>
      <w:marBottom w:val="0"/>
      <w:divBdr>
        <w:top w:val="none" w:sz="0" w:space="0" w:color="auto"/>
        <w:left w:val="none" w:sz="0" w:space="0" w:color="auto"/>
        <w:bottom w:val="none" w:sz="0" w:space="0" w:color="auto"/>
        <w:right w:val="none" w:sz="0" w:space="0" w:color="auto"/>
      </w:divBdr>
      <w:divsChild>
        <w:div w:id="852230643">
          <w:marLeft w:val="0"/>
          <w:marRight w:val="0"/>
          <w:marTop w:val="0"/>
          <w:marBottom w:val="0"/>
          <w:divBdr>
            <w:top w:val="none" w:sz="0" w:space="0" w:color="auto"/>
            <w:left w:val="none" w:sz="0" w:space="0" w:color="auto"/>
            <w:bottom w:val="none" w:sz="0" w:space="0" w:color="auto"/>
            <w:right w:val="none" w:sz="0" w:space="0" w:color="auto"/>
          </w:divBdr>
        </w:div>
      </w:divsChild>
    </w:div>
    <w:div w:id="1502237359">
      <w:bodyDiv w:val="1"/>
      <w:marLeft w:val="0"/>
      <w:marRight w:val="0"/>
      <w:marTop w:val="0"/>
      <w:marBottom w:val="0"/>
      <w:divBdr>
        <w:top w:val="none" w:sz="0" w:space="0" w:color="auto"/>
        <w:left w:val="none" w:sz="0" w:space="0" w:color="auto"/>
        <w:bottom w:val="none" w:sz="0" w:space="0" w:color="auto"/>
        <w:right w:val="none" w:sz="0" w:space="0" w:color="auto"/>
      </w:divBdr>
      <w:divsChild>
        <w:div w:id="1560022009">
          <w:marLeft w:val="0"/>
          <w:marRight w:val="0"/>
          <w:marTop w:val="0"/>
          <w:marBottom w:val="0"/>
          <w:divBdr>
            <w:top w:val="none" w:sz="0" w:space="0" w:color="auto"/>
            <w:left w:val="none" w:sz="0" w:space="0" w:color="auto"/>
            <w:bottom w:val="none" w:sz="0" w:space="0" w:color="auto"/>
            <w:right w:val="none" w:sz="0" w:space="0" w:color="auto"/>
          </w:divBdr>
        </w:div>
      </w:divsChild>
    </w:div>
    <w:div w:id="1555696562">
      <w:bodyDiv w:val="1"/>
      <w:marLeft w:val="0"/>
      <w:marRight w:val="0"/>
      <w:marTop w:val="0"/>
      <w:marBottom w:val="0"/>
      <w:divBdr>
        <w:top w:val="none" w:sz="0" w:space="0" w:color="auto"/>
        <w:left w:val="none" w:sz="0" w:space="0" w:color="auto"/>
        <w:bottom w:val="none" w:sz="0" w:space="0" w:color="auto"/>
        <w:right w:val="none" w:sz="0" w:space="0" w:color="auto"/>
      </w:divBdr>
      <w:divsChild>
        <w:div w:id="356463555">
          <w:marLeft w:val="0"/>
          <w:marRight w:val="0"/>
          <w:marTop w:val="0"/>
          <w:marBottom w:val="0"/>
          <w:divBdr>
            <w:top w:val="none" w:sz="0" w:space="0" w:color="auto"/>
            <w:left w:val="none" w:sz="0" w:space="0" w:color="auto"/>
            <w:bottom w:val="none" w:sz="0" w:space="0" w:color="auto"/>
            <w:right w:val="none" w:sz="0" w:space="0" w:color="auto"/>
          </w:divBdr>
          <w:divsChild>
            <w:div w:id="298998604">
              <w:marLeft w:val="0"/>
              <w:marRight w:val="0"/>
              <w:marTop w:val="0"/>
              <w:marBottom w:val="0"/>
              <w:divBdr>
                <w:top w:val="none" w:sz="0" w:space="0" w:color="auto"/>
                <w:left w:val="none" w:sz="0" w:space="0" w:color="auto"/>
                <w:bottom w:val="none" w:sz="0" w:space="0" w:color="auto"/>
                <w:right w:val="none" w:sz="0" w:space="0" w:color="auto"/>
              </w:divBdr>
              <w:divsChild>
                <w:div w:id="1463186621">
                  <w:marLeft w:val="0"/>
                  <w:marRight w:val="0"/>
                  <w:marTop w:val="0"/>
                  <w:marBottom w:val="0"/>
                  <w:divBdr>
                    <w:top w:val="none" w:sz="0" w:space="0" w:color="auto"/>
                    <w:left w:val="none" w:sz="0" w:space="0" w:color="auto"/>
                    <w:bottom w:val="none" w:sz="0" w:space="0" w:color="auto"/>
                    <w:right w:val="none" w:sz="0" w:space="0" w:color="auto"/>
                  </w:divBdr>
                  <w:divsChild>
                    <w:div w:id="2126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62">
          <w:marLeft w:val="0"/>
          <w:marRight w:val="0"/>
          <w:marTop w:val="0"/>
          <w:marBottom w:val="0"/>
          <w:divBdr>
            <w:top w:val="none" w:sz="0" w:space="0" w:color="auto"/>
            <w:left w:val="none" w:sz="0" w:space="0" w:color="auto"/>
            <w:bottom w:val="none" w:sz="0" w:space="0" w:color="auto"/>
            <w:right w:val="none" w:sz="0" w:space="0" w:color="auto"/>
          </w:divBdr>
          <w:divsChild>
            <w:div w:id="496044284">
              <w:marLeft w:val="0"/>
              <w:marRight w:val="0"/>
              <w:marTop w:val="0"/>
              <w:marBottom w:val="0"/>
              <w:divBdr>
                <w:top w:val="none" w:sz="0" w:space="0" w:color="auto"/>
                <w:left w:val="none" w:sz="0" w:space="0" w:color="auto"/>
                <w:bottom w:val="none" w:sz="0" w:space="0" w:color="auto"/>
                <w:right w:val="none" w:sz="0" w:space="0" w:color="auto"/>
              </w:divBdr>
              <w:divsChild>
                <w:div w:id="1103067118">
                  <w:marLeft w:val="0"/>
                  <w:marRight w:val="0"/>
                  <w:marTop w:val="0"/>
                  <w:marBottom w:val="0"/>
                  <w:divBdr>
                    <w:top w:val="none" w:sz="0" w:space="0" w:color="auto"/>
                    <w:left w:val="none" w:sz="0" w:space="0" w:color="auto"/>
                    <w:bottom w:val="none" w:sz="0" w:space="0" w:color="auto"/>
                    <w:right w:val="none" w:sz="0" w:space="0" w:color="auto"/>
                  </w:divBdr>
                  <w:divsChild>
                    <w:div w:id="3203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7550">
      <w:bodyDiv w:val="1"/>
      <w:marLeft w:val="0"/>
      <w:marRight w:val="0"/>
      <w:marTop w:val="0"/>
      <w:marBottom w:val="0"/>
      <w:divBdr>
        <w:top w:val="none" w:sz="0" w:space="0" w:color="auto"/>
        <w:left w:val="none" w:sz="0" w:space="0" w:color="auto"/>
        <w:bottom w:val="none" w:sz="0" w:space="0" w:color="auto"/>
        <w:right w:val="none" w:sz="0" w:space="0" w:color="auto"/>
      </w:divBdr>
    </w:div>
    <w:div w:id="1653560001">
      <w:bodyDiv w:val="1"/>
      <w:marLeft w:val="0"/>
      <w:marRight w:val="0"/>
      <w:marTop w:val="0"/>
      <w:marBottom w:val="0"/>
      <w:divBdr>
        <w:top w:val="none" w:sz="0" w:space="0" w:color="auto"/>
        <w:left w:val="none" w:sz="0" w:space="0" w:color="auto"/>
        <w:bottom w:val="none" w:sz="0" w:space="0" w:color="auto"/>
        <w:right w:val="none" w:sz="0" w:space="0" w:color="auto"/>
      </w:divBdr>
    </w:div>
    <w:div w:id="1662927139">
      <w:bodyDiv w:val="1"/>
      <w:marLeft w:val="0"/>
      <w:marRight w:val="0"/>
      <w:marTop w:val="0"/>
      <w:marBottom w:val="0"/>
      <w:divBdr>
        <w:top w:val="none" w:sz="0" w:space="0" w:color="auto"/>
        <w:left w:val="none" w:sz="0" w:space="0" w:color="auto"/>
        <w:bottom w:val="none" w:sz="0" w:space="0" w:color="auto"/>
        <w:right w:val="none" w:sz="0" w:space="0" w:color="auto"/>
      </w:divBdr>
      <w:divsChild>
        <w:div w:id="842941581">
          <w:marLeft w:val="0"/>
          <w:marRight w:val="0"/>
          <w:marTop w:val="0"/>
          <w:marBottom w:val="0"/>
          <w:divBdr>
            <w:top w:val="none" w:sz="0" w:space="0" w:color="auto"/>
            <w:left w:val="none" w:sz="0" w:space="0" w:color="auto"/>
            <w:bottom w:val="none" w:sz="0" w:space="0" w:color="auto"/>
            <w:right w:val="none" w:sz="0" w:space="0" w:color="auto"/>
          </w:divBdr>
        </w:div>
      </w:divsChild>
    </w:div>
    <w:div w:id="1675840351">
      <w:bodyDiv w:val="1"/>
      <w:marLeft w:val="0"/>
      <w:marRight w:val="0"/>
      <w:marTop w:val="0"/>
      <w:marBottom w:val="0"/>
      <w:divBdr>
        <w:top w:val="none" w:sz="0" w:space="0" w:color="auto"/>
        <w:left w:val="none" w:sz="0" w:space="0" w:color="auto"/>
        <w:bottom w:val="none" w:sz="0" w:space="0" w:color="auto"/>
        <w:right w:val="none" w:sz="0" w:space="0" w:color="auto"/>
      </w:divBdr>
    </w:div>
    <w:div w:id="1713652378">
      <w:bodyDiv w:val="1"/>
      <w:marLeft w:val="0"/>
      <w:marRight w:val="0"/>
      <w:marTop w:val="0"/>
      <w:marBottom w:val="0"/>
      <w:divBdr>
        <w:top w:val="none" w:sz="0" w:space="0" w:color="auto"/>
        <w:left w:val="none" w:sz="0" w:space="0" w:color="auto"/>
        <w:bottom w:val="none" w:sz="0" w:space="0" w:color="auto"/>
        <w:right w:val="none" w:sz="0" w:space="0" w:color="auto"/>
      </w:divBdr>
    </w:div>
    <w:div w:id="1727995332">
      <w:bodyDiv w:val="1"/>
      <w:marLeft w:val="0"/>
      <w:marRight w:val="0"/>
      <w:marTop w:val="0"/>
      <w:marBottom w:val="0"/>
      <w:divBdr>
        <w:top w:val="none" w:sz="0" w:space="0" w:color="auto"/>
        <w:left w:val="none" w:sz="0" w:space="0" w:color="auto"/>
        <w:bottom w:val="none" w:sz="0" w:space="0" w:color="auto"/>
        <w:right w:val="none" w:sz="0" w:space="0" w:color="auto"/>
      </w:divBdr>
    </w:div>
    <w:div w:id="1752703487">
      <w:bodyDiv w:val="1"/>
      <w:marLeft w:val="0"/>
      <w:marRight w:val="0"/>
      <w:marTop w:val="0"/>
      <w:marBottom w:val="0"/>
      <w:divBdr>
        <w:top w:val="none" w:sz="0" w:space="0" w:color="auto"/>
        <w:left w:val="none" w:sz="0" w:space="0" w:color="auto"/>
        <w:bottom w:val="none" w:sz="0" w:space="0" w:color="auto"/>
        <w:right w:val="none" w:sz="0" w:space="0" w:color="auto"/>
      </w:divBdr>
      <w:divsChild>
        <w:div w:id="692418901">
          <w:marLeft w:val="0"/>
          <w:marRight w:val="0"/>
          <w:marTop w:val="0"/>
          <w:marBottom w:val="0"/>
          <w:divBdr>
            <w:top w:val="none" w:sz="0" w:space="0" w:color="auto"/>
            <w:left w:val="none" w:sz="0" w:space="0" w:color="auto"/>
            <w:bottom w:val="none" w:sz="0" w:space="0" w:color="auto"/>
            <w:right w:val="none" w:sz="0" w:space="0" w:color="auto"/>
          </w:divBdr>
        </w:div>
      </w:divsChild>
    </w:div>
    <w:div w:id="1803574158">
      <w:bodyDiv w:val="1"/>
      <w:marLeft w:val="0"/>
      <w:marRight w:val="0"/>
      <w:marTop w:val="0"/>
      <w:marBottom w:val="0"/>
      <w:divBdr>
        <w:top w:val="none" w:sz="0" w:space="0" w:color="auto"/>
        <w:left w:val="none" w:sz="0" w:space="0" w:color="auto"/>
        <w:bottom w:val="none" w:sz="0" w:space="0" w:color="auto"/>
        <w:right w:val="none" w:sz="0" w:space="0" w:color="auto"/>
      </w:divBdr>
    </w:div>
    <w:div w:id="1840197420">
      <w:bodyDiv w:val="1"/>
      <w:marLeft w:val="0"/>
      <w:marRight w:val="0"/>
      <w:marTop w:val="0"/>
      <w:marBottom w:val="0"/>
      <w:divBdr>
        <w:top w:val="none" w:sz="0" w:space="0" w:color="auto"/>
        <w:left w:val="none" w:sz="0" w:space="0" w:color="auto"/>
        <w:bottom w:val="none" w:sz="0" w:space="0" w:color="auto"/>
        <w:right w:val="none" w:sz="0" w:space="0" w:color="auto"/>
      </w:divBdr>
      <w:divsChild>
        <w:div w:id="248974883">
          <w:marLeft w:val="0"/>
          <w:marRight w:val="0"/>
          <w:marTop w:val="0"/>
          <w:marBottom w:val="0"/>
          <w:divBdr>
            <w:top w:val="none" w:sz="0" w:space="0" w:color="auto"/>
            <w:left w:val="none" w:sz="0" w:space="0" w:color="auto"/>
            <w:bottom w:val="none" w:sz="0" w:space="0" w:color="auto"/>
            <w:right w:val="none" w:sz="0" w:space="0" w:color="auto"/>
          </w:divBdr>
        </w:div>
      </w:divsChild>
    </w:div>
    <w:div w:id="1850755671">
      <w:bodyDiv w:val="1"/>
      <w:marLeft w:val="0"/>
      <w:marRight w:val="0"/>
      <w:marTop w:val="0"/>
      <w:marBottom w:val="0"/>
      <w:divBdr>
        <w:top w:val="none" w:sz="0" w:space="0" w:color="auto"/>
        <w:left w:val="none" w:sz="0" w:space="0" w:color="auto"/>
        <w:bottom w:val="none" w:sz="0" w:space="0" w:color="auto"/>
        <w:right w:val="none" w:sz="0" w:space="0" w:color="auto"/>
      </w:divBdr>
      <w:divsChild>
        <w:div w:id="2097283969">
          <w:marLeft w:val="0"/>
          <w:marRight w:val="0"/>
          <w:marTop w:val="0"/>
          <w:marBottom w:val="0"/>
          <w:divBdr>
            <w:top w:val="none" w:sz="0" w:space="0" w:color="auto"/>
            <w:left w:val="none" w:sz="0" w:space="0" w:color="auto"/>
            <w:bottom w:val="none" w:sz="0" w:space="0" w:color="auto"/>
            <w:right w:val="none" w:sz="0" w:space="0" w:color="auto"/>
          </w:divBdr>
        </w:div>
      </w:divsChild>
    </w:div>
    <w:div w:id="1886090907">
      <w:bodyDiv w:val="1"/>
      <w:marLeft w:val="0"/>
      <w:marRight w:val="0"/>
      <w:marTop w:val="0"/>
      <w:marBottom w:val="0"/>
      <w:divBdr>
        <w:top w:val="none" w:sz="0" w:space="0" w:color="auto"/>
        <w:left w:val="none" w:sz="0" w:space="0" w:color="auto"/>
        <w:bottom w:val="none" w:sz="0" w:space="0" w:color="auto"/>
        <w:right w:val="none" w:sz="0" w:space="0" w:color="auto"/>
      </w:divBdr>
      <w:divsChild>
        <w:div w:id="1839925925">
          <w:marLeft w:val="0"/>
          <w:marRight w:val="0"/>
          <w:marTop w:val="0"/>
          <w:marBottom w:val="0"/>
          <w:divBdr>
            <w:top w:val="none" w:sz="0" w:space="0" w:color="auto"/>
            <w:left w:val="none" w:sz="0" w:space="0" w:color="auto"/>
            <w:bottom w:val="none" w:sz="0" w:space="0" w:color="auto"/>
            <w:right w:val="none" w:sz="0" w:space="0" w:color="auto"/>
          </w:divBdr>
        </w:div>
      </w:divsChild>
    </w:div>
    <w:div w:id="1963263073">
      <w:bodyDiv w:val="1"/>
      <w:marLeft w:val="0"/>
      <w:marRight w:val="0"/>
      <w:marTop w:val="0"/>
      <w:marBottom w:val="0"/>
      <w:divBdr>
        <w:top w:val="none" w:sz="0" w:space="0" w:color="auto"/>
        <w:left w:val="none" w:sz="0" w:space="0" w:color="auto"/>
        <w:bottom w:val="none" w:sz="0" w:space="0" w:color="auto"/>
        <w:right w:val="none" w:sz="0" w:space="0" w:color="auto"/>
      </w:divBdr>
    </w:div>
    <w:div w:id="2102993559">
      <w:bodyDiv w:val="1"/>
      <w:marLeft w:val="0"/>
      <w:marRight w:val="0"/>
      <w:marTop w:val="0"/>
      <w:marBottom w:val="0"/>
      <w:divBdr>
        <w:top w:val="none" w:sz="0" w:space="0" w:color="auto"/>
        <w:left w:val="none" w:sz="0" w:space="0" w:color="auto"/>
        <w:bottom w:val="none" w:sz="0" w:space="0" w:color="auto"/>
        <w:right w:val="none" w:sz="0" w:space="0" w:color="auto"/>
      </w:divBdr>
      <w:divsChild>
        <w:div w:id="1375036179">
          <w:marLeft w:val="0"/>
          <w:marRight w:val="0"/>
          <w:marTop w:val="0"/>
          <w:marBottom w:val="0"/>
          <w:divBdr>
            <w:top w:val="none" w:sz="0" w:space="0" w:color="auto"/>
            <w:left w:val="none" w:sz="0" w:space="0" w:color="auto"/>
            <w:bottom w:val="none" w:sz="0" w:space="0" w:color="auto"/>
            <w:right w:val="none" w:sz="0" w:space="0" w:color="auto"/>
          </w:divBdr>
        </w:div>
      </w:divsChild>
    </w:div>
    <w:div w:id="2106068247">
      <w:bodyDiv w:val="1"/>
      <w:marLeft w:val="0"/>
      <w:marRight w:val="0"/>
      <w:marTop w:val="0"/>
      <w:marBottom w:val="0"/>
      <w:divBdr>
        <w:top w:val="none" w:sz="0" w:space="0" w:color="auto"/>
        <w:left w:val="none" w:sz="0" w:space="0" w:color="auto"/>
        <w:bottom w:val="none" w:sz="0" w:space="0" w:color="auto"/>
        <w:right w:val="none" w:sz="0" w:space="0" w:color="auto"/>
      </w:divBdr>
      <w:divsChild>
        <w:div w:id="8398491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4CC24A-0FB8-4C94-A100-B1E4F59C1772}">
  <we:reference id="f78a3046-9e99-4300-aa2b-5814002b01a2" version="1.55.1.0" store="EXCatalog" storeType="EXCatalog"/>
  <we:alternateReferences>
    <we:reference id="WA104382081" version="1.55.1.0" store="da-DK"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ZXc34kPtMfMp4dYo5B+FPsYWrA==">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73BB54-FD64-40DC-B686-F5133234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6880</Words>
  <Characters>41973</Characters>
  <Application>Microsoft Office Word</Application>
  <DocSecurity>0</DocSecurity>
  <Lines>349</Lines>
  <Paragraphs>97</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48756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Adams</dc:creator>
  <cp:keywords/>
  <dc:description/>
  <cp:lastModifiedBy>Tina Dam Kristensen</cp:lastModifiedBy>
  <cp:revision>2</cp:revision>
  <cp:lastPrinted>2025-12-30T08:51:00Z</cp:lastPrinted>
  <dcterms:created xsi:type="dcterms:W3CDTF">2026-01-26T10:10:00Z</dcterms:created>
  <dcterms:modified xsi:type="dcterms:W3CDTF">2026-01-26T10:10:00Z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fe1b4823-b6d0-3225-a0b5-9c174d28c0d8</vt:lpwstr>
  </property>
  <property fmtid="{D5CDD505-2E9C-101B-9397-08002B2CF9AE}" pid="24" name="Mendeley Citation Style_1">
    <vt:lpwstr>http://www.zotero.org/styles/american-medical-association</vt:lpwstr>
  </property>
</Properties>
</file>