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70CCDD">
      <w:pPr>
        <w:pStyle w:val="3"/>
        <w:keepNext w:val="0"/>
        <w:keepLines w:val="0"/>
        <w:widowControl/>
        <w:suppressLineNumbers w:val="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highlight w:val="none"/>
          <w:lang w:val="en-US" w:eastAsia="zh-CN"/>
        </w:rPr>
        <w:t>Supplement</w:t>
      </w:r>
      <w:r>
        <w:rPr>
          <w:rFonts w:hint="eastAsia" w:ascii="Times New Roman" w:hAnsi="Times New Roman" w:eastAsia="宋体" w:cs="Times New Roman"/>
          <w:b/>
          <w:bCs/>
          <w:sz w:val="24"/>
          <w:szCs w:val="24"/>
          <w:highlight w:val="none"/>
          <w:lang w:val="en-US" w:eastAsia="zh-CN"/>
        </w:rPr>
        <w:t xml:space="preserve"> </w:t>
      </w:r>
      <w:r>
        <w:rPr>
          <w:rFonts w:hint="default" w:ascii="Times New Roman" w:hAnsi="Times New Roman" w:cs="Times New Roman"/>
          <w:sz w:val="24"/>
          <w:szCs w:val="24"/>
        </w:rPr>
        <w:t>Table S1. Additional covariates across six bone mass–sarcopenia strata</w:t>
      </w:r>
      <w:r>
        <w:rPr>
          <w:rFonts w:hint="default" w:ascii="Times New Roman" w:hAnsi="Times New Roman" w:cs="Times New Roman"/>
          <w:sz w:val="24"/>
          <w:szCs w:val="24"/>
          <w:lang w:val="en-US" w:eastAsia="zh-CN"/>
        </w:rPr>
        <w:t>.</w:t>
      </w:r>
    </w:p>
    <w:tbl>
      <w:tblPr>
        <w:tblStyle w:val="6"/>
        <w:tblW w:w="10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1"/>
        <w:gridCol w:w="1193"/>
        <w:gridCol w:w="805"/>
        <w:gridCol w:w="799"/>
        <w:gridCol w:w="787"/>
        <w:gridCol w:w="813"/>
        <w:gridCol w:w="835"/>
        <w:gridCol w:w="880"/>
        <w:gridCol w:w="901"/>
        <w:gridCol w:w="906"/>
        <w:gridCol w:w="906"/>
      </w:tblGrid>
      <w:tr w14:paraId="3B82B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611" w:type="dxa"/>
            <w:tcBorders>
              <w:top w:val="single" w:color="000000" w:themeColor="dark1" w:sz="12" w:space="0"/>
              <w:left w:val="nil"/>
              <w:bottom w:val="single" w:color="000000" w:themeColor="dark1" w:sz="6" w:space="0"/>
              <w:right w:val="nil"/>
            </w:tcBorders>
            <w:shd w:val="clear" w:color="auto" w:fill="FFFFFF"/>
            <w:vAlign w:val="center"/>
          </w:tcPr>
          <w:p w14:paraId="16A4192E">
            <w:pPr>
              <w:snapToGrid w:val="0"/>
              <w:ind w:left="0" w:leftChars="0" w:right="0" w:rightChars="0" w:firstLine="0" w:firstLineChars="0"/>
              <w:jc w:val="center"/>
              <w:rPr>
                <w:rFonts w:hint="default" w:ascii="Times New Roman" w:hAnsi="Times New Roman" w:cs="Times New Roman"/>
                <w:b/>
                <w:i w:val="0"/>
                <w:color w:val="000000" w:themeColor="dark1"/>
                <w:sz w:val="20"/>
                <w:szCs w:val="20"/>
                <w14:textFill>
                  <w14:solidFill>
                    <w14:schemeClr w14:val="dk1"/>
                  </w14:solidFill>
                </w14:textFill>
              </w:rPr>
            </w:pPr>
            <w:r>
              <w:rPr>
                <w:rFonts w:hint="default" w:ascii="Times New Roman" w:hAnsi="Times New Roman" w:cs="Times New Roman"/>
                <w:b/>
                <w:i w:val="0"/>
                <w:color w:val="000000" w:themeColor="dark1"/>
                <w:sz w:val="20"/>
                <w:szCs w:val="20"/>
                <w14:textFill>
                  <w14:solidFill>
                    <w14:schemeClr w14:val="dk1"/>
                  </w14:solidFill>
                </w14:textFill>
              </w:rPr>
              <w:t>Characteristic</w:t>
            </w:r>
          </w:p>
        </w:tc>
        <w:tc>
          <w:tcPr>
            <w:tcW w:w="1193" w:type="dxa"/>
            <w:tcBorders>
              <w:top w:val="single" w:color="000000" w:themeColor="dark1" w:sz="12" w:space="0"/>
              <w:left w:val="nil"/>
              <w:bottom w:val="single" w:color="000000" w:themeColor="dark1" w:sz="6" w:space="0"/>
              <w:right w:val="nil"/>
            </w:tcBorders>
            <w:shd w:val="clear" w:color="auto" w:fill="FFFFFF"/>
            <w:vAlign w:val="center"/>
          </w:tcPr>
          <w:p w14:paraId="7007B754">
            <w:pPr>
              <w:snapToGrid w:val="0"/>
              <w:ind w:left="0" w:leftChars="0" w:right="0" w:rightChars="0" w:firstLine="0" w:firstLineChars="0"/>
              <w:jc w:val="center"/>
              <w:rPr>
                <w:rFonts w:hint="default" w:ascii="Times New Roman" w:hAnsi="Times New Roman" w:cs="Times New Roman"/>
                <w:b/>
                <w:i w:val="0"/>
                <w:color w:val="000000" w:themeColor="dark1"/>
                <w:sz w:val="20"/>
                <w:szCs w:val="20"/>
                <w14:textFill>
                  <w14:solidFill>
                    <w14:schemeClr w14:val="dk1"/>
                  </w14:solidFill>
                </w14:textFill>
              </w:rPr>
            </w:pPr>
            <w:r>
              <w:rPr>
                <w:rFonts w:hint="default" w:ascii="Times New Roman" w:hAnsi="Times New Roman" w:cs="Times New Roman"/>
                <w:b/>
                <w:i w:val="0"/>
                <w:color w:val="000000" w:themeColor="dark1"/>
                <w:sz w:val="20"/>
                <w:szCs w:val="20"/>
                <w14:textFill>
                  <w14:solidFill>
                    <w14:schemeClr w14:val="dk1"/>
                  </w14:solidFill>
                </w14:textFill>
              </w:rPr>
              <w:t>Category</w:t>
            </w:r>
          </w:p>
        </w:tc>
        <w:tc>
          <w:tcPr>
            <w:tcW w:w="805" w:type="dxa"/>
            <w:tcBorders>
              <w:top w:val="single" w:color="000000" w:themeColor="dark1" w:sz="12" w:space="0"/>
              <w:left w:val="nil"/>
              <w:bottom w:val="single" w:color="000000" w:themeColor="dark1" w:sz="6" w:space="0"/>
              <w:right w:val="nil"/>
            </w:tcBorders>
            <w:shd w:val="clear" w:color="auto" w:fill="FFFFFF"/>
            <w:vAlign w:val="center"/>
          </w:tcPr>
          <w:p w14:paraId="6CE410CD">
            <w:pPr>
              <w:snapToGrid w:val="0"/>
              <w:ind w:left="0" w:leftChars="0" w:right="0" w:rightChars="0" w:firstLine="0" w:firstLineChars="0"/>
              <w:jc w:val="center"/>
              <w:rPr>
                <w:rFonts w:hint="default" w:ascii="Times New Roman" w:hAnsi="Times New Roman" w:cs="Times New Roman"/>
                <w:b/>
                <w:i w:val="0"/>
                <w:color w:val="000000" w:themeColor="dark1"/>
                <w:sz w:val="20"/>
                <w:szCs w:val="20"/>
                <w14:textFill>
                  <w14:solidFill>
                    <w14:schemeClr w14:val="dk1"/>
                  </w14:solidFill>
                </w14:textFill>
              </w:rPr>
            </w:pPr>
            <w:r>
              <w:rPr>
                <w:rFonts w:hint="default" w:ascii="Times New Roman" w:hAnsi="Times New Roman" w:cs="Times New Roman"/>
                <w:b/>
                <w:i w:val="0"/>
                <w:color w:val="000000" w:themeColor="dark1"/>
                <w:sz w:val="20"/>
                <w:szCs w:val="20"/>
                <w14:textFill>
                  <w14:solidFill>
                    <w14:schemeClr w14:val="dk1"/>
                  </w14:solidFill>
                </w14:textFill>
              </w:rPr>
              <w:t xml:space="preserve">Total </w:t>
            </w:r>
          </w:p>
          <w:p w14:paraId="61EC3D4A">
            <w:pPr>
              <w:snapToGrid w:val="0"/>
              <w:ind w:left="0" w:leftChars="0" w:right="0" w:rightChars="0" w:firstLine="0" w:firstLineChars="0"/>
              <w:jc w:val="center"/>
              <w:rPr>
                <w:rFonts w:hint="default" w:ascii="Times New Roman" w:hAnsi="Times New Roman" w:cs="Times New Roman"/>
                <w:b/>
                <w:i w:val="0"/>
                <w:color w:val="000000" w:themeColor="dark1"/>
                <w:sz w:val="20"/>
                <w:szCs w:val="20"/>
                <w14:textFill>
                  <w14:solidFill>
                    <w14:schemeClr w14:val="dk1"/>
                  </w14:solidFill>
                </w14:textFill>
              </w:rPr>
            </w:pPr>
            <w:r>
              <w:rPr>
                <w:rFonts w:hint="default" w:ascii="Times New Roman" w:hAnsi="Times New Roman" w:cs="Times New Roman"/>
                <w:b/>
                <w:i w:val="0"/>
                <w:color w:val="000000" w:themeColor="dark1"/>
                <w:sz w:val="20"/>
                <w:szCs w:val="20"/>
                <w14:textFill>
                  <w14:solidFill>
                    <w14:schemeClr w14:val="dk1"/>
                  </w14:solidFill>
                </w14:textFill>
              </w:rPr>
              <w:t>(N=1786)</w:t>
            </w:r>
          </w:p>
        </w:tc>
        <w:tc>
          <w:tcPr>
            <w:tcW w:w="799" w:type="dxa"/>
            <w:tcBorders>
              <w:top w:val="single" w:color="000000" w:themeColor="dark1" w:sz="12" w:space="0"/>
              <w:left w:val="nil"/>
              <w:bottom w:val="single" w:color="000000" w:themeColor="dark1" w:sz="6" w:space="0"/>
              <w:right w:val="nil"/>
            </w:tcBorders>
            <w:shd w:val="clear" w:color="auto" w:fill="FFFFFF"/>
            <w:vAlign w:val="center"/>
          </w:tcPr>
          <w:p w14:paraId="72C933A9">
            <w:pPr>
              <w:snapToGrid w:val="0"/>
              <w:ind w:left="0" w:leftChars="0" w:right="0" w:rightChars="0" w:firstLine="0" w:firstLineChars="0"/>
              <w:jc w:val="center"/>
              <w:rPr>
                <w:rFonts w:hint="default" w:ascii="Times New Roman" w:hAnsi="Times New Roman" w:cs="Times New Roman"/>
                <w:b/>
                <w:i w:val="0"/>
                <w:color w:val="000000" w:themeColor="dark1"/>
                <w:sz w:val="20"/>
                <w:szCs w:val="20"/>
                <w14:textFill>
                  <w14:solidFill>
                    <w14:schemeClr w14:val="dk1"/>
                  </w14:solidFill>
                </w14:textFill>
              </w:rPr>
            </w:pPr>
            <w:r>
              <w:rPr>
                <w:rFonts w:hint="default" w:ascii="Times New Roman" w:hAnsi="Times New Roman" w:cs="Times New Roman"/>
                <w:b/>
                <w:i w:val="0"/>
                <w:color w:val="000000" w:themeColor="dark1"/>
                <w:sz w:val="20"/>
                <w:szCs w:val="20"/>
                <w14:textFill>
                  <w14:solidFill>
                    <w14:schemeClr w14:val="dk1"/>
                  </w14:solidFill>
                </w14:textFill>
              </w:rPr>
              <w:t xml:space="preserve">Normal/No </w:t>
            </w:r>
          </w:p>
          <w:p w14:paraId="4B65027A">
            <w:pPr>
              <w:snapToGrid w:val="0"/>
              <w:ind w:left="0" w:leftChars="0" w:right="0" w:rightChars="0" w:firstLine="0" w:firstLineChars="0"/>
              <w:jc w:val="center"/>
              <w:rPr>
                <w:rFonts w:hint="default" w:ascii="Times New Roman" w:hAnsi="Times New Roman" w:cs="Times New Roman"/>
                <w:b/>
                <w:i w:val="0"/>
                <w:color w:val="000000" w:themeColor="dark1"/>
                <w:sz w:val="20"/>
                <w:szCs w:val="20"/>
                <w14:textFill>
                  <w14:solidFill>
                    <w14:schemeClr w14:val="dk1"/>
                  </w14:solidFill>
                </w14:textFill>
              </w:rPr>
            </w:pPr>
            <w:r>
              <w:rPr>
                <w:rFonts w:hint="default" w:ascii="Times New Roman" w:hAnsi="Times New Roman" w:cs="Times New Roman"/>
                <w:b/>
                <w:i w:val="0"/>
                <w:color w:val="000000" w:themeColor="dark1"/>
                <w:sz w:val="20"/>
                <w:szCs w:val="20"/>
                <w14:textFill>
                  <w14:solidFill>
                    <w14:schemeClr w14:val="dk1"/>
                  </w14:solidFill>
                </w14:textFill>
              </w:rPr>
              <w:t>(n=31</w:t>
            </w:r>
            <w:r>
              <w:rPr>
                <w:rFonts w:hint="eastAsia" w:ascii="Times New Roman" w:hAnsi="Times New Roman" w:cs="Times New Roman"/>
                <w:b/>
                <w:i w:val="0"/>
                <w:color w:val="000000" w:themeColor="dark1"/>
                <w:sz w:val="20"/>
                <w:szCs w:val="20"/>
                <w:lang w:val="en-US" w:eastAsia="zh-CN"/>
                <w14:textFill>
                  <w14:solidFill>
                    <w14:schemeClr w14:val="dk1"/>
                  </w14:solidFill>
                </w14:textFill>
              </w:rPr>
              <w:t>2</w:t>
            </w:r>
            <w:r>
              <w:rPr>
                <w:rFonts w:hint="default" w:ascii="Times New Roman" w:hAnsi="Times New Roman" w:cs="Times New Roman"/>
                <w:b/>
                <w:i w:val="0"/>
                <w:color w:val="000000" w:themeColor="dark1"/>
                <w:sz w:val="20"/>
                <w:szCs w:val="20"/>
                <w14:textFill>
                  <w14:solidFill>
                    <w14:schemeClr w14:val="dk1"/>
                  </w14:solidFill>
                </w14:textFill>
              </w:rPr>
              <w:t>)</w:t>
            </w:r>
          </w:p>
        </w:tc>
        <w:tc>
          <w:tcPr>
            <w:tcW w:w="787" w:type="dxa"/>
            <w:tcBorders>
              <w:top w:val="single" w:color="000000" w:themeColor="dark1" w:sz="12" w:space="0"/>
              <w:left w:val="nil"/>
              <w:bottom w:val="single" w:color="000000" w:themeColor="dark1" w:sz="6" w:space="0"/>
              <w:right w:val="nil"/>
            </w:tcBorders>
            <w:shd w:val="clear" w:color="auto" w:fill="FFFFFF"/>
            <w:vAlign w:val="center"/>
          </w:tcPr>
          <w:p w14:paraId="7EADE9E4">
            <w:pPr>
              <w:snapToGrid w:val="0"/>
              <w:ind w:left="0" w:leftChars="0" w:right="0" w:rightChars="0" w:firstLine="0" w:firstLineChars="0"/>
              <w:jc w:val="center"/>
              <w:rPr>
                <w:rFonts w:hint="default" w:ascii="Times New Roman" w:hAnsi="Times New Roman" w:cs="Times New Roman"/>
                <w:b/>
                <w:i w:val="0"/>
                <w:color w:val="000000" w:themeColor="dark1"/>
                <w:sz w:val="20"/>
                <w:szCs w:val="20"/>
                <w14:textFill>
                  <w14:solidFill>
                    <w14:schemeClr w14:val="dk1"/>
                  </w14:solidFill>
                </w14:textFill>
              </w:rPr>
            </w:pPr>
            <w:r>
              <w:rPr>
                <w:rFonts w:hint="default" w:ascii="Times New Roman" w:hAnsi="Times New Roman" w:cs="Times New Roman"/>
                <w:b/>
                <w:i w:val="0"/>
                <w:color w:val="000000" w:themeColor="dark1"/>
                <w:sz w:val="20"/>
                <w:szCs w:val="20"/>
                <w14:textFill>
                  <w14:solidFill>
                    <w14:schemeClr w14:val="dk1"/>
                  </w14:solidFill>
                </w14:textFill>
              </w:rPr>
              <w:t xml:space="preserve">Normal/Yes </w:t>
            </w:r>
          </w:p>
          <w:p w14:paraId="73767AD6">
            <w:pPr>
              <w:snapToGrid w:val="0"/>
              <w:ind w:left="0" w:leftChars="0" w:right="0" w:rightChars="0" w:firstLine="0" w:firstLineChars="0"/>
              <w:jc w:val="center"/>
              <w:rPr>
                <w:rFonts w:hint="default" w:ascii="Times New Roman" w:hAnsi="Times New Roman" w:cs="Times New Roman"/>
                <w:b/>
                <w:i w:val="0"/>
                <w:color w:val="000000" w:themeColor="dark1"/>
                <w:sz w:val="20"/>
                <w:szCs w:val="20"/>
                <w14:textFill>
                  <w14:solidFill>
                    <w14:schemeClr w14:val="dk1"/>
                  </w14:solidFill>
                </w14:textFill>
              </w:rPr>
            </w:pPr>
            <w:r>
              <w:rPr>
                <w:rFonts w:hint="default" w:ascii="Times New Roman" w:hAnsi="Times New Roman" w:cs="Times New Roman"/>
                <w:b/>
                <w:i w:val="0"/>
                <w:color w:val="000000" w:themeColor="dark1"/>
                <w:sz w:val="20"/>
                <w:szCs w:val="20"/>
                <w14:textFill>
                  <w14:solidFill>
                    <w14:schemeClr w14:val="dk1"/>
                  </w14:solidFill>
                </w14:textFill>
              </w:rPr>
              <w:t>(n=103)</w:t>
            </w:r>
          </w:p>
        </w:tc>
        <w:tc>
          <w:tcPr>
            <w:tcW w:w="813" w:type="dxa"/>
            <w:tcBorders>
              <w:top w:val="single" w:color="000000" w:themeColor="dark1" w:sz="12" w:space="0"/>
              <w:left w:val="nil"/>
              <w:bottom w:val="single" w:color="000000" w:themeColor="dark1" w:sz="6" w:space="0"/>
              <w:right w:val="nil"/>
            </w:tcBorders>
            <w:shd w:val="clear" w:color="auto" w:fill="FFFFFF"/>
            <w:vAlign w:val="center"/>
          </w:tcPr>
          <w:p w14:paraId="7A5CB192">
            <w:pPr>
              <w:snapToGrid w:val="0"/>
              <w:ind w:left="0" w:leftChars="0" w:right="0" w:rightChars="0" w:firstLine="0" w:firstLineChars="0"/>
              <w:jc w:val="center"/>
              <w:rPr>
                <w:rFonts w:hint="default" w:ascii="Times New Roman" w:hAnsi="Times New Roman" w:cs="Times New Roman"/>
                <w:b/>
                <w:i w:val="0"/>
                <w:color w:val="000000" w:themeColor="dark1"/>
                <w:sz w:val="20"/>
                <w:szCs w:val="20"/>
                <w14:textFill>
                  <w14:solidFill>
                    <w14:schemeClr w14:val="dk1"/>
                  </w14:solidFill>
                </w14:textFill>
              </w:rPr>
            </w:pPr>
            <w:r>
              <w:rPr>
                <w:rFonts w:hint="default" w:ascii="Times New Roman" w:hAnsi="Times New Roman" w:cs="Times New Roman"/>
                <w:b/>
                <w:i w:val="0"/>
                <w:color w:val="000000" w:themeColor="dark1"/>
                <w:sz w:val="20"/>
                <w:szCs w:val="20"/>
                <w14:textFill>
                  <w14:solidFill>
                    <w14:schemeClr w14:val="dk1"/>
                  </w14:solidFill>
                </w14:textFill>
              </w:rPr>
              <w:t xml:space="preserve">Osteopenia/No </w:t>
            </w:r>
          </w:p>
          <w:p w14:paraId="4039E2C9">
            <w:pPr>
              <w:snapToGrid w:val="0"/>
              <w:ind w:left="0" w:leftChars="0" w:right="0" w:rightChars="0" w:firstLine="0" w:firstLineChars="0"/>
              <w:jc w:val="center"/>
              <w:rPr>
                <w:rFonts w:hint="default" w:ascii="Times New Roman" w:hAnsi="Times New Roman" w:cs="Times New Roman"/>
                <w:b/>
                <w:i w:val="0"/>
                <w:color w:val="000000" w:themeColor="dark1"/>
                <w:sz w:val="20"/>
                <w:szCs w:val="20"/>
                <w14:textFill>
                  <w14:solidFill>
                    <w14:schemeClr w14:val="dk1"/>
                  </w14:solidFill>
                </w14:textFill>
              </w:rPr>
            </w:pPr>
            <w:r>
              <w:rPr>
                <w:rFonts w:hint="default" w:ascii="Times New Roman" w:hAnsi="Times New Roman" w:cs="Times New Roman"/>
                <w:b/>
                <w:i w:val="0"/>
                <w:color w:val="000000" w:themeColor="dark1"/>
                <w:sz w:val="20"/>
                <w:szCs w:val="20"/>
                <w14:textFill>
                  <w14:solidFill>
                    <w14:schemeClr w14:val="dk1"/>
                  </w14:solidFill>
                </w14:textFill>
              </w:rPr>
              <w:t>(n=57</w:t>
            </w:r>
            <w:r>
              <w:rPr>
                <w:rFonts w:hint="eastAsia" w:ascii="Times New Roman" w:hAnsi="Times New Roman" w:cs="Times New Roman"/>
                <w:b/>
                <w:i w:val="0"/>
                <w:color w:val="000000" w:themeColor="dark1"/>
                <w:sz w:val="20"/>
                <w:szCs w:val="20"/>
                <w:lang w:val="en-US" w:eastAsia="zh-CN"/>
                <w14:textFill>
                  <w14:solidFill>
                    <w14:schemeClr w14:val="dk1"/>
                  </w14:solidFill>
                </w14:textFill>
              </w:rPr>
              <w:t>5</w:t>
            </w:r>
            <w:r>
              <w:rPr>
                <w:rFonts w:hint="default" w:ascii="Times New Roman" w:hAnsi="Times New Roman" w:cs="Times New Roman"/>
                <w:b/>
                <w:i w:val="0"/>
                <w:color w:val="000000" w:themeColor="dark1"/>
                <w:sz w:val="20"/>
                <w:szCs w:val="20"/>
                <w14:textFill>
                  <w14:solidFill>
                    <w14:schemeClr w14:val="dk1"/>
                  </w14:solidFill>
                </w14:textFill>
              </w:rPr>
              <w:t>)</w:t>
            </w:r>
          </w:p>
        </w:tc>
        <w:tc>
          <w:tcPr>
            <w:tcW w:w="835" w:type="dxa"/>
            <w:tcBorders>
              <w:top w:val="single" w:color="000000" w:themeColor="dark1" w:sz="12" w:space="0"/>
              <w:left w:val="nil"/>
              <w:bottom w:val="single" w:color="000000" w:themeColor="dark1" w:sz="6" w:space="0"/>
              <w:right w:val="nil"/>
            </w:tcBorders>
            <w:shd w:val="clear" w:color="auto" w:fill="FFFFFF"/>
            <w:vAlign w:val="center"/>
          </w:tcPr>
          <w:p w14:paraId="0207D280">
            <w:pPr>
              <w:snapToGrid w:val="0"/>
              <w:ind w:left="0" w:leftChars="0" w:right="0" w:rightChars="0" w:firstLine="0" w:firstLineChars="0"/>
              <w:jc w:val="center"/>
              <w:rPr>
                <w:rFonts w:hint="default" w:ascii="Times New Roman" w:hAnsi="Times New Roman" w:cs="Times New Roman"/>
                <w:b/>
                <w:i w:val="0"/>
                <w:color w:val="000000" w:themeColor="dark1"/>
                <w:sz w:val="20"/>
                <w:szCs w:val="20"/>
                <w14:textFill>
                  <w14:solidFill>
                    <w14:schemeClr w14:val="dk1"/>
                  </w14:solidFill>
                </w14:textFill>
              </w:rPr>
            </w:pPr>
            <w:r>
              <w:rPr>
                <w:rFonts w:hint="default" w:ascii="Times New Roman" w:hAnsi="Times New Roman" w:cs="Times New Roman"/>
                <w:b/>
                <w:i w:val="0"/>
                <w:color w:val="000000" w:themeColor="dark1"/>
                <w:sz w:val="20"/>
                <w:szCs w:val="20"/>
                <w14:textFill>
                  <w14:solidFill>
                    <w14:schemeClr w14:val="dk1"/>
                  </w14:solidFill>
                </w14:textFill>
              </w:rPr>
              <w:t xml:space="preserve">Osteopenia/Yes </w:t>
            </w:r>
          </w:p>
          <w:p w14:paraId="7B363F27">
            <w:pPr>
              <w:snapToGrid w:val="0"/>
              <w:ind w:left="0" w:leftChars="0" w:right="0" w:rightChars="0" w:firstLine="0" w:firstLineChars="0"/>
              <w:jc w:val="center"/>
              <w:rPr>
                <w:rFonts w:hint="default" w:ascii="Times New Roman" w:hAnsi="Times New Roman" w:cs="Times New Roman"/>
                <w:b/>
                <w:i w:val="0"/>
                <w:color w:val="000000" w:themeColor="dark1"/>
                <w:sz w:val="20"/>
                <w:szCs w:val="20"/>
                <w14:textFill>
                  <w14:solidFill>
                    <w14:schemeClr w14:val="dk1"/>
                  </w14:solidFill>
                </w14:textFill>
              </w:rPr>
            </w:pPr>
            <w:r>
              <w:rPr>
                <w:rFonts w:hint="default" w:ascii="Times New Roman" w:hAnsi="Times New Roman" w:cs="Times New Roman"/>
                <w:b/>
                <w:i w:val="0"/>
                <w:color w:val="000000" w:themeColor="dark1"/>
                <w:sz w:val="20"/>
                <w:szCs w:val="20"/>
                <w14:textFill>
                  <w14:solidFill>
                    <w14:schemeClr w14:val="dk1"/>
                  </w14:solidFill>
                </w14:textFill>
              </w:rPr>
              <w:t>(n=167)</w:t>
            </w:r>
          </w:p>
        </w:tc>
        <w:tc>
          <w:tcPr>
            <w:tcW w:w="880" w:type="dxa"/>
            <w:tcBorders>
              <w:top w:val="single" w:color="000000" w:themeColor="dark1" w:sz="12" w:space="0"/>
              <w:left w:val="nil"/>
              <w:bottom w:val="single" w:color="000000" w:themeColor="dark1" w:sz="6" w:space="0"/>
              <w:right w:val="nil"/>
            </w:tcBorders>
            <w:shd w:val="clear" w:color="auto" w:fill="FFFFFF"/>
            <w:vAlign w:val="center"/>
          </w:tcPr>
          <w:p w14:paraId="426D22EC">
            <w:pPr>
              <w:snapToGrid w:val="0"/>
              <w:ind w:left="0" w:leftChars="0" w:right="0" w:rightChars="0" w:firstLine="0" w:firstLineChars="0"/>
              <w:jc w:val="center"/>
              <w:rPr>
                <w:rFonts w:hint="default" w:ascii="Times New Roman" w:hAnsi="Times New Roman" w:cs="Times New Roman"/>
                <w:b/>
                <w:i w:val="0"/>
                <w:color w:val="000000" w:themeColor="dark1"/>
                <w:sz w:val="20"/>
                <w:szCs w:val="20"/>
                <w14:textFill>
                  <w14:solidFill>
                    <w14:schemeClr w14:val="dk1"/>
                  </w14:solidFill>
                </w14:textFill>
              </w:rPr>
            </w:pPr>
            <w:r>
              <w:rPr>
                <w:rFonts w:hint="default" w:ascii="Times New Roman" w:hAnsi="Times New Roman" w:cs="Times New Roman"/>
                <w:b/>
                <w:i w:val="0"/>
                <w:color w:val="000000" w:themeColor="dark1"/>
                <w:sz w:val="20"/>
                <w:szCs w:val="20"/>
                <w14:textFill>
                  <w14:solidFill>
                    <w14:schemeClr w14:val="dk1"/>
                  </w14:solidFill>
                </w14:textFill>
              </w:rPr>
              <w:t xml:space="preserve">Osteoporosis/No </w:t>
            </w:r>
          </w:p>
          <w:p w14:paraId="19031F0E">
            <w:pPr>
              <w:snapToGrid w:val="0"/>
              <w:ind w:left="0" w:leftChars="0" w:right="0" w:rightChars="0" w:firstLine="0" w:firstLineChars="0"/>
              <w:jc w:val="center"/>
              <w:rPr>
                <w:rFonts w:hint="default" w:ascii="Times New Roman" w:hAnsi="Times New Roman" w:cs="Times New Roman"/>
                <w:b/>
                <w:i w:val="0"/>
                <w:color w:val="000000" w:themeColor="dark1"/>
                <w:sz w:val="20"/>
                <w:szCs w:val="20"/>
                <w14:textFill>
                  <w14:solidFill>
                    <w14:schemeClr w14:val="dk1"/>
                  </w14:solidFill>
                </w14:textFill>
              </w:rPr>
            </w:pPr>
            <w:r>
              <w:rPr>
                <w:rFonts w:hint="default" w:ascii="Times New Roman" w:hAnsi="Times New Roman" w:cs="Times New Roman"/>
                <w:b/>
                <w:i w:val="0"/>
                <w:color w:val="000000" w:themeColor="dark1"/>
                <w:sz w:val="20"/>
                <w:szCs w:val="20"/>
                <w14:textFill>
                  <w14:solidFill>
                    <w14:schemeClr w14:val="dk1"/>
                  </w14:solidFill>
                </w14:textFill>
              </w:rPr>
              <w:t>(n=415)</w:t>
            </w:r>
          </w:p>
        </w:tc>
        <w:tc>
          <w:tcPr>
            <w:tcW w:w="901" w:type="dxa"/>
            <w:tcBorders>
              <w:top w:val="single" w:color="000000" w:themeColor="dark1" w:sz="12" w:space="0"/>
              <w:left w:val="nil"/>
              <w:bottom w:val="single" w:color="000000" w:themeColor="dark1" w:sz="6" w:space="0"/>
              <w:right w:val="nil"/>
            </w:tcBorders>
            <w:shd w:val="clear" w:color="auto" w:fill="FFFFFF"/>
            <w:vAlign w:val="center"/>
          </w:tcPr>
          <w:p w14:paraId="7CE1818D">
            <w:pPr>
              <w:snapToGrid w:val="0"/>
              <w:ind w:left="0" w:leftChars="0" w:right="0" w:rightChars="0" w:firstLine="0" w:firstLineChars="0"/>
              <w:jc w:val="center"/>
              <w:rPr>
                <w:rFonts w:hint="default" w:ascii="Times New Roman" w:hAnsi="Times New Roman" w:cs="Times New Roman"/>
                <w:b/>
                <w:i w:val="0"/>
                <w:color w:val="000000" w:themeColor="dark1"/>
                <w:sz w:val="20"/>
                <w:szCs w:val="20"/>
                <w14:textFill>
                  <w14:solidFill>
                    <w14:schemeClr w14:val="dk1"/>
                  </w14:solidFill>
                </w14:textFill>
              </w:rPr>
            </w:pPr>
            <w:r>
              <w:rPr>
                <w:rFonts w:hint="default" w:ascii="Times New Roman" w:hAnsi="Times New Roman" w:cs="Times New Roman"/>
                <w:b/>
                <w:i w:val="0"/>
                <w:color w:val="000000" w:themeColor="dark1"/>
                <w:sz w:val="20"/>
                <w:szCs w:val="20"/>
                <w14:textFill>
                  <w14:solidFill>
                    <w14:schemeClr w14:val="dk1"/>
                  </w14:solidFill>
                </w14:textFill>
              </w:rPr>
              <w:t xml:space="preserve">Osteoporosis/Yes </w:t>
            </w:r>
          </w:p>
          <w:p w14:paraId="6345B874">
            <w:pPr>
              <w:snapToGrid w:val="0"/>
              <w:ind w:left="0" w:leftChars="0" w:right="0" w:rightChars="0" w:firstLine="0" w:firstLineChars="0"/>
              <w:jc w:val="center"/>
              <w:rPr>
                <w:rFonts w:hint="default" w:ascii="Times New Roman" w:hAnsi="Times New Roman" w:cs="Times New Roman"/>
                <w:b/>
                <w:i w:val="0"/>
                <w:color w:val="000000" w:themeColor="dark1"/>
                <w:sz w:val="20"/>
                <w:szCs w:val="20"/>
                <w14:textFill>
                  <w14:solidFill>
                    <w14:schemeClr w14:val="dk1"/>
                  </w14:solidFill>
                </w14:textFill>
              </w:rPr>
            </w:pPr>
            <w:r>
              <w:rPr>
                <w:rFonts w:hint="default" w:ascii="Times New Roman" w:hAnsi="Times New Roman" w:cs="Times New Roman"/>
                <w:b/>
                <w:i w:val="0"/>
                <w:color w:val="000000" w:themeColor="dark1"/>
                <w:sz w:val="20"/>
                <w:szCs w:val="20"/>
                <w14:textFill>
                  <w14:solidFill>
                    <w14:schemeClr w14:val="dk1"/>
                  </w14:solidFill>
                </w14:textFill>
              </w:rPr>
              <w:t>(n=214)</w:t>
            </w:r>
          </w:p>
        </w:tc>
        <w:tc>
          <w:tcPr>
            <w:tcW w:w="906" w:type="dxa"/>
            <w:tcBorders>
              <w:top w:val="single" w:color="000000" w:themeColor="dark1" w:sz="12" w:space="0"/>
              <w:left w:val="nil"/>
              <w:bottom w:val="single" w:color="000000" w:themeColor="dark1" w:sz="6" w:space="0"/>
              <w:right w:val="nil"/>
            </w:tcBorders>
            <w:shd w:val="clear" w:color="auto" w:fill="FFFFFF"/>
            <w:vAlign w:val="center"/>
          </w:tcPr>
          <w:p w14:paraId="77776836">
            <w:pPr>
              <w:snapToGrid w:val="0"/>
              <w:ind w:left="0" w:leftChars="0" w:right="0" w:rightChars="0" w:firstLine="0" w:firstLineChars="0"/>
              <w:jc w:val="center"/>
              <w:rPr>
                <w:rFonts w:hint="default" w:ascii="Times New Roman" w:hAnsi="Times New Roman" w:cs="Times New Roman"/>
                <w:b/>
                <w:i w:val="0"/>
                <w:color w:val="000000" w:themeColor="dark1"/>
                <w:sz w:val="20"/>
                <w:szCs w:val="20"/>
                <w14:textFill>
                  <w14:solidFill>
                    <w14:schemeClr w14:val="dk1"/>
                  </w14:solidFill>
                </w14:textFill>
              </w:rPr>
            </w:pPr>
            <w:r>
              <w:rPr>
                <w:rFonts w:hint="default" w:ascii="Times New Roman" w:hAnsi="Times New Roman" w:cs="Times New Roman"/>
                <w:b/>
                <w:i w:val="0"/>
                <w:color w:val="000000" w:themeColor="dark1"/>
                <w:sz w:val="20"/>
                <w:szCs w:val="20"/>
                <w14:textFill>
                  <w14:solidFill>
                    <w14:schemeClr w14:val="dk1"/>
                  </w14:solidFill>
                </w14:textFill>
              </w:rPr>
              <w:t>ASMD</w:t>
            </w:r>
          </w:p>
        </w:tc>
        <w:tc>
          <w:tcPr>
            <w:tcW w:w="906" w:type="dxa"/>
            <w:tcBorders>
              <w:top w:val="single" w:color="000000" w:themeColor="dark1" w:sz="12" w:space="0"/>
              <w:left w:val="nil"/>
              <w:bottom w:val="single" w:color="000000" w:themeColor="dark1" w:sz="6" w:space="0"/>
              <w:right w:val="nil"/>
            </w:tcBorders>
            <w:shd w:val="clear" w:color="auto" w:fill="FFFFFF"/>
            <w:vAlign w:val="center"/>
          </w:tcPr>
          <w:p w14:paraId="31185E5A">
            <w:pPr>
              <w:snapToGrid w:val="0"/>
              <w:ind w:left="0" w:leftChars="0" w:right="0" w:rightChars="0" w:firstLine="0" w:firstLineChars="0"/>
              <w:jc w:val="center"/>
              <w:rPr>
                <w:rFonts w:hint="default" w:ascii="Times New Roman" w:hAnsi="Times New Roman" w:cs="Times New Roman"/>
                <w:b/>
                <w:i w:val="0"/>
                <w:color w:val="000000" w:themeColor="dark1"/>
                <w:sz w:val="20"/>
                <w:szCs w:val="20"/>
                <w14:textFill>
                  <w14:solidFill>
                    <w14:schemeClr w14:val="dk1"/>
                  </w14:solidFill>
                </w14:textFill>
              </w:rPr>
            </w:pPr>
            <w:r>
              <w:rPr>
                <w:rFonts w:hint="default" w:ascii="Times New Roman" w:hAnsi="Times New Roman" w:cs="Times New Roman"/>
                <w:b/>
                <w:i w:val="0"/>
                <w:color w:val="000000" w:themeColor="dark1"/>
                <w:sz w:val="20"/>
                <w:szCs w:val="20"/>
                <w14:textFill>
                  <w14:solidFill>
                    <w14:schemeClr w14:val="dk1"/>
                  </w14:solidFill>
                </w14:textFill>
              </w:rPr>
              <w:t>P value</w:t>
            </w:r>
          </w:p>
        </w:tc>
      </w:tr>
      <w:tr w14:paraId="3EFDA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single" w:color="000000" w:themeColor="dark1" w:sz="6" w:space="0"/>
              <w:left w:val="nil"/>
              <w:bottom w:val="nil"/>
              <w:right w:val="nil"/>
            </w:tcBorders>
            <w:shd w:val="clear" w:color="auto" w:fill="FFFFFF"/>
            <w:vAlign w:val="center"/>
          </w:tcPr>
          <w:p w14:paraId="5F6C4650">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Lifestyle and environment (covariates in Model 3)</w:t>
            </w:r>
          </w:p>
        </w:tc>
        <w:tc>
          <w:tcPr>
            <w:tcW w:w="1193" w:type="dxa"/>
            <w:tcBorders>
              <w:top w:val="single" w:color="000000" w:themeColor="dark1" w:sz="6" w:space="0"/>
              <w:left w:val="nil"/>
              <w:bottom w:val="nil"/>
              <w:right w:val="nil"/>
            </w:tcBorders>
            <w:shd w:val="clear" w:color="auto" w:fill="FFFFFF"/>
            <w:vAlign w:val="center"/>
          </w:tcPr>
          <w:p w14:paraId="33E4F0FC">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805" w:type="dxa"/>
            <w:tcBorders>
              <w:top w:val="single" w:color="000000" w:themeColor="dark1" w:sz="6" w:space="0"/>
              <w:left w:val="nil"/>
              <w:bottom w:val="nil"/>
              <w:right w:val="nil"/>
            </w:tcBorders>
            <w:shd w:val="clear" w:color="auto" w:fill="FFFFFF"/>
            <w:vAlign w:val="center"/>
          </w:tcPr>
          <w:p w14:paraId="2E01B145">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799" w:type="dxa"/>
            <w:tcBorders>
              <w:top w:val="single" w:color="000000" w:themeColor="dark1" w:sz="6" w:space="0"/>
              <w:left w:val="nil"/>
              <w:bottom w:val="nil"/>
              <w:right w:val="nil"/>
            </w:tcBorders>
            <w:shd w:val="clear" w:color="auto" w:fill="FFFFFF"/>
            <w:vAlign w:val="center"/>
          </w:tcPr>
          <w:p w14:paraId="23759BE5">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787" w:type="dxa"/>
            <w:tcBorders>
              <w:top w:val="single" w:color="000000" w:themeColor="dark1" w:sz="6" w:space="0"/>
              <w:left w:val="nil"/>
              <w:bottom w:val="nil"/>
              <w:right w:val="nil"/>
            </w:tcBorders>
            <w:shd w:val="clear" w:color="auto" w:fill="FFFFFF"/>
            <w:vAlign w:val="center"/>
          </w:tcPr>
          <w:p w14:paraId="6ADDF526">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813" w:type="dxa"/>
            <w:tcBorders>
              <w:top w:val="single" w:color="000000" w:themeColor="dark1" w:sz="6" w:space="0"/>
              <w:left w:val="nil"/>
              <w:bottom w:val="nil"/>
              <w:right w:val="nil"/>
            </w:tcBorders>
            <w:shd w:val="clear" w:color="auto" w:fill="FFFFFF"/>
            <w:vAlign w:val="center"/>
          </w:tcPr>
          <w:p w14:paraId="6024BAED">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835" w:type="dxa"/>
            <w:tcBorders>
              <w:top w:val="single" w:color="000000" w:themeColor="dark1" w:sz="6" w:space="0"/>
              <w:left w:val="nil"/>
              <w:bottom w:val="nil"/>
              <w:right w:val="nil"/>
            </w:tcBorders>
            <w:shd w:val="clear" w:color="auto" w:fill="FFFFFF"/>
            <w:vAlign w:val="center"/>
          </w:tcPr>
          <w:p w14:paraId="6F8E0ED2">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880" w:type="dxa"/>
            <w:tcBorders>
              <w:top w:val="single" w:color="000000" w:themeColor="dark1" w:sz="6" w:space="0"/>
              <w:left w:val="nil"/>
              <w:bottom w:val="nil"/>
              <w:right w:val="nil"/>
            </w:tcBorders>
            <w:shd w:val="clear" w:color="auto" w:fill="FFFFFF"/>
            <w:vAlign w:val="center"/>
          </w:tcPr>
          <w:p w14:paraId="137E6230">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901" w:type="dxa"/>
            <w:tcBorders>
              <w:top w:val="single" w:color="000000" w:themeColor="dark1" w:sz="6" w:space="0"/>
              <w:left w:val="nil"/>
              <w:bottom w:val="nil"/>
              <w:right w:val="nil"/>
            </w:tcBorders>
            <w:shd w:val="clear" w:color="auto" w:fill="FFFFFF"/>
            <w:vAlign w:val="center"/>
          </w:tcPr>
          <w:p w14:paraId="38F95694">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906" w:type="dxa"/>
            <w:tcBorders>
              <w:top w:val="single" w:color="000000" w:themeColor="dark1" w:sz="6" w:space="0"/>
              <w:left w:val="nil"/>
              <w:bottom w:val="nil"/>
              <w:right w:val="nil"/>
            </w:tcBorders>
            <w:shd w:val="clear" w:color="auto" w:fill="FFFFFF"/>
            <w:vAlign w:val="center"/>
          </w:tcPr>
          <w:p w14:paraId="71503C7E">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906" w:type="dxa"/>
            <w:tcBorders>
              <w:top w:val="single" w:color="000000" w:themeColor="dark1" w:sz="6" w:space="0"/>
              <w:left w:val="nil"/>
              <w:bottom w:val="nil"/>
              <w:right w:val="nil"/>
            </w:tcBorders>
            <w:shd w:val="clear" w:color="auto" w:fill="FFFFFF"/>
            <w:vAlign w:val="center"/>
          </w:tcPr>
          <w:p w14:paraId="2B79A987">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r>
      <w:tr w14:paraId="31B35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63E0351F">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Diet type, n (%)</w:t>
            </w:r>
          </w:p>
        </w:tc>
        <w:tc>
          <w:tcPr>
            <w:tcW w:w="1193" w:type="dxa"/>
            <w:tcBorders>
              <w:top w:val="nil"/>
              <w:left w:val="nil"/>
              <w:bottom w:val="nil"/>
              <w:right w:val="nil"/>
            </w:tcBorders>
            <w:shd w:val="clear" w:color="auto" w:fill="FFFFFF"/>
            <w:vAlign w:val="center"/>
          </w:tcPr>
          <w:p w14:paraId="47257D57">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805" w:type="dxa"/>
            <w:tcBorders>
              <w:top w:val="nil"/>
              <w:left w:val="nil"/>
              <w:bottom w:val="nil"/>
              <w:right w:val="nil"/>
            </w:tcBorders>
            <w:shd w:val="clear" w:color="auto" w:fill="FFFFFF"/>
            <w:vAlign w:val="center"/>
          </w:tcPr>
          <w:p w14:paraId="5A1AC8B3">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799" w:type="dxa"/>
            <w:tcBorders>
              <w:top w:val="nil"/>
              <w:left w:val="nil"/>
              <w:bottom w:val="nil"/>
              <w:right w:val="nil"/>
            </w:tcBorders>
            <w:shd w:val="clear" w:color="auto" w:fill="FFFFFF"/>
            <w:vAlign w:val="center"/>
          </w:tcPr>
          <w:p w14:paraId="2C22031D">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787" w:type="dxa"/>
            <w:tcBorders>
              <w:top w:val="nil"/>
              <w:left w:val="nil"/>
              <w:bottom w:val="nil"/>
              <w:right w:val="nil"/>
            </w:tcBorders>
            <w:shd w:val="clear" w:color="auto" w:fill="FFFFFF"/>
            <w:vAlign w:val="center"/>
          </w:tcPr>
          <w:p w14:paraId="7E22F841">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813" w:type="dxa"/>
            <w:tcBorders>
              <w:top w:val="nil"/>
              <w:left w:val="nil"/>
              <w:bottom w:val="nil"/>
              <w:right w:val="nil"/>
            </w:tcBorders>
            <w:shd w:val="clear" w:color="auto" w:fill="FFFFFF"/>
            <w:vAlign w:val="center"/>
          </w:tcPr>
          <w:p w14:paraId="59269E24">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835" w:type="dxa"/>
            <w:tcBorders>
              <w:top w:val="nil"/>
              <w:left w:val="nil"/>
              <w:bottom w:val="nil"/>
              <w:right w:val="nil"/>
            </w:tcBorders>
            <w:shd w:val="clear" w:color="auto" w:fill="FFFFFF"/>
            <w:vAlign w:val="center"/>
          </w:tcPr>
          <w:p w14:paraId="40B10345">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880" w:type="dxa"/>
            <w:tcBorders>
              <w:top w:val="nil"/>
              <w:left w:val="nil"/>
              <w:bottom w:val="nil"/>
              <w:right w:val="nil"/>
            </w:tcBorders>
            <w:shd w:val="clear" w:color="auto" w:fill="FFFFFF"/>
            <w:vAlign w:val="center"/>
          </w:tcPr>
          <w:p w14:paraId="3ED646D8">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901" w:type="dxa"/>
            <w:tcBorders>
              <w:top w:val="nil"/>
              <w:left w:val="nil"/>
              <w:bottom w:val="nil"/>
              <w:right w:val="nil"/>
            </w:tcBorders>
            <w:shd w:val="clear" w:color="auto" w:fill="FFFFFF"/>
            <w:vAlign w:val="center"/>
          </w:tcPr>
          <w:p w14:paraId="2064BEFD">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906" w:type="dxa"/>
            <w:tcBorders>
              <w:top w:val="nil"/>
              <w:left w:val="nil"/>
              <w:bottom w:val="nil"/>
              <w:right w:val="nil"/>
            </w:tcBorders>
            <w:shd w:val="clear" w:color="auto" w:fill="FFFFFF"/>
            <w:vAlign w:val="center"/>
          </w:tcPr>
          <w:p w14:paraId="75439A34">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0.319</w:t>
            </w:r>
          </w:p>
        </w:tc>
        <w:tc>
          <w:tcPr>
            <w:tcW w:w="906" w:type="dxa"/>
            <w:tcBorders>
              <w:top w:val="nil"/>
              <w:left w:val="nil"/>
              <w:bottom w:val="nil"/>
              <w:right w:val="nil"/>
            </w:tcBorders>
            <w:shd w:val="clear" w:color="auto" w:fill="FFFFFF"/>
            <w:vAlign w:val="center"/>
          </w:tcPr>
          <w:p w14:paraId="51AA160D">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0.377</w:t>
            </w:r>
          </w:p>
        </w:tc>
      </w:tr>
      <w:tr w14:paraId="557A2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4F75D554">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1193" w:type="dxa"/>
            <w:tcBorders>
              <w:top w:val="nil"/>
              <w:left w:val="nil"/>
              <w:bottom w:val="nil"/>
              <w:right w:val="nil"/>
            </w:tcBorders>
            <w:shd w:val="clear" w:color="auto" w:fill="FFFFFF"/>
            <w:vAlign w:val="center"/>
          </w:tcPr>
          <w:p w14:paraId="402B412C">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Meat-based/animal-based</w:t>
            </w:r>
          </w:p>
        </w:tc>
        <w:tc>
          <w:tcPr>
            <w:tcW w:w="805" w:type="dxa"/>
            <w:tcBorders>
              <w:top w:val="nil"/>
              <w:left w:val="nil"/>
              <w:bottom w:val="nil"/>
              <w:right w:val="nil"/>
            </w:tcBorders>
            <w:shd w:val="clear" w:color="auto" w:fill="FFFFFF"/>
            <w:vAlign w:val="center"/>
          </w:tcPr>
          <w:p w14:paraId="7C9E28EA">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1337 (74.9%)</w:t>
            </w:r>
          </w:p>
        </w:tc>
        <w:tc>
          <w:tcPr>
            <w:tcW w:w="799" w:type="dxa"/>
            <w:tcBorders>
              <w:top w:val="nil"/>
              <w:left w:val="nil"/>
              <w:bottom w:val="nil"/>
              <w:right w:val="nil"/>
            </w:tcBorders>
            <w:shd w:val="clear" w:color="auto" w:fill="FFFFFF"/>
            <w:vAlign w:val="center"/>
          </w:tcPr>
          <w:p w14:paraId="0060D8C4">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233 (74.4%)</w:t>
            </w:r>
          </w:p>
        </w:tc>
        <w:tc>
          <w:tcPr>
            <w:tcW w:w="787" w:type="dxa"/>
            <w:tcBorders>
              <w:top w:val="nil"/>
              <w:left w:val="nil"/>
              <w:bottom w:val="nil"/>
              <w:right w:val="nil"/>
            </w:tcBorders>
            <w:shd w:val="clear" w:color="auto" w:fill="FFFFFF"/>
            <w:vAlign w:val="center"/>
          </w:tcPr>
          <w:p w14:paraId="4EA01F83">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84 (81.6%)</w:t>
            </w:r>
          </w:p>
        </w:tc>
        <w:tc>
          <w:tcPr>
            <w:tcW w:w="813" w:type="dxa"/>
            <w:tcBorders>
              <w:top w:val="nil"/>
              <w:left w:val="nil"/>
              <w:bottom w:val="nil"/>
              <w:right w:val="nil"/>
            </w:tcBorders>
            <w:shd w:val="clear" w:color="auto" w:fill="FFFFFF"/>
            <w:vAlign w:val="center"/>
          </w:tcPr>
          <w:p w14:paraId="129BB786">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435 (75.8%)</w:t>
            </w:r>
          </w:p>
        </w:tc>
        <w:tc>
          <w:tcPr>
            <w:tcW w:w="835" w:type="dxa"/>
            <w:tcBorders>
              <w:top w:val="nil"/>
              <w:left w:val="nil"/>
              <w:bottom w:val="nil"/>
              <w:right w:val="nil"/>
            </w:tcBorders>
            <w:shd w:val="clear" w:color="auto" w:fill="FFFFFF"/>
            <w:vAlign w:val="center"/>
          </w:tcPr>
          <w:p w14:paraId="4FD54878">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128 (76.6%)</w:t>
            </w:r>
          </w:p>
        </w:tc>
        <w:tc>
          <w:tcPr>
            <w:tcW w:w="880" w:type="dxa"/>
            <w:tcBorders>
              <w:top w:val="nil"/>
              <w:left w:val="nil"/>
              <w:bottom w:val="nil"/>
              <w:right w:val="nil"/>
            </w:tcBorders>
            <w:shd w:val="clear" w:color="auto" w:fill="FFFFFF"/>
            <w:vAlign w:val="center"/>
          </w:tcPr>
          <w:p w14:paraId="415CAD56">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307 (74.0%)</w:t>
            </w:r>
          </w:p>
        </w:tc>
        <w:tc>
          <w:tcPr>
            <w:tcW w:w="901" w:type="dxa"/>
            <w:tcBorders>
              <w:top w:val="nil"/>
              <w:left w:val="nil"/>
              <w:bottom w:val="nil"/>
              <w:right w:val="nil"/>
            </w:tcBorders>
            <w:shd w:val="clear" w:color="auto" w:fill="FFFFFF"/>
            <w:vAlign w:val="center"/>
          </w:tcPr>
          <w:p w14:paraId="79CC7D0E">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150 (70.1%)</w:t>
            </w:r>
          </w:p>
        </w:tc>
        <w:tc>
          <w:tcPr>
            <w:tcW w:w="906" w:type="dxa"/>
            <w:tcBorders>
              <w:top w:val="nil"/>
              <w:left w:val="nil"/>
              <w:bottom w:val="nil"/>
              <w:right w:val="nil"/>
            </w:tcBorders>
            <w:shd w:val="clear" w:color="auto" w:fill="FFFFFF"/>
            <w:vAlign w:val="center"/>
          </w:tcPr>
          <w:p w14:paraId="4B92E3A5">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c>
          <w:tcPr>
            <w:tcW w:w="906" w:type="dxa"/>
            <w:tcBorders>
              <w:top w:val="nil"/>
              <w:left w:val="nil"/>
              <w:bottom w:val="nil"/>
              <w:right w:val="nil"/>
            </w:tcBorders>
            <w:shd w:val="clear" w:color="auto" w:fill="FFFFFF"/>
            <w:vAlign w:val="center"/>
          </w:tcPr>
          <w:p w14:paraId="2EAED2FF">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r>
      <w:tr w14:paraId="7EB42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3147C84A">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1193" w:type="dxa"/>
            <w:tcBorders>
              <w:top w:val="nil"/>
              <w:left w:val="nil"/>
              <w:bottom w:val="nil"/>
              <w:right w:val="nil"/>
            </w:tcBorders>
            <w:shd w:val="clear" w:color="auto" w:fill="FFFFFF"/>
            <w:vAlign w:val="center"/>
          </w:tcPr>
          <w:p w14:paraId="15125FAC">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Mixed diet</w:t>
            </w:r>
          </w:p>
        </w:tc>
        <w:tc>
          <w:tcPr>
            <w:tcW w:w="805" w:type="dxa"/>
            <w:tcBorders>
              <w:top w:val="nil"/>
              <w:left w:val="nil"/>
              <w:bottom w:val="nil"/>
              <w:right w:val="nil"/>
            </w:tcBorders>
            <w:shd w:val="clear" w:color="auto" w:fill="FFFFFF"/>
            <w:vAlign w:val="center"/>
          </w:tcPr>
          <w:p w14:paraId="261E0C8B">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387 (21.7%)</w:t>
            </w:r>
          </w:p>
        </w:tc>
        <w:tc>
          <w:tcPr>
            <w:tcW w:w="799" w:type="dxa"/>
            <w:tcBorders>
              <w:top w:val="nil"/>
              <w:left w:val="nil"/>
              <w:bottom w:val="nil"/>
              <w:right w:val="nil"/>
            </w:tcBorders>
            <w:shd w:val="clear" w:color="auto" w:fill="FFFFFF"/>
            <w:vAlign w:val="center"/>
          </w:tcPr>
          <w:p w14:paraId="3D498507">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65 (20.8%)</w:t>
            </w:r>
          </w:p>
        </w:tc>
        <w:tc>
          <w:tcPr>
            <w:tcW w:w="787" w:type="dxa"/>
            <w:tcBorders>
              <w:top w:val="nil"/>
              <w:left w:val="nil"/>
              <w:bottom w:val="nil"/>
              <w:right w:val="nil"/>
            </w:tcBorders>
            <w:shd w:val="clear" w:color="auto" w:fill="FFFFFF"/>
            <w:vAlign w:val="center"/>
          </w:tcPr>
          <w:p w14:paraId="7361CDCD">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15 (14.6%)</w:t>
            </w:r>
          </w:p>
        </w:tc>
        <w:tc>
          <w:tcPr>
            <w:tcW w:w="813" w:type="dxa"/>
            <w:tcBorders>
              <w:top w:val="nil"/>
              <w:left w:val="nil"/>
              <w:bottom w:val="nil"/>
              <w:right w:val="nil"/>
            </w:tcBorders>
            <w:shd w:val="clear" w:color="auto" w:fill="FFFFFF"/>
            <w:vAlign w:val="center"/>
          </w:tcPr>
          <w:p w14:paraId="4BF52C11">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118 (20.6%)</w:t>
            </w:r>
          </w:p>
        </w:tc>
        <w:tc>
          <w:tcPr>
            <w:tcW w:w="835" w:type="dxa"/>
            <w:tcBorders>
              <w:top w:val="nil"/>
              <w:left w:val="nil"/>
              <w:bottom w:val="nil"/>
              <w:right w:val="nil"/>
            </w:tcBorders>
            <w:shd w:val="clear" w:color="auto" w:fill="FFFFFF"/>
            <w:vAlign w:val="center"/>
          </w:tcPr>
          <w:p w14:paraId="1820D465">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33 (19.8%)</w:t>
            </w:r>
          </w:p>
        </w:tc>
        <w:tc>
          <w:tcPr>
            <w:tcW w:w="880" w:type="dxa"/>
            <w:tcBorders>
              <w:top w:val="nil"/>
              <w:left w:val="nil"/>
              <w:bottom w:val="nil"/>
              <w:right w:val="nil"/>
            </w:tcBorders>
            <w:shd w:val="clear" w:color="auto" w:fill="FFFFFF"/>
            <w:vAlign w:val="center"/>
          </w:tcPr>
          <w:p w14:paraId="7371C27C">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97 (23.4%)</w:t>
            </w:r>
          </w:p>
        </w:tc>
        <w:tc>
          <w:tcPr>
            <w:tcW w:w="901" w:type="dxa"/>
            <w:tcBorders>
              <w:top w:val="nil"/>
              <w:left w:val="nil"/>
              <w:bottom w:val="nil"/>
              <w:right w:val="nil"/>
            </w:tcBorders>
            <w:shd w:val="clear" w:color="auto" w:fill="FFFFFF"/>
            <w:vAlign w:val="center"/>
          </w:tcPr>
          <w:p w14:paraId="3DD0358B">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59 (27.6%)</w:t>
            </w:r>
          </w:p>
        </w:tc>
        <w:tc>
          <w:tcPr>
            <w:tcW w:w="906" w:type="dxa"/>
            <w:tcBorders>
              <w:top w:val="nil"/>
              <w:left w:val="nil"/>
              <w:bottom w:val="nil"/>
              <w:right w:val="nil"/>
            </w:tcBorders>
            <w:shd w:val="clear" w:color="auto" w:fill="FFFFFF"/>
            <w:vAlign w:val="center"/>
          </w:tcPr>
          <w:p w14:paraId="631827FA">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c>
          <w:tcPr>
            <w:tcW w:w="906" w:type="dxa"/>
            <w:tcBorders>
              <w:top w:val="nil"/>
              <w:left w:val="nil"/>
              <w:bottom w:val="nil"/>
              <w:right w:val="nil"/>
            </w:tcBorders>
            <w:shd w:val="clear" w:color="auto" w:fill="FFFFFF"/>
            <w:vAlign w:val="center"/>
          </w:tcPr>
          <w:p w14:paraId="3F468861">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r>
      <w:tr w14:paraId="63AE5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669A398A">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1193" w:type="dxa"/>
            <w:tcBorders>
              <w:top w:val="nil"/>
              <w:left w:val="nil"/>
              <w:bottom w:val="nil"/>
              <w:right w:val="nil"/>
            </w:tcBorders>
            <w:shd w:val="clear" w:color="auto" w:fill="FFFFFF"/>
            <w:vAlign w:val="center"/>
          </w:tcPr>
          <w:p w14:paraId="2ABD6933">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Vegetarian/mostly plant-based</w:t>
            </w:r>
          </w:p>
        </w:tc>
        <w:tc>
          <w:tcPr>
            <w:tcW w:w="805" w:type="dxa"/>
            <w:tcBorders>
              <w:top w:val="nil"/>
              <w:left w:val="nil"/>
              <w:bottom w:val="nil"/>
              <w:right w:val="nil"/>
            </w:tcBorders>
            <w:shd w:val="clear" w:color="auto" w:fill="FFFFFF"/>
            <w:vAlign w:val="center"/>
          </w:tcPr>
          <w:p w14:paraId="61754E41">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43 (2.4%)</w:t>
            </w:r>
          </w:p>
        </w:tc>
        <w:tc>
          <w:tcPr>
            <w:tcW w:w="799" w:type="dxa"/>
            <w:tcBorders>
              <w:top w:val="nil"/>
              <w:left w:val="nil"/>
              <w:bottom w:val="nil"/>
              <w:right w:val="nil"/>
            </w:tcBorders>
            <w:shd w:val="clear" w:color="auto" w:fill="FFFFFF"/>
            <w:vAlign w:val="center"/>
          </w:tcPr>
          <w:p w14:paraId="02DF8062">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11 (3.5%)</w:t>
            </w:r>
          </w:p>
        </w:tc>
        <w:tc>
          <w:tcPr>
            <w:tcW w:w="787" w:type="dxa"/>
            <w:tcBorders>
              <w:top w:val="nil"/>
              <w:left w:val="nil"/>
              <w:bottom w:val="nil"/>
              <w:right w:val="nil"/>
            </w:tcBorders>
            <w:shd w:val="clear" w:color="auto" w:fill="FFFFFF"/>
            <w:vAlign w:val="center"/>
          </w:tcPr>
          <w:p w14:paraId="28B32F23">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3 (2.9%)</w:t>
            </w:r>
          </w:p>
        </w:tc>
        <w:tc>
          <w:tcPr>
            <w:tcW w:w="813" w:type="dxa"/>
            <w:tcBorders>
              <w:top w:val="nil"/>
              <w:left w:val="nil"/>
              <w:bottom w:val="nil"/>
              <w:right w:val="nil"/>
            </w:tcBorders>
            <w:shd w:val="clear" w:color="auto" w:fill="FFFFFF"/>
            <w:vAlign w:val="center"/>
          </w:tcPr>
          <w:p w14:paraId="7011F3C7">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17 (3.0%)</w:t>
            </w:r>
          </w:p>
        </w:tc>
        <w:tc>
          <w:tcPr>
            <w:tcW w:w="835" w:type="dxa"/>
            <w:tcBorders>
              <w:top w:val="nil"/>
              <w:left w:val="nil"/>
              <w:bottom w:val="nil"/>
              <w:right w:val="nil"/>
            </w:tcBorders>
            <w:shd w:val="clear" w:color="auto" w:fill="FFFFFF"/>
            <w:vAlign w:val="center"/>
          </w:tcPr>
          <w:p w14:paraId="09763E6D">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3 (1.8%)</w:t>
            </w:r>
          </w:p>
        </w:tc>
        <w:tc>
          <w:tcPr>
            <w:tcW w:w="880" w:type="dxa"/>
            <w:tcBorders>
              <w:top w:val="nil"/>
              <w:left w:val="nil"/>
              <w:bottom w:val="nil"/>
              <w:right w:val="nil"/>
            </w:tcBorders>
            <w:shd w:val="clear" w:color="auto" w:fill="FFFFFF"/>
            <w:vAlign w:val="center"/>
          </w:tcPr>
          <w:p w14:paraId="0199E435">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7 (1.7%)</w:t>
            </w:r>
          </w:p>
        </w:tc>
        <w:tc>
          <w:tcPr>
            <w:tcW w:w="901" w:type="dxa"/>
            <w:tcBorders>
              <w:top w:val="nil"/>
              <w:left w:val="nil"/>
              <w:bottom w:val="nil"/>
              <w:right w:val="nil"/>
            </w:tcBorders>
            <w:shd w:val="clear" w:color="auto" w:fill="FFFFFF"/>
            <w:vAlign w:val="center"/>
          </w:tcPr>
          <w:p w14:paraId="69465821">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2 (0.9%)</w:t>
            </w:r>
          </w:p>
        </w:tc>
        <w:tc>
          <w:tcPr>
            <w:tcW w:w="906" w:type="dxa"/>
            <w:tcBorders>
              <w:top w:val="nil"/>
              <w:left w:val="nil"/>
              <w:bottom w:val="nil"/>
              <w:right w:val="nil"/>
            </w:tcBorders>
            <w:shd w:val="clear" w:color="auto" w:fill="FFFFFF"/>
            <w:vAlign w:val="center"/>
          </w:tcPr>
          <w:p w14:paraId="1DDA1200">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c>
          <w:tcPr>
            <w:tcW w:w="906" w:type="dxa"/>
            <w:tcBorders>
              <w:top w:val="nil"/>
              <w:left w:val="nil"/>
              <w:bottom w:val="nil"/>
              <w:right w:val="nil"/>
            </w:tcBorders>
            <w:shd w:val="clear" w:color="auto" w:fill="FFFFFF"/>
            <w:vAlign w:val="center"/>
          </w:tcPr>
          <w:p w14:paraId="6339F1E4">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r>
      <w:tr w14:paraId="36A47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69CC2E44">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1193" w:type="dxa"/>
            <w:tcBorders>
              <w:top w:val="nil"/>
              <w:left w:val="nil"/>
              <w:bottom w:val="nil"/>
              <w:right w:val="nil"/>
            </w:tcBorders>
            <w:shd w:val="clear" w:color="auto" w:fill="FFFFFF"/>
            <w:vAlign w:val="center"/>
          </w:tcPr>
          <w:p w14:paraId="76E6611F">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Missing</w:t>
            </w:r>
          </w:p>
        </w:tc>
        <w:tc>
          <w:tcPr>
            <w:tcW w:w="805" w:type="dxa"/>
            <w:tcBorders>
              <w:top w:val="nil"/>
              <w:left w:val="nil"/>
              <w:bottom w:val="nil"/>
              <w:right w:val="nil"/>
            </w:tcBorders>
            <w:shd w:val="clear" w:color="auto" w:fill="FFFFFF"/>
            <w:vAlign w:val="center"/>
          </w:tcPr>
          <w:p w14:paraId="3B5C3509">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19 (1.1%)</w:t>
            </w:r>
          </w:p>
        </w:tc>
        <w:tc>
          <w:tcPr>
            <w:tcW w:w="799" w:type="dxa"/>
            <w:tcBorders>
              <w:top w:val="nil"/>
              <w:left w:val="nil"/>
              <w:bottom w:val="nil"/>
              <w:right w:val="nil"/>
            </w:tcBorders>
            <w:shd w:val="clear" w:color="auto" w:fill="FFFFFF"/>
            <w:vAlign w:val="center"/>
          </w:tcPr>
          <w:p w14:paraId="36CAEDE8">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4 (1.3%)</w:t>
            </w:r>
          </w:p>
        </w:tc>
        <w:tc>
          <w:tcPr>
            <w:tcW w:w="787" w:type="dxa"/>
            <w:tcBorders>
              <w:top w:val="nil"/>
              <w:left w:val="nil"/>
              <w:bottom w:val="nil"/>
              <w:right w:val="nil"/>
            </w:tcBorders>
            <w:shd w:val="clear" w:color="auto" w:fill="FFFFFF"/>
            <w:vAlign w:val="center"/>
          </w:tcPr>
          <w:p w14:paraId="68EE2792">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 (1.0%)</w:t>
            </w:r>
          </w:p>
        </w:tc>
        <w:tc>
          <w:tcPr>
            <w:tcW w:w="813" w:type="dxa"/>
            <w:tcBorders>
              <w:top w:val="nil"/>
              <w:left w:val="nil"/>
              <w:bottom w:val="nil"/>
              <w:right w:val="nil"/>
            </w:tcBorders>
            <w:shd w:val="clear" w:color="auto" w:fill="FFFFFF"/>
            <w:vAlign w:val="center"/>
          </w:tcPr>
          <w:p w14:paraId="288F716D">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4 (0.7%)</w:t>
            </w:r>
          </w:p>
        </w:tc>
        <w:tc>
          <w:tcPr>
            <w:tcW w:w="835" w:type="dxa"/>
            <w:tcBorders>
              <w:top w:val="nil"/>
              <w:left w:val="nil"/>
              <w:bottom w:val="nil"/>
              <w:right w:val="nil"/>
            </w:tcBorders>
            <w:shd w:val="clear" w:color="auto" w:fill="FFFFFF"/>
            <w:vAlign w:val="center"/>
          </w:tcPr>
          <w:p w14:paraId="4CB7DDED">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3 (1.8%)</w:t>
            </w:r>
          </w:p>
        </w:tc>
        <w:tc>
          <w:tcPr>
            <w:tcW w:w="880" w:type="dxa"/>
            <w:tcBorders>
              <w:top w:val="nil"/>
              <w:left w:val="nil"/>
              <w:bottom w:val="nil"/>
              <w:right w:val="nil"/>
            </w:tcBorders>
            <w:shd w:val="clear" w:color="auto" w:fill="FFFFFF"/>
            <w:vAlign w:val="center"/>
          </w:tcPr>
          <w:p w14:paraId="35F65171">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4 (1.0%)</w:t>
            </w:r>
          </w:p>
        </w:tc>
        <w:tc>
          <w:tcPr>
            <w:tcW w:w="901" w:type="dxa"/>
            <w:tcBorders>
              <w:top w:val="nil"/>
              <w:left w:val="nil"/>
              <w:bottom w:val="nil"/>
              <w:right w:val="nil"/>
            </w:tcBorders>
            <w:shd w:val="clear" w:color="auto" w:fill="FFFFFF"/>
            <w:vAlign w:val="center"/>
          </w:tcPr>
          <w:p w14:paraId="62979F31">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3 (1.4%)</w:t>
            </w:r>
          </w:p>
        </w:tc>
        <w:tc>
          <w:tcPr>
            <w:tcW w:w="906" w:type="dxa"/>
            <w:tcBorders>
              <w:top w:val="nil"/>
              <w:left w:val="nil"/>
              <w:bottom w:val="nil"/>
              <w:right w:val="nil"/>
            </w:tcBorders>
            <w:shd w:val="clear" w:color="auto" w:fill="FFFFFF"/>
            <w:vAlign w:val="center"/>
          </w:tcPr>
          <w:p w14:paraId="47273428">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c>
          <w:tcPr>
            <w:tcW w:w="906" w:type="dxa"/>
            <w:tcBorders>
              <w:top w:val="nil"/>
              <w:left w:val="nil"/>
              <w:bottom w:val="nil"/>
              <w:right w:val="nil"/>
            </w:tcBorders>
            <w:shd w:val="clear" w:color="auto" w:fill="FFFFFF"/>
            <w:vAlign w:val="center"/>
          </w:tcPr>
          <w:p w14:paraId="7215B74C">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r>
      <w:tr w14:paraId="64A5D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29BCABD5">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Sleep duration, n (%)</w:t>
            </w:r>
          </w:p>
        </w:tc>
        <w:tc>
          <w:tcPr>
            <w:tcW w:w="1193" w:type="dxa"/>
            <w:tcBorders>
              <w:top w:val="nil"/>
              <w:left w:val="nil"/>
              <w:bottom w:val="nil"/>
              <w:right w:val="nil"/>
            </w:tcBorders>
            <w:shd w:val="clear" w:color="auto" w:fill="FFFFFF"/>
            <w:vAlign w:val="center"/>
          </w:tcPr>
          <w:p w14:paraId="0D54DEC8">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805" w:type="dxa"/>
            <w:tcBorders>
              <w:top w:val="nil"/>
              <w:left w:val="nil"/>
              <w:bottom w:val="nil"/>
              <w:right w:val="nil"/>
            </w:tcBorders>
            <w:shd w:val="clear" w:color="auto" w:fill="FFFFFF"/>
            <w:vAlign w:val="center"/>
          </w:tcPr>
          <w:p w14:paraId="44BB7953">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799" w:type="dxa"/>
            <w:tcBorders>
              <w:top w:val="nil"/>
              <w:left w:val="nil"/>
              <w:bottom w:val="nil"/>
              <w:right w:val="nil"/>
            </w:tcBorders>
            <w:shd w:val="clear" w:color="auto" w:fill="FFFFFF"/>
            <w:vAlign w:val="center"/>
          </w:tcPr>
          <w:p w14:paraId="42F34D63">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787" w:type="dxa"/>
            <w:tcBorders>
              <w:top w:val="nil"/>
              <w:left w:val="nil"/>
              <w:bottom w:val="nil"/>
              <w:right w:val="nil"/>
            </w:tcBorders>
            <w:shd w:val="clear" w:color="auto" w:fill="FFFFFF"/>
            <w:vAlign w:val="center"/>
          </w:tcPr>
          <w:p w14:paraId="3F2A3A7A">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813" w:type="dxa"/>
            <w:tcBorders>
              <w:top w:val="nil"/>
              <w:left w:val="nil"/>
              <w:bottom w:val="nil"/>
              <w:right w:val="nil"/>
            </w:tcBorders>
            <w:shd w:val="clear" w:color="auto" w:fill="FFFFFF"/>
            <w:vAlign w:val="center"/>
          </w:tcPr>
          <w:p w14:paraId="4DC7547F">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835" w:type="dxa"/>
            <w:tcBorders>
              <w:top w:val="nil"/>
              <w:left w:val="nil"/>
              <w:bottom w:val="nil"/>
              <w:right w:val="nil"/>
            </w:tcBorders>
            <w:shd w:val="clear" w:color="auto" w:fill="FFFFFF"/>
            <w:vAlign w:val="center"/>
          </w:tcPr>
          <w:p w14:paraId="3A72E02A">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880" w:type="dxa"/>
            <w:tcBorders>
              <w:top w:val="nil"/>
              <w:left w:val="nil"/>
              <w:bottom w:val="nil"/>
              <w:right w:val="nil"/>
            </w:tcBorders>
            <w:shd w:val="clear" w:color="auto" w:fill="FFFFFF"/>
            <w:vAlign w:val="center"/>
          </w:tcPr>
          <w:p w14:paraId="71A47F8D">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901" w:type="dxa"/>
            <w:tcBorders>
              <w:top w:val="nil"/>
              <w:left w:val="nil"/>
              <w:bottom w:val="nil"/>
              <w:right w:val="nil"/>
            </w:tcBorders>
            <w:shd w:val="clear" w:color="auto" w:fill="FFFFFF"/>
            <w:vAlign w:val="center"/>
          </w:tcPr>
          <w:p w14:paraId="3B731E24">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906" w:type="dxa"/>
            <w:tcBorders>
              <w:top w:val="nil"/>
              <w:left w:val="nil"/>
              <w:bottom w:val="nil"/>
              <w:right w:val="nil"/>
            </w:tcBorders>
            <w:shd w:val="clear" w:color="auto" w:fill="FFFFFF"/>
            <w:vAlign w:val="center"/>
          </w:tcPr>
          <w:p w14:paraId="23B4F636">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0.302</w:t>
            </w:r>
          </w:p>
        </w:tc>
        <w:tc>
          <w:tcPr>
            <w:tcW w:w="906" w:type="dxa"/>
            <w:tcBorders>
              <w:top w:val="nil"/>
              <w:left w:val="nil"/>
              <w:bottom w:val="nil"/>
              <w:right w:val="nil"/>
            </w:tcBorders>
            <w:shd w:val="clear" w:color="auto" w:fill="FFFFFF"/>
            <w:vAlign w:val="center"/>
          </w:tcPr>
          <w:p w14:paraId="16D490AA">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0.020</w:t>
            </w:r>
          </w:p>
        </w:tc>
      </w:tr>
      <w:tr w14:paraId="0623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4C3B63FB">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1193" w:type="dxa"/>
            <w:tcBorders>
              <w:top w:val="nil"/>
              <w:left w:val="nil"/>
              <w:bottom w:val="nil"/>
              <w:right w:val="nil"/>
            </w:tcBorders>
            <w:shd w:val="clear" w:color="auto" w:fill="FFFFFF"/>
            <w:vAlign w:val="center"/>
          </w:tcPr>
          <w:p w14:paraId="46DDAE3E">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4–6 h</w:t>
            </w:r>
          </w:p>
        </w:tc>
        <w:tc>
          <w:tcPr>
            <w:tcW w:w="805" w:type="dxa"/>
            <w:tcBorders>
              <w:top w:val="nil"/>
              <w:left w:val="nil"/>
              <w:bottom w:val="nil"/>
              <w:right w:val="nil"/>
            </w:tcBorders>
            <w:shd w:val="clear" w:color="auto" w:fill="FFFFFF"/>
            <w:vAlign w:val="center"/>
          </w:tcPr>
          <w:p w14:paraId="253C5A78">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705 (39.5%)</w:t>
            </w:r>
          </w:p>
        </w:tc>
        <w:tc>
          <w:tcPr>
            <w:tcW w:w="799" w:type="dxa"/>
            <w:tcBorders>
              <w:top w:val="nil"/>
              <w:left w:val="nil"/>
              <w:bottom w:val="nil"/>
              <w:right w:val="nil"/>
            </w:tcBorders>
            <w:shd w:val="clear" w:color="auto" w:fill="FFFFFF"/>
            <w:vAlign w:val="center"/>
          </w:tcPr>
          <w:p w14:paraId="352AFA79">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126 (40.3%)</w:t>
            </w:r>
          </w:p>
        </w:tc>
        <w:tc>
          <w:tcPr>
            <w:tcW w:w="787" w:type="dxa"/>
            <w:tcBorders>
              <w:top w:val="nil"/>
              <w:left w:val="nil"/>
              <w:bottom w:val="nil"/>
              <w:right w:val="nil"/>
            </w:tcBorders>
            <w:shd w:val="clear" w:color="auto" w:fill="FFFFFF"/>
            <w:vAlign w:val="center"/>
          </w:tcPr>
          <w:p w14:paraId="58E8DDF4">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52 (50.5%)</w:t>
            </w:r>
          </w:p>
        </w:tc>
        <w:tc>
          <w:tcPr>
            <w:tcW w:w="813" w:type="dxa"/>
            <w:tcBorders>
              <w:top w:val="nil"/>
              <w:left w:val="nil"/>
              <w:bottom w:val="nil"/>
              <w:right w:val="nil"/>
            </w:tcBorders>
            <w:shd w:val="clear" w:color="auto" w:fill="FFFFFF"/>
            <w:vAlign w:val="center"/>
          </w:tcPr>
          <w:p w14:paraId="16E2DC51">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204 (35.5%)</w:t>
            </w:r>
          </w:p>
        </w:tc>
        <w:tc>
          <w:tcPr>
            <w:tcW w:w="835" w:type="dxa"/>
            <w:tcBorders>
              <w:top w:val="nil"/>
              <w:left w:val="nil"/>
              <w:bottom w:val="nil"/>
              <w:right w:val="nil"/>
            </w:tcBorders>
            <w:shd w:val="clear" w:color="auto" w:fill="FFFFFF"/>
            <w:vAlign w:val="center"/>
          </w:tcPr>
          <w:p w14:paraId="73D577FC">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74 (44.3%)</w:t>
            </w:r>
          </w:p>
        </w:tc>
        <w:tc>
          <w:tcPr>
            <w:tcW w:w="880" w:type="dxa"/>
            <w:tcBorders>
              <w:top w:val="nil"/>
              <w:left w:val="nil"/>
              <w:bottom w:val="nil"/>
              <w:right w:val="nil"/>
            </w:tcBorders>
            <w:shd w:val="clear" w:color="auto" w:fill="FFFFFF"/>
            <w:vAlign w:val="center"/>
          </w:tcPr>
          <w:p w14:paraId="4C388E75">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165 (39.8%)</w:t>
            </w:r>
          </w:p>
        </w:tc>
        <w:tc>
          <w:tcPr>
            <w:tcW w:w="901" w:type="dxa"/>
            <w:tcBorders>
              <w:top w:val="nil"/>
              <w:left w:val="nil"/>
              <w:bottom w:val="nil"/>
              <w:right w:val="nil"/>
            </w:tcBorders>
            <w:shd w:val="clear" w:color="auto" w:fill="FFFFFF"/>
            <w:vAlign w:val="center"/>
          </w:tcPr>
          <w:p w14:paraId="40D6C90B">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84 (39.3%)</w:t>
            </w:r>
          </w:p>
        </w:tc>
        <w:tc>
          <w:tcPr>
            <w:tcW w:w="906" w:type="dxa"/>
            <w:tcBorders>
              <w:top w:val="nil"/>
              <w:left w:val="nil"/>
              <w:bottom w:val="nil"/>
              <w:right w:val="nil"/>
            </w:tcBorders>
            <w:shd w:val="clear" w:color="auto" w:fill="FFFFFF"/>
            <w:vAlign w:val="center"/>
          </w:tcPr>
          <w:p w14:paraId="25B87C39">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c>
          <w:tcPr>
            <w:tcW w:w="906" w:type="dxa"/>
            <w:tcBorders>
              <w:top w:val="nil"/>
              <w:left w:val="nil"/>
              <w:bottom w:val="nil"/>
              <w:right w:val="nil"/>
            </w:tcBorders>
            <w:shd w:val="clear" w:color="auto" w:fill="FFFFFF"/>
            <w:vAlign w:val="center"/>
          </w:tcPr>
          <w:p w14:paraId="5B27C635">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r>
      <w:tr w14:paraId="05B1B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60BB38EA">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1193" w:type="dxa"/>
            <w:tcBorders>
              <w:top w:val="nil"/>
              <w:left w:val="nil"/>
              <w:bottom w:val="nil"/>
              <w:right w:val="nil"/>
            </w:tcBorders>
            <w:shd w:val="clear" w:color="auto" w:fill="FFFFFF"/>
            <w:vAlign w:val="center"/>
          </w:tcPr>
          <w:p w14:paraId="26DBD698">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6–8 h</w:t>
            </w:r>
          </w:p>
        </w:tc>
        <w:tc>
          <w:tcPr>
            <w:tcW w:w="805" w:type="dxa"/>
            <w:tcBorders>
              <w:top w:val="nil"/>
              <w:left w:val="nil"/>
              <w:bottom w:val="nil"/>
              <w:right w:val="nil"/>
            </w:tcBorders>
            <w:shd w:val="clear" w:color="auto" w:fill="FFFFFF"/>
            <w:vAlign w:val="center"/>
          </w:tcPr>
          <w:p w14:paraId="3BC3298D">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899 (50.3%)</w:t>
            </w:r>
          </w:p>
        </w:tc>
        <w:tc>
          <w:tcPr>
            <w:tcW w:w="799" w:type="dxa"/>
            <w:tcBorders>
              <w:top w:val="nil"/>
              <w:left w:val="nil"/>
              <w:bottom w:val="nil"/>
              <w:right w:val="nil"/>
            </w:tcBorders>
            <w:shd w:val="clear" w:color="auto" w:fill="FFFFFF"/>
            <w:vAlign w:val="center"/>
          </w:tcPr>
          <w:p w14:paraId="16818134">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166 (53.0%)</w:t>
            </w:r>
          </w:p>
        </w:tc>
        <w:tc>
          <w:tcPr>
            <w:tcW w:w="787" w:type="dxa"/>
            <w:tcBorders>
              <w:top w:val="nil"/>
              <w:left w:val="nil"/>
              <w:bottom w:val="nil"/>
              <w:right w:val="nil"/>
            </w:tcBorders>
            <w:shd w:val="clear" w:color="auto" w:fill="FFFFFF"/>
            <w:vAlign w:val="center"/>
          </w:tcPr>
          <w:p w14:paraId="0FF8B294">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41 (39.8%)</w:t>
            </w:r>
          </w:p>
        </w:tc>
        <w:tc>
          <w:tcPr>
            <w:tcW w:w="813" w:type="dxa"/>
            <w:tcBorders>
              <w:top w:val="nil"/>
              <w:left w:val="nil"/>
              <w:bottom w:val="nil"/>
              <w:right w:val="nil"/>
            </w:tcBorders>
            <w:shd w:val="clear" w:color="auto" w:fill="FFFFFF"/>
            <w:vAlign w:val="center"/>
          </w:tcPr>
          <w:p w14:paraId="435F46CD">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309 (53.8%)</w:t>
            </w:r>
          </w:p>
        </w:tc>
        <w:tc>
          <w:tcPr>
            <w:tcW w:w="835" w:type="dxa"/>
            <w:tcBorders>
              <w:top w:val="nil"/>
              <w:left w:val="nil"/>
              <w:bottom w:val="nil"/>
              <w:right w:val="nil"/>
            </w:tcBorders>
            <w:shd w:val="clear" w:color="auto" w:fill="FFFFFF"/>
            <w:vAlign w:val="center"/>
          </w:tcPr>
          <w:p w14:paraId="5EE6C356">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78 (46.7%)</w:t>
            </w:r>
          </w:p>
        </w:tc>
        <w:tc>
          <w:tcPr>
            <w:tcW w:w="880" w:type="dxa"/>
            <w:tcBorders>
              <w:top w:val="nil"/>
              <w:left w:val="nil"/>
              <w:bottom w:val="nil"/>
              <w:right w:val="nil"/>
            </w:tcBorders>
            <w:shd w:val="clear" w:color="auto" w:fill="FFFFFF"/>
            <w:vAlign w:val="center"/>
          </w:tcPr>
          <w:p w14:paraId="04A757D8">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203 (48.9%)</w:t>
            </w:r>
          </w:p>
        </w:tc>
        <w:tc>
          <w:tcPr>
            <w:tcW w:w="901" w:type="dxa"/>
            <w:tcBorders>
              <w:top w:val="nil"/>
              <w:left w:val="nil"/>
              <w:bottom w:val="nil"/>
              <w:right w:val="nil"/>
            </w:tcBorders>
            <w:shd w:val="clear" w:color="auto" w:fill="FFFFFF"/>
            <w:vAlign w:val="center"/>
          </w:tcPr>
          <w:p w14:paraId="26F660F2">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102 (47.7%)</w:t>
            </w:r>
          </w:p>
        </w:tc>
        <w:tc>
          <w:tcPr>
            <w:tcW w:w="906" w:type="dxa"/>
            <w:tcBorders>
              <w:top w:val="nil"/>
              <w:left w:val="nil"/>
              <w:bottom w:val="nil"/>
              <w:right w:val="nil"/>
            </w:tcBorders>
            <w:shd w:val="clear" w:color="auto" w:fill="FFFFFF"/>
            <w:vAlign w:val="center"/>
          </w:tcPr>
          <w:p w14:paraId="6285A119">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c>
          <w:tcPr>
            <w:tcW w:w="906" w:type="dxa"/>
            <w:tcBorders>
              <w:top w:val="nil"/>
              <w:left w:val="nil"/>
              <w:bottom w:val="nil"/>
              <w:right w:val="nil"/>
            </w:tcBorders>
            <w:shd w:val="clear" w:color="auto" w:fill="FFFFFF"/>
            <w:vAlign w:val="center"/>
          </w:tcPr>
          <w:p w14:paraId="28B7BC72">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r>
      <w:tr w14:paraId="79070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4F88E620">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1193" w:type="dxa"/>
            <w:tcBorders>
              <w:top w:val="nil"/>
              <w:left w:val="nil"/>
              <w:bottom w:val="nil"/>
              <w:right w:val="nil"/>
            </w:tcBorders>
            <w:shd w:val="clear" w:color="auto" w:fill="FFFFFF"/>
            <w:vAlign w:val="center"/>
          </w:tcPr>
          <w:p w14:paraId="66A2329B">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8–10 h</w:t>
            </w:r>
          </w:p>
        </w:tc>
        <w:tc>
          <w:tcPr>
            <w:tcW w:w="805" w:type="dxa"/>
            <w:tcBorders>
              <w:top w:val="nil"/>
              <w:left w:val="nil"/>
              <w:bottom w:val="nil"/>
              <w:right w:val="nil"/>
            </w:tcBorders>
            <w:shd w:val="clear" w:color="auto" w:fill="FFFFFF"/>
            <w:vAlign w:val="center"/>
          </w:tcPr>
          <w:p w14:paraId="48791A65">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142 (8.0%)</w:t>
            </w:r>
          </w:p>
        </w:tc>
        <w:tc>
          <w:tcPr>
            <w:tcW w:w="799" w:type="dxa"/>
            <w:tcBorders>
              <w:top w:val="nil"/>
              <w:left w:val="nil"/>
              <w:bottom w:val="nil"/>
              <w:right w:val="nil"/>
            </w:tcBorders>
            <w:shd w:val="clear" w:color="auto" w:fill="FFFFFF"/>
            <w:vAlign w:val="center"/>
          </w:tcPr>
          <w:p w14:paraId="68A4D7F1">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18 (5.8%)</w:t>
            </w:r>
          </w:p>
        </w:tc>
        <w:tc>
          <w:tcPr>
            <w:tcW w:w="787" w:type="dxa"/>
            <w:tcBorders>
              <w:top w:val="nil"/>
              <w:left w:val="nil"/>
              <w:bottom w:val="nil"/>
              <w:right w:val="nil"/>
            </w:tcBorders>
            <w:shd w:val="clear" w:color="auto" w:fill="FFFFFF"/>
            <w:vAlign w:val="center"/>
          </w:tcPr>
          <w:p w14:paraId="17CF39D3">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7 (6.8%)</w:t>
            </w:r>
          </w:p>
        </w:tc>
        <w:tc>
          <w:tcPr>
            <w:tcW w:w="813" w:type="dxa"/>
            <w:tcBorders>
              <w:top w:val="nil"/>
              <w:left w:val="nil"/>
              <w:bottom w:val="nil"/>
              <w:right w:val="nil"/>
            </w:tcBorders>
            <w:shd w:val="clear" w:color="auto" w:fill="FFFFFF"/>
            <w:vAlign w:val="center"/>
          </w:tcPr>
          <w:p w14:paraId="0B36BDF7">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51 (8.9%)</w:t>
            </w:r>
          </w:p>
        </w:tc>
        <w:tc>
          <w:tcPr>
            <w:tcW w:w="835" w:type="dxa"/>
            <w:tcBorders>
              <w:top w:val="nil"/>
              <w:left w:val="nil"/>
              <w:bottom w:val="nil"/>
              <w:right w:val="nil"/>
            </w:tcBorders>
            <w:shd w:val="clear" w:color="auto" w:fill="FFFFFF"/>
            <w:vAlign w:val="center"/>
          </w:tcPr>
          <w:p w14:paraId="7C5DDDD1">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9 (5.4%)</w:t>
            </w:r>
          </w:p>
        </w:tc>
        <w:tc>
          <w:tcPr>
            <w:tcW w:w="880" w:type="dxa"/>
            <w:tcBorders>
              <w:top w:val="nil"/>
              <w:left w:val="nil"/>
              <w:bottom w:val="nil"/>
              <w:right w:val="nil"/>
            </w:tcBorders>
            <w:shd w:val="clear" w:color="auto" w:fill="FFFFFF"/>
            <w:vAlign w:val="center"/>
          </w:tcPr>
          <w:p w14:paraId="72E3EE05">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37 (8.9%)</w:t>
            </w:r>
          </w:p>
        </w:tc>
        <w:tc>
          <w:tcPr>
            <w:tcW w:w="901" w:type="dxa"/>
            <w:tcBorders>
              <w:top w:val="nil"/>
              <w:left w:val="nil"/>
              <w:bottom w:val="nil"/>
              <w:right w:val="nil"/>
            </w:tcBorders>
            <w:shd w:val="clear" w:color="auto" w:fill="FFFFFF"/>
            <w:vAlign w:val="center"/>
          </w:tcPr>
          <w:p w14:paraId="2D7A5551">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20 (9.3%)</w:t>
            </w:r>
          </w:p>
        </w:tc>
        <w:tc>
          <w:tcPr>
            <w:tcW w:w="906" w:type="dxa"/>
            <w:tcBorders>
              <w:top w:val="nil"/>
              <w:left w:val="nil"/>
              <w:bottom w:val="nil"/>
              <w:right w:val="nil"/>
            </w:tcBorders>
            <w:shd w:val="clear" w:color="auto" w:fill="FFFFFF"/>
            <w:vAlign w:val="center"/>
          </w:tcPr>
          <w:p w14:paraId="385DD264">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c>
          <w:tcPr>
            <w:tcW w:w="906" w:type="dxa"/>
            <w:tcBorders>
              <w:top w:val="nil"/>
              <w:left w:val="nil"/>
              <w:bottom w:val="nil"/>
              <w:right w:val="nil"/>
            </w:tcBorders>
            <w:shd w:val="clear" w:color="auto" w:fill="FFFFFF"/>
            <w:vAlign w:val="center"/>
          </w:tcPr>
          <w:p w14:paraId="375975BA">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r>
      <w:tr w14:paraId="7AF88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40BEF27B">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1193" w:type="dxa"/>
            <w:tcBorders>
              <w:top w:val="nil"/>
              <w:left w:val="nil"/>
              <w:bottom w:val="nil"/>
              <w:right w:val="nil"/>
            </w:tcBorders>
            <w:shd w:val="clear" w:color="auto" w:fill="FFFFFF"/>
            <w:vAlign w:val="center"/>
          </w:tcPr>
          <w:p w14:paraId="348348ED">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≥10 h</w:t>
            </w:r>
          </w:p>
        </w:tc>
        <w:tc>
          <w:tcPr>
            <w:tcW w:w="805" w:type="dxa"/>
            <w:tcBorders>
              <w:top w:val="nil"/>
              <w:left w:val="nil"/>
              <w:bottom w:val="nil"/>
              <w:right w:val="nil"/>
            </w:tcBorders>
            <w:shd w:val="clear" w:color="auto" w:fill="FFFFFF"/>
            <w:vAlign w:val="center"/>
          </w:tcPr>
          <w:p w14:paraId="167DB1E6">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30 (1.7%)</w:t>
            </w:r>
          </w:p>
        </w:tc>
        <w:tc>
          <w:tcPr>
            <w:tcW w:w="799" w:type="dxa"/>
            <w:tcBorders>
              <w:top w:val="nil"/>
              <w:left w:val="nil"/>
              <w:bottom w:val="nil"/>
              <w:right w:val="nil"/>
            </w:tcBorders>
            <w:shd w:val="clear" w:color="auto" w:fill="FFFFFF"/>
            <w:vAlign w:val="center"/>
          </w:tcPr>
          <w:p w14:paraId="0B56F200">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2 (0.6%)</w:t>
            </w:r>
          </w:p>
        </w:tc>
        <w:tc>
          <w:tcPr>
            <w:tcW w:w="787" w:type="dxa"/>
            <w:tcBorders>
              <w:top w:val="nil"/>
              <w:left w:val="nil"/>
              <w:bottom w:val="nil"/>
              <w:right w:val="nil"/>
            </w:tcBorders>
            <w:shd w:val="clear" w:color="auto" w:fill="FFFFFF"/>
            <w:vAlign w:val="center"/>
          </w:tcPr>
          <w:p w14:paraId="29142452">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 (1.0%)</w:t>
            </w:r>
          </w:p>
        </w:tc>
        <w:tc>
          <w:tcPr>
            <w:tcW w:w="813" w:type="dxa"/>
            <w:tcBorders>
              <w:top w:val="nil"/>
              <w:left w:val="nil"/>
              <w:bottom w:val="nil"/>
              <w:right w:val="nil"/>
            </w:tcBorders>
            <w:shd w:val="clear" w:color="auto" w:fill="FFFFFF"/>
            <w:vAlign w:val="center"/>
          </w:tcPr>
          <w:p w14:paraId="2133FD93">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8 (1.4%)</w:t>
            </w:r>
          </w:p>
        </w:tc>
        <w:tc>
          <w:tcPr>
            <w:tcW w:w="835" w:type="dxa"/>
            <w:tcBorders>
              <w:top w:val="nil"/>
              <w:left w:val="nil"/>
              <w:bottom w:val="nil"/>
              <w:right w:val="nil"/>
            </w:tcBorders>
            <w:shd w:val="clear" w:color="auto" w:fill="FFFFFF"/>
            <w:vAlign w:val="center"/>
          </w:tcPr>
          <w:p w14:paraId="57AB972D">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3 (1.8%)</w:t>
            </w:r>
          </w:p>
        </w:tc>
        <w:tc>
          <w:tcPr>
            <w:tcW w:w="880" w:type="dxa"/>
            <w:tcBorders>
              <w:top w:val="nil"/>
              <w:left w:val="nil"/>
              <w:bottom w:val="nil"/>
              <w:right w:val="nil"/>
            </w:tcBorders>
            <w:shd w:val="clear" w:color="auto" w:fill="FFFFFF"/>
            <w:vAlign w:val="center"/>
          </w:tcPr>
          <w:p w14:paraId="353ABCA5">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9 (2.2%)</w:t>
            </w:r>
          </w:p>
        </w:tc>
        <w:tc>
          <w:tcPr>
            <w:tcW w:w="901" w:type="dxa"/>
            <w:tcBorders>
              <w:top w:val="nil"/>
              <w:left w:val="nil"/>
              <w:bottom w:val="nil"/>
              <w:right w:val="nil"/>
            </w:tcBorders>
            <w:shd w:val="clear" w:color="auto" w:fill="FFFFFF"/>
            <w:vAlign w:val="center"/>
          </w:tcPr>
          <w:p w14:paraId="0197AA00">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7 (3.3%)</w:t>
            </w:r>
          </w:p>
        </w:tc>
        <w:tc>
          <w:tcPr>
            <w:tcW w:w="906" w:type="dxa"/>
            <w:tcBorders>
              <w:top w:val="nil"/>
              <w:left w:val="nil"/>
              <w:bottom w:val="nil"/>
              <w:right w:val="nil"/>
            </w:tcBorders>
            <w:shd w:val="clear" w:color="auto" w:fill="FFFFFF"/>
            <w:vAlign w:val="center"/>
          </w:tcPr>
          <w:p w14:paraId="441BAADA">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c>
          <w:tcPr>
            <w:tcW w:w="906" w:type="dxa"/>
            <w:tcBorders>
              <w:top w:val="nil"/>
              <w:left w:val="nil"/>
              <w:bottom w:val="nil"/>
              <w:right w:val="nil"/>
            </w:tcBorders>
            <w:shd w:val="clear" w:color="auto" w:fill="FFFFFF"/>
            <w:vAlign w:val="center"/>
          </w:tcPr>
          <w:p w14:paraId="1187FC47">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r>
      <w:tr w14:paraId="485A1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525B83EA">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1193" w:type="dxa"/>
            <w:tcBorders>
              <w:top w:val="nil"/>
              <w:left w:val="nil"/>
              <w:bottom w:val="nil"/>
              <w:right w:val="nil"/>
            </w:tcBorders>
            <w:shd w:val="clear" w:color="auto" w:fill="FFFFFF"/>
            <w:vAlign w:val="center"/>
          </w:tcPr>
          <w:p w14:paraId="3AEA45D2">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&lt;4 h</w:t>
            </w:r>
          </w:p>
        </w:tc>
        <w:tc>
          <w:tcPr>
            <w:tcW w:w="805" w:type="dxa"/>
            <w:tcBorders>
              <w:top w:val="nil"/>
              <w:left w:val="nil"/>
              <w:bottom w:val="nil"/>
              <w:right w:val="nil"/>
            </w:tcBorders>
            <w:shd w:val="clear" w:color="auto" w:fill="FFFFFF"/>
            <w:vAlign w:val="center"/>
          </w:tcPr>
          <w:p w14:paraId="022A2A8F">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6 (0.3%)</w:t>
            </w:r>
          </w:p>
        </w:tc>
        <w:tc>
          <w:tcPr>
            <w:tcW w:w="799" w:type="dxa"/>
            <w:tcBorders>
              <w:top w:val="nil"/>
              <w:left w:val="nil"/>
              <w:bottom w:val="nil"/>
              <w:right w:val="nil"/>
            </w:tcBorders>
            <w:shd w:val="clear" w:color="auto" w:fill="FFFFFF"/>
            <w:vAlign w:val="center"/>
          </w:tcPr>
          <w:p w14:paraId="700A0838">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 (0.0%)</w:t>
            </w:r>
          </w:p>
        </w:tc>
        <w:tc>
          <w:tcPr>
            <w:tcW w:w="787" w:type="dxa"/>
            <w:tcBorders>
              <w:top w:val="nil"/>
              <w:left w:val="nil"/>
              <w:bottom w:val="nil"/>
              <w:right w:val="nil"/>
            </w:tcBorders>
            <w:shd w:val="clear" w:color="auto" w:fill="FFFFFF"/>
            <w:vAlign w:val="center"/>
          </w:tcPr>
          <w:p w14:paraId="55187B73">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 (1.0%)</w:t>
            </w:r>
          </w:p>
        </w:tc>
        <w:tc>
          <w:tcPr>
            <w:tcW w:w="813" w:type="dxa"/>
            <w:tcBorders>
              <w:top w:val="nil"/>
              <w:left w:val="nil"/>
              <w:bottom w:val="nil"/>
              <w:right w:val="nil"/>
            </w:tcBorders>
            <w:shd w:val="clear" w:color="auto" w:fill="FFFFFF"/>
            <w:vAlign w:val="center"/>
          </w:tcPr>
          <w:p w14:paraId="04FD29C7">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 (0.2%)</w:t>
            </w:r>
          </w:p>
        </w:tc>
        <w:tc>
          <w:tcPr>
            <w:tcW w:w="835" w:type="dxa"/>
            <w:tcBorders>
              <w:top w:val="nil"/>
              <w:left w:val="nil"/>
              <w:bottom w:val="nil"/>
              <w:right w:val="nil"/>
            </w:tcBorders>
            <w:shd w:val="clear" w:color="auto" w:fill="FFFFFF"/>
            <w:vAlign w:val="center"/>
          </w:tcPr>
          <w:p w14:paraId="0DE9C47B">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3 (1.8%)</w:t>
            </w:r>
          </w:p>
        </w:tc>
        <w:tc>
          <w:tcPr>
            <w:tcW w:w="880" w:type="dxa"/>
            <w:tcBorders>
              <w:top w:val="nil"/>
              <w:left w:val="nil"/>
              <w:bottom w:val="nil"/>
              <w:right w:val="nil"/>
            </w:tcBorders>
            <w:shd w:val="clear" w:color="auto" w:fill="FFFFFF"/>
            <w:vAlign w:val="center"/>
          </w:tcPr>
          <w:p w14:paraId="148F782F">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 (0.0%)</w:t>
            </w:r>
          </w:p>
        </w:tc>
        <w:tc>
          <w:tcPr>
            <w:tcW w:w="901" w:type="dxa"/>
            <w:tcBorders>
              <w:top w:val="nil"/>
              <w:left w:val="nil"/>
              <w:bottom w:val="nil"/>
              <w:right w:val="nil"/>
            </w:tcBorders>
            <w:shd w:val="clear" w:color="auto" w:fill="FFFFFF"/>
            <w:vAlign w:val="center"/>
          </w:tcPr>
          <w:p w14:paraId="03293474">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 (0.5%)</w:t>
            </w:r>
          </w:p>
        </w:tc>
        <w:tc>
          <w:tcPr>
            <w:tcW w:w="906" w:type="dxa"/>
            <w:tcBorders>
              <w:top w:val="nil"/>
              <w:left w:val="nil"/>
              <w:bottom w:val="nil"/>
              <w:right w:val="nil"/>
            </w:tcBorders>
            <w:shd w:val="clear" w:color="auto" w:fill="FFFFFF"/>
            <w:vAlign w:val="center"/>
          </w:tcPr>
          <w:p w14:paraId="61E0896E">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c>
          <w:tcPr>
            <w:tcW w:w="906" w:type="dxa"/>
            <w:tcBorders>
              <w:top w:val="nil"/>
              <w:left w:val="nil"/>
              <w:bottom w:val="nil"/>
              <w:right w:val="nil"/>
            </w:tcBorders>
            <w:shd w:val="clear" w:color="auto" w:fill="FFFFFF"/>
            <w:vAlign w:val="center"/>
          </w:tcPr>
          <w:p w14:paraId="24121FA4">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r>
      <w:tr w14:paraId="67911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76C2B453">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1193" w:type="dxa"/>
            <w:tcBorders>
              <w:top w:val="nil"/>
              <w:left w:val="nil"/>
              <w:bottom w:val="nil"/>
              <w:right w:val="nil"/>
            </w:tcBorders>
            <w:shd w:val="clear" w:color="auto" w:fill="FFFFFF"/>
            <w:vAlign w:val="center"/>
          </w:tcPr>
          <w:p w14:paraId="17333A2D">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Missing</w:t>
            </w:r>
          </w:p>
        </w:tc>
        <w:tc>
          <w:tcPr>
            <w:tcW w:w="805" w:type="dxa"/>
            <w:tcBorders>
              <w:top w:val="nil"/>
              <w:left w:val="nil"/>
              <w:bottom w:val="nil"/>
              <w:right w:val="nil"/>
            </w:tcBorders>
            <w:shd w:val="clear" w:color="auto" w:fill="FFFFFF"/>
            <w:vAlign w:val="center"/>
          </w:tcPr>
          <w:p w14:paraId="43B1ADA7">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4 (0.2%)</w:t>
            </w:r>
          </w:p>
        </w:tc>
        <w:tc>
          <w:tcPr>
            <w:tcW w:w="799" w:type="dxa"/>
            <w:tcBorders>
              <w:top w:val="nil"/>
              <w:left w:val="nil"/>
              <w:bottom w:val="nil"/>
              <w:right w:val="nil"/>
            </w:tcBorders>
            <w:shd w:val="clear" w:color="auto" w:fill="FFFFFF"/>
            <w:vAlign w:val="center"/>
          </w:tcPr>
          <w:p w14:paraId="374B450A">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 (0.3%)</w:t>
            </w:r>
          </w:p>
        </w:tc>
        <w:tc>
          <w:tcPr>
            <w:tcW w:w="787" w:type="dxa"/>
            <w:tcBorders>
              <w:top w:val="nil"/>
              <w:left w:val="nil"/>
              <w:bottom w:val="nil"/>
              <w:right w:val="nil"/>
            </w:tcBorders>
            <w:shd w:val="clear" w:color="auto" w:fill="FFFFFF"/>
            <w:vAlign w:val="center"/>
          </w:tcPr>
          <w:p w14:paraId="358EA934">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 (1.0%)</w:t>
            </w:r>
          </w:p>
        </w:tc>
        <w:tc>
          <w:tcPr>
            <w:tcW w:w="813" w:type="dxa"/>
            <w:tcBorders>
              <w:top w:val="nil"/>
              <w:left w:val="nil"/>
              <w:bottom w:val="nil"/>
              <w:right w:val="nil"/>
            </w:tcBorders>
            <w:shd w:val="clear" w:color="auto" w:fill="FFFFFF"/>
            <w:vAlign w:val="center"/>
          </w:tcPr>
          <w:p w14:paraId="65058DE6">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 (0.2%)</w:t>
            </w:r>
          </w:p>
        </w:tc>
        <w:tc>
          <w:tcPr>
            <w:tcW w:w="835" w:type="dxa"/>
            <w:tcBorders>
              <w:top w:val="nil"/>
              <w:left w:val="nil"/>
              <w:bottom w:val="nil"/>
              <w:right w:val="nil"/>
            </w:tcBorders>
            <w:shd w:val="clear" w:color="auto" w:fill="FFFFFF"/>
            <w:vAlign w:val="center"/>
          </w:tcPr>
          <w:p w14:paraId="5F5E5AA4">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 (0.0%)</w:t>
            </w:r>
          </w:p>
        </w:tc>
        <w:tc>
          <w:tcPr>
            <w:tcW w:w="880" w:type="dxa"/>
            <w:tcBorders>
              <w:top w:val="nil"/>
              <w:left w:val="nil"/>
              <w:bottom w:val="nil"/>
              <w:right w:val="nil"/>
            </w:tcBorders>
            <w:shd w:val="clear" w:color="auto" w:fill="FFFFFF"/>
            <w:vAlign w:val="center"/>
          </w:tcPr>
          <w:p w14:paraId="64381A5D">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 (0.2%)</w:t>
            </w:r>
          </w:p>
        </w:tc>
        <w:tc>
          <w:tcPr>
            <w:tcW w:w="901" w:type="dxa"/>
            <w:tcBorders>
              <w:top w:val="nil"/>
              <w:left w:val="nil"/>
              <w:bottom w:val="nil"/>
              <w:right w:val="nil"/>
            </w:tcBorders>
            <w:shd w:val="clear" w:color="auto" w:fill="FFFFFF"/>
            <w:vAlign w:val="center"/>
          </w:tcPr>
          <w:p w14:paraId="4190D219">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 (0.0%)</w:t>
            </w:r>
          </w:p>
        </w:tc>
        <w:tc>
          <w:tcPr>
            <w:tcW w:w="906" w:type="dxa"/>
            <w:tcBorders>
              <w:top w:val="nil"/>
              <w:left w:val="nil"/>
              <w:bottom w:val="nil"/>
              <w:right w:val="nil"/>
            </w:tcBorders>
            <w:shd w:val="clear" w:color="auto" w:fill="FFFFFF"/>
            <w:vAlign w:val="center"/>
          </w:tcPr>
          <w:p w14:paraId="0D740E42">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c>
          <w:tcPr>
            <w:tcW w:w="906" w:type="dxa"/>
            <w:tcBorders>
              <w:top w:val="nil"/>
              <w:left w:val="nil"/>
              <w:bottom w:val="nil"/>
              <w:right w:val="nil"/>
            </w:tcBorders>
            <w:shd w:val="clear" w:color="auto" w:fill="FFFFFF"/>
            <w:vAlign w:val="center"/>
          </w:tcPr>
          <w:p w14:paraId="37348499">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r>
      <w:tr w14:paraId="2A4F4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5607C15A">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Nocturia frequency, n (%)</w:t>
            </w:r>
          </w:p>
        </w:tc>
        <w:tc>
          <w:tcPr>
            <w:tcW w:w="1193" w:type="dxa"/>
            <w:tcBorders>
              <w:top w:val="nil"/>
              <w:left w:val="nil"/>
              <w:bottom w:val="nil"/>
              <w:right w:val="nil"/>
            </w:tcBorders>
            <w:shd w:val="clear" w:color="auto" w:fill="FFFFFF"/>
            <w:vAlign w:val="center"/>
          </w:tcPr>
          <w:p w14:paraId="16BB09A0">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805" w:type="dxa"/>
            <w:tcBorders>
              <w:top w:val="nil"/>
              <w:left w:val="nil"/>
              <w:bottom w:val="nil"/>
              <w:right w:val="nil"/>
            </w:tcBorders>
            <w:shd w:val="clear" w:color="auto" w:fill="FFFFFF"/>
            <w:vAlign w:val="center"/>
          </w:tcPr>
          <w:p w14:paraId="2DA1A8C2">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799" w:type="dxa"/>
            <w:tcBorders>
              <w:top w:val="nil"/>
              <w:left w:val="nil"/>
              <w:bottom w:val="nil"/>
              <w:right w:val="nil"/>
            </w:tcBorders>
            <w:shd w:val="clear" w:color="auto" w:fill="FFFFFF"/>
            <w:vAlign w:val="center"/>
          </w:tcPr>
          <w:p w14:paraId="5344487E">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787" w:type="dxa"/>
            <w:tcBorders>
              <w:top w:val="nil"/>
              <w:left w:val="nil"/>
              <w:bottom w:val="nil"/>
              <w:right w:val="nil"/>
            </w:tcBorders>
            <w:shd w:val="clear" w:color="auto" w:fill="FFFFFF"/>
            <w:vAlign w:val="center"/>
          </w:tcPr>
          <w:p w14:paraId="7EDE89EA">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813" w:type="dxa"/>
            <w:tcBorders>
              <w:top w:val="nil"/>
              <w:left w:val="nil"/>
              <w:bottom w:val="nil"/>
              <w:right w:val="nil"/>
            </w:tcBorders>
            <w:shd w:val="clear" w:color="auto" w:fill="FFFFFF"/>
            <w:vAlign w:val="center"/>
          </w:tcPr>
          <w:p w14:paraId="405E7D8F">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835" w:type="dxa"/>
            <w:tcBorders>
              <w:top w:val="nil"/>
              <w:left w:val="nil"/>
              <w:bottom w:val="nil"/>
              <w:right w:val="nil"/>
            </w:tcBorders>
            <w:shd w:val="clear" w:color="auto" w:fill="FFFFFF"/>
            <w:vAlign w:val="center"/>
          </w:tcPr>
          <w:p w14:paraId="01F17C04">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880" w:type="dxa"/>
            <w:tcBorders>
              <w:top w:val="nil"/>
              <w:left w:val="nil"/>
              <w:bottom w:val="nil"/>
              <w:right w:val="nil"/>
            </w:tcBorders>
            <w:shd w:val="clear" w:color="auto" w:fill="FFFFFF"/>
            <w:vAlign w:val="center"/>
          </w:tcPr>
          <w:p w14:paraId="25626204">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901" w:type="dxa"/>
            <w:tcBorders>
              <w:top w:val="nil"/>
              <w:left w:val="nil"/>
              <w:bottom w:val="nil"/>
              <w:right w:val="nil"/>
            </w:tcBorders>
            <w:shd w:val="clear" w:color="auto" w:fill="FFFFFF"/>
            <w:vAlign w:val="center"/>
          </w:tcPr>
          <w:p w14:paraId="17FD56AF">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906" w:type="dxa"/>
            <w:tcBorders>
              <w:top w:val="nil"/>
              <w:left w:val="nil"/>
              <w:bottom w:val="nil"/>
              <w:right w:val="nil"/>
            </w:tcBorders>
            <w:shd w:val="clear" w:color="auto" w:fill="FFFFFF"/>
            <w:vAlign w:val="center"/>
          </w:tcPr>
          <w:p w14:paraId="3C55B4FF">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0.274</w:t>
            </w:r>
          </w:p>
        </w:tc>
        <w:tc>
          <w:tcPr>
            <w:tcW w:w="906" w:type="dxa"/>
            <w:tcBorders>
              <w:top w:val="nil"/>
              <w:left w:val="nil"/>
              <w:bottom w:val="nil"/>
              <w:right w:val="nil"/>
            </w:tcBorders>
            <w:shd w:val="clear" w:color="auto" w:fill="FFFFFF"/>
            <w:vAlign w:val="center"/>
          </w:tcPr>
          <w:p w14:paraId="1D897D21">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0.181</w:t>
            </w:r>
          </w:p>
        </w:tc>
      </w:tr>
      <w:tr w14:paraId="1ECEE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1FCD42CB">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1193" w:type="dxa"/>
            <w:tcBorders>
              <w:top w:val="nil"/>
              <w:left w:val="nil"/>
              <w:bottom w:val="nil"/>
              <w:right w:val="nil"/>
            </w:tcBorders>
            <w:shd w:val="clear" w:color="auto" w:fill="FFFFFF"/>
            <w:vAlign w:val="center"/>
          </w:tcPr>
          <w:p w14:paraId="7CD239AD">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 times/night</w:t>
            </w:r>
          </w:p>
        </w:tc>
        <w:tc>
          <w:tcPr>
            <w:tcW w:w="805" w:type="dxa"/>
            <w:tcBorders>
              <w:top w:val="nil"/>
              <w:left w:val="nil"/>
              <w:bottom w:val="nil"/>
              <w:right w:val="nil"/>
            </w:tcBorders>
            <w:shd w:val="clear" w:color="auto" w:fill="FFFFFF"/>
            <w:vAlign w:val="center"/>
          </w:tcPr>
          <w:p w14:paraId="2CC07D1E">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588 (32.9%)</w:t>
            </w:r>
          </w:p>
        </w:tc>
        <w:tc>
          <w:tcPr>
            <w:tcW w:w="799" w:type="dxa"/>
            <w:tcBorders>
              <w:top w:val="nil"/>
              <w:left w:val="nil"/>
              <w:bottom w:val="nil"/>
              <w:right w:val="nil"/>
            </w:tcBorders>
            <w:shd w:val="clear" w:color="auto" w:fill="FFFFFF"/>
            <w:vAlign w:val="center"/>
          </w:tcPr>
          <w:p w14:paraId="1B9238E2">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115 (36.7%)</w:t>
            </w:r>
          </w:p>
        </w:tc>
        <w:tc>
          <w:tcPr>
            <w:tcW w:w="787" w:type="dxa"/>
            <w:tcBorders>
              <w:top w:val="nil"/>
              <w:left w:val="nil"/>
              <w:bottom w:val="nil"/>
              <w:right w:val="nil"/>
            </w:tcBorders>
            <w:shd w:val="clear" w:color="auto" w:fill="FFFFFF"/>
            <w:vAlign w:val="center"/>
          </w:tcPr>
          <w:p w14:paraId="7B4566C2">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41 (39.8%)</w:t>
            </w:r>
          </w:p>
        </w:tc>
        <w:tc>
          <w:tcPr>
            <w:tcW w:w="813" w:type="dxa"/>
            <w:tcBorders>
              <w:top w:val="nil"/>
              <w:left w:val="nil"/>
              <w:bottom w:val="nil"/>
              <w:right w:val="nil"/>
            </w:tcBorders>
            <w:shd w:val="clear" w:color="auto" w:fill="FFFFFF"/>
            <w:vAlign w:val="center"/>
          </w:tcPr>
          <w:p w14:paraId="2E9C88A5">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188 (32.8%)</w:t>
            </w:r>
          </w:p>
        </w:tc>
        <w:tc>
          <w:tcPr>
            <w:tcW w:w="835" w:type="dxa"/>
            <w:tcBorders>
              <w:top w:val="nil"/>
              <w:left w:val="nil"/>
              <w:bottom w:val="nil"/>
              <w:right w:val="nil"/>
            </w:tcBorders>
            <w:shd w:val="clear" w:color="auto" w:fill="FFFFFF"/>
            <w:vAlign w:val="center"/>
          </w:tcPr>
          <w:p w14:paraId="398DAC65">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46 (27.5%)</w:t>
            </w:r>
          </w:p>
        </w:tc>
        <w:tc>
          <w:tcPr>
            <w:tcW w:w="880" w:type="dxa"/>
            <w:tcBorders>
              <w:top w:val="nil"/>
              <w:left w:val="nil"/>
              <w:bottom w:val="nil"/>
              <w:right w:val="nil"/>
            </w:tcBorders>
            <w:shd w:val="clear" w:color="auto" w:fill="FFFFFF"/>
            <w:vAlign w:val="center"/>
          </w:tcPr>
          <w:p w14:paraId="1CB75B4B">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135 (32.5%)</w:t>
            </w:r>
          </w:p>
        </w:tc>
        <w:tc>
          <w:tcPr>
            <w:tcW w:w="901" w:type="dxa"/>
            <w:tcBorders>
              <w:top w:val="nil"/>
              <w:left w:val="nil"/>
              <w:bottom w:val="nil"/>
              <w:right w:val="nil"/>
            </w:tcBorders>
            <w:shd w:val="clear" w:color="auto" w:fill="FFFFFF"/>
            <w:vAlign w:val="center"/>
          </w:tcPr>
          <w:p w14:paraId="27A9D7EB">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63 (29.4%)</w:t>
            </w:r>
          </w:p>
        </w:tc>
        <w:tc>
          <w:tcPr>
            <w:tcW w:w="906" w:type="dxa"/>
            <w:tcBorders>
              <w:top w:val="nil"/>
              <w:left w:val="nil"/>
              <w:bottom w:val="nil"/>
              <w:right w:val="nil"/>
            </w:tcBorders>
            <w:shd w:val="clear" w:color="auto" w:fill="FFFFFF"/>
            <w:vAlign w:val="center"/>
          </w:tcPr>
          <w:p w14:paraId="18C56BC6">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c>
          <w:tcPr>
            <w:tcW w:w="906" w:type="dxa"/>
            <w:tcBorders>
              <w:top w:val="nil"/>
              <w:left w:val="nil"/>
              <w:bottom w:val="nil"/>
              <w:right w:val="nil"/>
            </w:tcBorders>
            <w:shd w:val="clear" w:color="auto" w:fill="FFFFFF"/>
            <w:vAlign w:val="center"/>
          </w:tcPr>
          <w:p w14:paraId="724BB9D5">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r>
      <w:tr w14:paraId="6C6B5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7D825CD0">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1193" w:type="dxa"/>
            <w:tcBorders>
              <w:top w:val="nil"/>
              <w:left w:val="nil"/>
              <w:bottom w:val="nil"/>
              <w:right w:val="nil"/>
            </w:tcBorders>
            <w:shd w:val="clear" w:color="auto" w:fill="FFFFFF"/>
            <w:vAlign w:val="center"/>
          </w:tcPr>
          <w:p w14:paraId="24993B65">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 time/night</w:t>
            </w:r>
          </w:p>
        </w:tc>
        <w:tc>
          <w:tcPr>
            <w:tcW w:w="805" w:type="dxa"/>
            <w:tcBorders>
              <w:top w:val="nil"/>
              <w:left w:val="nil"/>
              <w:bottom w:val="nil"/>
              <w:right w:val="nil"/>
            </w:tcBorders>
            <w:shd w:val="clear" w:color="auto" w:fill="FFFFFF"/>
            <w:vAlign w:val="center"/>
          </w:tcPr>
          <w:p w14:paraId="539A5E8B">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967 (54.1%)</w:t>
            </w:r>
          </w:p>
        </w:tc>
        <w:tc>
          <w:tcPr>
            <w:tcW w:w="799" w:type="dxa"/>
            <w:tcBorders>
              <w:top w:val="nil"/>
              <w:left w:val="nil"/>
              <w:bottom w:val="nil"/>
              <w:right w:val="nil"/>
            </w:tcBorders>
            <w:shd w:val="clear" w:color="auto" w:fill="FFFFFF"/>
            <w:vAlign w:val="center"/>
          </w:tcPr>
          <w:p w14:paraId="33249425">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163 (52.1%)</w:t>
            </w:r>
          </w:p>
        </w:tc>
        <w:tc>
          <w:tcPr>
            <w:tcW w:w="787" w:type="dxa"/>
            <w:tcBorders>
              <w:top w:val="nil"/>
              <w:left w:val="nil"/>
              <w:bottom w:val="nil"/>
              <w:right w:val="nil"/>
            </w:tcBorders>
            <w:shd w:val="clear" w:color="auto" w:fill="FFFFFF"/>
            <w:vAlign w:val="center"/>
          </w:tcPr>
          <w:p w14:paraId="37F588B7">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53 (51.5%)</w:t>
            </w:r>
          </w:p>
        </w:tc>
        <w:tc>
          <w:tcPr>
            <w:tcW w:w="813" w:type="dxa"/>
            <w:tcBorders>
              <w:top w:val="nil"/>
              <w:left w:val="nil"/>
              <w:bottom w:val="nil"/>
              <w:right w:val="nil"/>
            </w:tcBorders>
            <w:shd w:val="clear" w:color="auto" w:fill="FFFFFF"/>
            <w:vAlign w:val="center"/>
          </w:tcPr>
          <w:p w14:paraId="29A6AD4B">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321 (55.9%)</w:t>
            </w:r>
          </w:p>
        </w:tc>
        <w:tc>
          <w:tcPr>
            <w:tcW w:w="835" w:type="dxa"/>
            <w:tcBorders>
              <w:top w:val="nil"/>
              <w:left w:val="nil"/>
              <w:bottom w:val="nil"/>
              <w:right w:val="nil"/>
            </w:tcBorders>
            <w:shd w:val="clear" w:color="auto" w:fill="FFFFFF"/>
            <w:vAlign w:val="center"/>
          </w:tcPr>
          <w:p w14:paraId="579764CD">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89 (53.3%)</w:t>
            </w:r>
          </w:p>
        </w:tc>
        <w:tc>
          <w:tcPr>
            <w:tcW w:w="880" w:type="dxa"/>
            <w:tcBorders>
              <w:top w:val="nil"/>
              <w:left w:val="nil"/>
              <w:bottom w:val="nil"/>
              <w:right w:val="nil"/>
            </w:tcBorders>
            <w:shd w:val="clear" w:color="auto" w:fill="FFFFFF"/>
            <w:vAlign w:val="center"/>
          </w:tcPr>
          <w:p w14:paraId="647D61A5">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226 (54.5%)</w:t>
            </w:r>
          </w:p>
        </w:tc>
        <w:tc>
          <w:tcPr>
            <w:tcW w:w="901" w:type="dxa"/>
            <w:tcBorders>
              <w:top w:val="nil"/>
              <w:left w:val="nil"/>
              <w:bottom w:val="nil"/>
              <w:right w:val="nil"/>
            </w:tcBorders>
            <w:shd w:val="clear" w:color="auto" w:fill="FFFFFF"/>
            <w:vAlign w:val="center"/>
          </w:tcPr>
          <w:p w14:paraId="5B4FA2CE">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115 (53.7%)</w:t>
            </w:r>
          </w:p>
        </w:tc>
        <w:tc>
          <w:tcPr>
            <w:tcW w:w="906" w:type="dxa"/>
            <w:tcBorders>
              <w:top w:val="nil"/>
              <w:left w:val="nil"/>
              <w:bottom w:val="nil"/>
              <w:right w:val="nil"/>
            </w:tcBorders>
            <w:shd w:val="clear" w:color="auto" w:fill="FFFFFF"/>
            <w:vAlign w:val="center"/>
          </w:tcPr>
          <w:p w14:paraId="567F7305">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c>
          <w:tcPr>
            <w:tcW w:w="906" w:type="dxa"/>
            <w:tcBorders>
              <w:top w:val="nil"/>
              <w:left w:val="nil"/>
              <w:bottom w:val="nil"/>
              <w:right w:val="nil"/>
            </w:tcBorders>
            <w:shd w:val="clear" w:color="auto" w:fill="FFFFFF"/>
            <w:vAlign w:val="center"/>
          </w:tcPr>
          <w:p w14:paraId="47524BCB">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r>
      <w:tr w14:paraId="399EF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732483C7">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1193" w:type="dxa"/>
            <w:tcBorders>
              <w:top w:val="nil"/>
              <w:left w:val="nil"/>
              <w:bottom w:val="nil"/>
              <w:right w:val="nil"/>
            </w:tcBorders>
            <w:shd w:val="clear" w:color="auto" w:fill="FFFFFF"/>
            <w:vAlign w:val="center"/>
          </w:tcPr>
          <w:p w14:paraId="348CCFC4">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2 times/night</w:t>
            </w:r>
          </w:p>
        </w:tc>
        <w:tc>
          <w:tcPr>
            <w:tcW w:w="805" w:type="dxa"/>
            <w:tcBorders>
              <w:top w:val="nil"/>
              <w:left w:val="nil"/>
              <w:bottom w:val="nil"/>
              <w:right w:val="nil"/>
            </w:tcBorders>
            <w:shd w:val="clear" w:color="auto" w:fill="FFFFFF"/>
            <w:vAlign w:val="center"/>
          </w:tcPr>
          <w:p w14:paraId="33B8D2E9">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208 (11.6%)</w:t>
            </w:r>
          </w:p>
        </w:tc>
        <w:tc>
          <w:tcPr>
            <w:tcW w:w="799" w:type="dxa"/>
            <w:tcBorders>
              <w:top w:val="nil"/>
              <w:left w:val="nil"/>
              <w:bottom w:val="nil"/>
              <w:right w:val="nil"/>
            </w:tcBorders>
            <w:shd w:val="clear" w:color="auto" w:fill="FFFFFF"/>
            <w:vAlign w:val="center"/>
          </w:tcPr>
          <w:p w14:paraId="49385FC0">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31 (9.9%)</w:t>
            </w:r>
          </w:p>
        </w:tc>
        <w:tc>
          <w:tcPr>
            <w:tcW w:w="787" w:type="dxa"/>
            <w:tcBorders>
              <w:top w:val="nil"/>
              <w:left w:val="nil"/>
              <w:bottom w:val="nil"/>
              <w:right w:val="nil"/>
            </w:tcBorders>
            <w:shd w:val="clear" w:color="auto" w:fill="FFFFFF"/>
            <w:vAlign w:val="center"/>
          </w:tcPr>
          <w:p w14:paraId="7354B9FE">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7 (6.8%)</w:t>
            </w:r>
          </w:p>
        </w:tc>
        <w:tc>
          <w:tcPr>
            <w:tcW w:w="813" w:type="dxa"/>
            <w:tcBorders>
              <w:top w:val="nil"/>
              <w:left w:val="nil"/>
              <w:bottom w:val="nil"/>
              <w:right w:val="nil"/>
            </w:tcBorders>
            <w:shd w:val="clear" w:color="auto" w:fill="FFFFFF"/>
            <w:vAlign w:val="center"/>
          </w:tcPr>
          <w:p w14:paraId="7A9CD33F">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57 (9.9%)</w:t>
            </w:r>
          </w:p>
        </w:tc>
        <w:tc>
          <w:tcPr>
            <w:tcW w:w="835" w:type="dxa"/>
            <w:tcBorders>
              <w:top w:val="nil"/>
              <w:left w:val="nil"/>
              <w:bottom w:val="nil"/>
              <w:right w:val="nil"/>
            </w:tcBorders>
            <w:shd w:val="clear" w:color="auto" w:fill="FFFFFF"/>
            <w:vAlign w:val="center"/>
          </w:tcPr>
          <w:p w14:paraId="4F5EE7DE">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31 (18.6%)</w:t>
            </w:r>
          </w:p>
        </w:tc>
        <w:tc>
          <w:tcPr>
            <w:tcW w:w="880" w:type="dxa"/>
            <w:tcBorders>
              <w:top w:val="nil"/>
              <w:left w:val="nil"/>
              <w:bottom w:val="nil"/>
              <w:right w:val="nil"/>
            </w:tcBorders>
            <w:shd w:val="clear" w:color="auto" w:fill="FFFFFF"/>
            <w:vAlign w:val="center"/>
          </w:tcPr>
          <w:p w14:paraId="6A338CC1">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48 (11.6%)</w:t>
            </w:r>
          </w:p>
        </w:tc>
        <w:tc>
          <w:tcPr>
            <w:tcW w:w="901" w:type="dxa"/>
            <w:tcBorders>
              <w:top w:val="nil"/>
              <w:left w:val="nil"/>
              <w:bottom w:val="nil"/>
              <w:right w:val="nil"/>
            </w:tcBorders>
            <w:shd w:val="clear" w:color="auto" w:fill="FFFFFF"/>
            <w:vAlign w:val="center"/>
          </w:tcPr>
          <w:p w14:paraId="28550ADC">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34 (15.9%)</w:t>
            </w:r>
          </w:p>
        </w:tc>
        <w:tc>
          <w:tcPr>
            <w:tcW w:w="906" w:type="dxa"/>
            <w:tcBorders>
              <w:top w:val="nil"/>
              <w:left w:val="nil"/>
              <w:bottom w:val="nil"/>
              <w:right w:val="nil"/>
            </w:tcBorders>
            <w:shd w:val="clear" w:color="auto" w:fill="FFFFFF"/>
            <w:vAlign w:val="center"/>
          </w:tcPr>
          <w:p w14:paraId="116BD608">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c>
          <w:tcPr>
            <w:tcW w:w="906" w:type="dxa"/>
            <w:tcBorders>
              <w:top w:val="nil"/>
              <w:left w:val="nil"/>
              <w:bottom w:val="nil"/>
              <w:right w:val="nil"/>
            </w:tcBorders>
            <w:shd w:val="clear" w:color="auto" w:fill="FFFFFF"/>
            <w:vAlign w:val="center"/>
          </w:tcPr>
          <w:p w14:paraId="431161DC">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r>
      <w:tr w14:paraId="54D22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18BF3634">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1193" w:type="dxa"/>
            <w:tcBorders>
              <w:top w:val="nil"/>
              <w:left w:val="nil"/>
              <w:bottom w:val="nil"/>
              <w:right w:val="nil"/>
            </w:tcBorders>
            <w:shd w:val="clear" w:color="auto" w:fill="FFFFFF"/>
            <w:vAlign w:val="center"/>
          </w:tcPr>
          <w:p w14:paraId="2D59E0DB">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≥3 times/night</w:t>
            </w:r>
          </w:p>
        </w:tc>
        <w:tc>
          <w:tcPr>
            <w:tcW w:w="805" w:type="dxa"/>
            <w:tcBorders>
              <w:top w:val="nil"/>
              <w:left w:val="nil"/>
              <w:bottom w:val="nil"/>
              <w:right w:val="nil"/>
            </w:tcBorders>
            <w:shd w:val="clear" w:color="auto" w:fill="FFFFFF"/>
            <w:vAlign w:val="center"/>
          </w:tcPr>
          <w:p w14:paraId="1D16A251">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20 (1.1%)</w:t>
            </w:r>
          </w:p>
        </w:tc>
        <w:tc>
          <w:tcPr>
            <w:tcW w:w="799" w:type="dxa"/>
            <w:tcBorders>
              <w:top w:val="nil"/>
              <w:left w:val="nil"/>
              <w:bottom w:val="nil"/>
              <w:right w:val="nil"/>
            </w:tcBorders>
            <w:shd w:val="clear" w:color="auto" w:fill="FFFFFF"/>
            <w:vAlign w:val="center"/>
          </w:tcPr>
          <w:p w14:paraId="542B0DD1">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2 (0.6%)</w:t>
            </w:r>
          </w:p>
        </w:tc>
        <w:tc>
          <w:tcPr>
            <w:tcW w:w="787" w:type="dxa"/>
            <w:tcBorders>
              <w:top w:val="nil"/>
              <w:left w:val="nil"/>
              <w:bottom w:val="nil"/>
              <w:right w:val="nil"/>
            </w:tcBorders>
            <w:shd w:val="clear" w:color="auto" w:fill="FFFFFF"/>
            <w:vAlign w:val="center"/>
          </w:tcPr>
          <w:p w14:paraId="6817D57B">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2 (1.9%)</w:t>
            </w:r>
          </w:p>
        </w:tc>
        <w:tc>
          <w:tcPr>
            <w:tcW w:w="813" w:type="dxa"/>
            <w:tcBorders>
              <w:top w:val="nil"/>
              <w:left w:val="nil"/>
              <w:bottom w:val="nil"/>
              <w:right w:val="nil"/>
            </w:tcBorders>
            <w:shd w:val="clear" w:color="auto" w:fill="FFFFFF"/>
            <w:vAlign w:val="center"/>
          </w:tcPr>
          <w:p w14:paraId="102F179B">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7 (1.2%)</w:t>
            </w:r>
          </w:p>
        </w:tc>
        <w:tc>
          <w:tcPr>
            <w:tcW w:w="835" w:type="dxa"/>
            <w:tcBorders>
              <w:top w:val="nil"/>
              <w:left w:val="nil"/>
              <w:bottom w:val="nil"/>
              <w:right w:val="nil"/>
            </w:tcBorders>
            <w:shd w:val="clear" w:color="auto" w:fill="FFFFFF"/>
            <w:vAlign w:val="center"/>
          </w:tcPr>
          <w:p w14:paraId="70CECFF1">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 (0.6%)</w:t>
            </w:r>
          </w:p>
        </w:tc>
        <w:tc>
          <w:tcPr>
            <w:tcW w:w="880" w:type="dxa"/>
            <w:tcBorders>
              <w:top w:val="nil"/>
              <w:left w:val="nil"/>
              <w:bottom w:val="nil"/>
              <w:right w:val="nil"/>
            </w:tcBorders>
            <w:shd w:val="clear" w:color="auto" w:fill="FFFFFF"/>
            <w:vAlign w:val="center"/>
          </w:tcPr>
          <w:p w14:paraId="4184B554">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6 (1.4%)</w:t>
            </w:r>
          </w:p>
        </w:tc>
        <w:tc>
          <w:tcPr>
            <w:tcW w:w="901" w:type="dxa"/>
            <w:tcBorders>
              <w:top w:val="nil"/>
              <w:left w:val="nil"/>
              <w:bottom w:val="nil"/>
              <w:right w:val="nil"/>
            </w:tcBorders>
            <w:shd w:val="clear" w:color="auto" w:fill="FFFFFF"/>
            <w:vAlign w:val="center"/>
          </w:tcPr>
          <w:p w14:paraId="0DD07FC1">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2 (0.9%)</w:t>
            </w:r>
          </w:p>
        </w:tc>
        <w:tc>
          <w:tcPr>
            <w:tcW w:w="906" w:type="dxa"/>
            <w:tcBorders>
              <w:top w:val="nil"/>
              <w:left w:val="nil"/>
              <w:bottom w:val="nil"/>
              <w:right w:val="nil"/>
            </w:tcBorders>
            <w:shd w:val="clear" w:color="auto" w:fill="FFFFFF"/>
            <w:vAlign w:val="center"/>
          </w:tcPr>
          <w:p w14:paraId="51297065">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c>
          <w:tcPr>
            <w:tcW w:w="906" w:type="dxa"/>
            <w:tcBorders>
              <w:top w:val="nil"/>
              <w:left w:val="nil"/>
              <w:bottom w:val="nil"/>
              <w:right w:val="nil"/>
            </w:tcBorders>
            <w:shd w:val="clear" w:color="auto" w:fill="FFFFFF"/>
            <w:vAlign w:val="center"/>
          </w:tcPr>
          <w:p w14:paraId="35AFA5E0">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r>
      <w:tr w14:paraId="7710B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7FBC9113">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1193" w:type="dxa"/>
            <w:tcBorders>
              <w:top w:val="nil"/>
              <w:left w:val="nil"/>
              <w:bottom w:val="nil"/>
              <w:right w:val="nil"/>
            </w:tcBorders>
            <w:shd w:val="clear" w:color="auto" w:fill="FFFFFF"/>
            <w:vAlign w:val="center"/>
          </w:tcPr>
          <w:p w14:paraId="2FF6F7CE">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Missing</w:t>
            </w:r>
          </w:p>
        </w:tc>
        <w:tc>
          <w:tcPr>
            <w:tcW w:w="805" w:type="dxa"/>
            <w:tcBorders>
              <w:top w:val="nil"/>
              <w:left w:val="nil"/>
              <w:bottom w:val="nil"/>
              <w:right w:val="nil"/>
            </w:tcBorders>
            <w:shd w:val="clear" w:color="auto" w:fill="FFFFFF"/>
            <w:vAlign w:val="center"/>
          </w:tcPr>
          <w:p w14:paraId="5A2DE234">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3 (0.2%)</w:t>
            </w:r>
          </w:p>
        </w:tc>
        <w:tc>
          <w:tcPr>
            <w:tcW w:w="799" w:type="dxa"/>
            <w:tcBorders>
              <w:top w:val="nil"/>
              <w:left w:val="nil"/>
              <w:bottom w:val="nil"/>
              <w:right w:val="nil"/>
            </w:tcBorders>
            <w:shd w:val="clear" w:color="auto" w:fill="FFFFFF"/>
            <w:vAlign w:val="center"/>
          </w:tcPr>
          <w:p w14:paraId="462F7353">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2 (0.6%)</w:t>
            </w:r>
          </w:p>
        </w:tc>
        <w:tc>
          <w:tcPr>
            <w:tcW w:w="787" w:type="dxa"/>
            <w:tcBorders>
              <w:top w:val="nil"/>
              <w:left w:val="nil"/>
              <w:bottom w:val="nil"/>
              <w:right w:val="nil"/>
            </w:tcBorders>
            <w:shd w:val="clear" w:color="auto" w:fill="FFFFFF"/>
            <w:vAlign w:val="center"/>
          </w:tcPr>
          <w:p w14:paraId="331A5CBE">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 (0.0%)</w:t>
            </w:r>
          </w:p>
        </w:tc>
        <w:tc>
          <w:tcPr>
            <w:tcW w:w="813" w:type="dxa"/>
            <w:tcBorders>
              <w:top w:val="nil"/>
              <w:left w:val="nil"/>
              <w:bottom w:val="nil"/>
              <w:right w:val="nil"/>
            </w:tcBorders>
            <w:shd w:val="clear" w:color="auto" w:fill="FFFFFF"/>
            <w:vAlign w:val="center"/>
          </w:tcPr>
          <w:p w14:paraId="3A677702">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 (0.2%)</w:t>
            </w:r>
          </w:p>
        </w:tc>
        <w:tc>
          <w:tcPr>
            <w:tcW w:w="835" w:type="dxa"/>
            <w:tcBorders>
              <w:top w:val="nil"/>
              <w:left w:val="nil"/>
              <w:bottom w:val="nil"/>
              <w:right w:val="nil"/>
            </w:tcBorders>
            <w:shd w:val="clear" w:color="auto" w:fill="FFFFFF"/>
            <w:vAlign w:val="center"/>
          </w:tcPr>
          <w:p w14:paraId="6ECBC37A">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 (0.0%)</w:t>
            </w:r>
          </w:p>
        </w:tc>
        <w:tc>
          <w:tcPr>
            <w:tcW w:w="880" w:type="dxa"/>
            <w:tcBorders>
              <w:top w:val="nil"/>
              <w:left w:val="nil"/>
              <w:bottom w:val="nil"/>
              <w:right w:val="nil"/>
            </w:tcBorders>
            <w:shd w:val="clear" w:color="auto" w:fill="FFFFFF"/>
            <w:vAlign w:val="center"/>
          </w:tcPr>
          <w:p w14:paraId="1EB91E4F">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 (0.0%)</w:t>
            </w:r>
          </w:p>
        </w:tc>
        <w:tc>
          <w:tcPr>
            <w:tcW w:w="901" w:type="dxa"/>
            <w:tcBorders>
              <w:top w:val="nil"/>
              <w:left w:val="nil"/>
              <w:bottom w:val="nil"/>
              <w:right w:val="nil"/>
            </w:tcBorders>
            <w:shd w:val="clear" w:color="auto" w:fill="FFFFFF"/>
            <w:vAlign w:val="center"/>
          </w:tcPr>
          <w:p w14:paraId="45A170F2">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 (0.0%)</w:t>
            </w:r>
          </w:p>
        </w:tc>
        <w:tc>
          <w:tcPr>
            <w:tcW w:w="906" w:type="dxa"/>
            <w:tcBorders>
              <w:top w:val="nil"/>
              <w:left w:val="nil"/>
              <w:bottom w:val="nil"/>
              <w:right w:val="nil"/>
            </w:tcBorders>
            <w:shd w:val="clear" w:color="auto" w:fill="FFFFFF"/>
            <w:vAlign w:val="center"/>
          </w:tcPr>
          <w:p w14:paraId="409DE163">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c>
          <w:tcPr>
            <w:tcW w:w="906" w:type="dxa"/>
            <w:tcBorders>
              <w:top w:val="nil"/>
              <w:left w:val="nil"/>
              <w:bottom w:val="nil"/>
              <w:right w:val="nil"/>
            </w:tcBorders>
            <w:shd w:val="clear" w:color="auto" w:fill="FFFFFF"/>
            <w:vAlign w:val="center"/>
          </w:tcPr>
          <w:p w14:paraId="507BA3D0">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r>
      <w:tr w14:paraId="7EA00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7DA0782B">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Floor level of residence, floors</w:t>
            </w:r>
          </w:p>
        </w:tc>
        <w:tc>
          <w:tcPr>
            <w:tcW w:w="1193" w:type="dxa"/>
            <w:tcBorders>
              <w:top w:val="nil"/>
              <w:left w:val="nil"/>
              <w:bottom w:val="nil"/>
              <w:right w:val="nil"/>
            </w:tcBorders>
            <w:shd w:val="clear" w:color="auto" w:fill="FFFFFF"/>
            <w:vAlign w:val="center"/>
          </w:tcPr>
          <w:p w14:paraId="36DEBA46">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805" w:type="dxa"/>
            <w:tcBorders>
              <w:top w:val="nil"/>
              <w:left w:val="nil"/>
              <w:bottom w:val="nil"/>
              <w:right w:val="nil"/>
            </w:tcBorders>
            <w:shd w:val="clear" w:color="auto" w:fill="FFFFFF"/>
            <w:vAlign w:val="center"/>
          </w:tcPr>
          <w:p w14:paraId="166D01B3">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4 [2, 6]</w:t>
            </w:r>
          </w:p>
        </w:tc>
        <w:tc>
          <w:tcPr>
            <w:tcW w:w="799" w:type="dxa"/>
            <w:tcBorders>
              <w:top w:val="nil"/>
              <w:left w:val="nil"/>
              <w:bottom w:val="nil"/>
              <w:right w:val="nil"/>
            </w:tcBorders>
            <w:shd w:val="clear" w:color="auto" w:fill="FFFFFF"/>
            <w:vAlign w:val="center"/>
          </w:tcPr>
          <w:p w14:paraId="15F9581B">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4 [2, 5]</w:t>
            </w:r>
          </w:p>
        </w:tc>
        <w:tc>
          <w:tcPr>
            <w:tcW w:w="787" w:type="dxa"/>
            <w:tcBorders>
              <w:top w:val="nil"/>
              <w:left w:val="nil"/>
              <w:bottom w:val="nil"/>
              <w:right w:val="nil"/>
            </w:tcBorders>
            <w:shd w:val="clear" w:color="auto" w:fill="FFFFFF"/>
            <w:vAlign w:val="center"/>
          </w:tcPr>
          <w:p w14:paraId="1F9C35F8">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4 [2, 6]</w:t>
            </w:r>
          </w:p>
        </w:tc>
        <w:tc>
          <w:tcPr>
            <w:tcW w:w="813" w:type="dxa"/>
            <w:tcBorders>
              <w:top w:val="nil"/>
              <w:left w:val="nil"/>
              <w:bottom w:val="nil"/>
              <w:right w:val="nil"/>
            </w:tcBorders>
            <w:shd w:val="clear" w:color="auto" w:fill="FFFFFF"/>
            <w:vAlign w:val="center"/>
          </w:tcPr>
          <w:p w14:paraId="67E1FC56">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4 [2, 6]</w:t>
            </w:r>
          </w:p>
        </w:tc>
        <w:tc>
          <w:tcPr>
            <w:tcW w:w="835" w:type="dxa"/>
            <w:tcBorders>
              <w:top w:val="nil"/>
              <w:left w:val="nil"/>
              <w:bottom w:val="nil"/>
              <w:right w:val="nil"/>
            </w:tcBorders>
            <w:shd w:val="clear" w:color="auto" w:fill="FFFFFF"/>
            <w:vAlign w:val="center"/>
          </w:tcPr>
          <w:p w14:paraId="1AAFD425">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4 [2, 6]</w:t>
            </w:r>
          </w:p>
        </w:tc>
        <w:tc>
          <w:tcPr>
            <w:tcW w:w="880" w:type="dxa"/>
            <w:tcBorders>
              <w:top w:val="nil"/>
              <w:left w:val="nil"/>
              <w:bottom w:val="nil"/>
              <w:right w:val="nil"/>
            </w:tcBorders>
            <w:shd w:val="clear" w:color="auto" w:fill="FFFFFF"/>
            <w:vAlign w:val="center"/>
          </w:tcPr>
          <w:p w14:paraId="425E7121">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4 [2, 6]</w:t>
            </w:r>
          </w:p>
        </w:tc>
        <w:tc>
          <w:tcPr>
            <w:tcW w:w="901" w:type="dxa"/>
            <w:tcBorders>
              <w:top w:val="nil"/>
              <w:left w:val="nil"/>
              <w:bottom w:val="nil"/>
              <w:right w:val="nil"/>
            </w:tcBorders>
            <w:shd w:val="clear" w:color="auto" w:fill="FFFFFF"/>
            <w:vAlign w:val="center"/>
          </w:tcPr>
          <w:p w14:paraId="1F127E37">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3 [2, 6]</w:t>
            </w:r>
          </w:p>
        </w:tc>
        <w:tc>
          <w:tcPr>
            <w:tcW w:w="906" w:type="dxa"/>
            <w:tcBorders>
              <w:top w:val="nil"/>
              <w:left w:val="nil"/>
              <w:bottom w:val="nil"/>
              <w:right w:val="nil"/>
            </w:tcBorders>
            <w:shd w:val="clear" w:color="auto" w:fill="FFFFFF"/>
            <w:vAlign w:val="center"/>
          </w:tcPr>
          <w:p w14:paraId="69D44489">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0.206</w:t>
            </w:r>
          </w:p>
        </w:tc>
        <w:tc>
          <w:tcPr>
            <w:tcW w:w="906" w:type="dxa"/>
            <w:tcBorders>
              <w:top w:val="nil"/>
              <w:left w:val="nil"/>
              <w:bottom w:val="nil"/>
              <w:right w:val="nil"/>
            </w:tcBorders>
            <w:shd w:val="clear" w:color="auto" w:fill="FFFFFF"/>
            <w:vAlign w:val="center"/>
          </w:tcPr>
          <w:p w14:paraId="0630BD3A">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0.375</w:t>
            </w:r>
          </w:p>
        </w:tc>
      </w:tr>
      <w:tr w14:paraId="60E96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4F69335C">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1193" w:type="dxa"/>
            <w:tcBorders>
              <w:top w:val="nil"/>
              <w:left w:val="nil"/>
              <w:bottom w:val="nil"/>
              <w:right w:val="nil"/>
            </w:tcBorders>
            <w:shd w:val="clear" w:color="auto" w:fill="FFFFFF"/>
            <w:vAlign w:val="center"/>
          </w:tcPr>
          <w:p w14:paraId="3442FDAE">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Missing</w:t>
            </w:r>
          </w:p>
        </w:tc>
        <w:tc>
          <w:tcPr>
            <w:tcW w:w="805" w:type="dxa"/>
            <w:tcBorders>
              <w:top w:val="nil"/>
              <w:left w:val="nil"/>
              <w:bottom w:val="nil"/>
              <w:right w:val="nil"/>
            </w:tcBorders>
            <w:shd w:val="clear" w:color="auto" w:fill="FFFFFF"/>
            <w:vAlign w:val="center"/>
          </w:tcPr>
          <w:p w14:paraId="1FBBCE03">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28 (1.6%)</w:t>
            </w:r>
          </w:p>
        </w:tc>
        <w:tc>
          <w:tcPr>
            <w:tcW w:w="799" w:type="dxa"/>
            <w:tcBorders>
              <w:top w:val="nil"/>
              <w:left w:val="nil"/>
              <w:bottom w:val="nil"/>
              <w:right w:val="nil"/>
            </w:tcBorders>
            <w:shd w:val="clear" w:color="auto" w:fill="FFFFFF"/>
            <w:vAlign w:val="center"/>
          </w:tcPr>
          <w:p w14:paraId="5D8DD11A">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5 (1.6%)</w:t>
            </w:r>
          </w:p>
        </w:tc>
        <w:tc>
          <w:tcPr>
            <w:tcW w:w="787" w:type="dxa"/>
            <w:tcBorders>
              <w:top w:val="nil"/>
              <w:left w:val="nil"/>
              <w:bottom w:val="nil"/>
              <w:right w:val="nil"/>
            </w:tcBorders>
            <w:shd w:val="clear" w:color="auto" w:fill="FFFFFF"/>
            <w:vAlign w:val="center"/>
          </w:tcPr>
          <w:p w14:paraId="602FED17">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4 (3.9%)</w:t>
            </w:r>
          </w:p>
        </w:tc>
        <w:tc>
          <w:tcPr>
            <w:tcW w:w="813" w:type="dxa"/>
            <w:tcBorders>
              <w:top w:val="nil"/>
              <w:left w:val="nil"/>
              <w:bottom w:val="nil"/>
              <w:right w:val="nil"/>
            </w:tcBorders>
            <w:shd w:val="clear" w:color="auto" w:fill="FFFFFF"/>
            <w:vAlign w:val="center"/>
          </w:tcPr>
          <w:p w14:paraId="40A163E2">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4 (0.7%)</w:t>
            </w:r>
          </w:p>
        </w:tc>
        <w:tc>
          <w:tcPr>
            <w:tcW w:w="835" w:type="dxa"/>
            <w:tcBorders>
              <w:top w:val="nil"/>
              <w:left w:val="nil"/>
              <w:bottom w:val="nil"/>
              <w:right w:val="nil"/>
            </w:tcBorders>
            <w:shd w:val="clear" w:color="auto" w:fill="FFFFFF"/>
            <w:vAlign w:val="center"/>
          </w:tcPr>
          <w:p w14:paraId="0E17DB92">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4 (2.4%)</w:t>
            </w:r>
          </w:p>
        </w:tc>
        <w:tc>
          <w:tcPr>
            <w:tcW w:w="880" w:type="dxa"/>
            <w:tcBorders>
              <w:top w:val="nil"/>
              <w:left w:val="nil"/>
              <w:bottom w:val="nil"/>
              <w:right w:val="nil"/>
            </w:tcBorders>
            <w:shd w:val="clear" w:color="auto" w:fill="FFFFFF"/>
            <w:vAlign w:val="center"/>
          </w:tcPr>
          <w:p w14:paraId="42836A96">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5 (1.2%)</w:t>
            </w:r>
          </w:p>
        </w:tc>
        <w:tc>
          <w:tcPr>
            <w:tcW w:w="901" w:type="dxa"/>
            <w:tcBorders>
              <w:top w:val="nil"/>
              <w:left w:val="nil"/>
              <w:bottom w:val="nil"/>
              <w:right w:val="nil"/>
            </w:tcBorders>
            <w:shd w:val="clear" w:color="auto" w:fill="FFFFFF"/>
            <w:vAlign w:val="center"/>
          </w:tcPr>
          <w:p w14:paraId="4B66B52E">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6 (2.8%)</w:t>
            </w:r>
          </w:p>
        </w:tc>
        <w:tc>
          <w:tcPr>
            <w:tcW w:w="906" w:type="dxa"/>
            <w:tcBorders>
              <w:top w:val="nil"/>
              <w:left w:val="nil"/>
              <w:bottom w:val="nil"/>
              <w:right w:val="nil"/>
            </w:tcBorders>
            <w:shd w:val="clear" w:color="auto" w:fill="FFFFFF"/>
            <w:vAlign w:val="center"/>
          </w:tcPr>
          <w:p w14:paraId="3C645FC3">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c>
          <w:tcPr>
            <w:tcW w:w="906" w:type="dxa"/>
            <w:tcBorders>
              <w:top w:val="nil"/>
              <w:left w:val="nil"/>
              <w:bottom w:val="nil"/>
              <w:right w:val="nil"/>
            </w:tcBorders>
            <w:shd w:val="clear" w:color="auto" w:fill="FFFFFF"/>
            <w:vAlign w:val="center"/>
          </w:tcPr>
          <w:p w14:paraId="439534CA">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r>
      <w:tr w14:paraId="29F54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1ABC8365">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Elevator available at residence, n (%)</w:t>
            </w:r>
          </w:p>
        </w:tc>
        <w:tc>
          <w:tcPr>
            <w:tcW w:w="1193" w:type="dxa"/>
            <w:tcBorders>
              <w:top w:val="nil"/>
              <w:left w:val="nil"/>
              <w:bottom w:val="nil"/>
              <w:right w:val="nil"/>
            </w:tcBorders>
            <w:shd w:val="clear" w:color="auto" w:fill="FFFFFF"/>
            <w:vAlign w:val="center"/>
          </w:tcPr>
          <w:p w14:paraId="2FCD009C">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805" w:type="dxa"/>
            <w:tcBorders>
              <w:top w:val="nil"/>
              <w:left w:val="nil"/>
              <w:bottom w:val="nil"/>
              <w:right w:val="nil"/>
            </w:tcBorders>
            <w:shd w:val="clear" w:color="auto" w:fill="FFFFFF"/>
            <w:vAlign w:val="center"/>
          </w:tcPr>
          <w:p w14:paraId="1CA2B038">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799" w:type="dxa"/>
            <w:tcBorders>
              <w:top w:val="nil"/>
              <w:left w:val="nil"/>
              <w:bottom w:val="nil"/>
              <w:right w:val="nil"/>
            </w:tcBorders>
            <w:shd w:val="clear" w:color="auto" w:fill="FFFFFF"/>
            <w:vAlign w:val="center"/>
          </w:tcPr>
          <w:p w14:paraId="39C7F3DD">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787" w:type="dxa"/>
            <w:tcBorders>
              <w:top w:val="nil"/>
              <w:left w:val="nil"/>
              <w:bottom w:val="nil"/>
              <w:right w:val="nil"/>
            </w:tcBorders>
            <w:shd w:val="clear" w:color="auto" w:fill="FFFFFF"/>
            <w:vAlign w:val="center"/>
          </w:tcPr>
          <w:p w14:paraId="66EF8009">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813" w:type="dxa"/>
            <w:tcBorders>
              <w:top w:val="nil"/>
              <w:left w:val="nil"/>
              <w:bottom w:val="nil"/>
              <w:right w:val="nil"/>
            </w:tcBorders>
            <w:shd w:val="clear" w:color="auto" w:fill="FFFFFF"/>
            <w:vAlign w:val="center"/>
          </w:tcPr>
          <w:p w14:paraId="6933A68C">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835" w:type="dxa"/>
            <w:tcBorders>
              <w:top w:val="nil"/>
              <w:left w:val="nil"/>
              <w:bottom w:val="nil"/>
              <w:right w:val="nil"/>
            </w:tcBorders>
            <w:shd w:val="clear" w:color="auto" w:fill="FFFFFF"/>
            <w:vAlign w:val="center"/>
          </w:tcPr>
          <w:p w14:paraId="7A151260">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880" w:type="dxa"/>
            <w:tcBorders>
              <w:top w:val="nil"/>
              <w:left w:val="nil"/>
              <w:bottom w:val="nil"/>
              <w:right w:val="nil"/>
            </w:tcBorders>
            <w:shd w:val="clear" w:color="auto" w:fill="FFFFFF"/>
            <w:vAlign w:val="center"/>
          </w:tcPr>
          <w:p w14:paraId="70392ACF">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901" w:type="dxa"/>
            <w:tcBorders>
              <w:top w:val="nil"/>
              <w:left w:val="nil"/>
              <w:bottom w:val="nil"/>
              <w:right w:val="nil"/>
            </w:tcBorders>
            <w:shd w:val="clear" w:color="auto" w:fill="FFFFFF"/>
            <w:vAlign w:val="center"/>
          </w:tcPr>
          <w:p w14:paraId="41A5A9CD">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906" w:type="dxa"/>
            <w:tcBorders>
              <w:top w:val="nil"/>
              <w:left w:val="nil"/>
              <w:bottom w:val="nil"/>
              <w:right w:val="nil"/>
            </w:tcBorders>
            <w:shd w:val="clear" w:color="auto" w:fill="FFFFFF"/>
            <w:vAlign w:val="center"/>
          </w:tcPr>
          <w:p w14:paraId="6A126CE0">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0.242</w:t>
            </w:r>
          </w:p>
        </w:tc>
        <w:tc>
          <w:tcPr>
            <w:tcW w:w="906" w:type="dxa"/>
            <w:tcBorders>
              <w:top w:val="nil"/>
              <w:left w:val="nil"/>
              <w:bottom w:val="nil"/>
              <w:right w:val="nil"/>
            </w:tcBorders>
            <w:shd w:val="clear" w:color="auto" w:fill="FFFFFF"/>
            <w:vAlign w:val="center"/>
          </w:tcPr>
          <w:p w14:paraId="3DB5BBCB">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0.104</w:t>
            </w:r>
          </w:p>
        </w:tc>
      </w:tr>
      <w:tr w14:paraId="3B2B8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0BB99CFC">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1193" w:type="dxa"/>
            <w:tcBorders>
              <w:top w:val="nil"/>
              <w:left w:val="nil"/>
              <w:bottom w:val="nil"/>
              <w:right w:val="nil"/>
            </w:tcBorders>
            <w:shd w:val="clear" w:color="auto" w:fill="FFFFFF"/>
            <w:vAlign w:val="center"/>
          </w:tcPr>
          <w:p w14:paraId="77F58B23">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No</w:t>
            </w:r>
          </w:p>
        </w:tc>
        <w:tc>
          <w:tcPr>
            <w:tcW w:w="805" w:type="dxa"/>
            <w:tcBorders>
              <w:top w:val="nil"/>
              <w:left w:val="nil"/>
              <w:bottom w:val="nil"/>
              <w:right w:val="nil"/>
            </w:tcBorders>
            <w:shd w:val="clear" w:color="auto" w:fill="FFFFFF"/>
            <w:vAlign w:val="center"/>
          </w:tcPr>
          <w:p w14:paraId="50B5DCBB">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1177 (65.9%)</w:t>
            </w:r>
          </w:p>
        </w:tc>
        <w:tc>
          <w:tcPr>
            <w:tcW w:w="799" w:type="dxa"/>
            <w:tcBorders>
              <w:top w:val="nil"/>
              <w:left w:val="nil"/>
              <w:bottom w:val="nil"/>
              <w:right w:val="nil"/>
            </w:tcBorders>
            <w:shd w:val="clear" w:color="auto" w:fill="FFFFFF"/>
            <w:vAlign w:val="center"/>
          </w:tcPr>
          <w:p w14:paraId="0A6B61C7">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211 (67.4%)</w:t>
            </w:r>
          </w:p>
        </w:tc>
        <w:tc>
          <w:tcPr>
            <w:tcW w:w="787" w:type="dxa"/>
            <w:tcBorders>
              <w:top w:val="nil"/>
              <w:left w:val="nil"/>
              <w:bottom w:val="nil"/>
              <w:right w:val="nil"/>
            </w:tcBorders>
            <w:shd w:val="clear" w:color="auto" w:fill="FFFFFF"/>
            <w:vAlign w:val="center"/>
          </w:tcPr>
          <w:p w14:paraId="4F06DEE8">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65 (63.1%)</w:t>
            </w:r>
          </w:p>
        </w:tc>
        <w:tc>
          <w:tcPr>
            <w:tcW w:w="813" w:type="dxa"/>
            <w:tcBorders>
              <w:top w:val="nil"/>
              <w:left w:val="nil"/>
              <w:bottom w:val="nil"/>
              <w:right w:val="nil"/>
            </w:tcBorders>
            <w:shd w:val="clear" w:color="auto" w:fill="FFFFFF"/>
            <w:vAlign w:val="center"/>
          </w:tcPr>
          <w:p w14:paraId="3D482918">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394 (68.6%)</w:t>
            </w:r>
          </w:p>
        </w:tc>
        <w:tc>
          <w:tcPr>
            <w:tcW w:w="835" w:type="dxa"/>
            <w:tcBorders>
              <w:top w:val="nil"/>
              <w:left w:val="nil"/>
              <w:bottom w:val="nil"/>
              <w:right w:val="nil"/>
            </w:tcBorders>
            <w:shd w:val="clear" w:color="auto" w:fill="FFFFFF"/>
            <w:vAlign w:val="center"/>
          </w:tcPr>
          <w:p w14:paraId="22A1686D">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104 (62.3%)</w:t>
            </w:r>
          </w:p>
        </w:tc>
        <w:tc>
          <w:tcPr>
            <w:tcW w:w="880" w:type="dxa"/>
            <w:tcBorders>
              <w:top w:val="nil"/>
              <w:left w:val="nil"/>
              <w:bottom w:val="nil"/>
              <w:right w:val="nil"/>
            </w:tcBorders>
            <w:shd w:val="clear" w:color="auto" w:fill="FFFFFF"/>
            <w:vAlign w:val="center"/>
          </w:tcPr>
          <w:p w14:paraId="3F3AA823">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270 (65.1%)</w:t>
            </w:r>
          </w:p>
        </w:tc>
        <w:tc>
          <w:tcPr>
            <w:tcW w:w="901" w:type="dxa"/>
            <w:tcBorders>
              <w:top w:val="nil"/>
              <w:left w:val="nil"/>
              <w:bottom w:val="nil"/>
              <w:right w:val="nil"/>
            </w:tcBorders>
            <w:shd w:val="clear" w:color="auto" w:fill="FFFFFF"/>
            <w:vAlign w:val="center"/>
          </w:tcPr>
          <w:p w14:paraId="2B7DFAAE">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133 (62.1%)</w:t>
            </w:r>
          </w:p>
        </w:tc>
        <w:tc>
          <w:tcPr>
            <w:tcW w:w="906" w:type="dxa"/>
            <w:tcBorders>
              <w:top w:val="nil"/>
              <w:left w:val="nil"/>
              <w:bottom w:val="nil"/>
              <w:right w:val="nil"/>
            </w:tcBorders>
            <w:shd w:val="clear" w:color="auto" w:fill="FFFFFF"/>
            <w:vAlign w:val="center"/>
          </w:tcPr>
          <w:p w14:paraId="115BA368">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c>
          <w:tcPr>
            <w:tcW w:w="906" w:type="dxa"/>
            <w:tcBorders>
              <w:top w:val="nil"/>
              <w:left w:val="nil"/>
              <w:bottom w:val="nil"/>
              <w:right w:val="nil"/>
            </w:tcBorders>
            <w:shd w:val="clear" w:color="auto" w:fill="FFFFFF"/>
            <w:vAlign w:val="center"/>
          </w:tcPr>
          <w:p w14:paraId="38DE39DA">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r>
      <w:tr w14:paraId="26B04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0C755E53">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1193" w:type="dxa"/>
            <w:tcBorders>
              <w:top w:val="nil"/>
              <w:left w:val="nil"/>
              <w:bottom w:val="nil"/>
              <w:right w:val="nil"/>
            </w:tcBorders>
            <w:shd w:val="clear" w:color="auto" w:fill="FFFFFF"/>
            <w:vAlign w:val="center"/>
          </w:tcPr>
          <w:p w14:paraId="7BC3A7CA">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Yes</w:t>
            </w:r>
          </w:p>
        </w:tc>
        <w:tc>
          <w:tcPr>
            <w:tcW w:w="805" w:type="dxa"/>
            <w:tcBorders>
              <w:top w:val="nil"/>
              <w:left w:val="nil"/>
              <w:bottom w:val="nil"/>
              <w:right w:val="nil"/>
            </w:tcBorders>
            <w:shd w:val="clear" w:color="auto" w:fill="FFFFFF"/>
            <w:vAlign w:val="center"/>
          </w:tcPr>
          <w:p w14:paraId="3F46660A">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535 (30.0%)</w:t>
            </w:r>
          </w:p>
        </w:tc>
        <w:tc>
          <w:tcPr>
            <w:tcW w:w="799" w:type="dxa"/>
            <w:tcBorders>
              <w:top w:val="nil"/>
              <w:left w:val="nil"/>
              <w:bottom w:val="nil"/>
              <w:right w:val="nil"/>
            </w:tcBorders>
            <w:shd w:val="clear" w:color="auto" w:fill="FFFFFF"/>
            <w:vAlign w:val="center"/>
          </w:tcPr>
          <w:p w14:paraId="71620FBB">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90 (28.8%)</w:t>
            </w:r>
          </w:p>
        </w:tc>
        <w:tc>
          <w:tcPr>
            <w:tcW w:w="787" w:type="dxa"/>
            <w:tcBorders>
              <w:top w:val="nil"/>
              <w:left w:val="nil"/>
              <w:bottom w:val="nil"/>
              <w:right w:val="nil"/>
            </w:tcBorders>
            <w:shd w:val="clear" w:color="auto" w:fill="FFFFFF"/>
            <w:vAlign w:val="center"/>
          </w:tcPr>
          <w:p w14:paraId="1651147A">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30 (29.1%)</w:t>
            </w:r>
          </w:p>
        </w:tc>
        <w:tc>
          <w:tcPr>
            <w:tcW w:w="813" w:type="dxa"/>
            <w:tcBorders>
              <w:top w:val="nil"/>
              <w:left w:val="nil"/>
              <w:bottom w:val="nil"/>
              <w:right w:val="nil"/>
            </w:tcBorders>
            <w:shd w:val="clear" w:color="auto" w:fill="FFFFFF"/>
            <w:vAlign w:val="center"/>
          </w:tcPr>
          <w:p w14:paraId="5B2355C8">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166 (28.9%)</w:t>
            </w:r>
          </w:p>
        </w:tc>
        <w:tc>
          <w:tcPr>
            <w:tcW w:w="835" w:type="dxa"/>
            <w:tcBorders>
              <w:top w:val="nil"/>
              <w:left w:val="nil"/>
              <w:bottom w:val="nil"/>
              <w:right w:val="nil"/>
            </w:tcBorders>
            <w:shd w:val="clear" w:color="auto" w:fill="FFFFFF"/>
            <w:vAlign w:val="center"/>
          </w:tcPr>
          <w:p w14:paraId="44377249">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53 (31.7%)</w:t>
            </w:r>
          </w:p>
        </w:tc>
        <w:tc>
          <w:tcPr>
            <w:tcW w:w="880" w:type="dxa"/>
            <w:tcBorders>
              <w:top w:val="nil"/>
              <w:left w:val="nil"/>
              <w:bottom w:val="nil"/>
              <w:right w:val="nil"/>
            </w:tcBorders>
            <w:shd w:val="clear" w:color="auto" w:fill="FFFFFF"/>
            <w:vAlign w:val="center"/>
          </w:tcPr>
          <w:p w14:paraId="358A37B5">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130 (31.3%)</w:t>
            </w:r>
          </w:p>
        </w:tc>
        <w:tc>
          <w:tcPr>
            <w:tcW w:w="901" w:type="dxa"/>
            <w:tcBorders>
              <w:top w:val="nil"/>
              <w:left w:val="nil"/>
              <w:bottom w:val="nil"/>
              <w:right w:val="nil"/>
            </w:tcBorders>
            <w:shd w:val="clear" w:color="auto" w:fill="FFFFFF"/>
            <w:vAlign w:val="center"/>
          </w:tcPr>
          <w:p w14:paraId="207A16A2">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66 (30.8%)</w:t>
            </w:r>
          </w:p>
        </w:tc>
        <w:tc>
          <w:tcPr>
            <w:tcW w:w="906" w:type="dxa"/>
            <w:tcBorders>
              <w:top w:val="nil"/>
              <w:left w:val="nil"/>
              <w:bottom w:val="nil"/>
              <w:right w:val="nil"/>
            </w:tcBorders>
            <w:shd w:val="clear" w:color="auto" w:fill="FFFFFF"/>
            <w:vAlign w:val="center"/>
          </w:tcPr>
          <w:p w14:paraId="0D35E9D8">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c>
          <w:tcPr>
            <w:tcW w:w="906" w:type="dxa"/>
            <w:tcBorders>
              <w:top w:val="nil"/>
              <w:left w:val="nil"/>
              <w:bottom w:val="nil"/>
              <w:right w:val="nil"/>
            </w:tcBorders>
            <w:shd w:val="clear" w:color="auto" w:fill="FFFFFF"/>
            <w:vAlign w:val="center"/>
          </w:tcPr>
          <w:p w14:paraId="16C480BC">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r>
      <w:tr w14:paraId="1488D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25F58107">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1193" w:type="dxa"/>
            <w:tcBorders>
              <w:top w:val="nil"/>
              <w:left w:val="nil"/>
              <w:bottom w:val="nil"/>
              <w:right w:val="nil"/>
            </w:tcBorders>
            <w:shd w:val="clear" w:color="auto" w:fill="FFFFFF"/>
            <w:vAlign w:val="center"/>
          </w:tcPr>
          <w:p w14:paraId="576B73E0">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Missing</w:t>
            </w:r>
          </w:p>
        </w:tc>
        <w:tc>
          <w:tcPr>
            <w:tcW w:w="805" w:type="dxa"/>
            <w:tcBorders>
              <w:top w:val="nil"/>
              <w:left w:val="nil"/>
              <w:bottom w:val="nil"/>
              <w:right w:val="nil"/>
            </w:tcBorders>
            <w:shd w:val="clear" w:color="auto" w:fill="FFFFFF"/>
            <w:vAlign w:val="center"/>
          </w:tcPr>
          <w:p w14:paraId="6D5F30CD">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74 (4.1%)</w:t>
            </w:r>
          </w:p>
        </w:tc>
        <w:tc>
          <w:tcPr>
            <w:tcW w:w="799" w:type="dxa"/>
            <w:tcBorders>
              <w:top w:val="nil"/>
              <w:left w:val="nil"/>
              <w:bottom w:val="nil"/>
              <w:right w:val="nil"/>
            </w:tcBorders>
            <w:shd w:val="clear" w:color="auto" w:fill="FFFFFF"/>
            <w:vAlign w:val="center"/>
          </w:tcPr>
          <w:p w14:paraId="10E418C2">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12 (3.8%)</w:t>
            </w:r>
          </w:p>
        </w:tc>
        <w:tc>
          <w:tcPr>
            <w:tcW w:w="787" w:type="dxa"/>
            <w:tcBorders>
              <w:top w:val="nil"/>
              <w:left w:val="nil"/>
              <w:bottom w:val="nil"/>
              <w:right w:val="nil"/>
            </w:tcBorders>
            <w:shd w:val="clear" w:color="auto" w:fill="FFFFFF"/>
            <w:vAlign w:val="center"/>
          </w:tcPr>
          <w:p w14:paraId="04649110">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8 (7.8%)</w:t>
            </w:r>
          </w:p>
        </w:tc>
        <w:tc>
          <w:tcPr>
            <w:tcW w:w="813" w:type="dxa"/>
            <w:tcBorders>
              <w:top w:val="nil"/>
              <w:left w:val="nil"/>
              <w:bottom w:val="nil"/>
              <w:right w:val="nil"/>
            </w:tcBorders>
            <w:shd w:val="clear" w:color="auto" w:fill="FFFFFF"/>
            <w:vAlign w:val="center"/>
          </w:tcPr>
          <w:p w14:paraId="3C44DD36">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14 (2.4%)</w:t>
            </w:r>
          </w:p>
        </w:tc>
        <w:tc>
          <w:tcPr>
            <w:tcW w:w="835" w:type="dxa"/>
            <w:tcBorders>
              <w:top w:val="nil"/>
              <w:left w:val="nil"/>
              <w:bottom w:val="nil"/>
              <w:right w:val="nil"/>
            </w:tcBorders>
            <w:shd w:val="clear" w:color="auto" w:fill="FFFFFF"/>
            <w:vAlign w:val="center"/>
          </w:tcPr>
          <w:p w14:paraId="46C497EC">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10 (6.0%)</w:t>
            </w:r>
          </w:p>
        </w:tc>
        <w:tc>
          <w:tcPr>
            <w:tcW w:w="880" w:type="dxa"/>
            <w:tcBorders>
              <w:top w:val="nil"/>
              <w:left w:val="nil"/>
              <w:bottom w:val="nil"/>
              <w:right w:val="nil"/>
            </w:tcBorders>
            <w:shd w:val="clear" w:color="auto" w:fill="FFFFFF"/>
            <w:vAlign w:val="center"/>
          </w:tcPr>
          <w:p w14:paraId="601AA5F9">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15 (3.6%)</w:t>
            </w:r>
          </w:p>
        </w:tc>
        <w:tc>
          <w:tcPr>
            <w:tcW w:w="901" w:type="dxa"/>
            <w:tcBorders>
              <w:top w:val="nil"/>
              <w:left w:val="nil"/>
              <w:bottom w:val="nil"/>
              <w:right w:val="nil"/>
            </w:tcBorders>
            <w:shd w:val="clear" w:color="auto" w:fill="FFFFFF"/>
            <w:vAlign w:val="center"/>
          </w:tcPr>
          <w:p w14:paraId="1D98A700">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15 (7.0%)</w:t>
            </w:r>
          </w:p>
        </w:tc>
        <w:tc>
          <w:tcPr>
            <w:tcW w:w="906" w:type="dxa"/>
            <w:tcBorders>
              <w:top w:val="nil"/>
              <w:left w:val="nil"/>
              <w:bottom w:val="nil"/>
              <w:right w:val="nil"/>
            </w:tcBorders>
            <w:shd w:val="clear" w:color="auto" w:fill="FFFFFF"/>
            <w:vAlign w:val="center"/>
          </w:tcPr>
          <w:p w14:paraId="79F5E7A2">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c>
          <w:tcPr>
            <w:tcW w:w="906" w:type="dxa"/>
            <w:tcBorders>
              <w:top w:val="nil"/>
              <w:left w:val="nil"/>
              <w:bottom w:val="nil"/>
              <w:right w:val="nil"/>
            </w:tcBorders>
            <w:shd w:val="clear" w:color="auto" w:fill="FFFFFF"/>
            <w:vAlign w:val="center"/>
          </w:tcPr>
          <w:p w14:paraId="3C5AC895">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r>
      <w:tr w14:paraId="53EDE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52CED086">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Stair-climbing trips per day, round-trips</w:t>
            </w:r>
          </w:p>
        </w:tc>
        <w:tc>
          <w:tcPr>
            <w:tcW w:w="1193" w:type="dxa"/>
            <w:tcBorders>
              <w:top w:val="nil"/>
              <w:left w:val="nil"/>
              <w:bottom w:val="nil"/>
              <w:right w:val="nil"/>
            </w:tcBorders>
            <w:shd w:val="clear" w:color="auto" w:fill="FFFFFF"/>
            <w:vAlign w:val="center"/>
          </w:tcPr>
          <w:p w14:paraId="48798617">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805" w:type="dxa"/>
            <w:tcBorders>
              <w:top w:val="nil"/>
              <w:left w:val="nil"/>
              <w:bottom w:val="nil"/>
              <w:right w:val="nil"/>
            </w:tcBorders>
            <w:shd w:val="clear" w:color="auto" w:fill="FFFFFF"/>
            <w:vAlign w:val="center"/>
          </w:tcPr>
          <w:p w14:paraId="5F321F6E">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2 [0, 3]</w:t>
            </w:r>
          </w:p>
        </w:tc>
        <w:tc>
          <w:tcPr>
            <w:tcW w:w="799" w:type="dxa"/>
            <w:tcBorders>
              <w:top w:val="nil"/>
              <w:left w:val="nil"/>
              <w:bottom w:val="nil"/>
              <w:right w:val="nil"/>
            </w:tcBorders>
            <w:shd w:val="clear" w:color="auto" w:fill="FFFFFF"/>
            <w:vAlign w:val="center"/>
          </w:tcPr>
          <w:p w14:paraId="60B1357B">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2 [0, 3]</w:t>
            </w:r>
          </w:p>
        </w:tc>
        <w:tc>
          <w:tcPr>
            <w:tcW w:w="787" w:type="dxa"/>
            <w:tcBorders>
              <w:top w:val="nil"/>
              <w:left w:val="nil"/>
              <w:bottom w:val="nil"/>
              <w:right w:val="nil"/>
            </w:tcBorders>
            <w:shd w:val="clear" w:color="auto" w:fill="FFFFFF"/>
            <w:vAlign w:val="center"/>
          </w:tcPr>
          <w:p w14:paraId="423A5D1B">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2 [0, 3]</w:t>
            </w:r>
          </w:p>
        </w:tc>
        <w:tc>
          <w:tcPr>
            <w:tcW w:w="813" w:type="dxa"/>
            <w:tcBorders>
              <w:top w:val="nil"/>
              <w:left w:val="nil"/>
              <w:bottom w:val="nil"/>
              <w:right w:val="nil"/>
            </w:tcBorders>
            <w:shd w:val="clear" w:color="auto" w:fill="FFFFFF"/>
            <w:vAlign w:val="center"/>
          </w:tcPr>
          <w:p w14:paraId="424E86CE">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2 [0, 3]</w:t>
            </w:r>
          </w:p>
        </w:tc>
        <w:tc>
          <w:tcPr>
            <w:tcW w:w="835" w:type="dxa"/>
            <w:tcBorders>
              <w:top w:val="nil"/>
              <w:left w:val="nil"/>
              <w:bottom w:val="nil"/>
              <w:right w:val="nil"/>
            </w:tcBorders>
            <w:shd w:val="clear" w:color="auto" w:fill="FFFFFF"/>
            <w:vAlign w:val="center"/>
          </w:tcPr>
          <w:p w14:paraId="37EFC07B">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 [0, 2]</w:t>
            </w:r>
          </w:p>
        </w:tc>
        <w:tc>
          <w:tcPr>
            <w:tcW w:w="880" w:type="dxa"/>
            <w:tcBorders>
              <w:top w:val="nil"/>
              <w:left w:val="nil"/>
              <w:bottom w:val="nil"/>
              <w:right w:val="nil"/>
            </w:tcBorders>
            <w:shd w:val="clear" w:color="auto" w:fill="FFFFFF"/>
            <w:vAlign w:val="center"/>
          </w:tcPr>
          <w:p w14:paraId="3DEA4FF3">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2 [0, 3]</w:t>
            </w:r>
          </w:p>
        </w:tc>
        <w:tc>
          <w:tcPr>
            <w:tcW w:w="901" w:type="dxa"/>
            <w:tcBorders>
              <w:top w:val="nil"/>
              <w:left w:val="nil"/>
              <w:bottom w:val="nil"/>
              <w:right w:val="nil"/>
            </w:tcBorders>
            <w:shd w:val="clear" w:color="auto" w:fill="FFFFFF"/>
            <w:vAlign w:val="center"/>
          </w:tcPr>
          <w:p w14:paraId="5D72C59B">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2 [0, 3]</w:t>
            </w:r>
          </w:p>
        </w:tc>
        <w:tc>
          <w:tcPr>
            <w:tcW w:w="906" w:type="dxa"/>
            <w:tcBorders>
              <w:top w:val="nil"/>
              <w:left w:val="nil"/>
              <w:bottom w:val="nil"/>
              <w:right w:val="nil"/>
            </w:tcBorders>
            <w:shd w:val="clear" w:color="auto" w:fill="FFFFFF"/>
            <w:vAlign w:val="center"/>
          </w:tcPr>
          <w:p w14:paraId="43D12A23">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0.314</w:t>
            </w:r>
          </w:p>
        </w:tc>
        <w:tc>
          <w:tcPr>
            <w:tcW w:w="906" w:type="dxa"/>
            <w:tcBorders>
              <w:top w:val="nil"/>
              <w:left w:val="nil"/>
              <w:bottom w:val="nil"/>
              <w:right w:val="nil"/>
            </w:tcBorders>
            <w:shd w:val="clear" w:color="auto" w:fill="FFFFFF"/>
            <w:vAlign w:val="center"/>
          </w:tcPr>
          <w:p w14:paraId="6B5C22E9">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&lt;</w:t>
            </w:r>
            <w:r>
              <w:rPr>
                <w:rFonts w:hint="default" w:ascii="Times New Roman" w:hAnsi="Times New Roman" w:cs="Times New Roman"/>
                <w:b w:val="0"/>
                <w:i w:val="0"/>
                <w:color w:val="08090C"/>
                <w:sz w:val="20"/>
                <w:szCs w:val="20"/>
                <w:lang w:val="en-US" w:eastAsia="zh-CN"/>
              </w:rPr>
              <w:t xml:space="preserve"> </w:t>
            </w:r>
            <w:r>
              <w:rPr>
                <w:rFonts w:hint="default" w:ascii="Times New Roman" w:hAnsi="Times New Roman" w:cs="Times New Roman"/>
                <w:b w:val="0"/>
                <w:i w:val="0"/>
                <w:color w:val="08090C"/>
                <w:sz w:val="20"/>
                <w:szCs w:val="20"/>
              </w:rPr>
              <w:t>0.001</w:t>
            </w:r>
          </w:p>
        </w:tc>
      </w:tr>
      <w:tr w14:paraId="4AC71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0558696C">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Vigorous-intensity activity, min/week</w:t>
            </w:r>
          </w:p>
        </w:tc>
        <w:tc>
          <w:tcPr>
            <w:tcW w:w="1193" w:type="dxa"/>
            <w:tcBorders>
              <w:top w:val="nil"/>
              <w:left w:val="nil"/>
              <w:bottom w:val="nil"/>
              <w:right w:val="nil"/>
            </w:tcBorders>
            <w:shd w:val="clear" w:color="auto" w:fill="FFFFFF"/>
            <w:vAlign w:val="center"/>
          </w:tcPr>
          <w:p w14:paraId="790A861D">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805" w:type="dxa"/>
            <w:tcBorders>
              <w:top w:val="nil"/>
              <w:left w:val="nil"/>
              <w:bottom w:val="nil"/>
              <w:right w:val="nil"/>
            </w:tcBorders>
            <w:shd w:val="clear" w:color="auto" w:fill="FFFFFF"/>
            <w:vAlign w:val="center"/>
          </w:tcPr>
          <w:p w14:paraId="4FA072F8">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 [0, 0]</w:t>
            </w:r>
          </w:p>
        </w:tc>
        <w:tc>
          <w:tcPr>
            <w:tcW w:w="799" w:type="dxa"/>
            <w:tcBorders>
              <w:top w:val="nil"/>
              <w:left w:val="nil"/>
              <w:bottom w:val="nil"/>
              <w:right w:val="nil"/>
            </w:tcBorders>
            <w:shd w:val="clear" w:color="auto" w:fill="FFFFFF"/>
            <w:vAlign w:val="center"/>
          </w:tcPr>
          <w:p w14:paraId="02FBF1F1">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 [0, 0]</w:t>
            </w:r>
          </w:p>
        </w:tc>
        <w:tc>
          <w:tcPr>
            <w:tcW w:w="787" w:type="dxa"/>
            <w:tcBorders>
              <w:top w:val="nil"/>
              <w:left w:val="nil"/>
              <w:bottom w:val="nil"/>
              <w:right w:val="nil"/>
            </w:tcBorders>
            <w:shd w:val="clear" w:color="auto" w:fill="FFFFFF"/>
            <w:vAlign w:val="center"/>
          </w:tcPr>
          <w:p w14:paraId="7464BD65">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 [0, 0]</w:t>
            </w:r>
          </w:p>
        </w:tc>
        <w:tc>
          <w:tcPr>
            <w:tcW w:w="813" w:type="dxa"/>
            <w:tcBorders>
              <w:top w:val="nil"/>
              <w:left w:val="nil"/>
              <w:bottom w:val="nil"/>
              <w:right w:val="nil"/>
            </w:tcBorders>
            <w:shd w:val="clear" w:color="auto" w:fill="FFFFFF"/>
            <w:vAlign w:val="center"/>
          </w:tcPr>
          <w:p w14:paraId="5C08B2EB">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 [0, 0]</w:t>
            </w:r>
          </w:p>
        </w:tc>
        <w:tc>
          <w:tcPr>
            <w:tcW w:w="835" w:type="dxa"/>
            <w:tcBorders>
              <w:top w:val="nil"/>
              <w:left w:val="nil"/>
              <w:bottom w:val="nil"/>
              <w:right w:val="nil"/>
            </w:tcBorders>
            <w:shd w:val="clear" w:color="auto" w:fill="FFFFFF"/>
            <w:vAlign w:val="center"/>
          </w:tcPr>
          <w:p w14:paraId="137A1B43">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 [0, 0]</w:t>
            </w:r>
          </w:p>
        </w:tc>
        <w:tc>
          <w:tcPr>
            <w:tcW w:w="880" w:type="dxa"/>
            <w:tcBorders>
              <w:top w:val="nil"/>
              <w:left w:val="nil"/>
              <w:bottom w:val="nil"/>
              <w:right w:val="nil"/>
            </w:tcBorders>
            <w:shd w:val="clear" w:color="auto" w:fill="FFFFFF"/>
            <w:vAlign w:val="center"/>
          </w:tcPr>
          <w:p w14:paraId="5091F9CD">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 [0, 0]</w:t>
            </w:r>
          </w:p>
        </w:tc>
        <w:tc>
          <w:tcPr>
            <w:tcW w:w="901" w:type="dxa"/>
            <w:tcBorders>
              <w:top w:val="nil"/>
              <w:left w:val="nil"/>
              <w:bottom w:val="nil"/>
              <w:right w:val="nil"/>
            </w:tcBorders>
            <w:shd w:val="clear" w:color="auto" w:fill="FFFFFF"/>
            <w:vAlign w:val="center"/>
          </w:tcPr>
          <w:p w14:paraId="46D5CD6C">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 [0, 0]</w:t>
            </w:r>
          </w:p>
        </w:tc>
        <w:tc>
          <w:tcPr>
            <w:tcW w:w="906" w:type="dxa"/>
            <w:tcBorders>
              <w:top w:val="nil"/>
              <w:left w:val="nil"/>
              <w:bottom w:val="nil"/>
              <w:right w:val="nil"/>
            </w:tcBorders>
            <w:shd w:val="clear" w:color="auto" w:fill="FFFFFF"/>
            <w:vAlign w:val="center"/>
          </w:tcPr>
          <w:p w14:paraId="7E9AC4EC">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0.251</w:t>
            </w:r>
          </w:p>
        </w:tc>
        <w:tc>
          <w:tcPr>
            <w:tcW w:w="906" w:type="dxa"/>
            <w:tcBorders>
              <w:top w:val="nil"/>
              <w:left w:val="nil"/>
              <w:bottom w:val="nil"/>
              <w:right w:val="nil"/>
            </w:tcBorders>
            <w:shd w:val="clear" w:color="auto" w:fill="FFFFFF"/>
            <w:vAlign w:val="center"/>
          </w:tcPr>
          <w:p w14:paraId="3E1FDB45">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0.100</w:t>
            </w:r>
          </w:p>
        </w:tc>
      </w:tr>
      <w:tr w14:paraId="7D42E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63D2CC72">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Moderate-intensity activity, min/week</w:t>
            </w:r>
          </w:p>
        </w:tc>
        <w:tc>
          <w:tcPr>
            <w:tcW w:w="1193" w:type="dxa"/>
            <w:tcBorders>
              <w:top w:val="nil"/>
              <w:left w:val="nil"/>
              <w:bottom w:val="nil"/>
              <w:right w:val="nil"/>
            </w:tcBorders>
            <w:shd w:val="clear" w:color="auto" w:fill="FFFFFF"/>
            <w:vAlign w:val="center"/>
          </w:tcPr>
          <w:p w14:paraId="70AE5DC4">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805" w:type="dxa"/>
            <w:tcBorders>
              <w:top w:val="nil"/>
              <w:left w:val="nil"/>
              <w:bottom w:val="nil"/>
              <w:right w:val="nil"/>
            </w:tcBorders>
            <w:shd w:val="clear" w:color="auto" w:fill="FFFFFF"/>
            <w:vAlign w:val="center"/>
          </w:tcPr>
          <w:p w14:paraId="2415BFC4">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 [0, 420]</w:t>
            </w:r>
          </w:p>
        </w:tc>
        <w:tc>
          <w:tcPr>
            <w:tcW w:w="799" w:type="dxa"/>
            <w:tcBorders>
              <w:top w:val="nil"/>
              <w:left w:val="nil"/>
              <w:bottom w:val="nil"/>
              <w:right w:val="nil"/>
            </w:tcBorders>
            <w:shd w:val="clear" w:color="auto" w:fill="FFFFFF"/>
            <w:vAlign w:val="center"/>
          </w:tcPr>
          <w:p w14:paraId="2A96114E">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 [0, 420]</w:t>
            </w:r>
          </w:p>
        </w:tc>
        <w:tc>
          <w:tcPr>
            <w:tcW w:w="787" w:type="dxa"/>
            <w:tcBorders>
              <w:top w:val="nil"/>
              <w:left w:val="nil"/>
              <w:bottom w:val="nil"/>
              <w:right w:val="nil"/>
            </w:tcBorders>
            <w:shd w:val="clear" w:color="auto" w:fill="FFFFFF"/>
            <w:vAlign w:val="center"/>
          </w:tcPr>
          <w:p w14:paraId="1A462E68">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 [0, 495]</w:t>
            </w:r>
          </w:p>
        </w:tc>
        <w:tc>
          <w:tcPr>
            <w:tcW w:w="813" w:type="dxa"/>
            <w:tcBorders>
              <w:top w:val="nil"/>
              <w:left w:val="nil"/>
              <w:bottom w:val="nil"/>
              <w:right w:val="nil"/>
            </w:tcBorders>
            <w:shd w:val="clear" w:color="auto" w:fill="FFFFFF"/>
            <w:vAlign w:val="center"/>
          </w:tcPr>
          <w:p w14:paraId="55C64165">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 [0, 295]</w:t>
            </w:r>
          </w:p>
        </w:tc>
        <w:tc>
          <w:tcPr>
            <w:tcW w:w="835" w:type="dxa"/>
            <w:tcBorders>
              <w:top w:val="nil"/>
              <w:left w:val="nil"/>
              <w:bottom w:val="nil"/>
              <w:right w:val="nil"/>
            </w:tcBorders>
            <w:shd w:val="clear" w:color="auto" w:fill="FFFFFF"/>
            <w:vAlign w:val="center"/>
          </w:tcPr>
          <w:p w14:paraId="6468A37E">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 [0, 420]</w:t>
            </w:r>
          </w:p>
        </w:tc>
        <w:tc>
          <w:tcPr>
            <w:tcW w:w="880" w:type="dxa"/>
            <w:tcBorders>
              <w:top w:val="nil"/>
              <w:left w:val="nil"/>
              <w:bottom w:val="nil"/>
              <w:right w:val="nil"/>
            </w:tcBorders>
            <w:shd w:val="clear" w:color="auto" w:fill="FFFFFF"/>
            <w:vAlign w:val="center"/>
          </w:tcPr>
          <w:p w14:paraId="63DBF3FB">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 [0, 360]</w:t>
            </w:r>
          </w:p>
        </w:tc>
        <w:tc>
          <w:tcPr>
            <w:tcW w:w="901" w:type="dxa"/>
            <w:tcBorders>
              <w:top w:val="nil"/>
              <w:left w:val="nil"/>
              <w:bottom w:val="nil"/>
              <w:right w:val="nil"/>
            </w:tcBorders>
            <w:shd w:val="clear" w:color="auto" w:fill="FFFFFF"/>
            <w:vAlign w:val="center"/>
          </w:tcPr>
          <w:p w14:paraId="11D7F0BD">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 [0, 360]</w:t>
            </w:r>
          </w:p>
        </w:tc>
        <w:tc>
          <w:tcPr>
            <w:tcW w:w="906" w:type="dxa"/>
            <w:tcBorders>
              <w:top w:val="nil"/>
              <w:left w:val="nil"/>
              <w:bottom w:val="nil"/>
              <w:right w:val="nil"/>
            </w:tcBorders>
            <w:shd w:val="clear" w:color="auto" w:fill="FFFFFF"/>
            <w:vAlign w:val="center"/>
          </w:tcPr>
          <w:p w14:paraId="4DD12E2F">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0.384</w:t>
            </w:r>
          </w:p>
        </w:tc>
        <w:tc>
          <w:tcPr>
            <w:tcW w:w="906" w:type="dxa"/>
            <w:tcBorders>
              <w:top w:val="nil"/>
              <w:left w:val="nil"/>
              <w:bottom w:val="nil"/>
              <w:right w:val="nil"/>
            </w:tcBorders>
            <w:shd w:val="clear" w:color="auto" w:fill="FFFFFF"/>
            <w:vAlign w:val="center"/>
          </w:tcPr>
          <w:p w14:paraId="7E4E0AD2">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&lt;</w:t>
            </w:r>
            <w:r>
              <w:rPr>
                <w:rFonts w:hint="default" w:ascii="Times New Roman" w:hAnsi="Times New Roman" w:cs="Times New Roman"/>
                <w:b w:val="0"/>
                <w:i w:val="0"/>
                <w:color w:val="08090C"/>
                <w:sz w:val="20"/>
                <w:szCs w:val="20"/>
                <w:lang w:val="en-US" w:eastAsia="zh-CN"/>
              </w:rPr>
              <w:t xml:space="preserve"> </w:t>
            </w:r>
            <w:r>
              <w:rPr>
                <w:rFonts w:hint="default" w:ascii="Times New Roman" w:hAnsi="Times New Roman" w:cs="Times New Roman"/>
                <w:b w:val="0"/>
                <w:i w:val="0"/>
                <w:color w:val="08090C"/>
                <w:sz w:val="20"/>
                <w:szCs w:val="20"/>
              </w:rPr>
              <w:t>0.001</w:t>
            </w:r>
          </w:p>
        </w:tc>
      </w:tr>
      <w:tr w14:paraId="4D4B5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006D9422">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Sitting time on a weekday, min/day</w:t>
            </w:r>
          </w:p>
        </w:tc>
        <w:tc>
          <w:tcPr>
            <w:tcW w:w="1193" w:type="dxa"/>
            <w:tcBorders>
              <w:top w:val="nil"/>
              <w:left w:val="nil"/>
              <w:bottom w:val="nil"/>
              <w:right w:val="nil"/>
            </w:tcBorders>
            <w:shd w:val="clear" w:color="auto" w:fill="FFFFFF"/>
            <w:vAlign w:val="center"/>
          </w:tcPr>
          <w:p w14:paraId="3821A55C">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805" w:type="dxa"/>
            <w:tcBorders>
              <w:top w:val="nil"/>
              <w:left w:val="nil"/>
              <w:bottom w:val="nil"/>
              <w:right w:val="nil"/>
            </w:tcBorders>
            <w:shd w:val="clear" w:color="auto" w:fill="FFFFFF"/>
            <w:vAlign w:val="center"/>
          </w:tcPr>
          <w:p w14:paraId="0A01CA33">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120 [0, 210]</w:t>
            </w:r>
          </w:p>
        </w:tc>
        <w:tc>
          <w:tcPr>
            <w:tcW w:w="799" w:type="dxa"/>
            <w:tcBorders>
              <w:top w:val="nil"/>
              <w:left w:val="nil"/>
              <w:bottom w:val="nil"/>
              <w:right w:val="nil"/>
            </w:tcBorders>
            <w:shd w:val="clear" w:color="auto" w:fill="FFFFFF"/>
            <w:vAlign w:val="center"/>
          </w:tcPr>
          <w:p w14:paraId="55BA09FA">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120 [0, 240]</w:t>
            </w:r>
          </w:p>
        </w:tc>
        <w:tc>
          <w:tcPr>
            <w:tcW w:w="787" w:type="dxa"/>
            <w:tcBorders>
              <w:top w:val="nil"/>
              <w:left w:val="nil"/>
              <w:bottom w:val="nil"/>
              <w:right w:val="nil"/>
            </w:tcBorders>
            <w:shd w:val="clear" w:color="auto" w:fill="FFFFFF"/>
            <w:vAlign w:val="center"/>
          </w:tcPr>
          <w:p w14:paraId="6ED11CE6">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120 [60, 210]</w:t>
            </w:r>
          </w:p>
        </w:tc>
        <w:tc>
          <w:tcPr>
            <w:tcW w:w="813" w:type="dxa"/>
            <w:tcBorders>
              <w:top w:val="nil"/>
              <w:left w:val="nil"/>
              <w:bottom w:val="nil"/>
              <w:right w:val="nil"/>
            </w:tcBorders>
            <w:shd w:val="clear" w:color="auto" w:fill="FFFFFF"/>
            <w:vAlign w:val="center"/>
          </w:tcPr>
          <w:p w14:paraId="74041A84">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120 [0, 210]</w:t>
            </w:r>
          </w:p>
        </w:tc>
        <w:tc>
          <w:tcPr>
            <w:tcW w:w="835" w:type="dxa"/>
            <w:tcBorders>
              <w:top w:val="nil"/>
              <w:left w:val="nil"/>
              <w:bottom w:val="nil"/>
              <w:right w:val="nil"/>
            </w:tcBorders>
            <w:shd w:val="clear" w:color="auto" w:fill="FFFFFF"/>
            <w:vAlign w:val="center"/>
          </w:tcPr>
          <w:p w14:paraId="5A6CB54C">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120 [0, 240]</w:t>
            </w:r>
          </w:p>
        </w:tc>
        <w:tc>
          <w:tcPr>
            <w:tcW w:w="880" w:type="dxa"/>
            <w:tcBorders>
              <w:top w:val="nil"/>
              <w:left w:val="nil"/>
              <w:bottom w:val="nil"/>
              <w:right w:val="nil"/>
            </w:tcBorders>
            <w:shd w:val="clear" w:color="auto" w:fill="FFFFFF"/>
            <w:vAlign w:val="center"/>
          </w:tcPr>
          <w:p w14:paraId="4D84A114">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120 [0, 190]</w:t>
            </w:r>
          </w:p>
        </w:tc>
        <w:tc>
          <w:tcPr>
            <w:tcW w:w="901" w:type="dxa"/>
            <w:tcBorders>
              <w:top w:val="nil"/>
              <w:left w:val="nil"/>
              <w:bottom w:val="nil"/>
              <w:right w:val="nil"/>
            </w:tcBorders>
            <w:shd w:val="clear" w:color="auto" w:fill="FFFFFF"/>
            <w:vAlign w:val="center"/>
          </w:tcPr>
          <w:p w14:paraId="1B541BF9">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120 [0, 180]</w:t>
            </w:r>
          </w:p>
        </w:tc>
        <w:tc>
          <w:tcPr>
            <w:tcW w:w="906" w:type="dxa"/>
            <w:tcBorders>
              <w:top w:val="nil"/>
              <w:left w:val="nil"/>
              <w:bottom w:val="nil"/>
              <w:right w:val="nil"/>
            </w:tcBorders>
            <w:shd w:val="clear" w:color="auto" w:fill="FFFFFF"/>
            <w:vAlign w:val="center"/>
          </w:tcPr>
          <w:p w14:paraId="23E73646">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0.200</w:t>
            </w:r>
          </w:p>
        </w:tc>
        <w:tc>
          <w:tcPr>
            <w:tcW w:w="906" w:type="dxa"/>
            <w:tcBorders>
              <w:top w:val="nil"/>
              <w:left w:val="nil"/>
              <w:bottom w:val="nil"/>
              <w:right w:val="nil"/>
            </w:tcBorders>
            <w:shd w:val="clear" w:color="auto" w:fill="FFFFFF"/>
            <w:vAlign w:val="center"/>
          </w:tcPr>
          <w:p w14:paraId="3366DD9D">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0.155</w:t>
            </w:r>
          </w:p>
        </w:tc>
      </w:tr>
      <w:tr w14:paraId="57BA4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26C78F53">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Diarrhea, n (%)</w:t>
            </w:r>
          </w:p>
        </w:tc>
        <w:tc>
          <w:tcPr>
            <w:tcW w:w="1193" w:type="dxa"/>
            <w:tcBorders>
              <w:top w:val="nil"/>
              <w:left w:val="nil"/>
              <w:bottom w:val="nil"/>
              <w:right w:val="nil"/>
            </w:tcBorders>
            <w:shd w:val="clear" w:color="auto" w:fill="FFFFFF"/>
            <w:vAlign w:val="center"/>
          </w:tcPr>
          <w:p w14:paraId="5B001533">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805" w:type="dxa"/>
            <w:tcBorders>
              <w:top w:val="nil"/>
              <w:left w:val="nil"/>
              <w:bottom w:val="nil"/>
              <w:right w:val="nil"/>
            </w:tcBorders>
            <w:shd w:val="clear" w:color="auto" w:fill="FFFFFF"/>
            <w:vAlign w:val="center"/>
          </w:tcPr>
          <w:p w14:paraId="1498CC5E">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799" w:type="dxa"/>
            <w:tcBorders>
              <w:top w:val="nil"/>
              <w:left w:val="nil"/>
              <w:bottom w:val="nil"/>
              <w:right w:val="nil"/>
            </w:tcBorders>
            <w:shd w:val="clear" w:color="auto" w:fill="FFFFFF"/>
            <w:vAlign w:val="center"/>
          </w:tcPr>
          <w:p w14:paraId="6A3260FE">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787" w:type="dxa"/>
            <w:tcBorders>
              <w:top w:val="nil"/>
              <w:left w:val="nil"/>
              <w:bottom w:val="nil"/>
              <w:right w:val="nil"/>
            </w:tcBorders>
            <w:shd w:val="clear" w:color="auto" w:fill="FFFFFF"/>
            <w:vAlign w:val="center"/>
          </w:tcPr>
          <w:p w14:paraId="30503325">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813" w:type="dxa"/>
            <w:tcBorders>
              <w:top w:val="nil"/>
              <w:left w:val="nil"/>
              <w:bottom w:val="nil"/>
              <w:right w:val="nil"/>
            </w:tcBorders>
            <w:shd w:val="clear" w:color="auto" w:fill="FFFFFF"/>
            <w:vAlign w:val="center"/>
          </w:tcPr>
          <w:p w14:paraId="29AB40E6">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835" w:type="dxa"/>
            <w:tcBorders>
              <w:top w:val="nil"/>
              <w:left w:val="nil"/>
              <w:bottom w:val="nil"/>
              <w:right w:val="nil"/>
            </w:tcBorders>
            <w:shd w:val="clear" w:color="auto" w:fill="FFFFFF"/>
            <w:vAlign w:val="center"/>
          </w:tcPr>
          <w:p w14:paraId="3BF22D36">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880" w:type="dxa"/>
            <w:tcBorders>
              <w:top w:val="nil"/>
              <w:left w:val="nil"/>
              <w:bottom w:val="nil"/>
              <w:right w:val="nil"/>
            </w:tcBorders>
            <w:shd w:val="clear" w:color="auto" w:fill="FFFFFF"/>
            <w:vAlign w:val="center"/>
          </w:tcPr>
          <w:p w14:paraId="14B47309">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901" w:type="dxa"/>
            <w:tcBorders>
              <w:top w:val="nil"/>
              <w:left w:val="nil"/>
              <w:bottom w:val="nil"/>
              <w:right w:val="nil"/>
            </w:tcBorders>
            <w:shd w:val="clear" w:color="auto" w:fill="FFFFFF"/>
            <w:vAlign w:val="center"/>
          </w:tcPr>
          <w:p w14:paraId="77F7A3A7">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906" w:type="dxa"/>
            <w:tcBorders>
              <w:top w:val="nil"/>
              <w:left w:val="nil"/>
              <w:bottom w:val="nil"/>
              <w:right w:val="nil"/>
            </w:tcBorders>
            <w:shd w:val="clear" w:color="auto" w:fill="FFFFFF"/>
            <w:vAlign w:val="center"/>
          </w:tcPr>
          <w:p w14:paraId="4A8A3300">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0.128</w:t>
            </w:r>
          </w:p>
        </w:tc>
        <w:tc>
          <w:tcPr>
            <w:tcW w:w="906" w:type="dxa"/>
            <w:tcBorders>
              <w:top w:val="nil"/>
              <w:left w:val="nil"/>
              <w:bottom w:val="nil"/>
              <w:right w:val="nil"/>
            </w:tcBorders>
            <w:shd w:val="clear" w:color="auto" w:fill="FFFFFF"/>
            <w:vAlign w:val="center"/>
          </w:tcPr>
          <w:p w14:paraId="604AEA92">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0.761</w:t>
            </w:r>
          </w:p>
        </w:tc>
      </w:tr>
      <w:tr w14:paraId="43583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674EC9BA">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1193" w:type="dxa"/>
            <w:tcBorders>
              <w:top w:val="nil"/>
              <w:left w:val="nil"/>
              <w:bottom w:val="nil"/>
              <w:right w:val="nil"/>
            </w:tcBorders>
            <w:shd w:val="clear" w:color="auto" w:fill="FFFFFF"/>
            <w:vAlign w:val="center"/>
          </w:tcPr>
          <w:p w14:paraId="6AC5CA59">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No</w:t>
            </w:r>
          </w:p>
        </w:tc>
        <w:tc>
          <w:tcPr>
            <w:tcW w:w="805" w:type="dxa"/>
            <w:tcBorders>
              <w:top w:val="nil"/>
              <w:left w:val="nil"/>
              <w:bottom w:val="nil"/>
              <w:right w:val="nil"/>
            </w:tcBorders>
            <w:shd w:val="clear" w:color="auto" w:fill="FFFFFF"/>
            <w:vAlign w:val="center"/>
          </w:tcPr>
          <w:p w14:paraId="4FB3A016">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1657 (92.8%)</w:t>
            </w:r>
          </w:p>
        </w:tc>
        <w:tc>
          <w:tcPr>
            <w:tcW w:w="799" w:type="dxa"/>
            <w:tcBorders>
              <w:top w:val="nil"/>
              <w:left w:val="nil"/>
              <w:bottom w:val="nil"/>
              <w:right w:val="nil"/>
            </w:tcBorders>
            <w:shd w:val="clear" w:color="auto" w:fill="FFFFFF"/>
            <w:vAlign w:val="center"/>
          </w:tcPr>
          <w:p w14:paraId="18BC99DD">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289 (92.3%)</w:t>
            </w:r>
          </w:p>
        </w:tc>
        <w:tc>
          <w:tcPr>
            <w:tcW w:w="787" w:type="dxa"/>
            <w:tcBorders>
              <w:top w:val="nil"/>
              <w:left w:val="nil"/>
              <w:bottom w:val="nil"/>
              <w:right w:val="nil"/>
            </w:tcBorders>
            <w:shd w:val="clear" w:color="auto" w:fill="FFFFFF"/>
            <w:vAlign w:val="center"/>
          </w:tcPr>
          <w:p w14:paraId="0A53F45A">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97 (94.2%)</w:t>
            </w:r>
          </w:p>
        </w:tc>
        <w:tc>
          <w:tcPr>
            <w:tcW w:w="813" w:type="dxa"/>
            <w:tcBorders>
              <w:top w:val="nil"/>
              <w:left w:val="nil"/>
              <w:bottom w:val="nil"/>
              <w:right w:val="nil"/>
            </w:tcBorders>
            <w:shd w:val="clear" w:color="auto" w:fill="FFFFFF"/>
            <w:vAlign w:val="center"/>
          </w:tcPr>
          <w:p w14:paraId="6A623CEC">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535 (93.2%)</w:t>
            </w:r>
          </w:p>
        </w:tc>
        <w:tc>
          <w:tcPr>
            <w:tcW w:w="835" w:type="dxa"/>
            <w:tcBorders>
              <w:top w:val="nil"/>
              <w:left w:val="nil"/>
              <w:bottom w:val="nil"/>
              <w:right w:val="nil"/>
            </w:tcBorders>
            <w:shd w:val="clear" w:color="auto" w:fill="FFFFFF"/>
            <w:vAlign w:val="center"/>
          </w:tcPr>
          <w:p w14:paraId="1DA286E6">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151 (90.4%)</w:t>
            </w:r>
          </w:p>
        </w:tc>
        <w:tc>
          <w:tcPr>
            <w:tcW w:w="880" w:type="dxa"/>
            <w:tcBorders>
              <w:top w:val="nil"/>
              <w:left w:val="nil"/>
              <w:bottom w:val="nil"/>
              <w:right w:val="nil"/>
            </w:tcBorders>
            <w:shd w:val="clear" w:color="auto" w:fill="FFFFFF"/>
            <w:vAlign w:val="center"/>
          </w:tcPr>
          <w:p w14:paraId="1454ED9C">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386 (93.0%)</w:t>
            </w:r>
          </w:p>
        </w:tc>
        <w:tc>
          <w:tcPr>
            <w:tcW w:w="901" w:type="dxa"/>
            <w:tcBorders>
              <w:top w:val="nil"/>
              <w:left w:val="nil"/>
              <w:bottom w:val="nil"/>
              <w:right w:val="nil"/>
            </w:tcBorders>
            <w:shd w:val="clear" w:color="auto" w:fill="FFFFFF"/>
            <w:vAlign w:val="center"/>
          </w:tcPr>
          <w:p w14:paraId="624A0650">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199 (93.0%)</w:t>
            </w:r>
          </w:p>
        </w:tc>
        <w:tc>
          <w:tcPr>
            <w:tcW w:w="906" w:type="dxa"/>
            <w:tcBorders>
              <w:top w:val="nil"/>
              <w:left w:val="nil"/>
              <w:bottom w:val="nil"/>
              <w:right w:val="nil"/>
            </w:tcBorders>
            <w:shd w:val="clear" w:color="auto" w:fill="FFFFFF"/>
            <w:vAlign w:val="center"/>
          </w:tcPr>
          <w:p w14:paraId="5826D57B">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c>
          <w:tcPr>
            <w:tcW w:w="906" w:type="dxa"/>
            <w:tcBorders>
              <w:top w:val="nil"/>
              <w:left w:val="nil"/>
              <w:bottom w:val="nil"/>
              <w:right w:val="nil"/>
            </w:tcBorders>
            <w:shd w:val="clear" w:color="auto" w:fill="FFFFFF"/>
            <w:vAlign w:val="center"/>
          </w:tcPr>
          <w:p w14:paraId="6D54A329">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r>
      <w:tr w14:paraId="75C3B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21EA8A61">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1193" w:type="dxa"/>
            <w:tcBorders>
              <w:top w:val="nil"/>
              <w:left w:val="nil"/>
              <w:bottom w:val="nil"/>
              <w:right w:val="nil"/>
            </w:tcBorders>
            <w:shd w:val="clear" w:color="auto" w:fill="FFFFFF"/>
            <w:vAlign w:val="center"/>
          </w:tcPr>
          <w:p w14:paraId="1C996CD7">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Yes</w:t>
            </w:r>
          </w:p>
        </w:tc>
        <w:tc>
          <w:tcPr>
            <w:tcW w:w="805" w:type="dxa"/>
            <w:tcBorders>
              <w:top w:val="nil"/>
              <w:left w:val="nil"/>
              <w:bottom w:val="nil"/>
              <w:right w:val="nil"/>
            </w:tcBorders>
            <w:shd w:val="clear" w:color="auto" w:fill="FFFFFF"/>
            <w:vAlign w:val="center"/>
          </w:tcPr>
          <w:p w14:paraId="68738DDC">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128 (7.2%)</w:t>
            </w:r>
          </w:p>
        </w:tc>
        <w:tc>
          <w:tcPr>
            <w:tcW w:w="799" w:type="dxa"/>
            <w:tcBorders>
              <w:top w:val="nil"/>
              <w:left w:val="nil"/>
              <w:bottom w:val="nil"/>
              <w:right w:val="nil"/>
            </w:tcBorders>
            <w:shd w:val="clear" w:color="auto" w:fill="FFFFFF"/>
            <w:vAlign w:val="center"/>
          </w:tcPr>
          <w:p w14:paraId="656F98D0">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23 (7.3%)</w:t>
            </w:r>
          </w:p>
        </w:tc>
        <w:tc>
          <w:tcPr>
            <w:tcW w:w="787" w:type="dxa"/>
            <w:tcBorders>
              <w:top w:val="nil"/>
              <w:left w:val="nil"/>
              <w:bottom w:val="nil"/>
              <w:right w:val="nil"/>
            </w:tcBorders>
            <w:shd w:val="clear" w:color="auto" w:fill="FFFFFF"/>
            <w:vAlign w:val="center"/>
          </w:tcPr>
          <w:p w14:paraId="247EE22D">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6 (5.8%)</w:t>
            </w:r>
          </w:p>
        </w:tc>
        <w:tc>
          <w:tcPr>
            <w:tcW w:w="813" w:type="dxa"/>
            <w:tcBorders>
              <w:top w:val="nil"/>
              <w:left w:val="nil"/>
              <w:bottom w:val="nil"/>
              <w:right w:val="nil"/>
            </w:tcBorders>
            <w:shd w:val="clear" w:color="auto" w:fill="FFFFFF"/>
            <w:vAlign w:val="center"/>
          </w:tcPr>
          <w:p w14:paraId="3CD3119A">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39 (6.8%)</w:t>
            </w:r>
          </w:p>
        </w:tc>
        <w:tc>
          <w:tcPr>
            <w:tcW w:w="835" w:type="dxa"/>
            <w:tcBorders>
              <w:top w:val="nil"/>
              <w:left w:val="nil"/>
              <w:bottom w:val="nil"/>
              <w:right w:val="nil"/>
            </w:tcBorders>
            <w:shd w:val="clear" w:color="auto" w:fill="FFFFFF"/>
            <w:vAlign w:val="center"/>
          </w:tcPr>
          <w:p w14:paraId="377CE3DC">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16 (9.6%)</w:t>
            </w:r>
          </w:p>
        </w:tc>
        <w:tc>
          <w:tcPr>
            <w:tcW w:w="880" w:type="dxa"/>
            <w:tcBorders>
              <w:top w:val="nil"/>
              <w:left w:val="nil"/>
              <w:bottom w:val="nil"/>
              <w:right w:val="nil"/>
            </w:tcBorders>
            <w:shd w:val="clear" w:color="auto" w:fill="FFFFFF"/>
            <w:vAlign w:val="center"/>
          </w:tcPr>
          <w:p w14:paraId="67BE74BE">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29 (7.0%)</w:t>
            </w:r>
          </w:p>
        </w:tc>
        <w:tc>
          <w:tcPr>
            <w:tcW w:w="901" w:type="dxa"/>
            <w:tcBorders>
              <w:top w:val="nil"/>
              <w:left w:val="nil"/>
              <w:bottom w:val="nil"/>
              <w:right w:val="nil"/>
            </w:tcBorders>
            <w:shd w:val="clear" w:color="auto" w:fill="FFFFFF"/>
            <w:vAlign w:val="center"/>
          </w:tcPr>
          <w:p w14:paraId="421EC7AA">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15 (7.0%)</w:t>
            </w:r>
          </w:p>
        </w:tc>
        <w:tc>
          <w:tcPr>
            <w:tcW w:w="906" w:type="dxa"/>
            <w:tcBorders>
              <w:top w:val="nil"/>
              <w:left w:val="nil"/>
              <w:bottom w:val="nil"/>
              <w:right w:val="nil"/>
            </w:tcBorders>
            <w:shd w:val="clear" w:color="auto" w:fill="FFFFFF"/>
            <w:vAlign w:val="center"/>
          </w:tcPr>
          <w:p w14:paraId="5B860A18">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c>
          <w:tcPr>
            <w:tcW w:w="906" w:type="dxa"/>
            <w:tcBorders>
              <w:top w:val="nil"/>
              <w:left w:val="nil"/>
              <w:bottom w:val="nil"/>
              <w:right w:val="nil"/>
            </w:tcBorders>
            <w:shd w:val="clear" w:color="auto" w:fill="FFFFFF"/>
            <w:vAlign w:val="center"/>
          </w:tcPr>
          <w:p w14:paraId="397E775B">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r>
      <w:tr w14:paraId="2D954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7A98F98B">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1193" w:type="dxa"/>
            <w:tcBorders>
              <w:top w:val="nil"/>
              <w:left w:val="nil"/>
              <w:bottom w:val="nil"/>
              <w:right w:val="nil"/>
            </w:tcBorders>
            <w:shd w:val="clear" w:color="auto" w:fill="FFFFFF"/>
            <w:vAlign w:val="center"/>
          </w:tcPr>
          <w:p w14:paraId="5AEAE25B">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Missing</w:t>
            </w:r>
          </w:p>
        </w:tc>
        <w:tc>
          <w:tcPr>
            <w:tcW w:w="805" w:type="dxa"/>
            <w:tcBorders>
              <w:top w:val="nil"/>
              <w:left w:val="nil"/>
              <w:bottom w:val="nil"/>
              <w:right w:val="nil"/>
            </w:tcBorders>
            <w:shd w:val="clear" w:color="auto" w:fill="FFFFFF"/>
            <w:vAlign w:val="center"/>
          </w:tcPr>
          <w:p w14:paraId="3F5CA481">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 (0.1%)</w:t>
            </w:r>
          </w:p>
        </w:tc>
        <w:tc>
          <w:tcPr>
            <w:tcW w:w="799" w:type="dxa"/>
            <w:tcBorders>
              <w:top w:val="nil"/>
              <w:left w:val="nil"/>
              <w:bottom w:val="nil"/>
              <w:right w:val="nil"/>
            </w:tcBorders>
            <w:shd w:val="clear" w:color="auto" w:fill="FFFFFF"/>
            <w:vAlign w:val="center"/>
          </w:tcPr>
          <w:p w14:paraId="1B6103F3">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 (0.3%)</w:t>
            </w:r>
          </w:p>
        </w:tc>
        <w:tc>
          <w:tcPr>
            <w:tcW w:w="787" w:type="dxa"/>
            <w:tcBorders>
              <w:top w:val="nil"/>
              <w:left w:val="nil"/>
              <w:bottom w:val="nil"/>
              <w:right w:val="nil"/>
            </w:tcBorders>
            <w:shd w:val="clear" w:color="auto" w:fill="FFFFFF"/>
            <w:vAlign w:val="center"/>
          </w:tcPr>
          <w:p w14:paraId="15F4B80B">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 (0.0%)</w:t>
            </w:r>
          </w:p>
        </w:tc>
        <w:tc>
          <w:tcPr>
            <w:tcW w:w="813" w:type="dxa"/>
            <w:tcBorders>
              <w:top w:val="nil"/>
              <w:left w:val="nil"/>
              <w:bottom w:val="nil"/>
              <w:right w:val="nil"/>
            </w:tcBorders>
            <w:shd w:val="clear" w:color="auto" w:fill="FFFFFF"/>
            <w:vAlign w:val="center"/>
          </w:tcPr>
          <w:p w14:paraId="2F8C85F3">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 (0.0%)</w:t>
            </w:r>
          </w:p>
        </w:tc>
        <w:tc>
          <w:tcPr>
            <w:tcW w:w="835" w:type="dxa"/>
            <w:tcBorders>
              <w:top w:val="nil"/>
              <w:left w:val="nil"/>
              <w:bottom w:val="nil"/>
              <w:right w:val="nil"/>
            </w:tcBorders>
            <w:shd w:val="clear" w:color="auto" w:fill="FFFFFF"/>
            <w:vAlign w:val="center"/>
          </w:tcPr>
          <w:p w14:paraId="2672F85C">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 (0.0%)</w:t>
            </w:r>
          </w:p>
        </w:tc>
        <w:tc>
          <w:tcPr>
            <w:tcW w:w="880" w:type="dxa"/>
            <w:tcBorders>
              <w:top w:val="nil"/>
              <w:left w:val="nil"/>
              <w:bottom w:val="nil"/>
              <w:right w:val="nil"/>
            </w:tcBorders>
            <w:shd w:val="clear" w:color="auto" w:fill="FFFFFF"/>
            <w:vAlign w:val="center"/>
          </w:tcPr>
          <w:p w14:paraId="66B85161">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 (0.0%)</w:t>
            </w:r>
          </w:p>
        </w:tc>
        <w:tc>
          <w:tcPr>
            <w:tcW w:w="901" w:type="dxa"/>
            <w:tcBorders>
              <w:top w:val="nil"/>
              <w:left w:val="nil"/>
              <w:bottom w:val="nil"/>
              <w:right w:val="nil"/>
            </w:tcBorders>
            <w:shd w:val="clear" w:color="auto" w:fill="FFFFFF"/>
            <w:vAlign w:val="center"/>
          </w:tcPr>
          <w:p w14:paraId="12B44AA2">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 (0.0%)</w:t>
            </w:r>
          </w:p>
        </w:tc>
        <w:tc>
          <w:tcPr>
            <w:tcW w:w="906" w:type="dxa"/>
            <w:tcBorders>
              <w:top w:val="nil"/>
              <w:left w:val="nil"/>
              <w:bottom w:val="nil"/>
              <w:right w:val="nil"/>
            </w:tcBorders>
            <w:shd w:val="clear" w:color="auto" w:fill="FFFFFF"/>
            <w:vAlign w:val="center"/>
          </w:tcPr>
          <w:p w14:paraId="6D2779E8">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c>
          <w:tcPr>
            <w:tcW w:w="906" w:type="dxa"/>
            <w:tcBorders>
              <w:top w:val="nil"/>
              <w:left w:val="nil"/>
              <w:bottom w:val="nil"/>
              <w:right w:val="nil"/>
            </w:tcBorders>
            <w:shd w:val="clear" w:color="auto" w:fill="FFFFFF"/>
            <w:vAlign w:val="center"/>
          </w:tcPr>
          <w:p w14:paraId="239ACEF9">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r>
      <w:tr w14:paraId="2C50B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1586327E">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Female-specific covariate</w:t>
            </w:r>
          </w:p>
        </w:tc>
        <w:tc>
          <w:tcPr>
            <w:tcW w:w="1193" w:type="dxa"/>
            <w:tcBorders>
              <w:top w:val="nil"/>
              <w:left w:val="nil"/>
              <w:bottom w:val="nil"/>
              <w:right w:val="nil"/>
            </w:tcBorders>
            <w:shd w:val="clear" w:color="auto" w:fill="FFFFFF"/>
            <w:vAlign w:val="center"/>
          </w:tcPr>
          <w:p w14:paraId="1CB1F0E7">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805" w:type="dxa"/>
            <w:tcBorders>
              <w:top w:val="nil"/>
              <w:left w:val="nil"/>
              <w:bottom w:val="nil"/>
              <w:right w:val="nil"/>
            </w:tcBorders>
            <w:shd w:val="clear" w:color="auto" w:fill="FFFFFF"/>
            <w:vAlign w:val="center"/>
          </w:tcPr>
          <w:p w14:paraId="0DCB3917">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799" w:type="dxa"/>
            <w:tcBorders>
              <w:top w:val="nil"/>
              <w:left w:val="nil"/>
              <w:bottom w:val="nil"/>
              <w:right w:val="nil"/>
            </w:tcBorders>
            <w:shd w:val="clear" w:color="auto" w:fill="FFFFFF"/>
            <w:vAlign w:val="center"/>
          </w:tcPr>
          <w:p w14:paraId="0457502D">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787" w:type="dxa"/>
            <w:tcBorders>
              <w:top w:val="nil"/>
              <w:left w:val="nil"/>
              <w:bottom w:val="nil"/>
              <w:right w:val="nil"/>
            </w:tcBorders>
            <w:shd w:val="clear" w:color="auto" w:fill="FFFFFF"/>
            <w:vAlign w:val="center"/>
          </w:tcPr>
          <w:p w14:paraId="008A3A40">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813" w:type="dxa"/>
            <w:tcBorders>
              <w:top w:val="nil"/>
              <w:left w:val="nil"/>
              <w:bottom w:val="nil"/>
              <w:right w:val="nil"/>
            </w:tcBorders>
            <w:shd w:val="clear" w:color="auto" w:fill="FFFFFF"/>
            <w:vAlign w:val="center"/>
          </w:tcPr>
          <w:p w14:paraId="18D61D50">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835" w:type="dxa"/>
            <w:tcBorders>
              <w:top w:val="nil"/>
              <w:left w:val="nil"/>
              <w:bottom w:val="nil"/>
              <w:right w:val="nil"/>
            </w:tcBorders>
            <w:shd w:val="clear" w:color="auto" w:fill="FFFFFF"/>
            <w:vAlign w:val="center"/>
          </w:tcPr>
          <w:p w14:paraId="73B8B603">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880" w:type="dxa"/>
            <w:tcBorders>
              <w:top w:val="nil"/>
              <w:left w:val="nil"/>
              <w:bottom w:val="nil"/>
              <w:right w:val="nil"/>
            </w:tcBorders>
            <w:shd w:val="clear" w:color="auto" w:fill="FFFFFF"/>
            <w:vAlign w:val="center"/>
          </w:tcPr>
          <w:p w14:paraId="7FF79782">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901" w:type="dxa"/>
            <w:tcBorders>
              <w:top w:val="nil"/>
              <w:left w:val="nil"/>
              <w:bottom w:val="nil"/>
              <w:right w:val="nil"/>
            </w:tcBorders>
            <w:shd w:val="clear" w:color="auto" w:fill="FFFFFF"/>
            <w:vAlign w:val="center"/>
          </w:tcPr>
          <w:p w14:paraId="14F5ACC7">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906" w:type="dxa"/>
            <w:tcBorders>
              <w:top w:val="nil"/>
              <w:left w:val="nil"/>
              <w:bottom w:val="nil"/>
              <w:right w:val="nil"/>
            </w:tcBorders>
            <w:shd w:val="clear" w:color="auto" w:fill="FFFFFF"/>
            <w:vAlign w:val="center"/>
          </w:tcPr>
          <w:p w14:paraId="29430109">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c>
          <w:tcPr>
            <w:tcW w:w="906" w:type="dxa"/>
            <w:tcBorders>
              <w:top w:val="nil"/>
              <w:left w:val="nil"/>
              <w:bottom w:val="nil"/>
              <w:right w:val="nil"/>
            </w:tcBorders>
            <w:shd w:val="clear" w:color="auto" w:fill="FFFFFF"/>
            <w:vAlign w:val="center"/>
          </w:tcPr>
          <w:p w14:paraId="0005D68E">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r>
      <w:tr w14:paraId="4DA1D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720EAD67">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Menopausal status (women only), n (%)</w:t>
            </w:r>
          </w:p>
        </w:tc>
        <w:tc>
          <w:tcPr>
            <w:tcW w:w="1193" w:type="dxa"/>
            <w:tcBorders>
              <w:top w:val="nil"/>
              <w:left w:val="nil"/>
              <w:bottom w:val="nil"/>
              <w:right w:val="nil"/>
            </w:tcBorders>
            <w:shd w:val="clear" w:color="auto" w:fill="FFFFFF"/>
            <w:vAlign w:val="center"/>
          </w:tcPr>
          <w:p w14:paraId="0552E7A2">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805" w:type="dxa"/>
            <w:tcBorders>
              <w:top w:val="nil"/>
              <w:left w:val="nil"/>
              <w:bottom w:val="nil"/>
              <w:right w:val="nil"/>
            </w:tcBorders>
            <w:shd w:val="clear" w:color="auto" w:fill="FFFFFF"/>
            <w:vAlign w:val="center"/>
          </w:tcPr>
          <w:p w14:paraId="19846B22">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799" w:type="dxa"/>
            <w:tcBorders>
              <w:top w:val="nil"/>
              <w:left w:val="nil"/>
              <w:bottom w:val="nil"/>
              <w:right w:val="nil"/>
            </w:tcBorders>
            <w:shd w:val="clear" w:color="auto" w:fill="FFFFFF"/>
            <w:vAlign w:val="center"/>
          </w:tcPr>
          <w:p w14:paraId="486E20E0">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787" w:type="dxa"/>
            <w:tcBorders>
              <w:top w:val="nil"/>
              <w:left w:val="nil"/>
              <w:bottom w:val="nil"/>
              <w:right w:val="nil"/>
            </w:tcBorders>
            <w:shd w:val="clear" w:color="auto" w:fill="FFFFFF"/>
            <w:vAlign w:val="center"/>
          </w:tcPr>
          <w:p w14:paraId="24DCA88E">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813" w:type="dxa"/>
            <w:tcBorders>
              <w:top w:val="nil"/>
              <w:left w:val="nil"/>
              <w:bottom w:val="nil"/>
              <w:right w:val="nil"/>
            </w:tcBorders>
            <w:shd w:val="clear" w:color="auto" w:fill="FFFFFF"/>
            <w:vAlign w:val="center"/>
          </w:tcPr>
          <w:p w14:paraId="700EEBE4">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835" w:type="dxa"/>
            <w:tcBorders>
              <w:top w:val="nil"/>
              <w:left w:val="nil"/>
              <w:bottom w:val="nil"/>
              <w:right w:val="nil"/>
            </w:tcBorders>
            <w:shd w:val="clear" w:color="auto" w:fill="FFFFFF"/>
            <w:vAlign w:val="center"/>
          </w:tcPr>
          <w:p w14:paraId="0EF3200F">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880" w:type="dxa"/>
            <w:tcBorders>
              <w:top w:val="nil"/>
              <w:left w:val="nil"/>
              <w:bottom w:val="nil"/>
              <w:right w:val="nil"/>
            </w:tcBorders>
            <w:shd w:val="clear" w:color="auto" w:fill="FFFFFF"/>
            <w:vAlign w:val="center"/>
          </w:tcPr>
          <w:p w14:paraId="04EF63AF">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901" w:type="dxa"/>
            <w:tcBorders>
              <w:top w:val="nil"/>
              <w:left w:val="nil"/>
              <w:bottom w:val="nil"/>
              <w:right w:val="nil"/>
            </w:tcBorders>
            <w:shd w:val="clear" w:color="auto" w:fill="FFFFFF"/>
            <w:vAlign w:val="center"/>
          </w:tcPr>
          <w:p w14:paraId="4D1FE757">
            <w:pPr>
              <w:snapToGrid w:val="0"/>
              <w:ind w:left="0" w:leftChars="0" w:right="0" w:rightChars="0" w:firstLine="0" w:firstLineChars="0"/>
              <w:jc w:val="center"/>
              <w:rPr>
                <w:rFonts w:hint="default" w:ascii="Times New Roman" w:hAnsi="Times New Roman" w:cs="Times New Roman"/>
                <w:b w:val="0"/>
                <w:i w:val="0"/>
                <w:color w:val="08090C"/>
                <w:sz w:val="20"/>
                <w:szCs w:val="20"/>
              </w:rPr>
            </w:pPr>
          </w:p>
        </w:tc>
        <w:tc>
          <w:tcPr>
            <w:tcW w:w="906" w:type="dxa"/>
            <w:tcBorders>
              <w:top w:val="nil"/>
              <w:left w:val="nil"/>
              <w:bottom w:val="nil"/>
              <w:right w:val="nil"/>
            </w:tcBorders>
            <w:shd w:val="clear" w:color="auto" w:fill="FFFFFF"/>
            <w:vAlign w:val="center"/>
          </w:tcPr>
          <w:p w14:paraId="755A36DA">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0.784</w:t>
            </w:r>
          </w:p>
        </w:tc>
        <w:tc>
          <w:tcPr>
            <w:tcW w:w="906" w:type="dxa"/>
            <w:tcBorders>
              <w:top w:val="nil"/>
              <w:left w:val="nil"/>
              <w:bottom w:val="nil"/>
              <w:right w:val="nil"/>
            </w:tcBorders>
            <w:shd w:val="clear" w:color="auto" w:fill="FFFFFF"/>
            <w:vAlign w:val="center"/>
          </w:tcPr>
          <w:p w14:paraId="2C638EC6">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&lt;</w:t>
            </w:r>
            <w:r>
              <w:rPr>
                <w:rFonts w:hint="default" w:ascii="Times New Roman" w:hAnsi="Times New Roman" w:cs="Times New Roman"/>
                <w:b w:val="0"/>
                <w:i w:val="0"/>
                <w:color w:val="08090C"/>
                <w:sz w:val="20"/>
                <w:szCs w:val="20"/>
                <w:lang w:val="en-US" w:eastAsia="zh-CN"/>
              </w:rPr>
              <w:t xml:space="preserve"> </w:t>
            </w:r>
            <w:r>
              <w:rPr>
                <w:rFonts w:hint="default" w:ascii="Times New Roman" w:hAnsi="Times New Roman" w:cs="Times New Roman"/>
                <w:b w:val="0"/>
                <w:i w:val="0"/>
                <w:color w:val="08090C"/>
                <w:sz w:val="20"/>
                <w:szCs w:val="20"/>
              </w:rPr>
              <w:t>0.001</w:t>
            </w:r>
          </w:p>
        </w:tc>
      </w:tr>
      <w:tr w14:paraId="55B55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26B603B0">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1193" w:type="dxa"/>
            <w:tcBorders>
              <w:top w:val="nil"/>
              <w:left w:val="nil"/>
              <w:bottom w:val="nil"/>
              <w:right w:val="nil"/>
            </w:tcBorders>
            <w:shd w:val="clear" w:color="auto" w:fill="FFFFFF"/>
            <w:vAlign w:val="center"/>
          </w:tcPr>
          <w:p w14:paraId="4DAEBBDA">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Postmenopausal</w:t>
            </w:r>
          </w:p>
        </w:tc>
        <w:tc>
          <w:tcPr>
            <w:tcW w:w="805" w:type="dxa"/>
            <w:tcBorders>
              <w:top w:val="nil"/>
              <w:left w:val="nil"/>
              <w:bottom w:val="nil"/>
              <w:right w:val="nil"/>
            </w:tcBorders>
            <w:shd w:val="clear" w:color="auto" w:fill="FFFFFF"/>
            <w:vAlign w:val="center"/>
          </w:tcPr>
          <w:p w14:paraId="611475A8">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1181 (89.5%)</w:t>
            </w:r>
          </w:p>
        </w:tc>
        <w:tc>
          <w:tcPr>
            <w:tcW w:w="799" w:type="dxa"/>
            <w:tcBorders>
              <w:top w:val="nil"/>
              <w:left w:val="nil"/>
              <w:bottom w:val="nil"/>
              <w:right w:val="nil"/>
            </w:tcBorders>
            <w:shd w:val="clear" w:color="auto" w:fill="FFFFFF"/>
            <w:vAlign w:val="center"/>
          </w:tcPr>
          <w:p w14:paraId="4E49B676">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136 (68.3%)</w:t>
            </w:r>
          </w:p>
        </w:tc>
        <w:tc>
          <w:tcPr>
            <w:tcW w:w="787" w:type="dxa"/>
            <w:tcBorders>
              <w:top w:val="nil"/>
              <w:left w:val="nil"/>
              <w:bottom w:val="nil"/>
              <w:right w:val="nil"/>
            </w:tcBorders>
            <w:shd w:val="clear" w:color="auto" w:fill="FFFFFF"/>
            <w:vAlign w:val="center"/>
          </w:tcPr>
          <w:p w14:paraId="11A4A237">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47 (79.7%)</w:t>
            </w:r>
          </w:p>
        </w:tc>
        <w:tc>
          <w:tcPr>
            <w:tcW w:w="813" w:type="dxa"/>
            <w:tcBorders>
              <w:top w:val="nil"/>
              <w:left w:val="nil"/>
              <w:bottom w:val="nil"/>
              <w:right w:val="nil"/>
            </w:tcBorders>
            <w:shd w:val="clear" w:color="auto" w:fill="FFFFFF"/>
            <w:vAlign w:val="center"/>
          </w:tcPr>
          <w:p w14:paraId="17315F3B">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373 (89.7%)</w:t>
            </w:r>
          </w:p>
        </w:tc>
        <w:tc>
          <w:tcPr>
            <w:tcW w:w="835" w:type="dxa"/>
            <w:tcBorders>
              <w:top w:val="nil"/>
              <w:left w:val="nil"/>
              <w:bottom w:val="nil"/>
              <w:right w:val="nil"/>
            </w:tcBorders>
            <w:shd w:val="clear" w:color="auto" w:fill="FFFFFF"/>
            <w:vAlign w:val="center"/>
          </w:tcPr>
          <w:p w14:paraId="581FA5BE">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105 (92.9%)</w:t>
            </w:r>
          </w:p>
        </w:tc>
        <w:tc>
          <w:tcPr>
            <w:tcW w:w="880" w:type="dxa"/>
            <w:tcBorders>
              <w:top w:val="nil"/>
              <w:left w:val="nil"/>
              <w:bottom w:val="nil"/>
              <w:right w:val="nil"/>
            </w:tcBorders>
            <w:shd w:val="clear" w:color="auto" w:fill="FFFFFF"/>
            <w:vAlign w:val="center"/>
          </w:tcPr>
          <w:p w14:paraId="46C4DFBB">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345 (97.5%)</w:t>
            </w:r>
          </w:p>
        </w:tc>
        <w:tc>
          <w:tcPr>
            <w:tcW w:w="901" w:type="dxa"/>
            <w:tcBorders>
              <w:top w:val="nil"/>
              <w:left w:val="nil"/>
              <w:bottom w:val="nil"/>
              <w:right w:val="nil"/>
            </w:tcBorders>
            <w:shd w:val="clear" w:color="auto" w:fill="FFFFFF"/>
            <w:vAlign w:val="center"/>
          </w:tcPr>
          <w:p w14:paraId="08E8C456">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175 (97.8%)</w:t>
            </w:r>
          </w:p>
        </w:tc>
        <w:tc>
          <w:tcPr>
            <w:tcW w:w="906" w:type="dxa"/>
            <w:tcBorders>
              <w:top w:val="nil"/>
              <w:left w:val="nil"/>
              <w:bottom w:val="nil"/>
              <w:right w:val="nil"/>
            </w:tcBorders>
            <w:shd w:val="clear" w:color="auto" w:fill="FFFFFF"/>
            <w:vAlign w:val="center"/>
          </w:tcPr>
          <w:p w14:paraId="211A8FFD">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c>
          <w:tcPr>
            <w:tcW w:w="906" w:type="dxa"/>
            <w:tcBorders>
              <w:top w:val="nil"/>
              <w:left w:val="nil"/>
              <w:bottom w:val="nil"/>
              <w:right w:val="nil"/>
            </w:tcBorders>
            <w:shd w:val="clear" w:color="auto" w:fill="FFFFFF"/>
            <w:vAlign w:val="center"/>
          </w:tcPr>
          <w:p w14:paraId="7653441D">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r>
      <w:tr w14:paraId="27551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nil"/>
              <w:right w:val="nil"/>
            </w:tcBorders>
            <w:shd w:val="clear" w:color="auto" w:fill="FFFFFF"/>
            <w:vAlign w:val="center"/>
          </w:tcPr>
          <w:p w14:paraId="2BE43D63">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1193" w:type="dxa"/>
            <w:tcBorders>
              <w:top w:val="nil"/>
              <w:left w:val="nil"/>
              <w:bottom w:val="nil"/>
              <w:right w:val="nil"/>
            </w:tcBorders>
            <w:shd w:val="clear" w:color="auto" w:fill="FFFFFF"/>
            <w:vAlign w:val="center"/>
          </w:tcPr>
          <w:p w14:paraId="0F60A804">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Premenopausal</w:t>
            </w:r>
          </w:p>
        </w:tc>
        <w:tc>
          <w:tcPr>
            <w:tcW w:w="805" w:type="dxa"/>
            <w:tcBorders>
              <w:top w:val="nil"/>
              <w:left w:val="nil"/>
              <w:bottom w:val="nil"/>
              <w:right w:val="nil"/>
            </w:tcBorders>
            <w:shd w:val="clear" w:color="auto" w:fill="FFFFFF"/>
            <w:vAlign w:val="center"/>
          </w:tcPr>
          <w:p w14:paraId="0DE9BEA4">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130 (9.8%)</w:t>
            </w:r>
          </w:p>
        </w:tc>
        <w:tc>
          <w:tcPr>
            <w:tcW w:w="799" w:type="dxa"/>
            <w:tcBorders>
              <w:top w:val="nil"/>
              <w:left w:val="nil"/>
              <w:bottom w:val="nil"/>
              <w:right w:val="nil"/>
            </w:tcBorders>
            <w:shd w:val="clear" w:color="auto" w:fill="FFFFFF"/>
            <w:vAlign w:val="center"/>
          </w:tcPr>
          <w:p w14:paraId="122A55C0">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60 (30.2%)</w:t>
            </w:r>
          </w:p>
        </w:tc>
        <w:tc>
          <w:tcPr>
            <w:tcW w:w="787" w:type="dxa"/>
            <w:tcBorders>
              <w:top w:val="nil"/>
              <w:left w:val="nil"/>
              <w:bottom w:val="nil"/>
              <w:right w:val="nil"/>
            </w:tcBorders>
            <w:shd w:val="clear" w:color="auto" w:fill="FFFFFF"/>
            <w:vAlign w:val="center"/>
          </w:tcPr>
          <w:p w14:paraId="16AD098A">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10 (16.9%)</w:t>
            </w:r>
          </w:p>
        </w:tc>
        <w:tc>
          <w:tcPr>
            <w:tcW w:w="813" w:type="dxa"/>
            <w:tcBorders>
              <w:top w:val="nil"/>
              <w:left w:val="nil"/>
              <w:bottom w:val="nil"/>
              <w:right w:val="nil"/>
            </w:tcBorders>
            <w:shd w:val="clear" w:color="auto" w:fill="FFFFFF"/>
            <w:vAlign w:val="center"/>
          </w:tcPr>
          <w:p w14:paraId="59DF97C7">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42 (10.1%)</w:t>
            </w:r>
          </w:p>
        </w:tc>
        <w:tc>
          <w:tcPr>
            <w:tcW w:w="835" w:type="dxa"/>
            <w:tcBorders>
              <w:top w:val="nil"/>
              <w:left w:val="nil"/>
              <w:bottom w:val="nil"/>
              <w:right w:val="nil"/>
            </w:tcBorders>
            <w:shd w:val="clear" w:color="auto" w:fill="FFFFFF"/>
            <w:vAlign w:val="center"/>
          </w:tcPr>
          <w:p w14:paraId="59D9D715">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8 (7.1%)</w:t>
            </w:r>
          </w:p>
        </w:tc>
        <w:tc>
          <w:tcPr>
            <w:tcW w:w="880" w:type="dxa"/>
            <w:tcBorders>
              <w:top w:val="nil"/>
              <w:left w:val="nil"/>
              <w:bottom w:val="nil"/>
              <w:right w:val="nil"/>
            </w:tcBorders>
            <w:shd w:val="clear" w:color="auto" w:fill="FFFFFF"/>
            <w:vAlign w:val="center"/>
          </w:tcPr>
          <w:p w14:paraId="04DFD7BE">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7 (2.0%)</w:t>
            </w:r>
          </w:p>
        </w:tc>
        <w:tc>
          <w:tcPr>
            <w:tcW w:w="901" w:type="dxa"/>
            <w:tcBorders>
              <w:top w:val="nil"/>
              <w:left w:val="nil"/>
              <w:bottom w:val="nil"/>
              <w:right w:val="nil"/>
            </w:tcBorders>
            <w:shd w:val="clear" w:color="auto" w:fill="FFFFFF"/>
            <w:vAlign w:val="center"/>
          </w:tcPr>
          <w:p w14:paraId="3731CB46">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3 (1.7%)</w:t>
            </w:r>
          </w:p>
        </w:tc>
        <w:tc>
          <w:tcPr>
            <w:tcW w:w="906" w:type="dxa"/>
            <w:tcBorders>
              <w:top w:val="nil"/>
              <w:left w:val="nil"/>
              <w:bottom w:val="nil"/>
              <w:right w:val="nil"/>
            </w:tcBorders>
            <w:shd w:val="clear" w:color="auto" w:fill="FFFFFF"/>
            <w:vAlign w:val="center"/>
          </w:tcPr>
          <w:p w14:paraId="10F0D797">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c>
          <w:tcPr>
            <w:tcW w:w="906" w:type="dxa"/>
            <w:tcBorders>
              <w:top w:val="nil"/>
              <w:left w:val="nil"/>
              <w:bottom w:val="nil"/>
              <w:right w:val="nil"/>
            </w:tcBorders>
            <w:shd w:val="clear" w:color="auto" w:fill="FFFFFF"/>
            <w:vAlign w:val="center"/>
          </w:tcPr>
          <w:p w14:paraId="0B24FDBC">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r>
      <w:tr w14:paraId="40FDA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1" w:type="dxa"/>
            <w:tcBorders>
              <w:top w:val="nil"/>
              <w:left w:val="nil"/>
              <w:bottom w:val="single" w:color="000000" w:themeColor="dark1" w:sz="12" w:space="0"/>
              <w:right w:val="nil"/>
            </w:tcBorders>
            <w:shd w:val="clear" w:color="auto" w:fill="FFFFFF"/>
            <w:vAlign w:val="center"/>
          </w:tcPr>
          <w:p w14:paraId="70B34632">
            <w:pPr>
              <w:snapToGrid w:val="0"/>
              <w:ind w:left="0" w:leftChars="0" w:right="0" w:rightChars="0" w:firstLine="0" w:firstLineChars="0"/>
              <w:jc w:val="left"/>
              <w:rPr>
                <w:rFonts w:hint="default" w:ascii="Times New Roman" w:hAnsi="Times New Roman" w:cs="Times New Roman"/>
                <w:b w:val="0"/>
                <w:i w:val="0"/>
                <w:color w:val="08090C"/>
                <w:sz w:val="20"/>
                <w:szCs w:val="20"/>
              </w:rPr>
            </w:pPr>
          </w:p>
        </w:tc>
        <w:tc>
          <w:tcPr>
            <w:tcW w:w="1193" w:type="dxa"/>
            <w:tcBorders>
              <w:top w:val="nil"/>
              <w:left w:val="nil"/>
              <w:bottom w:val="single" w:color="000000" w:themeColor="dark1" w:sz="12" w:space="0"/>
              <w:right w:val="nil"/>
            </w:tcBorders>
            <w:shd w:val="clear" w:color="auto" w:fill="FFFFFF"/>
            <w:vAlign w:val="center"/>
          </w:tcPr>
          <w:p w14:paraId="04A349F9">
            <w:pPr>
              <w:snapToGrid w:val="0"/>
              <w:ind w:left="0" w:leftChars="0" w:right="0" w:rightChars="0" w:firstLine="0" w:firstLineChars="0"/>
              <w:jc w:val="left"/>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Missing</w:t>
            </w:r>
          </w:p>
        </w:tc>
        <w:tc>
          <w:tcPr>
            <w:tcW w:w="805" w:type="dxa"/>
            <w:tcBorders>
              <w:top w:val="nil"/>
              <w:left w:val="nil"/>
              <w:bottom w:val="single" w:color="000000" w:themeColor="dark1" w:sz="12" w:space="0"/>
              <w:right w:val="nil"/>
            </w:tcBorders>
            <w:shd w:val="clear" w:color="auto" w:fill="FFFFFF"/>
            <w:vAlign w:val="center"/>
          </w:tcPr>
          <w:p w14:paraId="5E81E218">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9 (0.7%)</w:t>
            </w:r>
          </w:p>
        </w:tc>
        <w:tc>
          <w:tcPr>
            <w:tcW w:w="799" w:type="dxa"/>
            <w:tcBorders>
              <w:top w:val="nil"/>
              <w:left w:val="nil"/>
              <w:bottom w:val="single" w:color="000000" w:themeColor="dark1" w:sz="12" w:space="0"/>
              <w:right w:val="nil"/>
            </w:tcBorders>
            <w:shd w:val="clear" w:color="auto" w:fill="FFFFFF"/>
            <w:vAlign w:val="center"/>
          </w:tcPr>
          <w:p w14:paraId="1A080D7C">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3 (1.5%)</w:t>
            </w:r>
          </w:p>
        </w:tc>
        <w:tc>
          <w:tcPr>
            <w:tcW w:w="787" w:type="dxa"/>
            <w:tcBorders>
              <w:top w:val="nil"/>
              <w:left w:val="nil"/>
              <w:bottom w:val="single" w:color="000000" w:themeColor="dark1" w:sz="12" w:space="0"/>
              <w:right w:val="nil"/>
            </w:tcBorders>
            <w:shd w:val="clear" w:color="auto" w:fill="FFFFFF"/>
            <w:vAlign w:val="center"/>
          </w:tcPr>
          <w:p w14:paraId="4BC353BB">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2 (3.4%)</w:t>
            </w:r>
          </w:p>
        </w:tc>
        <w:tc>
          <w:tcPr>
            <w:tcW w:w="813" w:type="dxa"/>
            <w:tcBorders>
              <w:top w:val="nil"/>
              <w:left w:val="nil"/>
              <w:bottom w:val="single" w:color="000000" w:themeColor="dark1" w:sz="12" w:space="0"/>
              <w:right w:val="nil"/>
            </w:tcBorders>
            <w:shd w:val="clear" w:color="auto" w:fill="FFFFFF"/>
            <w:vAlign w:val="center"/>
          </w:tcPr>
          <w:p w14:paraId="4D89496B">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 (0.2%)</w:t>
            </w:r>
          </w:p>
        </w:tc>
        <w:tc>
          <w:tcPr>
            <w:tcW w:w="835" w:type="dxa"/>
            <w:tcBorders>
              <w:top w:val="nil"/>
              <w:left w:val="nil"/>
              <w:bottom w:val="single" w:color="000000" w:themeColor="dark1" w:sz="12" w:space="0"/>
              <w:right w:val="nil"/>
            </w:tcBorders>
            <w:shd w:val="clear" w:color="auto" w:fill="FFFFFF"/>
            <w:vAlign w:val="center"/>
          </w:tcPr>
          <w:p w14:paraId="08A4E43A">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0 (0.0%)</w:t>
            </w:r>
          </w:p>
        </w:tc>
        <w:tc>
          <w:tcPr>
            <w:tcW w:w="880" w:type="dxa"/>
            <w:tcBorders>
              <w:top w:val="nil"/>
              <w:left w:val="nil"/>
              <w:bottom w:val="single" w:color="000000" w:themeColor="dark1" w:sz="12" w:space="0"/>
              <w:right w:val="nil"/>
            </w:tcBorders>
            <w:shd w:val="clear" w:color="auto" w:fill="FFFFFF"/>
            <w:vAlign w:val="center"/>
          </w:tcPr>
          <w:p w14:paraId="238B35F5">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2 (0.6%)</w:t>
            </w:r>
          </w:p>
        </w:tc>
        <w:tc>
          <w:tcPr>
            <w:tcW w:w="901" w:type="dxa"/>
            <w:tcBorders>
              <w:top w:val="nil"/>
              <w:left w:val="nil"/>
              <w:bottom w:val="single" w:color="000000" w:themeColor="dark1" w:sz="12" w:space="0"/>
              <w:right w:val="nil"/>
            </w:tcBorders>
            <w:shd w:val="clear" w:color="auto" w:fill="FFFFFF"/>
            <w:vAlign w:val="center"/>
          </w:tcPr>
          <w:p w14:paraId="534D2240">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cs="Times New Roman"/>
                <w:b w:val="0"/>
                <w:i w:val="0"/>
                <w:color w:val="08090C"/>
                <w:sz w:val="20"/>
                <w:szCs w:val="20"/>
              </w:rPr>
              <w:t>1 (0.6%)</w:t>
            </w:r>
          </w:p>
        </w:tc>
        <w:tc>
          <w:tcPr>
            <w:tcW w:w="906" w:type="dxa"/>
            <w:tcBorders>
              <w:top w:val="nil"/>
              <w:left w:val="nil"/>
              <w:bottom w:val="single" w:color="000000" w:themeColor="dark1" w:sz="12" w:space="0"/>
              <w:right w:val="nil"/>
            </w:tcBorders>
            <w:shd w:val="clear" w:color="auto" w:fill="FFFFFF"/>
            <w:vAlign w:val="center"/>
          </w:tcPr>
          <w:p w14:paraId="3B9539D6">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c>
          <w:tcPr>
            <w:tcW w:w="906" w:type="dxa"/>
            <w:tcBorders>
              <w:top w:val="nil"/>
              <w:left w:val="nil"/>
              <w:bottom w:val="single" w:color="000000" w:themeColor="dark1" w:sz="12" w:space="0"/>
              <w:right w:val="nil"/>
            </w:tcBorders>
            <w:shd w:val="clear" w:color="auto" w:fill="FFFFFF"/>
            <w:vAlign w:val="center"/>
          </w:tcPr>
          <w:p w14:paraId="18E994C0">
            <w:pPr>
              <w:snapToGrid w:val="0"/>
              <w:ind w:left="0" w:leftChars="0" w:right="0" w:rightChars="0" w:firstLine="0" w:firstLineChars="0"/>
              <w:jc w:val="center"/>
              <w:rPr>
                <w:rFonts w:hint="default" w:ascii="Times New Roman" w:hAnsi="Times New Roman" w:cs="Times New Roman"/>
                <w:b w:val="0"/>
                <w:i w:val="0"/>
                <w:color w:val="08090C"/>
                <w:sz w:val="20"/>
                <w:szCs w:val="20"/>
              </w:rPr>
            </w:pPr>
            <w:r>
              <w:rPr>
                <w:rFonts w:hint="default" w:ascii="Times New Roman" w:hAnsi="Times New Roman" w:eastAsia="宋体" w:cs="Times New Roman"/>
                <w:sz w:val="20"/>
                <w:szCs w:val="20"/>
              </w:rPr>
              <w:t>—</w:t>
            </w:r>
          </w:p>
        </w:tc>
      </w:tr>
    </w:tbl>
    <w:p w14:paraId="26F4A922">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rPr>
      </w:pPr>
      <w:r>
        <w:rPr>
          <w:rFonts w:hint="default" w:ascii="Times New Roman" w:hAnsi="Times New Roman" w:cs="Times New Roman"/>
          <w:b/>
          <w:bCs/>
          <w:sz w:val="20"/>
          <w:szCs w:val="20"/>
        </w:rPr>
        <w:t>Note</w:t>
      </w:r>
      <w:r>
        <w:rPr>
          <w:rFonts w:hint="default" w:ascii="Times New Roman" w:hAnsi="Times New Roman" w:cs="Times New Roman"/>
          <w:b/>
          <w:bCs/>
          <w:sz w:val="20"/>
          <w:szCs w:val="20"/>
          <w:lang w:val="en-US" w:eastAsia="zh-CN"/>
        </w:rPr>
        <w:t xml:space="preserve">: </w:t>
      </w:r>
      <w:r>
        <w:rPr>
          <w:rFonts w:hint="default" w:ascii="Times New Roman" w:hAnsi="Times New Roman" w:cs="Times New Roman"/>
          <w:b w:val="0"/>
          <w:bCs w:val="0"/>
          <w:sz w:val="20"/>
          <w:szCs w:val="20"/>
        </w:rPr>
        <w:t xml:space="preserve">Strata were defined by cross-classification of bone mass status (normal, osteopenia, osteoporosis) and possible sarcopenia status (No/Yes). Bone mass status was categorized using lumbar spine and total hip </w:t>
      </w:r>
      <w:r>
        <w:rPr>
          <w:rStyle w:val="8"/>
          <w:rFonts w:hint="default" w:ascii="Times New Roman" w:hAnsi="Times New Roman" w:cs="Times New Roman"/>
          <w:b w:val="0"/>
          <w:bCs w:val="0"/>
          <w:sz w:val="20"/>
          <w:szCs w:val="20"/>
        </w:rPr>
        <w:t>dual-energy X-ray absorptiometry (DXA)</w:t>
      </w:r>
      <w:r>
        <w:rPr>
          <w:rFonts w:hint="default" w:ascii="Times New Roman" w:hAnsi="Times New Roman" w:cs="Times New Roman"/>
          <w:b w:val="0"/>
          <w:bCs w:val="0"/>
          <w:sz w:val="20"/>
          <w:szCs w:val="20"/>
        </w:rPr>
        <w:t xml:space="preserve"> T-scores; possible sarcopenia was defined using prespecified cut-offs (see Methods). Data are n (%) or median [</w:t>
      </w:r>
      <w:r>
        <w:rPr>
          <w:rStyle w:val="8"/>
          <w:rFonts w:hint="default" w:ascii="Times New Roman" w:hAnsi="Times New Roman" w:cs="Times New Roman"/>
          <w:b w:val="0"/>
          <w:bCs w:val="0"/>
          <w:sz w:val="20"/>
          <w:szCs w:val="20"/>
        </w:rPr>
        <w:t>interquartile range (IQR)</w:t>
      </w:r>
      <w:r>
        <w:rPr>
          <w:rFonts w:hint="default" w:ascii="Times New Roman" w:hAnsi="Times New Roman" w:cs="Times New Roman"/>
          <w:b w:val="0"/>
          <w:bCs w:val="0"/>
          <w:sz w:val="20"/>
          <w:szCs w:val="20"/>
        </w:rPr>
        <w:t xml:space="preserve">]. Missing values are shown as a separate category where applicable. </w:t>
      </w:r>
      <w:r>
        <w:rPr>
          <w:rFonts w:hint="default" w:ascii="Times New Roman" w:hAnsi="Times New Roman" w:cs="Times New Roman"/>
          <w:b w:val="0"/>
          <w:bCs w:val="0"/>
          <w:i/>
          <w:iCs/>
          <w:sz w:val="20"/>
          <w:szCs w:val="20"/>
        </w:rPr>
        <w:t>P</w:t>
      </w:r>
      <w:r>
        <w:rPr>
          <w:rFonts w:hint="default" w:ascii="Times New Roman" w:hAnsi="Times New Roman" w:cs="Times New Roman"/>
          <w:b w:val="0"/>
          <w:bCs w:val="0"/>
          <w:sz w:val="20"/>
          <w:szCs w:val="20"/>
        </w:rPr>
        <w:t xml:space="preserve"> values compare distributions across the six strata using </w:t>
      </w:r>
      <w:r>
        <w:rPr>
          <w:rFonts w:hint="default" w:ascii="Times New Roman" w:hAnsi="Times New Roman" w:cs="Times New Roman"/>
          <w:b w:val="0"/>
          <w:bCs w:val="0"/>
          <w:i/>
          <w:iCs/>
          <w:sz w:val="20"/>
          <w:szCs w:val="20"/>
        </w:rPr>
        <w:t>χ</w:t>
      </w:r>
      <w:r>
        <w:rPr>
          <w:rFonts w:hint="default" w:ascii="Times New Roman" w:hAnsi="Times New Roman" w:cs="Times New Roman"/>
          <w:b w:val="0"/>
          <w:bCs w:val="0"/>
          <w:sz w:val="20"/>
          <w:szCs w:val="20"/>
        </w:rPr>
        <w:t xml:space="preserve">² tests (categorical variables) and Kruskal–Wallis tests (continuous variables). </w:t>
      </w:r>
      <w:r>
        <w:rPr>
          <w:rStyle w:val="8"/>
          <w:rFonts w:hint="default" w:ascii="Times New Roman" w:hAnsi="Times New Roman" w:cs="Times New Roman"/>
          <w:b w:val="0"/>
          <w:bCs w:val="0"/>
          <w:sz w:val="20"/>
          <w:szCs w:val="20"/>
        </w:rPr>
        <w:t>ASMD</w:t>
      </w:r>
      <w:r>
        <w:rPr>
          <w:rFonts w:hint="default" w:ascii="Times New Roman" w:hAnsi="Times New Roman" w:cs="Times New Roman"/>
          <w:b w:val="0"/>
          <w:bCs w:val="0"/>
          <w:sz w:val="20"/>
          <w:szCs w:val="20"/>
        </w:rPr>
        <w:t xml:space="preserve"> denotes the maximum pairwise absolute standardized mean difference across the six strata (for multinomial variables, ASMD was computed as the maximum across indicator levels). Menopausal status was summarized among women only; percentages were calculated using the number of women in each stratum as the denominator. Two-sided </w:t>
      </w:r>
      <w:r>
        <w:rPr>
          <w:rFonts w:hint="default" w:ascii="Times New Roman" w:hAnsi="Times New Roman" w:cs="Times New Roman"/>
          <w:b w:val="0"/>
          <w:bCs w:val="0"/>
          <w:i/>
          <w:iCs/>
          <w:sz w:val="20"/>
          <w:szCs w:val="20"/>
        </w:rPr>
        <w:t>P</w:t>
      </w:r>
      <w:r>
        <w:rPr>
          <w:rFonts w:hint="default" w:ascii="Times New Roman" w:hAnsi="Times New Roman" w:cs="Times New Roman"/>
          <w:b w:val="0"/>
          <w:bCs w:val="0"/>
          <w:sz w:val="20"/>
          <w:szCs w:val="20"/>
        </w:rPr>
        <w:t xml:space="preserve"> values are reported to three decimals (&lt;</w:t>
      </w:r>
      <w:r>
        <w:rPr>
          <w:rFonts w:hint="default" w:ascii="Times New Roman" w:hAnsi="Times New Roman" w:cs="Times New Roman"/>
          <w:b w:val="0"/>
          <w:bCs w:val="0"/>
          <w:sz w:val="20"/>
          <w:szCs w:val="20"/>
          <w:lang w:val="en-US" w:eastAsia="zh-CN"/>
        </w:rPr>
        <w:t xml:space="preserve"> </w:t>
      </w:r>
      <w:r>
        <w:rPr>
          <w:rFonts w:hint="default" w:ascii="Times New Roman" w:hAnsi="Times New Roman" w:cs="Times New Roman"/>
        </w:rPr>
        <w:t>0.001 shown as &lt;</w:t>
      </w:r>
      <w:r>
        <w:rPr>
          <w:rFonts w:hint="default" w:ascii="Times New Roman" w:hAnsi="Times New Roman" w:cs="Times New Roman"/>
          <w:lang w:val="en-US" w:eastAsia="zh-CN"/>
        </w:rPr>
        <w:t xml:space="preserve"> </w:t>
      </w:r>
      <w:r>
        <w:rPr>
          <w:rFonts w:hint="default" w:ascii="Times New Roman" w:hAnsi="Times New Roman" w:cs="Times New Roman"/>
        </w:rPr>
        <w:t>0.001).</w:t>
      </w:r>
    </w:p>
    <w:p w14:paraId="09723621">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rPr>
      </w:pPr>
      <w:r>
        <w:rPr>
          <w:rFonts w:hint="default" w:ascii="Times New Roman" w:hAnsi="Times New Roman" w:cs="Times New Roman"/>
          <w:b/>
          <w:bCs/>
        </w:rPr>
        <w:t>Abbreviations</w:t>
      </w:r>
      <w:r>
        <w:rPr>
          <w:rFonts w:hint="default" w:ascii="Times New Roman" w:hAnsi="Times New Roman" w:cs="Times New Roman"/>
          <w:b/>
          <w:bCs/>
          <w:lang w:val="en-US" w:eastAsia="zh-CN"/>
        </w:rPr>
        <w:t>:</w:t>
      </w:r>
      <w:r>
        <w:rPr>
          <w:rFonts w:hint="default" w:ascii="Times New Roman" w:hAnsi="Times New Roman" w:cs="Times New Roman"/>
          <w:lang w:val="en-US" w:eastAsia="zh-CN"/>
        </w:rPr>
        <w:t xml:space="preserve"> </w:t>
      </w:r>
      <w:r>
        <w:rPr>
          <w:rFonts w:hint="default" w:ascii="Times New Roman" w:hAnsi="Times New Roman" w:cs="Times New Roman"/>
        </w:rPr>
        <w:t>ASMD, absolute standardized mean difference; DXA, dual-energy X-ray absorptiometry; IQR, interquartile range.</w:t>
      </w:r>
    </w:p>
    <w:p w14:paraId="3C9874DB">
      <w:pPr>
        <w:pStyle w:val="3"/>
        <w:keepNext w:val="0"/>
        <w:keepLines w:val="0"/>
        <w:widowControl/>
        <w:suppressLineNumbers w:val="0"/>
        <w:rPr>
          <w:rFonts w:hint="default"/>
          <w:lang w:val="en-US" w:eastAsia="zh-CN"/>
        </w:rPr>
      </w:pPr>
      <w:r>
        <w:rPr>
          <w:rFonts w:hint="default" w:ascii="Times New Roman" w:hAnsi="Times New Roman" w:eastAsia="宋体" w:cs="Times New Roman"/>
          <w:b/>
          <w:bCs/>
          <w:sz w:val="24"/>
          <w:szCs w:val="24"/>
          <w:highlight w:val="none"/>
          <w:lang w:val="en-US" w:eastAsia="zh-CN"/>
        </w:rPr>
        <w:t>Supplement</w:t>
      </w:r>
      <w:r>
        <w:rPr>
          <w:rFonts w:hint="eastAsia" w:ascii="Times New Roman" w:hAnsi="Times New Roman" w:eastAsia="宋体" w:cs="Times New Roman"/>
          <w:b/>
          <w:bCs/>
          <w:sz w:val="24"/>
          <w:szCs w:val="24"/>
          <w:highlight w:val="none"/>
          <w:lang w:val="en-US" w:eastAsia="zh-CN"/>
        </w:rPr>
        <w:t xml:space="preserve"> </w:t>
      </w:r>
      <w:r>
        <w:rPr>
          <w:rFonts w:hint="default" w:ascii="Times New Roman" w:hAnsi="Times New Roman" w:cs="Times New Roman"/>
          <w:sz w:val="24"/>
          <w:szCs w:val="24"/>
        </w:rPr>
        <w:t>Table S2. Fully adjusted logistic regression for falls outcomes</w:t>
      </w:r>
      <w:r>
        <w:rPr>
          <w:rFonts w:hint="default" w:ascii="Times New Roman" w:hAnsi="Times New Roman" w:cs="Times New Roman"/>
          <w:sz w:val="24"/>
          <w:szCs w:val="24"/>
          <w:lang w:val="en-US" w:eastAsia="zh-CN"/>
        </w:rPr>
        <w:t>.</w:t>
      </w:r>
    </w:p>
    <w:tbl>
      <w:tblPr>
        <w:tblStyle w:val="6"/>
        <w:tblW w:w="8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2"/>
        <w:gridCol w:w="2575"/>
        <w:gridCol w:w="1250"/>
        <w:gridCol w:w="928"/>
        <w:gridCol w:w="1272"/>
        <w:gridCol w:w="928"/>
      </w:tblGrid>
      <w:tr w14:paraId="54906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922" w:type="dxa"/>
            <w:tcBorders>
              <w:top w:val="single" w:color="auto" w:sz="12" w:space="0"/>
              <w:left w:val="nil"/>
              <w:bottom w:val="single" w:color="auto" w:sz="4" w:space="0"/>
              <w:right w:val="nil"/>
            </w:tcBorders>
            <w:vAlign w:val="center"/>
          </w:tcPr>
          <w:p w14:paraId="45B66E4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b/>
                <w:sz w:val="21"/>
              </w:rPr>
            </w:pPr>
            <w:r>
              <w:rPr>
                <w:rFonts w:hint="default" w:ascii="Times New Roman" w:hAnsi="Times New Roman" w:eastAsia="宋体" w:cs="Times New Roman"/>
                <w:b/>
                <w:sz w:val="21"/>
              </w:rPr>
              <w:t>Variable</w:t>
            </w:r>
          </w:p>
        </w:tc>
        <w:tc>
          <w:tcPr>
            <w:tcW w:w="2575" w:type="dxa"/>
            <w:tcBorders>
              <w:top w:val="single" w:color="auto" w:sz="12" w:space="0"/>
              <w:left w:val="nil"/>
              <w:bottom w:val="single" w:color="auto" w:sz="4" w:space="0"/>
              <w:right w:val="nil"/>
            </w:tcBorders>
            <w:vAlign w:val="center"/>
          </w:tcPr>
          <w:p w14:paraId="33E4748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b/>
                <w:sz w:val="21"/>
              </w:rPr>
            </w:pPr>
            <w:r>
              <w:rPr>
                <w:rFonts w:hint="default" w:ascii="Times New Roman" w:hAnsi="Times New Roman" w:eastAsia="宋体" w:cs="Times New Roman"/>
                <w:b/>
                <w:sz w:val="21"/>
              </w:rPr>
              <w:t>Contrast/Level</w:t>
            </w:r>
          </w:p>
        </w:tc>
        <w:tc>
          <w:tcPr>
            <w:tcW w:w="1250" w:type="dxa"/>
            <w:tcBorders>
              <w:top w:val="single" w:color="auto" w:sz="12" w:space="0"/>
              <w:left w:val="nil"/>
              <w:bottom w:val="single" w:color="auto" w:sz="4" w:space="0"/>
              <w:right w:val="nil"/>
            </w:tcBorders>
            <w:vAlign w:val="center"/>
          </w:tcPr>
          <w:p w14:paraId="54004B6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sz w:val="21"/>
              </w:rPr>
            </w:pPr>
            <w:r>
              <w:rPr>
                <w:rFonts w:hint="default" w:ascii="Times New Roman" w:hAnsi="Times New Roman" w:eastAsia="宋体" w:cs="Times New Roman"/>
                <w:b/>
                <w:sz w:val="21"/>
              </w:rPr>
              <w:t xml:space="preserve">Any fall (≥1): OR </w:t>
            </w:r>
          </w:p>
          <w:p w14:paraId="434053E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b/>
                <w:sz w:val="21"/>
              </w:rPr>
            </w:pPr>
            <w:r>
              <w:rPr>
                <w:rFonts w:hint="default" w:ascii="Times New Roman" w:hAnsi="Times New Roman" w:eastAsia="宋体" w:cs="Times New Roman"/>
                <w:b/>
                <w:sz w:val="21"/>
              </w:rPr>
              <w:t>(95% CI)</w:t>
            </w:r>
          </w:p>
        </w:tc>
        <w:tc>
          <w:tcPr>
            <w:tcW w:w="928" w:type="dxa"/>
            <w:tcBorders>
              <w:top w:val="single" w:color="auto" w:sz="12" w:space="0"/>
              <w:left w:val="nil"/>
              <w:bottom w:val="single" w:color="auto" w:sz="4" w:space="0"/>
              <w:right w:val="nil"/>
            </w:tcBorders>
            <w:vAlign w:val="center"/>
          </w:tcPr>
          <w:p w14:paraId="4751F21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b/>
                <w:sz w:val="21"/>
              </w:rPr>
            </w:pPr>
            <w:r>
              <w:rPr>
                <w:rFonts w:hint="default" w:ascii="Times New Roman" w:hAnsi="Times New Roman" w:eastAsia="宋体" w:cs="Times New Roman"/>
                <w:b/>
                <w:sz w:val="21"/>
              </w:rPr>
              <w:t>P value</w:t>
            </w:r>
          </w:p>
        </w:tc>
        <w:tc>
          <w:tcPr>
            <w:tcW w:w="1272" w:type="dxa"/>
            <w:tcBorders>
              <w:top w:val="single" w:color="auto" w:sz="12" w:space="0"/>
              <w:left w:val="nil"/>
              <w:bottom w:val="single" w:color="auto" w:sz="4" w:space="0"/>
              <w:right w:val="nil"/>
            </w:tcBorders>
            <w:vAlign w:val="center"/>
          </w:tcPr>
          <w:p w14:paraId="5180D39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sz w:val="21"/>
              </w:rPr>
            </w:pPr>
            <w:r>
              <w:rPr>
                <w:rFonts w:hint="default" w:ascii="Times New Roman" w:hAnsi="Times New Roman" w:eastAsia="宋体" w:cs="Times New Roman"/>
                <w:b/>
                <w:sz w:val="21"/>
              </w:rPr>
              <w:t xml:space="preserve">Recurrent falls (≥2): OR </w:t>
            </w:r>
          </w:p>
          <w:p w14:paraId="4B559DE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b/>
                <w:sz w:val="21"/>
              </w:rPr>
            </w:pPr>
            <w:r>
              <w:rPr>
                <w:rFonts w:hint="default" w:ascii="Times New Roman" w:hAnsi="Times New Roman" w:eastAsia="宋体" w:cs="Times New Roman"/>
                <w:b/>
                <w:sz w:val="21"/>
              </w:rPr>
              <w:t>(95% CI)</w:t>
            </w:r>
          </w:p>
        </w:tc>
        <w:tc>
          <w:tcPr>
            <w:tcW w:w="928" w:type="dxa"/>
            <w:tcBorders>
              <w:top w:val="single" w:color="auto" w:sz="12" w:space="0"/>
              <w:left w:val="nil"/>
              <w:bottom w:val="single" w:color="auto" w:sz="4" w:space="0"/>
              <w:right w:val="nil"/>
            </w:tcBorders>
            <w:vAlign w:val="center"/>
          </w:tcPr>
          <w:p w14:paraId="1CCBF52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b/>
                <w:sz w:val="21"/>
              </w:rPr>
            </w:pPr>
            <w:r>
              <w:rPr>
                <w:rFonts w:hint="default" w:ascii="Times New Roman" w:hAnsi="Times New Roman" w:eastAsia="宋体" w:cs="Times New Roman"/>
                <w:b/>
                <w:sz w:val="21"/>
              </w:rPr>
              <w:t>P value</w:t>
            </w:r>
          </w:p>
        </w:tc>
      </w:tr>
      <w:tr w14:paraId="502B4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single" w:color="auto" w:sz="4" w:space="0"/>
              <w:left w:val="nil"/>
              <w:bottom w:val="nil"/>
              <w:right w:val="nil"/>
            </w:tcBorders>
            <w:vAlign w:val="center"/>
          </w:tcPr>
          <w:p w14:paraId="3ED2ED8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Exposure group (bone mass × possible sarcopenia)</w:t>
            </w:r>
          </w:p>
        </w:tc>
        <w:tc>
          <w:tcPr>
            <w:tcW w:w="2575" w:type="dxa"/>
            <w:tcBorders>
              <w:top w:val="single" w:color="auto" w:sz="4" w:space="0"/>
              <w:left w:val="nil"/>
              <w:bottom w:val="nil"/>
              <w:right w:val="nil"/>
            </w:tcBorders>
            <w:vAlign w:val="center"/>
          </w:tcPr>
          <w:p w14:paraId="2F0F2C5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Normal/Yes vs Normal/No</w:t>
            </w:r>
          </w:p>
        </w:tc>
        <w:tc>
          <w:tcPr>
            <w:tcW w:w="1250" w:type="dxa"/>
            <w:tcBorders>
              <w:top w:val="single" w:color="auto" w:sz="4" w:space="0"/>
              <w:left w:val="nil"/>
              <w:bottom w:val="nil"/>
              <w:right w:val="nil"/>
            </w:tcBorders>
            <w:vAlign w:val="center"/>
          </w:tcPr>
          <w:p w14:paraId="518BC50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1.47 (0.79–2.71)</w:t>
            </w:r>
          </w:p>
        </w:tc>
        <w:tc>
          <w:tcPr>
            <w:tcW w:w="928" w:type="dxa"/>
            <w:tcBorders>
              <w:top w:val="single" w:color="auto" w:sz="4" w:space="0"/>
              <w:left w:val="nil"/>
              <w:bottom w:val="nil"/>
              <w:right w:val="nil"/>
            </w:tcBorders>
            <w:vAlign w:val="center"/>
          </w:tcPr>
          <w:p w14:paraId="591B550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0.221</w:t>
            </w:r>
          </w:p>
        </w:tc>
        <w:tc>
          <w:tcPr>
            <w:tcW w:w="1272" w:type="dxa"/>
            <w:tcBorders>
              <w:top w:val="single" w:color="auto" w:sz="4" w:space="0"/>
              <w:left w:val="nil"/>
              <w:bottom w:val="nil"/>
              <w:right w:val="nil"/>
            </w:tcBorders>
            <w:vAlign w:val="center"/>
          </w:tcPr>
          <w:p w14:paraId="55EB41E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1.34 (0.47–3.77)</w:t>
            </w:r>
          </w:p>
        </w:tc>
        <w:tc>
          <w:tcPr>
            <w:tcW w:w="928" w:type="dxa"/>
            <w:tcBorders>
              <w:top w:val="single" w:color="auto" w:sz="4" w:space="0"/>
              <w:left w:val="nil"/>
              <w:bottom w:val="nil"/>
              <w:right w:val="nil"/>
            </w:tcBorders>
            <w:vAlign w:val="center"/>
          </w:tcPr>
          <w:p w14:paraId="527DE13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0.584</w:t>
            </w:r>
          </w:p>
        </w:tc>
      </w:tr>
      <w:tr w14:paraId="53298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116CF75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Exposure group (bone mass × possible sarcopenia)</w:t>
            </w:r>
          </w:p>
        </w:tc>
        <w:tc>
          <w:tcPr>
            <w:tcW w:w="2575" w:type="dxa"/>
            <w:tcBorders>
              <w:top w:val="nil"/>
              <w:left w:val="nil"/>
              <w:bottom w:val="nil"/>
              <w:right w:val="nil"/>
            </w:tcBorders>
            <w:vAlign w:val="center"/>
          </w:tcPr>
          <w:p w14:paraId="5E16338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Osteopenia/No vs Normal/No</w:t>
            </w:r>
          </w:p>
        </w:tc>
        <w:tc>
          <w:tcPr>
            <w:tcW w:w="1250" w:type="dxa"/>
            <w:tcBorders>
              <w:top w:val="nil"/>
              <w:left w:val="nil"/>
              <w:bottom w:val="nil"/>
              <w:right w:val="nil"/>
            </w:tcBorders>
            <w:vAlign w:val="center"/>
          </w:tcPr>
          <w:p w14:paraId="2EB62D0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1.03 (0.68–1.57)</w:t>
            </w:r>
          </w:p>
        </w:tc>
        <w:tc>
          <w:tcPr>
            <w:tcW w:w="928" w:type="dxa"/>
            <w:tcBorders>
              <w:top w:val="nil"/>
              <w:left w:val="nil"/>
              <w:bottom w:val="nil"/>
              <w:right w:val="nil"/>
            </w:tcBorders>
            <w:vAlign w:val="center"/>
          </w:tcPr>
          <w:p w14:paraId="3217045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0.889</w:t>
            </w:r>
          </w:p>
        </w:tc>
        <w:tc>
          <w:tcPr>
            <w:tcW w:w="1272" w:type="dxa"/>
            <w:tcBorders>
              <w:top w:val="nil"/>
              <w:left w:val="nil"/>
              <w:bottom w:val="nil"/>
              <w:right w:val="nil"/>
            </w:tcBorders>
            <w:vAlign w:val="center"/>
          </w:tcPr>
          <w:p w14:paraId="46BFE9C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1.29 (0.65–2.56)</w:t>
            </w:r>
          </w:p>
        </w:tc>
        <w:tc>
          <w:tcPr>
            <w:tcW w:w="928" w:type="dxa"/>
            <w:tcBorders>
              <w:top w:val="nil"/>
              <w:left w:val="nil"/>
              <w:bottom w:val="nil"/>
              <w:right w:val="nil"/>
            </w:tcBorders>
            <w:vAlign w:val="center"/>
          </w:tcPr>
          <w:p w14:paraId="613A56F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0.460</w:t>
            </w:r>
          </w:p>
        </w:tc>
      </w:tr>
      <w:tr w14:paraId="0990C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4BCF269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Exposure group (bone mass × possible sarcopenia)</w:t>
            </w:r>
          </w:p>
        </w:tc>
        <w:tc>
          <w:tcPr>
            <w:tcW w:w="2575" w:type="dxa"/>
            <w:tcBorders>
              <w:top w:val="nil"/>
              <w:left w:val="nil"/>
              <w:bottom w:val="nil"/>
              <w:right w:val="nil"/>
            </w:tcBorders>
            <w:vAlign w:val="center"/>
          </w:tcPr>
          <w:p w14:paraId="49B71B3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Osteopenia/Yes vs Normal/No</w:t>
            </w:r>
          </w:p>
        </w:tc>
        <w:tc>
          <w:tcPr>
            <w:tcW w:w="1250" w:type="dxa"/>
            <w:tcBorders>
              <w:top w:val="nil"/>
              <w:left w:val="nil"/>
              <w:bottom w:val="nil"/>
              <w:right w:val="nil"/>
            </w:tcBorders>
            <w:vAlign w:val="center"/>
          </w:tcPr>
          <w:p w14:paraId="6C90C4F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1.51 (0.90–2.54)</w:t>
            </w:r>
          </w:p>
        </w:tc>
        <w:tc>
          <w:tcPr>
            <w:tcW w:w="928" w:type="dxa"/>
            <w:tcBorders>
              <w:top w:val="nil"/>
              <w:left w:val="nil"/>
              <w:bottom w:val="nil"/>
              <w:right w:val="nil"/>
            </w:tcBorders>
            <w:vAlign w:val="center"/>
          </w:tcPr>
          <w:p w14:paraId="085231A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0.119</w:t>
            </w:r>
          </w:p>
        </w:tc>
        <w:tc>
          <w:tcPr>
            <w:tcW w:w="1272" w:type="dxa"/>
            <w:tcBorders>
              <w:top w:val="nil"/>
              <w:left w:val="nil"/>
              <w:bottom w:val="nil"/>
              <w:right w:val="nil"/>
            </w:tcBorders>
            <w:vAlign w:val="center"/>
          </w:tcPr>
          <w:p w14:paraId="2392B92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1.91 (0.86–4.25)</w:t>
            </w:r>
          </w:p>
        </w:tc>
        <w:tc>
          <w:tcPr>
            <w:tcW w:w="928" w:type="dxa"/>
            <w:tcBorders>
              <w:top w:val="nil"/>
              <w:left w:val="nil"/>
              <w:bottom w:val="nil"/>
              <w:right w:val="nil"/>
            </w:tcBorders>
            <w:vAlign w:val="center"/>
          </w:tcPr>
          <w:p w14:paraId="3432729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0.114</w:t>
            </w:r>
          </w:p>
        </w:tc>
      </w:tr>
      <w:tr w14:paraId="55C8F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0F1534B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Exposure group (bone mass × possible sarcopenia)</w:t>
            </w:r>
          </w:p>
        </w:tc>
        <w:tc>
          <w:tcPr>
            <w:tcW w:w="2575" w:type="dxa"/>
            <w:tcBorders>
              <w:top w:val="nil"/>
              <w:left w:val="nil"/>
              <w:bottom w:val="nil"/>
              <w:right w:val="nil"/>
            </w:tcBorders>
            <w:vAlign w:val="center"/>
          </w:tcPr>
          <w:p w14:paraId="42CC603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Osteoporosis/No vs Normal/No</w:t>
            </w:r>
          </w:p>
        </w:tc>
        <w:tc>
          <w:tcPr>
            <w:tcW w:w="1250" w:type="dxa"/>
            <w:tcBorders>
              <w:top w:val="nil"/>
              <w:left w:val="nil"/>
              <w:bottom w:val="nil"/>
              <w:right w:val="nil"/>
            </w:tcBorders>
            <w:vAlign w:val="center"/>
          </w:tcPr>
          <w:p w14:paraId="6B5A797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1.38 (0.88–2.15)</w:t>
            </w:r>
          </w:p>
        </w:tc>
        <w:tc>
          <w:tcPr>
            <w:tcW w:w="928" w:type="dxa"/>
            <w:tcBorders>
              <w:top w:val="nil"/>
              <w:left w:val="nil"/>
              <w:bottom w:val="nil"/>
              <w:right w:val="nil"/>
            </w:tcBorders>
            <w:vAlign w:val="center"/>
          </w:tcPr>
          <w:p w14:paraId="1DB3FFD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0.157</w:t>
            </w:r>
          </w:p>
        </w:tc>
        <w:tc>
          <w:tcPr>
            <w:tcW w:w="1272" w:type="dxa"/>
            <w:tcBorders>
              <w:top w:val="nil"/>
              <w:left w:val="nil"/>
              <w:bottom w:val="nil"/>
              <w:right w:val="nil"/>
            </w:tcBorders>
            <w:vAlign w:val="center"/>
          </w:tcPr>
          <w:p w14:paraId="50F7A75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1.00 (0.47–2.14)</w:t>
            </w:r>
          </w:p>
        </w:tc>
        <w:tc>
          <w:tcPr>
            <w:tcW w:w="928" w:type="dxa"/>
            <w:tcBorders>
              <w:top w:val="nil"/>
              <w:left w:val="nil"/>
              <w:bottom w:val="nil"/>
              <w:right w:val="nil"/>
            </w:tcBorders>
            <w:vAlign w:val="center"/>
          </w:tcPr>
          <w:p w14:paraId="32B14DD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0.994</w:t>
            </w:r>
          </w:p>
        </w:tc>
      </w:tr>
      <w:tr w14:paraId="19832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6E9AEB1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Exposure group (bone mass × possible sarcopenia)</w:t>
            </w:r>
          </w:p>
        </w:tc>
        <w:tc>
          <w:tcPr>
            <w:tcW w:w="2575" w:type="dxa"/>
            <w:tcBorders>
              <w:top w:val="nil"/>
              <w:left w:val="nil"/>
              <w:bottom w:val="nil"/>
              <w:right w:val="nil"/>
            </w:tcBorders>
            <w:vAlign w:val="center"/>
          </w:tcPr>
          <w:p w14:paraId="7E2D5B1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Osteoporosis/Yes vs Normal/No</w:t>
            </w:r>
          </w:p>
        </w:tc>
        <w:tc>
          <w:tcPr>
            <w:tcW w:w="1250" w:type="dxa"/>
            <w:tcBorders>
              <w:top w:val="nil"/>
              <w:left w:val="nil"/>
              <w:bottom w:val="nil"/>
              <w:right w:val="nil"/>
            </w:tcBorders>
            <w:vAlign w:val="center"/>
          </w:tcPr>
          <w:p w14:paraId="2EC8B75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1.68 (1.01–2.78)</w:t>
            </w:r>
          </w:p>
        </w:tc>
        <w:tc>
          <w:tcPr>
            <w:tcW w:w="928" w:type="dxa"/>
            <w:tcBorders>
              <w:top w:val="nil"/>
              <w:left w:val="nil"/>
              <w:bottom w:val="nil"/>
              <w:right w:val="nil"/>
            </w:tcBorders>
            <w:vAlign w:val="center"/>
          </w:tcPr>
          <w:p w14:paraId="27A1CCF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0.045</w:t>
            </w:r>
          </w:p>
        </w:tc>
        <w:tc>
          <w:tcPr>
            <w:tcW w:w="1272" w:type="dxa"/>
            <w:tcBorders>
              <w:top w:val="nil"/>
              <w:left w:val="nil"/>
              <w:bottom w:val="nil"/>
              <w:right w:val="nil"/>
            </w:tcBorders>
            <w:vAlign w:val="center"/>
          </w:tcPr>
          <w:p w14:paraId="6194C1B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1.29 (0.56–2.97)</w:t>
            </w:r>
          </w:p>
        </w:tc>
        <w:tc>
          <w:tcPr>
            <w:tcW w:w="928" w:type="dxa"/>
            <w:tcBorders>
              <w:top w:val="nil"/>
              <w:left w:val="nil"/>
              <w:bottom w:val="nil"/>
              <w:right w:val="nil"/>
            </w:tcBorders>
            <w:vAlign w:val="center"/>
          </w:tcPr>
          <w:p w14:paraId="6FAC85A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0.543</w:t>
            </w:r>
          </w:p>
        </w:tc>
      </w:tr>
      <w:tr w14:paraId="2262F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0E14929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Sex</w:t>
            </w:r>
          </w:p>
        </w:tc>
        <w:tc>
          <w:tcPr>
            <w:tcW w:w="2575" w:type="dxa"/>
            <w:tcBorders>
              <w:top w:val="nil"/>
              <w:left w:val="nil"/>
              <w:bottom w:val="nil"/>
              <w:right w:val="nil"/>
            </w:tcBorders>
            <w:vAlign w:val="center"/>
          </w:tcPr>
          <w:p w14:paraId="7069F45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Female vs Male</w:t>
            </w:r>
          </w:p>
        </w:tc>
        <w:tc>
          <w:tcPr>
            <w:tcW w:w="1250" w:type="dxa"/>
            <w:tcBorders>
              <w:top w:val="nil"/>
              <w:left w:val="nil"/>
              <w:bottom w:val="nil"/>
              <w:right w:val="nil"/>
            </w:tcBorders>
            <w:vAlign w:val="center"/>
          </w:tcPr>
          <w:p w14:paraId="2C2ABD1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1.55 (1.04–2.30)</w:t>
            </w:r>
          </w:p>
        </w:tc>
        <w:tc>
          <w:tcPr>
            <w:tcW w:w="928" w:type="dxa"/>
            <w:tcBorders>
              <w:top w:val="nil"/>
              <w:left w:val="nil"/>
              <w:bottom w:val="nil"/>
              <w:right w:val="nil"/>
            </w:tcBorders>
            <w:vAlign w:val="center"/>
          </w:tcPr>
          <w:p w14:paraId="683D970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0.030</w:t>
            </w:r>
          </w:p>
        </w:tc>
        <w:tc>
          <w:tcPr>
            <w:tcW w:w="1272" w:type="dxa"/>
            <w:tcBorders>
              <w:top w:val="nil"/>
              <w:left w:val="nil"/>
              <w:bottom w:val="nil"/>
              <w:right w:val="nil"/>
            </w:tcBorders>
            <w:vAlign w:val="center"/>
          </w:tcPr>
          <w:p w14:paraId="7DD60CE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1.80 (0.94–3.42)</w:t>
            </w:r>
          </w:p>
        </w:tc>
        <w:tc>
          <w:tcPr>
            <w:tcW w:w="928" w:type="dxa"/>
            <w:tcBorders>
              <w:top w:val="nil"/>
              <w:left w:val="nil"/>
              <w:bottom w:val="nil"/>
              <w:right w:val="nil"/>
            </w:tcBorders>
            <w:vAlign w:val="center"/>
          </w:tcPr>
          <w:p w14:paraId="68C8789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0.075</w:t>
            </w:r>
          </w:p>
        </w:tc>
      </w:tr>
      <w:tr w14:paraId="2EAF7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2286718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Age, years</w:t>
            </w:r>
          </w:p>
        </w:tc>
        <w:tc>
          <w:tcPr>
            <w:tcW w:w="2575" w:type="dxa"/>
            <w:tcBorders>
              <w:top w:val="nil"/>
              <w:left w:val="nil"/>
              <w:bottom w:val="nil"/>
              <w:right w:val="nil"/>
            </w:tcBorders>
            <w:vAlign w:val="center"/>
          </w:tcPr>
          <w:p w14:paraId="01D9489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Per 1-year increase</w:t>
            </w:r>
          </w:p>
        </w:tc>
        <w:tc>
          <w:tcPr>
            <w:tcW w:w="1250" w:type="dxa"/>
            <w:tcBorders>
              <w:top w:val="nil"/>
              <w:left w:val="nil"/>
              <w:bottom w:val="nil"/>
              <w:right w:val="nil"/>
            </w:tcBorders>
            <w:vAlign w:val="center"/>
          </w:tcPr>
          <w:p w14:paraId="4AB854A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1.02 (1.00–1.03)</w:t>
            </w:r>
          </w:p>
        </w:tc>
        <w:tc>
          <w:tcPr>
            <w:tcW w:w="928" w:type="dxa"/>
            <w:tcBorders>
              <w:top w:val="nil"/>
              <w:left w:val="nil"/>
              <w:bottom w:val="nil"/>
              <w:right w:val="nil"/>
            </w:tcBorders>
            <w:vAlign w:val="center"/>
          </w:tcPr>
          <w:p w14:paraId="4B390CD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0.065</w:t>
            </w:r>
          </w:p>
        </w:tc>
        <w:tc>
          <w:tcPr>
            <w:tcW w:w="1272" w:type="dxa"/>
            <w:tcBorders>
              <w:top w:val="nil"/>
              <w:left w:val="nil"/>
              <w:bottom w:val="nil"/>
              <w:right w:val="nil"/>
            </w:tcBorders>
            <w:vAlign w:val="center"/>
          </w:tcPr>
          <w:p w14:paraId="535F0C2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1.02 (0.99–1.05)</w:t>
            </w:r>
          </w:p>
        </w:tc>
        <w:tc>
          <w:tcPr>
            <w:tcW w:w="928" w:type="dxa"/>
            <w:tcBorders>
              <w:top w:val="nil"/>
              <w:left w:val="nil"/>
              <w:bottom w:val="nil"/>
              <w:right w:val="nil"/>
            </w:tcBorders>
            <w:vAlign w:val="center"/>
          </w:tcPr>
          <w:p w14:paraId="3F6D7E6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0.276</w:t>
            </w:r>
          </w:p>
        </w:tc>
      </w:tr>
      <w:tr w14:paraId="09552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35205AB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Body mass index, kg/m²</w:t>
            </w:r>
          </w:p>
        </w:tc>
        <w:tc>
          <w:tcPr>
            <w:tcW w:w="2575" w:type="dxa"/>
            <w:tcBorders>
              <w:top w:val="nil"/>
              <w:left w:val="nil"/>
              <w:bottom w:val="nil"/>
              <w:right w:val="nil"/>
            </w:tcBorders>
            <w:vAlign w:val="center"/>
          </w:tcPr>
          <w:p w14:paraId="7F9E1B9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Per 1-unit increase</w:t>
            </w:r>
          </w:p>
        </w:tc>
        <w:tc>
          <w:tcPr>
            <w:tcW w:w="1250" w:type="dxa"/>
            <w:tcBorders>
              <w:top w:val="nil"/>
              <w:left w:val="nil"/>
              <w:bottom w:val="nil"/>
              <w:right w:val="nil"/>
            </w:tcBorders>
            <w:vAlign w:val="center"/>
          </w:tcPr>
          <w:p w14:paraId="4CDCCA2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1.00 (0.98–1.02)</w:t>
            </w:r>
          </w:p>
        </w:tc>
        <w:tc>
          <w:tcPr>
            <w:tcW w:w="928" w:type="dxa"/>
            <w:tcBorders>
              <w:top w:val="nil"/>
              <w:left w:val="nil"/>
              <w:bottom w:val="nil"/>
              <w:right w:val="nil"/>
            </w:tcBorders>
            <w:vAlign w:val="center"/>
          </w:tcPr>
          <w:p w14:paraId="6EAE64A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0.776</w:t>
            </w:r>
          </w:p>
        </w:tc>
        <w:tc>
          <w:tcPr>
            <w:tcW w:w="1272" w:type="dxa"/>
            <w:tcBorders>
              <w:top w:val="nil"/>
              <w:left w:val="nil"/>
              <w:bottom w:val="nil"/>
              <w:right w:val="nil"/>
            </w:tcBorders>
            <w:vAlign w:val="center"/>
          </w:tcPr>
          <w:p w14:paraId="36A2875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0.98 (0.93–1.03)</w:t>
            </w:r>
          </w:p>
        </w:tc>
        <w:tc>
          <w:tcPr>
            <w:tcW w:w="928" w:type="dxa"/>
            <w:tcBorders>
              <w:top w:val="nil"/>
              <w:left w:val="nil"/>
              <w:bottom w:val="nil"/>
              <w:right w:val="nil"/>
            </w:tcBorders>
            <w:vAlign w:val="center"/>
          </w:tcPr>
          <w:p w14:paraId="299216F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0.398</w:t>
            </w:r>
          </w:p>
        </w:tc>
      </w:tr>
      <w:tr w14:paraId="0799C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0D5B94B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Education</w:t>
            </w:r>
          </w:p>
        </w:tc>
        <w:tc>
          <w:tcPr>
            <w:tcW w:w="2575" w:type="dxa"/>
            <w:tcBorders>
              <w:top w:val="nil"/>
              <w:left w:val="nil"/>
              <w:bottom w:val="nil"/>
              <w:right w:val="nil"/>
            </w:tcBorders>
            <w:vAlign w:val="center"/>
          </w:tcPr>
          <w:p w14:paraId="44CF173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Primary school vs Illiterate</w:t>
            </w:r>
          </w:p>
        </w:tc>
        <w:tc>
          <w:tcPr>
            <w:tcW w:w="1250" w:type="dxa"/>
            <w:tcBorders>
              <w:top w:val="nil"/>
              <w:left w:val="nil"/>
              <w:bottom w:val="nil"/>
              <w:right w:val="nil"/>
            </w:tcBorders>
            <w:vAlign w:val="center"/>
          </w:tcPr>
          <w:p w14:paraId="69BE29E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1.01 (0.48–2.10)</w:t>
            </w:r>
          </w:p>
        </w:tc>
        <w:tc>
          <w:tcPr>
            <w:tcW w:w="928" w:type="dxa"/>
            <w:tcBorders>
              <w:top w:val="nil"/>
              <w:left w:val="nil"/>
              <w:bottom w:val="nil"/>
              <w:right w:val="nil"/>
            </w:tcBorders>
            <w:vAlign w:val="center"/>
          </w:tcPr>
          <w:p w14:paraId="07D60BB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0.984</w:t>
            </w:r>
          </w:p>
        </w:tc>
        <w:tc>
          <w:tcPr>
            <w:tcW w:w="1272" w:type="dxa"/>
            <w:tcBorders>
              <w:top w:val="nil"/>
              <w:left w:val="nil"/>
              <w:bottom w:val="nil"/>
              <w:right w:val="nil"/>
            </w:tcBorders>
            <w:vAlign w:val="center"/>
          </w:tcPr>
          <w:p w14:paraId="32D7D95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0.72 (0.25–2.06)</w:t>
            </w:r>
          </w:p>
        </w:tc>
        <w:tc>
          <w:tcPr>
            <w:tcW w:w="928" w:type="dxa"/>
            <w:tcBorders>
              <w:top w:val="nil"/>
              <w:left w:val="nil"/>
              <w:bottom w:val="nil"/>
              <w:right w:val="nil"/>
            </w:tcBorders>
            <w:vAlign w:val="center"/>
          </w:tcPr>
          <w:p w14:paraId="27B61BA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0.539</w:t>
            </w:r>
          </w:p>
        </w:tc>
      </w:tr>
      <w:tr w14:paraId="188D4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55E3508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Education</w:t>
            </w:r>
          </w:p>
        </w:tc>
        <w:tc>
          <w:tcPr>
            <w:tcW w:w="2575" w:type="dxa"/>
            <w:tcBorders>
              <w:top w:val="nil"/>
              <w:left w:val="nil"/>
              <w:bottom w:val="nil"/>
              <w:right w:val="nil"/>
            </w:tcBorders>
            <w:vAlign w:val="center"/>
          </w:tcPr>
          <w:p w14:paraId="65E507A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Junior high school vs Illiterate</w:t>
            </w:r>
          </w:p>
        </w:tc>
        <w:tc>
          <w:tcPr>
            <w:tcW w:w="1250" w:type="dxa"/>
            <w:tcBorders>
              <w:top w:val="nil"/>
              <w:left w:val="nil"/>
              <w:bottom w:val="nil"/>
              <w:right w:val="nil"/>
            </w:tcBorders>
            <w:vAlign w:val="center"/>
          </w:tcPr>
          <w:p w14:paraId="356B65B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0.92 (0.45–1.86)</w:t>
            </w:r>
          </w:p>
        </w:tc>
        <w:tc>
          <w:tcPr>
            <w:tcW w:w="928" w:type="dxa"/>
            <w:tcBorders>
              <w:top w:val="nil"/>
              <w:left w:val="nil"/>
              <w:bottom w:val="nil"/>
              <w:right w:val="nil"/>
            </w:tcBorders>
            <w:vAlign w:val="center"/>
          </w:tcPr>
          <w:p w14:paraId="48B5270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0.808</w:t>
            </w:r>
          </w:p>
        </w:tc>
        <w:tc>
          <w:tcPr>
            <w:tcW w:w="1272" w:type="dxa"/>
            <w:tcBorders>
              <w:top w:val="nil"/>
              <w:left w:val="nil"/>
              <w:bottom w:val="nil"/>
              <w:right w:val="nil"/>
            </w:tcBorders>
            <w:vAlign w:val="center"/>
          </w:tcPr>
          <w:p w14:paraId="4F6FA8D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0.75 (0.28–2.00)</w:t>
            </w:r>
          </w:p>
        </w:tc>
        <w:tc>
          <w:tcPr>
            <w:tcW w:w="928" w:type="dxa"/>
            <w:tcBorders>
              <w:top w:val="nil"/>
              <w:left w:val="nil"/>
              <w:bottom w:val="nil"/>
              <w:right w:val="nil"/>
            </w:tcBorders>
            <w:vAlign w:val="center"/>
          </w:tcPr>
          <w:p w14:paraId="55450DF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0.560</w:t>
            </w:r>
          </w:p>
        </w:tc>
      </w:tr>
      <w:tr w14:paraId="6C94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6C9C02D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Education</w:t>
            </w:r>
          </w:p>
        </w:tc>
        <w:tc>
          <w:tcPr>
            <w:tcW w:w="2575" w:type="dxa"/>
            <w:tcBorders>
              <w:top w:val="nil"/>
              <w:left w:val="nil"/>
              <w:bottom w:val="nil"/>
              <w:right w:val="nil"/>
            </w:tcBorders>
            <w:vAlign w:val="center"/>
          </w:tcPr>
          <w:p w14:paraId="049BDA5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High school/technical/vocational vs Illiterate</w:t>
            </w:r>
          </w:p>
        </w:tc>
        <w:tc>
          <w:tcPr>
            <w:tcW w:w="1250" w:type="dxa"/>
            <w:tcBorders>
              <w:top w:val="nil"/>
              <w:left w:val="nil"/>
              <w:bottom w:val="nil"/>
              <w:right w:val="nil"/>
            </w:tcBorders>
            <w:vAlign w:val="center"/>
          </w:tcPr>
          <w:p w14:paraId="0B573BD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0.82 (0.40–1.68)</w:t>
            </w:r>
          </w:p>
        </w:tc>
        <w:tc>
          <w:tcPr>
            <w:tcW w:w="928" w:type="dxa"/>
            <w:tcBorders>
              <w:top w:val="nil"/>
              <w:left w:val="nil"/>
              <w:bottom w:val="nil"/>
              <w:right w:val="nil"/>
            </w:tcBorders>
            <w:vAlign w:val="center"/>
          </w:tcPr>
          <w:p w14:paraId="0E64D10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0.592</w:t>
            </w:r>
          </w:p>
        </w:tc>
        <w:tc>
          <w:tcPr>
            <w:tcW w:w="1272" w:type="dxa"/>
            <w:tcBorders>
              <w:top w:val="nil"/>
              <w:left w:val="nil"/>
              <w:bottom w:val="nil"/>
              <w:right w:val="nil"/>
            </w:tcBorders>
            <w:vAlign w:val="center"/>
          </w:tcPr>
          <w:p w14:paraId="1157E0A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0.62 (0.23–1.71)</w:t>
            </w:r>
          </w:p>
        </w:tc>
        <w:tc>
          <w:tcPr>
            <w:tcW w:w="928" w:type="dxa"/>
            <w:tcBorders>
              <w:top w:val="nil"/>
              <w:left w:val="nil"/>
              <w:bottom w:val="nil"/>
              <w:right w:val="nil"/>
            </w:tcBorders>
            <w:vAlign w:val="center"/>
          </w:tcPr>
          <w:p w14:paraId="7D8E5EE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0.354</w:t>
            </w:r>
          </w:p>
        </w:tc>
      </w:tr>
      <w:tr w14:paraId="3B4DE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62714D7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Education</w:t>
            </w:r>
          </w:p>
        </w:tc>
        <w:tc>
          <w:tcPr>
            <w:tcW w:w="2575" w:type="dxa"/>
            <w:tcBorders>
              <w:top w:val="nil"/>
              <w:left w:val="nil"/>
              <w:bottom w:val="nil"/>
              <w:right w:val="nil"/>
            </w:tcBorders>
            <w:vAlign w:val="center"/>
          </w:tcPr>
          <w:p w14:paraId="4296983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Junior college vs Illiterate</w:t>
            </w:r>
          </w:p>
        </w:tc>
        <w:tc>
          <w:tcPr>
            <w:tcW w:w="1250" w:type="dxa"/>
            <w:tcBorders>
              <w:top w:val="nil"/>
              <w:left w:val="nil"/>
              <w:bottom w:val="nil"/>
              <w:right w:val="nil"/>
            </w:tcBorders>
            <w:vAlign w:val="center"/>
          </w:tcPr>
          <w:p w14:paraId="20C53EE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0.46 (0.20–1.06)</w:t>
            </w:r>
          </w:p>
        </w:tc>
        <w:tc>
          <w:tcPr>
            <w:tcW w:w="928" w:type="dxa"/>
            <w:tcBorders>
              <w:top w:val="nil"/>
              <w:left w:val="nil"/>
              <w:bottom w:val="nil"/>
              <w:right w:val="nil"/>
            </w:tcBorders>
            <w:vAlign w:val="center"/>
          </w:tcPr>
          <w:p w14:paraId="77645A1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0.068</w:t>
            </w:r>
          </w:p>
        </w:tc>
        <w:tc>
          <w:tcPr>
            <w:tcW w:w="1272" w:type="dxa"/>
            <w:tcBorders>
              <w:top w:val="nil"/>
              <w:left w:val="nil"/>
              <w:bottom w:val="nil"/>
              <w:right w:val="nil"/>
            </w:tcBorders>
            <w:vAlign w:val="center"/>
          </w:tcPr>
          <w:p w14:paraId="2F00EEC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0.34 (0.10–1.20)</w:t>
            </w:r>
          </w:p>
        </w:tc>
        <w:tc>
          <w:tcPr>
            <w:tcW w:w="928" w:type="dxa"/>
            <w:tcBorders>
              <w:top w:val="nil"/>
              <w:left w:val="nil"/>
              <w:bottom w:val="nil"/>
              <w:right w:val="nil"/>
            </w:tcBorders>
            <w:vAlign w:val="center"/>
          </w:tcPr>
          <w:p w14:paraId="3411811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0.094</w:t>
            </w:r>
          </w:p>
        </w:tc>
      </w:tr>
      <w:tr w14:paraId="25FBA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661E21D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Education</w:t>
            </w:r>
          </w:p>
        </w:tc>
        <w:tc>
          <w:tcPr>
            <w:tcW w:w="2575" w:type="dxa"/>
            <w:tcBorders>
              <w:top w:val="nil"/>
              <w:left w:val="nil"/>
              <w:bottom w:val="nil"/>
              <w:right w:val="nil"/>
            </w:tcBorders>
            <w:vAlign w:val="center"/>
          </w:tcPr>
          <w:p w14:paraId="298E5B8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Bachelor’s degree or above vs Illiterate</w:t>
            </w:r>
          </w:p>
        </w:tc>
        <w:tc>
          <w:tcPr>
            <w:tcW w:w="1250" w:type="dxa"/>
            <w:tcBorders>
              <w:top w:val="nil"/>
              <w:left w:val="nil"/>
              <w:bottom w:val="nil"/>
              <w:right w:val="nil"/>
            </w:tcBorders>
            <w:vAlign w:val="center"/>
          </w:tcPr>
          <w:p w14:paraId="4055A81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1.10 (0.45–2.66)</w:t>
            </w:r>
          </w:p>
        </w:tc>
        <w:tc>
          <w:tcPr>
            <w:tcW w:w="928" w:type="dxa"/>
            <w:tcBorders>
              <w:top w:val="nil"/>
              <w:left w:val="nil"/>
              <w:bottom w:val="nil"/>
              <w:right w:val="nil"/>
            </w:tcBorders>
            <w:vAlign w:val="center"/>
          </w:tcPr>
          <w:p w14:paraId="0DAAF1F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0.832</w:t>
            </w:r>
          </w:p>
        </w:tc>
        <w:tc>
          <w:tcPr>
            <w:tcW w:w="1272" w:type="dxa"/>
            <w:tcBorders>
              <w:top w:val="nil"/>
              <w:left w:val="nil"/>
              <w:bottom w:val="nil"/>
              <w:right w:val="nil"/>
            </w:tcBorders>
            <w:vAlign w:val="center"/>
          </w:tcPr>
          <w:p w14:paraId="0220C2E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0.86 (0.24–3.06)</w:t>
            </w:r>
          </w:p>
        </w:tc>
        <w:tc>
          <w:tcPr>
            <w:tcW w:w="928" w:type="dxa"/>
            <w:tcBorders>
              <w:top w:val="nil"/>
              <w:left w:val="nil"/>
              <w:bottom w:val="nil"/>
              <w:right w:val="nil"/>
            </w:tcBorders>
            <w:vAlign w:val="center"/>
          </w:tcPr>
          <w:p w14:paraId="52D51B1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0.810</w:t>
            </w:r>
          </w:p>
        </w:tc>
      </w:tr>
      <w:tr w14:paraId="2D055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4FB1B40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Monthly household income</w:t>
            </w:r>
          </w:p>
        </w:tc>
        <w:tc>
          <w:tcPr>
            <w:tcW w:w="2575" w:type="dxa"/>
            <w:tcBorders>
              <w:top w:val="nil"/>
              <w:left w:val="nil"/>
              <w:bottom w:val="nil"/>
              <w:right w:val="nil"/>
            </w:tcBorders>
            <w:vAlign w:val="center"/>
          </w:tcPr>
          <w:p w14:paraId="46607FB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1,000–3,000 vs ≤1,000</w:t>
            </w:r>
          </w:p>
        </w:tc>
        <w:tc>
          <w:tcPr>
            <w:tcW w:w="1250" w:type="dxa"/>
            <w:tcBorders>
              <w:top w:val="nil"/>
              <w:left w:val="nil"/>
              <w:bottom w:val="nil"/>
              <w:right w:val="nil"/>
            </w:tcBorders>
            <w:vAlign w:val="center"/>
          </w:tcPr>
          <w:p w14:paraId="413496D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1.35 (0.86–2.14)</w:t>
            </w:r>
          </w:p>
        </w:tc>
        <w:tc>
          <w:tcPr>
            <w:tcW w:w="928" w:type="dxa"/>
            <w:tcBorders>
              <w:top w:val="nil"/>
              <w:left w:val="nil"/>
              <w:bottom w:val="nil"/>
              <w:right w:val="nil"/>
            </w:tcBorders>
            <w:vAlign w:val="center"/>
          </w:tcPr>
          <w:p w14:paraId="0B76F93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0.195</w:t>
            </w:r>
          </w:p>
        </w:tc>
        <w:tc>
          <w:tcPr>
            <w:tcW w:w="1272" w:type="dxa"/>
            <w:tcBorders>
              <w:top w:val="nil"/>
              <w:left w:val="nil"/>
              <w:bottom w:val="nil"/>
              <w:right w:val="nil"/>
            </w:tcBorders>
            <w:vAlign w:val="center"/>
          </w:tcPr>
          <w:p w14:paraId="44751DD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1.34 (0.64–2.80)</w:t>
            </w:r>
          </w:p>
        </w:tc>
        <w:tc>
          <w:tcPr>
            <w:tcW w:w="928" w:type="dxa"/>
            <w:tcBorders>
              <w:top w:val="nil"/>
              <w:left w:val="nil"/>
              <w:bottom w:val="nil"/>
              <w:right w:val="nil"/>
            </w:tcBorders>
            <w:vAlign w:val="center"/>
          </w:tcPr>
          <w:p w14:paraId="32B54F1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0.437</w:t>
            </w:r>
          </w:p>
        </w:tc>
      </w:tr>
      <w:tr w14:paraId="561A9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0B4089D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Monthly household income</w:t>
            </w:r>
          </w:p>
        </w:tc>
        <w:tc>
          <w:tcPr>
            <w:tcW w:w="2575" w:type="dxa"/>
            <w:tcBorders>
              <w:top w:val="nil"/>
              <w:left w:val="nil"/>
              <w:bottom w:val="nil"/>
              <w:right w:val="nil"/>
            </w:tcBorders>
            <w:vAlign w:val="center"/>
          </w:tcPr>
          <w:p w14:paraId="0440D2A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3,000–5,000 vs ≤1,000</w:t>
            </w:r>
          </w:p>
        </w:tc>
        <w:tc>
          <w:tcPr>
            <w:tcW w:w="1250" w:type="dxa"/>
            <w:tcBorders>
              <w:top w:val="nil"/>
              <w:left w:val="nil"/>
              <w:bottom w:val="nil"/>
              <w:right w:val="nil"/>
            </w:tcBorders>
            <w:vAlign w:val="center"/>
          </w:tcPr>
          <w:p w14:paraId="6EEE286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1.50 (0.93–2.43)</w:t>
            </w:r>
          </w:p>
        </w:tc>
        <w:tc>
          <w:tcPr>
            <w:tcW w:w="928" w:type="dxa"/>
            <w:tcBorders>
              <w:top w:val="nil"/>
              <w:left w:val="nil"/>
              <w:bottom w:val="nil"/>
              <w:right w:val="nil"/>
            </w:tcBorders>
            <w:vAlign w:val="center"/>
          </w:tcPr>
          <w:p w14:paraId="2D085DB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0.094</w:t>
            </w:r>
          </w:p>
        </w:tc>
        <w:tc>
          <w:tcPr>
            <w:tcW w:w="1272" w:type="dxa"/>
            <w:tcBorders>
              <w:top w:val="nil"/>
              <w:left w:val="nil"/>
              <w:bottom w:val="nil"/>
              <w:right w:val="nil"/>
            </w:tcBorders>
            <w:vAlign w:val="center"/>
          </w:tcPr>
          <w:p w14:paraId="5EA5B60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1.94 (0.91–4.12)</w:t>
            </w:r>
          </w:p>
        </w:tc>
        <w:tc>
          <w:tcPr>
            <w:tcW w:w="928" w:type="dxa"/>
            <w:tcBorders>
              <w:top w:val="nil"/>
              <w:left w:val="nil"/>
              <w:bottom w:val="nil"/>
              <w:right w:val="nil"/>
            </w:tcBorders>
            <w:vAlign w:val="center"/>
          </w:tcPr>
          <w:p w14:paraId="581282C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0.086</w:t>
            </w:r>
          </w:p>
        </w:tc>
      </w:tr>
      <w:tr w14:paraId="5D1A5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33EA41B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Monthly household income</w:t>
            </w:r>
          </w:p>
        </w:tc>
        <w:tc>
          <w:tcPr>
            <w:tcW w:w="2575" w:type="dxa"/>
            <w:tcBorders>
              <w:top w:val="nil"/>
              <w:left w:val="nil"/>
              <w:bottom w:val="nil"/>
              <w:right w:val="nil"/>
            </w:tcBorders>
            <w:vAlign w:val="center"/>
          </w:tcPr>
          <w:p w14:paraId="60B5240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5,000–8,000 vs ≤1,000</w:t>
            </w:r>
          </w:p>
        </w:tc>
        <w:tc>
          <w:tcPr>
            <w:tcW w:w="1250" w:type="dxa"/>
            <w:tcBorders>
              <w:top w:val="nil"/>
              <w:left w:val="nil"/>
              <w:bottom w:val="nil"/>
              <w:right w:val="nil"/>
            </w:tcBorders>
            <w:vAlign w:val="center"/>
          </w:tcPr>
          <w:p w14:paraId="017BA23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1.08 (0.64–1.84)</w:t>
            </w:r>
          </w:p>
        </w:tc>
        <w:tc>
          <w:tcPr>
            <w:tcW w:w="928" w:type="dxa"/>
            <w:tcBorders>
              <w:top w:val="nil"/>
              <w:left w:val="nil"/>
              <w:bottom w:val="nil"/>
              <w:right w:val="nil"/>
            </w:tcBorders>
            <w:vAlign w:val="center"/>
          </w:tcPr>
          <w:p w14:paraId="56C88DC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0.773</w:t>
            </w:r>
          </w:p>
        </w:tc>
        <w:tc>
          <w:tcPr>
            <w:tcW w:w="1272" w:type="dxa"/>
            <w:tcBorders>
              <w:top w:val="nil"/>
              <w:left w:val="nil"/>
              <w:bottom w:val="nil"/>
              <w:right w:val="nil"/>
            </w:tcBorders>
            <w:vAlign w:val="center"/>
          </w:tcPr>
          <w:p w14:paraId="6BF7679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0.74 (0.29–1.87)</w:t>
            </w:r>
          </w:p>
        </w:tc>
        <w:tc>
          <w:tcPr>
            <w:tcW w:w="928" w:type="dxa"/>
            <w:tcBorders>
              <w:top w:val="nil"/>
              <w:left w:val="nil"/>
              <w:bottom w:val="nil"/>
              <w:right w:val="nil"/>
            </w:tcBorders>
            <w:vAlign w:val="center"/>
          </w:tcPr>
          <w:p w14:paraId="4FDA10C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0.526</w:t>
            </w:r>
          </w:p>
        </w:tc>
      </w:tr>
      <w:tr w14:paraId="29E3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3364E4C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Monthly household income</w:t>
            </w:r>
          </w:p>
        </w:tc>
        <w:tc>
          <w:tcPr>
            <w:tcW w:w="2575" w:type="dxa"/>
            <w:tcBorders>
              <w:top w:val="nil"/>
              <w:left w:val="nil"/>
              <w:bottom w:val="nil"/>
              <w:right w:val="nil"/>
            </w:tcBorders>
            <w:vAlign w:val="center"/>
          </w:tcPr>
          <w:p w14:paraId="7C36089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≥8,000 vs ≤1,000</w:t>
            </w:r>
          </w:p>
        </w:tc>
        <w:tc>
          <w:tcPr>
            <w:tcW w:w="1250" w:type="dxa"/>
            <w:tcBorders>
              <w:top w:val="nil"/>
              <w:left w:val="nil"/>
              <w:bottom w:val="nil"/>
              <w:right w:val="nil"/>
            </w:tcBorders>
            <w:vAlign w:val="center"/>
          </w:tcPr>
          <w:p w14:paraId="726B352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0.93 (0.46–1.85)</w:t>
            </w:r>
          </w:p>
        </w:tc>
        <w:tc>
          <w:tcPr>
            <w:tcW w:w="928" w:type="dxa"/>
            <w:tcBorders>
              <w:top w:val="nil"/>
              <w:left w:val="nil"/>
              <w:bottom w:val="nil"/>
              <w:right w:val="nil"/>
            </w:tcBorders>
            <w:vAlign w:val="center"/>
          </w:tcPr>
          <w:p w14:paraId="2ADEA67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0.826</w:t>
            </w:r>
          </w:p>
        </w:tc>
        <w:tc>
          <w:tcPr>
            <w:tcW w:w="1272" w:type="dxa"/>
            <w:tcBorders>
              <w:top w:val="nil"/>
              <w:left w:val="nil"/>
              <w:bottom w:val="nil"/>
              <w:right w:val="nil"/>
            </w:tcBorders>
            <w:vAlign w:val="center"/>
          </w:tcPr>
          <w:p w14:paraId="6082CE8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1.45 (0.51–4.14)</w:t>
            </w:r>
          </w:p>
        </w:tc>
        <w:tc>
          <w:tcPr>
            <w:tcW w:w="928" w:type="dxa"/>
            <w:tcBorders>
              <w:top w:val="nil"/>
              <w:left w:val="nil"/>
              <w:bottom w:val="nil"/>
              <w:right w:val="nil"/>
            </w:tcBorders>
            <w:vAlign w:val="center"/>
          </w:tcPr>
          <w:p w14:paraId="1B2A6D8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0.484</w:t>
            </w:r>
          </w:p>
        </w:tc>
      </w:tr>
      <w:tr w14:paraId="3C1B9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10B30DE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Smoking status</w:t>
            </w:r>
          </w:p>
        </w:tc>
        <w:tc>
          <w:tcPr>
            <w:tcW w:w="2575" w:type="dxa"/>
            <w:tcBorders>
              <w:top w:val="nil"/>
              <w:left w:val="nil"/>
              <w:bottom w:val="nil"/>
              <w:right w:val="nil"/>
            </w:tcBorders>
            <w:vAlign w:val="center"/>
          </w:tcPr>
          <w:p w14:paraId="26BAE79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Current vs Never</w:t>
            </w:r>
          </w:p>
        </w:tc>
        <w:tc>
          <w:tcPr>
            <w:tcW w:w="1250" w:type="dxa"/>
            <w:tcBorders>
              <w:top w:val="nil"/>
              <w:left w:val="nil"/>
              <w:bottom w:val="nil"/>
              <w:right w:val="nil"/>
            </w:tcBorders>
            <w:vAlign w:val="center"/>
          </w:tcPr>
          <w:p w14:paraId="5956D79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0.86 (0.54–1.39)</w:t>
            </w:r>
          </w:p>
        </w:tc>
        <w:tc>
          <w:tcPr>
            <w:tcW w:w="928" w:type="dxa"/>
            <w:tcBorders>
              <w:top w:val="nil"/>
              <w:left w:val="nil"/>
              <w:bottom w:val="nil"/>
              <w:right w:val="nil"/>
            </w:tcBorders>
            <w:vAlign w:val="center"/>
          </w:tcPr>
          <w:p w14:paraId="0FB75A3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0.547</w:t>
            </w:r>
          </w:p>
        </w:tc>
        <w:tc>
          <w:tcPr>
            <w:tcW w:w="1272" w:type="dxa"/>
            <w:tcBorders>
              <w:top w:val="nil"/>
              <w:left w:val="nil"/>
              <w:bottom w:val="nil"/>
              <w:right w:val="nil"/>
            </w:tcBorders>
            <w:vAlign w:val="center"/>
          </w:tcPr>
          <w:p w14:paraId="21D7F27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1.06 (0.52–2.18)</w:t>
            </w:r>
          </w:p>
        </w:tc>
        <w:tc>
          <w:tcPr>
            <w:tcW w:w="928" w:type="dxa"/>
            <w:tcBorders>
              <w:top w:val="nil"/>
              <w:left w:val="nil"/>
              <w:bottom w:val="nil"/>
              <w:right w:val="nil"/>
            </w:tcBorders>
            <w:vAlign w:val="center"/>
          </w:tcPr>
          <w:p w14:paraId="5777D75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0.868</w:t>
            </w:r>
          </w:p>
        </w:tc>
      </w:tr>
      <w:tr w14:paraId="65096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426674E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Smoking status</w:t>
            </w:r>
          </w:p>
        </w:tc>
        <w:tc>
          <w:tcPr>
            <w:tcW w:w="2575" w:type="dxa"/>
            <w:tcBorders>
              <w:top w:val="nil"/>
              <w:left w:val="nil"/>
              <w:bottom w:val="nil"/>
              <w:right w:val="nil"/>
            </w:tcBorders>
            <w:vAlign w:val="center"/>
          </w:tcPr>
          <w:p w14:paraId="4E30EE9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Passive vs Never</w:t>
            </w:r>
          </w:p>
        </w:tc>
        <w:tc>
          <w:tcPr>
            <w:tcW w:w="1250" w:type="dxa"/>
            <w:tcBorders>
              <w:top w:val="nil"/>
              <w:left w:val="nil"/>
              <w:bottom w:val="nil"/>
              <w:right w:val="nil"/>
            </w:tcBorders>
            <w:vAlign w:val="center"/>
          </w:tcPr>
          <w:p w14:paraId="07C8B58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1.10 (0.45–2.65)</w:t>
            </w:r>
          </w:p>
        </w:tc>
        <w:tc>
          <w:tcPr>
            <w:tcW w:w="928" w:type="dxa"/>
            <w:tcBorders>
              <w:top w:val="nil"/>
              <w:left w:val="nil"/>
              <w:bottom w:val="nil"/>
              <w:right w:val="nil"/>
            </w:tcBorders>
            <w:vAlign w:val="center"/>
          </w:tcPr>
          <w:p w14:paraId="62B5B11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0.838</w:t>
            </w:r>
          </w:p>
        </w:tc>
        <w:tc>
          <w:tcPr>
            <w:tcW w:w="1272" w:type="dxa"/>
            <w:tcBorders>
              <w:top w:val="nil"/>
              <w:left w:val="nil"/>
              <w:bottom w:val="nil"/>
              <w:right w:val="nil"/>
            </w:tcBorders>
            <w:vAlign w:val="center"/>
          </w:tcPr>
          <w:p w14:paraId="24310EF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0.83 (0.18–3.80)</w:t>
            </w:r>
          </w:p>
        </w:tc>
        <w:tc>
          <w:tcPr>
            <w:tcW w:w="928" w:type="dxa"/>
            <w:tcBorders>
              <w:top w:val="nil"/>
              <w:left w:val="nil"/>
              <w:bottom w:val="nil"/>
              <w:right w:val="nil"/>
            </w:tcBorders>
            <w:vAlign w:val="center"/>
          </w:tcPr>
          <w:p w14:paraId="7D558F9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0.810</w:t>
            </w:r>
          </w:p>
        </w:tc>
      </w:tr>
      <w:tr w14:paraId="0B5D2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0681209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Smoking status</w:t>
            </w:r>
          </w:p>
        </w:tc>
        <w:tc>
          <w:tcPr>
            <w:tcW w:w="2575" w:type="dxa"/>
            <w:tcBorders>
              <w:top w:val="nil"/>
              <w:left w:val="nil"/>
              <w:bottom w:val="nil"/>
              <w:right w:val="nil"/>
            </w:tcBorders>
            <w:vAlign w:val="center"/>
          </w:tcPr>
          <w:p w14:paraId="7FC6A4E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Former vs Never</w:t>
            </w:r>
          </w:p>
        </w:tc>
        <w:tc>
          <w:tcPr>
            <w:tcW w:w="1250" w:type="dxa"/>
            <w:tcBorders>
              <w:top w:val="nil"/>
              <w:left w:val="nil"/>
              <w:bottom w:val="nil"/>
              <w:right w:val="nil"/>
            </w:tcBorders>
            <w:vAlign w:val="center"/>
          </w:tcPr>
          <w:p w14:paraId="5A4BBFD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1.75 (0.77–3.95)</w:t>
            </w:r>
          </w:p>
        </w:tc>
        <w:tc>
          <w:tcPr>
            <w:tcW w:w="928" w:type="dxa"/>
            <w:tcBorders>
              <w:top w:val="nil"/>
              <w:left w:val="nil"/>
              <w:bottom w:val="nil"/>
              <w:right w:val="nil"/>
            </w:tcBorders>
            <w:vAlign w:val="center"/>
          </w:tcPr>
          <w:p w14:paraId="0C52C01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0.180</w:t>
            </w:r>
          </w:p>
        </w:tc>
        <w:tc>
          <w:tcPr>
            <w:tcW w:w="1272" w:type="dxa"/>
            <w:tcBorders>
              <w:top w:val="nil"/>
              <w:left w:val="nil"/>
              <w:bottom w:val="nil"/>
              <w:right w:val="nil"/>
            </w:tcBorders>
            <w:vAlign w:val="center"/>
          </w:tcPr>
          <w:p w14:paraId="5ACB3ED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0.50 (0.06–3.98)</w:t>
            </w:r>
          </w:p>
        </w:tc>
        <w:tc>
          <w:tcPr>
            <w:tcW w:w="928" w:type="dxa"/>
            <w:tcBorders>
              <w:top w:val="nil"/>
              <w:left w:val="nil"/>
              <w:bottom w:val="nil"/>
              <w:right w:val="nil"/>
            </w:tcBorders>
            <w:vAlign w:val="center"/>
          </w:tcPr>
          <w:p w14:paraId="5E45F01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0.514</w:t>
            </w:r>
          </w:p>
        </w:tc>
      </w:tr>
      <w:tr w14:paraId="394B1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39BB365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Alcohol drinking</w:t>
            </w:r>
          </w:p>
        </w:tc>
        <w:tc>
          <w:tcPr>
            <w:tcW w:w="2575" w:type="dxa"/>
            <w:tcBorders>
              <w:top w:val="nil"/>
              <w:left w:val="nil"/>
              <w:bottom w:val="nil"/>
              <w:right w:val="nil"/>
            </w:tcBorders>
            <w:vAlign w:val="center"/>
          </w:tcPr>
          <w:p w14:paraId="7BC24F8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Current vs Never</w:t>
            </w:r>
          </w:p>
        </w:tc>
        <w:tc>
          <w:tcPr>
            <w:tcW w:w="1250" w:type="dxa"/>
            <w:tcBorders>
              <w:top w:val="nil"/>
              <w:left w:val="nil"/>
              <w:bottom w:val="nil"/>
              <w:right w:val="nil"/>
            </w:tcBorders>
            <w:vAlign w:val="center"/>
          </w:tcPr>
          <w:p w14:paraId="7DFAE50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0.84 (0.51–1.38)</w:t>
            </w:r>
          </w:p>
        </w:tc>
        <w:tc>
          <w:tcPr>
            <w:tcW w:w="928" w:type="dxa"/>
            <w:tcBorders>
              <w:top w:val="nil"/>
              <w:left w:val="nil"/>
              <w:bottom w:val="nil"/>
              <w:right w:val="nil"/>
            </w:tcBorders>
            <w:vAlign w:val="center"/>
          </w:tcPr>
          <w:p w14:paraId="4394567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0.487</w:t>
            </w:r>
          </w:p>
        </w:tc>
        <w:tc>
          <w:tcPr>
            <w:tcW w:w="1272" w:type="dxa"/>
            <w:tcBorders>
              <w:top w:val="nil"/>
              <w:left w:val="nil"/>
              <w:bottom w:val="nil"/>
              <w:right w:val="nil"/>
            </w:tcBorders>
            <w:vAlign w:val="center"/>
          </w:tcPr>
          <w:p w14:paraId="6386B59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1.05 (0.48–2.28)</w:t>
            </w:r>
          </w:p>
        </w:tc>
        <w:tc>
          <w:tcPr>
            <w:tcW w:w="928" w:type="dxa"/>
            <w:tcBorders>
              <w:top w:val="nil"/>
              <w:left w:val="nil"/>
              <w:bottom w:val="nil"/>
              <w:right w:val="nil"/>
            </w:tcBorders>
            <w:vAlign w:val="center"/>
          </w:tcPr>
          <w:p w14:paraId="1297B4F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0.908</w:t>
            </w:r>
          </w:p>
        </w:tc>
      </w:tr>
      <w:tr w14:paraId="65999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7C2BAC5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Alcohol drinking</w:t>
            </w:r>
          </w:p>
        </w:tc>
        <w:tc>
          <w:tcPr>
            <w:tcW w:w="2575" w:type="dxa"/>
            <w:tcBorders>
              <w:top w:val="nil"/>
              <w:left w:val="nil"/>
              <w:bottom w:val="nil"/>
              <w:right w:val="nil"/>
            </w:tcBorders>
            <w:vAlign w:val="center"/>
          </w:tcPr>
          <w:p w14:paraId="62B935A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Former vs Never</w:t>
            </w:r>
          </w:p>
        </w:tc>
        <w:tc>
          <w:tcPr>
            <w:tcW w:w="1250" w:type="dxa"/>
            <w:tcBorders>
              <w:top w:val="nil"/>
              <w:left w:val="nil"/>
              <w:bottom w:val="nil"/>
              <w:right w:val="nil"/>
            </w:tcBorders>
            <w:vAlign w:val="center"/>
          </w:tcPr>
          <w:p w14:paraId="18DB14C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0.30 (0.07–1.32)</w:t>
            </w:r>
          </w:p>
        </w:tc>
        <w:tc>
          <w:tcPr>
            <w:tcW w:w="928" w:type="dxa"/>
            <w:tcBorders>
              <w:top w:val="nil"/>
              <w:left w:val="nil"/>
              <w:bottom w:val="nil"/>
              <w:right w:val="nil"/>
            </w:tcBorders>
            <w:vAlign w:val="center"/>
          </w:tcPr>
          <w:p w14:paraId="0A16C73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0.111</w:t>
            </w:r>
          </w:p>
        </w:tc>
        <w:tc>
          <w:tcPr>
            <w:tcW w:w="1272" w:type="dxa"/>
            <w:tcBorders>
              <w:top w:val="nil"/>
              <w:left w:val="nil"/>
              <w:bottom w:val="nil"/>
              <w:right w:val="nil"/>
            </w:tcBorders>
            <w:vAlign w:val="center"/>
          </w:tcPr>
          <w:p w14:paraId="66E3B34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0.69 (0.09–5.53)</w:t>
            </w:r>
          </w:p>
        </w:tc>
        <w:tc>
          <w:tcPr>
            <w:tcW w:w="928" w:type="dxa"/>
            <w:tcBorders>
              <w:top w:val="nil"/>
              <w:left w:val="nil"/>
              <w:bottom w:val="nil"/>
              <w:right w:val="nil"/>
            </w:tcBorders>
            <w:vAlign w:val="center"/>
          </w:tcPr>
          <w:p w14:paraId="0BB724C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0.727</w:t>
            </w:r>
          </w:p>
        </w:tc>
      </w:tr>
      <w:tr w14:paraId="463C8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1BBEC6E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Diet type</w:t>
            </w:r>
          </w:p>
        </w:tc>
        <w:tc>
          <w:tcPr>
            <w:tcW w:w="2575" w:type="dxa"/>
            <w:tcBorders>
              <w:top w:val="nil"/>
              <w:left w:val="nil"/>
              <w:bottom w:val="nil"/>
              <w:right w:val="nil"/>
            </w:tcBorders>
            <w:vAlign w:val="center"/>
          </w:tcPr>
          <w:p w14:paraId="2665CCE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Meat-based vs Mixed</w:t>
            </w:r>
          </w:p>
        </w:tc>
        <w:tc>
          <w:tcPr>
            <w:tcW w:w="1250" w:type="dxa"/>
            <w:tcBorders>
              <w:top w:val="nil"/>
              <w:left w:val="nil"/>
              <w:bottom w:val="nil"/>
              <w:right w:val="nil"/>
            </w:tcBorders>
            <w:vAlign w:val="center"/>
          </w:tcPr>
          <w:p w14:paraId="2D014E5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0.54 (0.18–1.57)</w:t>
            </w:r>
          </w:p>
        </w:tc>
        <w:tc>
          <w:tcPr>
            <w:tcW w:w="928" w:type="dxa"/>
            <w:tcBorders>
              <w:top w:val="nil"/>
              <w:left w:val="nil"/>
              <w:bottom w:val="nil"/>
              <w:right w:val="nil"/>
            </w:tcBorders>
            <w:vAlign w:val="center"/>
          </w:tcPr>
          <w:p w14:paraId="3F68692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0.255</w:t>
            </w:r>
          </w:p>
        </w:tc>
        <w:tc>
          <w:tcPr>
            <w:tcW w:w="1272" w:type="dxa"/>
            <w:tcBorders>
              <w:top w:val="nil"/>
              <w:left w:val="nil"/>
              <w:bottom w:val="nil"/>
              <w:right w:val="nil"/>
            </w:tcBorders>
            <w:vAlign w:val="center"/>
          </w:tcPr>
          <w:p w14:paraId="146D4E3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NE</w:t>
            </w:r>
          </w:p>
        </w:tc>
        <w:tc>
          <w:tcPr>
            <w:tcW w:w="928" w:type="dxa"/>
            <w:tcBorders>
              <w:top w:val="nil"/>
              <w:left w:val="nil"/>
              <w:bottom w:val="nil"/>
              <w:right w:val="nil"/>
            </w:tcBorders>
            <w:vAlign w:val="center"/>
          </w:tcPr>
          <w:p w14:paraId="47AAB7C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0.999</w:t>
            </w:r>
          </w:p>
        </w:tc>
      </w:tr>
      <w:tr w14:paraId="2D387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5AD0DB6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Diet type</w:t>
            </w:r>
          </w:p>
        </w:tc>
        <w:tc>
          <w:tcPr>
            <w:tcW w:w="2575" w:type="dxa"/>
            <w:tcBorders>
              <w:top w:val="nil"/>
              <w:left w:val="nil"/>
              <w:bottom w:val="nil"/>
              <w:right w:val="nil"/>
            </w:tcBorders>
            <w:vAlign w:val="center"/>
          </w:tcPr>
          <w:p w14:paraId="2F11BB6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Vegetarian/mostly plant-based vs Mixed</w:t>
            </w:r>
          </w:p>
        </w:tc>
        <w:tc>
          <w:tcPr>
            <w:tcW w:w="1250" w:type="dxa"/>
            <w:tcBorders>
              <w:top w:val="nil"/>
              <w:left w:val="nil"/>
              <w:bottom w:val="nil"/>
              <w:right w:val="nil"/>
            </w:tcBorders>
            <w:vAlign w:val="center"/>
          </w:tcPr>
          <w:p w14:paraId="7253A4F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0.95 (0.70–1.29)</w:t>
            </w:r>
          </w:p>
        </w:tc>
        <w:tc>
          <w:tcPr>
            <w:tcW w:w="928" w:type="dxa"/>
            <w:tcBorders>
              <w:top w:val="nil"/>
              <w:left w:val="nil"/>
              <w:bottom w:val="nil"/>
              <w:right w:val="nil"/>
            </w:tcBorders>
            <w:vAlign w:val="center"/>
          </w:tcPr>
          <w:p w14:paraId="0E6A7EF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0.754</w:t>
            </w:r>
          </w:p>
        </w:tc>
        <w:tc>
          <w:tcPr>
            <w:tcW w:w="1272" w:type="dxa"/>
            <w:tcBorders>
              <w:top w:val="nil"/>
              <w:left w:val="nil"/>
              <w:bottom w:val="nil"/>
              <w:right w:val="nil"/>
            </w:tcBorders>
            <w:vAlign w:val="center"/>
          </w:tcPr>
          <w:p w14:paraId="0704680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0.98 (0.61–1.57)</w:t>
            </w:r>
          </w:p>
        </w:tc>
        <w:tc>
          <w:tcPr>
            <w:tcW w:w="928" w:type="dxa"/>
            <w:tcBorders>
              <w:top w:val="nil"/>
              <w:left w:val="nil"/>
              <w:bottom w:val="nil"/>
              <w:right w:val="nil"/>
            </w:tcBorders>
            <w:vAlign w:val="center"/>
          </w:tcPr>
          <w:p w14:paraId="5E1AA28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0.932</w:t>
            </w:r>
          </w:p>
        </w:tc>
      </w:tr>
      <w:tr w14:paraId="08F44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379865B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History of chronic disease(s)</w:t>
            </w:r>
          </w:p>
        </w:tc>
        <w:tc>
          <w:tcPr>
            <w:tcW w:w="2575" w:type="dxa"/>
            <w:tcBorders>
              <w:top w:val="nil"/>
              <w:left w:val="nil"/>
              <w:bottom w:val="nil"/>
              <w:right w:val="nil"/>
            </w:tcBorders>
            <w:vAlign w:val="center"/>
          </w:tcPr>
          <w:p w14:paraId="4D4845D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Yes vs No</w:t>
            </w:r>
          </w:p>
        </w:tc>
        <w:tc>
          <w:tcPr>
            <w:tcW w:w="1250" w:type="dxa"/>
            <w:tcBorders>
              <w:top w:val="nil"/>
              <w:left w:val="nil"/>
              <w:bottom w:val="nil"/>
              <w:right w:val="nil"/>
            </w:tcBorders>
            <w:vAlign w:val="center"/>
          </w:tcPr>
          <w:p w14:paraId="279C1FA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0.84 (0.64–1.10)</w:t>
            </w:r>
          </w:p>
        </w:tc>
        <w:tc>
          <w:tcPr>
            <w:tcW w:w="928" w:type="dxa"/>
            <w:tcBorders>
              <w:top w:val="nil"/>
              <w:left w:val="nil"/>
              <w:bottom w:val="nil"/>
              <w:right w:val="nil"/>
            </w:tcBorders>
            <w:vAlign w:val="center"/>
          </w:tcPr>
          <w:p w14:paraId="32A4473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0.204</w:t>
            </w:r>
          </w:p>
        </w:tc>
        <w:tc>
          <w:tcPr>
            <w:tcW w:w="1272" w:type="dxa"/>
            <w:tcBorders>
              <w:top w:val="nil"/>
              <w:left w:val="nil"/>
              <w:bottom w:val="nil"/>
              <w:right w:val="nil"/>
            </w:tcBorders>
            <w:vAlign w:val="center"/>
          </w:tcPr>
          <w:p w14:paraId="0E707AD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0.67 (0.44–1.03)</w:t>
            </w:r>
          </w:p>
        </w:tc>
        <w:tc>
          <w:tcPr>
            <w:tcW w:w="928" w:type="dxa"/>
            <w:tcBorders>
              <w:top w:val="nil"/>
              <w:left w:val="nil"/>
              <w:bottom w:val="nil"/>
              <w:right w:val="nil"/>
            </w:tcBorders>
            <w:vAlign w:val="center"/>
          </w:tcPr>
          <w:p w14:paraId="5A08A1C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0.068</w:t>
            </w:r>
          </w:p>
        </w:tc>
      </w:tr>
      <w:tr w14:paraId="2B514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68F3B1C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Long-term glucocorticoid use</w:t>
            </w:r>
          </w:p>
        </w:tc>
        <w:tc>
          <w:tcPr>
            <w:tcW w:w="2575" w:type="dxa"/>
            <w:tcBorders>
              <w:top w:val="nil"/>
              <w:left w:val="nil"/>
              <w:bottom w:val="nil"/>
              <w:right w:val="nil"/>
            </w:tcBorders>
            <w:vAlign w:val="center"/>
          </w:tcPr>
          <w:p w14:paraId="7E9F74A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Yes vs No</w:t>
            </w:r>
          </w:p>
        </w:tc>
        <w:tc>
          <w:tcPr>
            <w:tcW w:w="1250" w:type="dxa"/>
            <w:tcBorders>
              <w:top w:val="nil"/>
              <w:left w:val="nil"/>
              <w:bottom w:val="nil"/>
              <w:right w:val="nil"/>
            </w:tcBorders>
            <w:vAlign w:val="center"/>
          </w:tcPr>
          <w:p w14:paraId="79A1885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1.99 (0.83–4.74)</w:t>
            </w:r>
          </w:p>
        </w:tc>
        <w:tc>
          <w:tcPr>
            <w:tcW w:w="928" w:type="dxa"/>
            <w:tcBorders>
              <w:top w:val="nil"/>
              <w:left w:val="nil"/>
              <w:bottom w:val="nil"/>
              <w:right w:val="nil"/>
            </w:tcBorders>
            <w:vAlign w:val="center"/>
          </w:tcPr>
          <w:p w14:paraId="208626F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0.120</w:t>
            </w:r>
          </w:p>
        </w:tc>
        <w:tc>
          <w:tcPr>
            <w:tcW w:w="1272" w:type="dxa"/>
            <w:tcBorders>
              <w:top w:val="nil"/>
              <w:left w:val="nil"/>
              <w:bottom w:val="nil"/>
              <w:right w:val="nil"/>
            </w:tcBorders>
            <w:vAlign w:val="center"/>
          </w:tcPr>
          <w:p w14:paraId="7B784F3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1.77 (0.53–5.98)</w:t>
            </w:r>
          </w:p>
        </w:tc>
        <w:tc>
          <w:tcPr>
            <w:tcW w:w="928" w:type="dxa"/>
            <w:tcBorders>
              <w:top w:val="nil"/>
              <w:left w:val="nil"/>
              <w:bottom w:val="nil"/>
              <w:right w:val="nil"/>
            </w:tcBorders>
            <w:vAlign w:val="center"/>
          </w:tcPr>
          <w:p w14:paraId="2907BD0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0.355</w:t>
            </w:r>
          </w:p>
        </w:tc>
      </w:tr>
      <w:tr w14:paraId="53BB9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4A7C77F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Rheumatoid arthritis</w:t>
            </w:r>
          </w:p>
        </w:tc>
        <w:tc>
          <w:tcPr>
            <w:tcW w:w="2575" w:type="dxa"/>
            <w:tcBorders>
              <w:top w:val="nil"/>
              <w:left w:val="nil"/>
              <w:bottom w:val="nil"/>
              <w:right w:val="nil"/>
            </w:tcBorders>
            <w:vAlign w:val="center"/>
          </w:tcPr>
          <w:p w14:paraId="7B8D0F7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Yes vs No</w:t>
            </w:r>
          </w:p>
        </w:tc>
        <w:tc>
          <w:tcPr>
            <w:tcW w:w="1250" w:type="dxa"/>
            <w:tcBorders>
              <w:top w:val="nil"/>
              <w:left w:val="nil"/>
              <w:bottom w:val="nil"/>
              <w:right w:val="nil"/>
            </w:tcBorders>
            <w:vAlign w:val="center"/>
          </w:tcPr>
          <w:p w14:paraId="38DBA49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1.32 (0.88–2.00)</w:t>
            </w:r>
          </w:p>
        </w:tc>
        <w:tc>
          <w:tcPr>
            <w:tcW w:w="928" w:type="dxa"/>
            <w:tcBorders>
              <w:top w:val="nil"/>
              <w:left w:val="nil"/>
              <w:bottom w:val="nil"/>
              <w:right w:val="nil"/>
            </w:tcBorders>
            <w:vAlign w:val="center"/>
          </w:tcPr>
          <w:p w14:paraId="34B8478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0.180</w:t>
            </w:r>
          </w:p>
        </w:tc>
        <w:tc>
          <w:tcPr>
            <w:tcW w:w="1272" w:type="dxa"/>
            <w:tcBorders>
              <w:top w:val="nil"/>
              <w:left w:val="nil"/>
              <w:bottom w:val="nil"/>
              <w:right w:val="nil"/>
            </w:tcBorders>
            <w:vAlign w:val="center"/>
          </w:tcPr>
          <w:p w14:paraId="3AC4F92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1.57 (0.87–2.84)</w:t>
            </w:r>
          </w:p>
        </w:tc>
        <w:tc>
          <w:tcPr>
            <w:tcW w:w="928" w:type="dxa"/>
            <w:tcBorders>
              <w:top w:val="nil"/>
              <w:left w:val="nil"/>
              <w:bottom w:val="nil"/>
              <w:right w:val="nil"/>
            </w:tcBorders>
            <w:vAlign w:val="center"/>
          </w:tcPr>
          <w:p w14:paraId="378D029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0.135</w:t>
            </w:r>
          </w:p>
        </w:tc>
      </w:tr>
      <w:tr w14:paraId="0FA6A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3D6DA9D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Diarrhea</w:t>
            </w:r>
          </w:p>
        </w:tc>
        <w:tc>
          <w:tcPr>
            <w:tcW w:w="2575" w:type="dxa"/>
            <w:tcBorders>
              <w:top w:val="nil"/>
              <w:left w:val="nil"/>
              <w:bottom w:val="nil"/>
              <w:right w:val="nil"/>
            </w:tcBorders>
            <w:vAlign w:val="center"/>
          </w:tcPr>
          <w:p w14:paraId="0A8D2E4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Yes vs No</w:t>
            </w:r>
          </w:p>
        </w:tc>
        <w:tc>
          <w:tcPr>
            <w:tcW w:w="1250" w:type="dxa"/>
            <w:tcBorders>
              <w:top w:val="nil"/>
              <w:left w:val="nil"/>
              <w:bottom w:val="nil"/>
              <w:right w:val="nil"/>
            </w:tcBorders>
            <w:vAlign w:val="center"/>
          </w:tcPr>
          <w:p w14:paraId="587A0B5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1.36 (0.86–2.16)</w:t>
            </w:r>
          </w:p>
        </w:tc>
        <w:tc>
          <w:tcPr>
            <w:tcW w:w="928" w:type="dxa"/>
            <w:tcBorders>
              <w:top w:val="nil"/>
              <w:left w:val="nil"/>
              <w:bottom w:val="nil"/>
              <w:right w:val="nil"/>
            </w:tcBorders>
            <w:vAlign w:val="center"/>
          </w:tcPr>
          <w:p w14:paraId="300EDC3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0.191</w:t>
            </w:r>
          </w:p>
        </w:tc>
        <w:tc>
          <w:tcPr>
            <w:tcW w:w="1272" w:type="dxa"/>
            <w:tcBorders>
              <w:top w:val="nil"/>
              <w:left w:val="nil"/>
              <w:bottom w:val="nil"/>
              <w:right w:val="nil"/>
            </w:tcBorders>
            <w:vAlign w:val="center"/>
          </w:tcPr>
          <w:p w14:paraId="52DA214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2.03 (1.10–3.72)</w:t>
            </w:r>
          </w:p>
        </w:tc>
        <w:tc>
          <w:tcPr>
            <w:tcW w:w="928" w:type="dxa"/>
            <w:tcBorders>
              <w:top w:val="nil"/>
              <w:left w:val="nil"/>
              <w:bottom w:val="nil"/>
              <w:right w:val="nil"/>
            </w:tcBorders>
            <w:vAlign w:val="center"/>
          </w:tcPr>
          <w:p w14:paraId="4235487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0.023</w:t>
            </w:r>
          </w:p>
        </w:tc>
      </w:tr>
      <w:tr w14:paraId="79550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290D459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Elevator available at residence</w:t>
            </w:r>
          </w:p>
        </w:tc>
        <w:tc>
          <w:tcPr>
            <w:tcW w:w="2575" w:type="dxa"/>
            <w:tcBorders>
              <w:top w:val="nil"/>
              <w:left w:val="nil"/>
              <w:bottom w:val="nil"/>
              <w:right w:val="nil"/>
            </w:tcBorders>
            <w:vAlign w:val="center"/>
          </w:tcPr>
          <w:p w14:paraId="0C6CF26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Missing vs No</w:t>
            </w:r>
          </w:p>
        </w:tc>
        <w:tc>
          <w:tcPr>
            <w:tcW w:w="1250" w:type="dxa"/>
            <w:tcBorders>
              <w:top w:val="nil"/>
              <w:left w:val="nil"/>
              <w:bottom w:val="nil"/>
              <w:right w:val="nil"/>
            </w:tcBorders>
            <w:vAlign w:val="center"/>
          </w:tcPr>
          <w:p w14:paraId="651CA3C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NE</w:t>
            </w:r>
          </w:p>
        </w:tc>
        <w:tc>
          <w:tcPr>
            <w:tcW w:w="928" w:type="dxa"/>
            <w:tcBorders>
              <w:top w:val="nil"/>
              <w:left w:val="nil"/>
              <w:bottom w:val="nil"/>
              <w:right w:val="nil"/>
            </w:tcBorders>
            <w:vAlign w:val="center"/>
          </w:tcPr>
          <w:p w14:paraId="06D7753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0.999</w:t>
            </w:r>
          </w:p>
        </w:tc>
        <w:tc>
          <w:tcPr>
            <w:tcW w:w="1272" w:type="dxa"/>
            <w:tcBorders>
              <w:top w:val="nil"/>
              <w:left w:val="nil"/>
              <w:bottom w:val="nil"/>
              <w:right w:val="nil"/>
            </w:tcBorders>
            <w:vAlign w:val="center"/>
          </w:tcPr>
          <w:p w14:paraId="257C292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NE</w:t>
            </w:r>
          </w:p>
        </w:tc>
        <w:tc>
          <w:tcPr>
            <w:tcW w:w="928" w:type="dxa"/>
            <w:tcBorders>
              <w:top w:val="nil"/>
              <w:left w:val="nil"/>
              <w:bottom w:val="nil"/>
              <w:right w:val="nil"/>
            </w:tcBorders>
            <w:vAlign w:val="center"/>
          </w:tcPr>
          <w:p w14:paraId="68A852E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1.000</w:t>
            </w:r>
          </w:p>
        </w:tc>
      </w:tr>
      <w:tr w14:paraId="04612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058162E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Elevator available at residence</w:t>
            </w:r>
          </w:p>
        </w:tc>
        <w:tc>
          <w:tcPr>
            <w:tcW w:w="2575" w:type="dxa"/>
            <w:tcBorders>
              <w:top w:val="nil"/>
              <w:left w:val="nil"/>
              <w:bottom w:val="nil"/>
              <w:right w:val="nil"/>
            </w:tcBorders>
            <w:vAlign w:val="center"/>
          </w:tcPr>
          <w:p w14:paraId="2B3BA8E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Yes vs No</w:t>
            </w:r>
          </w:p>
        </w:tc>
        <w:tc>
          <w:tcPr>
            <w:tcW w:w="1250" w:type="dxa"/>
            <w:tcBorders>
              <w:top w:val="nil"/>
              <w:left w:val="nil"/>
              <w:bottom w:val="nil"/>
              <w:right w:val="nil"/>
            </w:tcBorders>
            <w:vAlign w:val="center"/>
          </w:tcPr>
          <w:p w14:paraId="28089C0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0.96 (0.66–1.39)</w:t>
            </w:r>
          </w:p>
        </w:tc>
        <w:tc>
          <w:tcPr>
            <w:tcW w:w="928" w:type="dxa"/>
            <w:tcBorders>
              <w:top w:val="nil"/>
              <w:left w:val="nil"/>
              <w:bottom w:val="nil"/>
              <w:right w:val="nil"/>
            </w:tcBorders>
            <w:vAlign w:val="center"/>
          </w:tcPr>
          <w:p w14:paraId="02A14D7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0.833</w:t>
            </w:r>
          </w:p>
        </w:tc>
        <w:tc>
          <w:tcPr>
            <w:tcW w:w="1272" w:type="dxa"/>
            <w:tcBorders>
              <w:top w:val="nil"/>
              <w:left w:val="nil"/>
              <w:bottom w:val="nil"/>
              <w:right w:val="nil"/>
            </w:tcBorders>
            <w:vAlign w:val="center"/>
          </w:tcPr>
          <w:p w14:paraId="2FAFE10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0.77 (0.42–1.42)</w:t>
            </w:r>
          </w:p>
        </w:tc>
        <w:tc>
          <w:tcPr>
            <w:tcW w:w="928" w:type="dxa"/>
            <w:tcBorders>
              <w:top w:val="nil"/>
              <w:left w:val="nil"/>
              <w:bottom w:val="nil"/>
              <w:right w:val="nil"/>
            </w:tcBorders>
            <w:vAlign w:val="center"/>
          </w:tcPr>
          <w:p w14:paraId="535B832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0.405</w:t>
            </w:r>
          </w:p>
        </w:tc>
      </w:tr>
      <w:tr w14:paraId="57F05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3AFFDDF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Height loss &gt;</w:t>
            </w:r>
            <w:r>
              <w:rPr>
                <w:rFonts w:hint="eastAsia" w:ascii="Times New Roman" w:hAnsi="Times New Roman" w:eastAsia="宋体" w:cs="Times New Roman"/>
                <w:sz w:val="21"/>
                <w:lang w:val="en-US" w:eastAsia="zh-CN"/>
              </w:rPr>
              <w:t xml:space="preserve"> </w:t>
            </w:r>
            <w:r>
              <w:rPr>
                <w:rFonts w:hint="default" w:ascii="Times New Roman" w:hAnsi="Times New Roman" w:eastAsia="宋体" w:cs="Times New Roman"/>
                <w:sz w:val="21"/>
              </w:rPr>
              <w:t>3 cm</w:t>
            </w:r>
          </w:p>
        </w:tc>
        <w:tc>
          <w:tcPr>
            <w:tcW w:w="2575" w:type="dxa"/>
            <w:tcBorders>
              <w:top w:val="nil"/>
              <w:left w:val="nil"/>
              <w:bottom w:val="nil"/>
              <w:right w:val="nil"/>
            </w:tcBorders>
            <w:vAlign w:val="center"/>
          </w:tcPr>
          <w:p w14:paraId="18CDE9B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Yes vs No</w:t>
            </w:r>
          </w:p>
        </w:tc>
        <w:tc>
          <w:tcPr>
            <w:tcW w:w="1250" w:type="dxa"/>
            <w:tcBorders>
              <w:top w:val="nil"/>
              <w:left w:val="nil"/>
              <w:bottom w:val="nil"/>
              <w:right w:val="nil"/>
            </w:tcBorders>
            <w:vAlign w:val="center"/>
          </w:tcPr>
          <w:p w14:paraId="524B2ED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0.98 (0.72–1.34)</w:t>
            </w:r>
          </w:p>
        </w:tc>
        <w:tc>
          <w:tcPr>
            <w:tcW w:w="928" w:type="dxa"/>
            <w:tcBorders>
              <w:top w:val="nil"/>
              <w:left w:val="nil"/>
              <w:bottom w:val="nil"/>
              <w:right w:val="nil"/>
            </w:tcBorders>
            <w:vAlign w:val="center"/>
          </w:tcPr>
          <w:p w14:paraId="69F4098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0.913</w:t>
            </w:r>
          </w:p>
        </w:tc>
        <w:tc>
          <w:tcPr>
            <w:tcW w:w="1272" w:type="dxa"/>
            <w:tcBorders>
              <w:top w:val="nil"/>
              <w:left w:val="nil"/>
              <w:bottom w:val="nil"/>
              <w:right w:val="nil"/>
            </w:tcBorders>
            <w:vAlign w:val="center"/>
          </w:tcPr>
          <w:p w14:paraId="5DA0E1B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1.11 (0.70–1.78)</w:t>
            </w:r>
          </w:p>
        </w:tc>
        <w:tc>
          <w:tcPr>
            <w:tcW w:w="928" w:type="dxa"/>
            <w:tcBorders>
              <w:top w:val="nil"/>
              <w:left w:val="nil"/>
              <w:bottom w:val="nil"/>
              <w:right w:val="nil"/>
            </w:tcBorders>
            <w:vAlign w:val="center"/>
          </w:tcPr>
          <w:p w14:paraId="743F035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0.654</w:t>
            </w:r>
          </w:p>
        </w:tc>
      </w:tr>
      <w:tr w14:paraId="55942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54E3488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Fatigue/joint pain affecting daily life</w:t>
            </w:r>
          </w:p>
        </w:tc>
        <w:tc>
          <w:tcPr>
            <w:tcW w:w="2575" w:type="dxa"/>
            <w:tcBorders>
              <w:top w:val="nil"/>
              <w:left w:val="nil"/>
              <w:bottom w:val="nil"/>
              <w:right w:val="nil"/>
            </w:tcBorders>
            <w:vAlign w:val="center"/>
          </w:tcPr>
          <w:p w14:paraId="3110324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Yes vs No</w:t>
            </w:r>
          </w:p>
        </w:tc>
        <w:tc>
          <w:tcPr>
            <w:tcW w:w="1250" w:type="dxa"/>
            <w:tcBorders>
              <w:top w:val="nil"/>
              <w:left w:val="nil"/>
              <w:bottom w:val="nil"/>
              <w:right w:val="nil"/>
            </w:tcBorders>
            <w:vAlign w:val="center"/>
          </w:tcPr>
          <w:p w14:paraId="4E58A93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1.10 (0.80–1.52)</w:t>
            </w:r>
          </w:p>
        </w:tc>
        <w:tc>
          <w:tcPr>
            <w:tcW w:w="928" w:type="dxa"/>
            <w:tcBorders>
              <w:top w:val="nil"/>
              <w:left w:val="nil"/>
              <w:bottom w:val="nil"/>
              <w:right w:val="nil"/>
            </w:tcBorders>
            <w:vAlign w:val="center"/>
          </w:tcPr>
          <w:p w14:paraId="35CDBD0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0.563</w:t>
            </w:r>
          </w:p>
        </w:tc>
        <w:tc>
          <w:tcPr>
            <w:tcW w:w="1272" w:type="dxa"/>
            <w:tcBorders>
              <w:top w:val="nil"/>
              <w:left w:val="nil"/>
              <w:bottom w:val="nil"/>
              <w:right w:val="nil"/>
            </w:tcBorders>
            <w:vAlign w:val="center"/>
          </w:tcPr>
          <w:p w14:paraId="76467FC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1.20 (0.73–1.96)</w:t>
            </w:r>
          </w:p>
        </w:tc>
        <w:tc>
          <w:tcPr>
            <w:tcW w:w="928" w:type="dxa"/>
            <w:tcBorders>
              <w:top w:val="nil"/>
              <w:left w:val="nil"/>
              <w:bottom w:val="nil"/>
              <w:right w:val="nil"/>
            </w:tcBorders>
            <w:vAlign w:val="center"/>
          </w:tcPr>
          <w:p w14:paraId="5E8A288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0.466</w:t>
            </w:r>
          </w:p>
        </w:tc>
      </w:tr>
      <w:tr w14:paraId="0DDB4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12572F6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Parental history of fragility fracture</w:t>
            </w:r>
          </w:p>
        </w:tc>
        <w:tc>
          <w:tcPr>
            <w:tcW w:w="2575" w:type="dxa"/>
            <w:tcBorders>
              <w:top w:val="nil"/>
              <w:left w:val="nil"/>
              <w:bottom w:val="nil"/>
              <w:right w:val="nil"/>
            </w:tcBorders>
            <w:vAlign w:val="center"/>
          </w:tcPr>
          <w:p w14:paraId="32D8A6D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Yes vs No</w:t>
            </w:r>
          </w:p>
        </w:tc>
        <w:tc>
          <w:tcPr>
            <w:tcW w:w="1250" w:type="dxa"/>
            <w:tcBorders>
              <w:top w:val="nil"/>
              <w:left w:val="nil"/>
              <w:bottom w:val="nil"/>
              <w:right w:val="nil"/>
            </w:tcBorders>
            <w:vAlign w:val="center"/>
          </w:tcPr>
          <w:p w14:paraId="7817314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1.12 (0.75–1.67)</w:t>
            </w:r>
          </w:p>
        </w:tc>
        <w:tc>
          <w:tcPr>
            <w:tcW w:w="928" w:type="dxa"/>
            <w:tcBorders>
              <w:top w:val="nil"/>
              <w:left w:val="nil"/>
              <w:bottom w:val="nil"/>
              <w:right w:val="nil"/>
            </w:tcBorders>
            <w:vAlign w:val="center"/>
          </w:tcPr>
          <w:p w14:paraId="317A42D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0.592</w:t>
            </w:r>
          </w:p>
        </w:tc>
        <w:tc>
          <w:tcPr>
            <w:tcW w:w="1272" w:type="dxa"/>
            <w:tcBorders>
              <w:top w:val="nil"/>
              <w:left w:val="nil"/>
              <w:bottom w:val="nil"/>
              <w:right w:val="nil"/>
            </w:tcBorders>
            <w:vAlign w:val="center"/>
          </w:tcPr>
          <w:p w14:paraId="376D42E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1.42 (0.79–2.54)</w:t>
            </w:r>
          </w:p>
        </w:tc>
        <w:tc>
          <w:tcPr>
            <w:tcW w:w="928" w:type="dxa"/>
            <w:tcBorders>
              <w:top w:val="nil"/>
              <w:left w:val="nil"/>
              <w:bottom w:val="nil"/>
              <w:right w:val="nil"/>
            </w:tcBorders>
            <w:vAlign w:val="center"/>
          </w:tcPr>
          <w:p w14:paraId="6271B52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0.240</w:t>
            </w:r>
          </w:p>
        </w:tc>
      </w:tr>
      <w:tr w14:paraId="21048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562D349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Minor-trauma hip fracture history</w:t>
            </w:r>
          </w:p>
        </w:tc>
        <w:tc>
          <w:tcPr>
            <w:tcW w:w="2575" w:type="dxa"/>
            <w:tcBorders>
              <w:top w:val="nil"/>
              <w:left w:val="nil"/>
              <w:bottom w:val="nil"/>
              <w:right w:val="nil"/>
            </w:tcBorders>
            <w:vAlign w:val="center"/>
          </w:tcPr>
          <w:p w14:paraId="3B16259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Yes vs No</w:t>
            </w:r>
          </w:p>
        </w:tc>
        <w:tc>
          <w:tcPr>
            <w:tcW w:w="1250" w:type="dxa"/>
            <w:tcBorders>
              <w:top w:val="nil"/>
              <w:left w:val="nil"/>
              <w:bottom w:val="nil"/>
              <w:right w:val="nil"/>
            </w:tcBorders>
            <w:vAlign w:val="center"/>
          </w:tcPr>
          <w:p w14:paraId="0F0A3F1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0.99 (0.47–2.08)</w:t>
            </w:r>
          </w:p>
        </w:tc>
        <w:tc>
          <w:tcPr>
            <w:tcW w:w="928" w:type="dxa"/>
            <w:tcBorders>
              <w:top w:val="nil"/>
              <w:left w:val="nil"/>
              <w:bottom w:val="nil"/>
              <w:right w:val="nil"/>
            </w:tcBorders>
            <w:vAlign w:val="center"/>
          </w:tcPr>
          <w:p w14:paraId="4B66FCD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0.973</w:t>
            </w:r>
          </w:p>
        </w:tc>
        <w:tc>
          <w:tcPr>
            <w:tcW w:w="1272" w:type="dxa"/>
            <w:tcBorders>
              <w:top w:val="nil"/>
              <w:left w:val="nil"/>
              <w:bottom w:val="nil"/>
              <w:right w:val="nil"/>
            </w:tcBorders>
            <w:vAlign w:val="center"/>
          </w:tcPr>
          <w:p w14:paraId="02151CB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0.35 (0.08–1.59)</w:t>
            </w:r>
          </w:p>
        </w:tc>
        <w:tc>
          <w:tcPr>
            <w:tcW w:w="928" w:type="dxa"/>
            <w:tcBorders>
              <w:top w:val="nil"/>
              <w:left w:val="nil"/>
              <w:bottom w:val="nil"/>
              <w:right w:val="nil"/>
            </w:tcBorders>
            <w:vAlign w:val="center"/>
          </w:tcPr>
          <w:p w14:paraId="5DB5D57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0.174</w:t>
            </w:r>
          </w:p>
        </w:tc>
      </w:tr>
      <w:tr w14:paraId="685F2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19B2186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Sleep duration (ordinal)</w:t>
            </w:r>
          </w:p>
        </w:tc>
        <w:tc>
          <w:tcPr>
            <w:tcW w:w="2575" w:type="dxa"/>
            <w:tcBorders>
              <w:top w:val="nil"/>
              <w:left w:val="nil"/>
              <w:bottom w:val="nil"/>
              <w:right w:val="nil"/>
            </w:tcBorders>
            <w:vAlign w:val="center"/>
          </w:tcPr>
          <w:p w14:paraId="224F0F0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Per 1-category increase</w:t>
            </w:r>
          </w:p>
        </w:tc>
        <w:tc>
          <w:tcPr>
            <w:tcW w:w="1250" w:type="dxa"/>
            <w:tcBorders>
              <w:top w:val="nil"/>
              <w:left w:val="nil"/>
              <w:bottom w:val="nil"/>
              <w:right w:val="nil"/>
            </w:tcBorders>
            <w:vAlign w:val="center"/>
          </w:tcPr>
          <w:p w14:paraId="09761DF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1.08 (0.90–1.30)</w:t>
            </w:r>
          </w:p>
        </w:tc>
        <w:tc>
          <w:tcPr>
            <w:tcW w:w="928" w:type="dxa"/>
            <w:tcBorders>
              <w:top w:val="nil"/>
              <w:left w:val="nil"/>
              <w:bottom w:val="nil"/>
              <w:right w:val="nil"/>
            </w:tcBorders>
            <w:vAlign w:val="center"/>
          </w:tcPr>
          <w:p w14:paraId="19515A7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0.416</w:t>
            </w:r>
          </w:p>
        </w:tc>
        <w:tc>
          <w:tcPr>
            <w:tcW w:w="1272" w:type="dxa"/>
            <w:tcBorders>
              <w:top w:val="nil"/>
              <w:left w:val="nil"/>
              <w:bottom w:val="nil"/>
              <w:right w:val="nil"/>
            </w:tcBorders>
            <w:vAlign w:val="center"/>
          </w:tcPr>
          <w:p w14:paraId="7FDC48E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1.17 (0.88–1.54)</w:t>
            </w:r>
          </w:p>
        </w:tc>
        <w:tc>
          <w:tcPr>
            <w:tcW w:w="928" w:type="dxa"/>
            <w:tcBorders>
              <w:top w:val="nil"/>
              <w:left w:val="nil"/>
              <w:bottom w:val="nil"/>
              <w:right w:val="nil"/>
            </w:tcBorders>
            <w:vAlign w:val="center"/>
          </w:tcPr>
          <w:p w14:paraId="24EF6BA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0.279</w:t>
            </w:r>
          </w:p>
        </w:tc>
      </w:tr>
      <w:tr w14:paraId="358C6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0D577EA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Nocturia frequency (ordinal)</w:t>
            </w:r>
          </w:p>
        </w:tc>
        <w:tc>
          <w:tcPr>
            <w:tcW w:w="2575" w:type="dxa"/>
            <w:tcBorders>
              <w:top w:val="nil"/>
              <w:left w:val="nil"/>
              <w:bottom w:val="nil"/>
              <w:right w:val="nil"/>
            </w:tcBorders>
            <w:vAlign w:val="center"/>
          </w:tcPr>
          <w:p w14:paraId="2183CE5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Per 1-category increase</w:t>
            </w:r>
          </w:p>
        </w:tc>
        <w:tc>
          <w:tcPr>
            <w:tcW w:w="1250" w:type="dxa"/>
            <w:tcBorders>
              <w:top w:val="nil"/>
              <w:left w:val="nil"/>
              <w:bottom w:val="nil"/>
              <w:right w:val="nil"/>
            </w:tcBorders>
            <w:vAlign w:val="center"/>
          </w:tcPr>
          <w:p w14:paraId="3F53B0D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1.22 (1.01–1.48)</w:t>
            </w:r>
          </w:p>
        </w:tc>
        <w:tc>
          <w:tcPr>
            <w:tcW w:w="928" w:type="dxa"/>
            <w:tcBorders>
              <w:top w:val="nil"/>
              <w:left w:val="nil"/>
              <w:bottom w:val="nil"/>
              <w:right w:val="nil"/>
            </w:tcBorders>
            <w:vAlign w:val="center"/>
          </w:tcPr>
          <w:p w14:paraId="4607953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0.043</w:t>
            </w:r>
          </w:p>
        </w:tc>
        <w:tc>
          <w:tcPr>
            <w:tcW w:w="1272" w:type="dxa"/>
            <w:tcBorders>
              <w:top w:val="nil"/>
              <w:left w:val="nil"/>
              <w:bottom w:val="nil"/>
              <w:right w:val="nil"/>
            </w:tcBorders>
            <w:vAlign w:val="center"/>
          </w:tcPr>
          <w:p w14:paraId="06899D0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1.55 (1.16–2.07)</w:t>
            </w:r>
          </w:p>
        </w:tc>
        <w:tc>
          <w:tcPr>
            <w:tcW w:w="928" w:type="dxa"/>
            <w:tcBorders>
              <w:top w:val="nil"/>
              <w:left w:val="nil"/>
              <w:bottom w:val="nil"/>
              <w:right w:val="nil"/>
            </w:tcBorders>
            <w:vAlign w:val="center"/>
          </w:tcPr>
          <w:p w14:paraId="37A06A1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0.003</w:t>
            </w:r>
          </w:p>
        </w:tc>
      </w:tr>
      <w:tr w14:paraId="67C1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2DD0BC4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Floor level of residence</w:t>
            </w:r>
          </w:p>
        </w:tc>
        <w:tc>
          <w:tcPr>
            <w:tcW w:w="2575" w:type="dxa"/>
            <w:tcBorders>
              <w:top w:val="nil"/>
              <w:left w:val="nil"/>
              <w:bottom w:val="nil"/>
              <w:right w:val="nil"/>
            </w:tcBorders>
            <w:vAlign w:val="center"/>
          </w:tcPr>
          <w:p w14:paraId="1D6A720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Per 1-floor increase</w:t>
            </w:r>
          </w:p>
        </w:tc>
        <w:tc>
          <w:tcPr>
            <w:tcW w:w="1250" w:type="dxa"/>
            <w:tcBorders>
              <w:top w:val="nil"/>
              <w:left w:val="nil"/>
              <w:bottom w:val="nil"/>
              <w:right w:val="nil"/>
            </w:tcBorders>
            <w:vAlign w:val="center"/>
          </w:tcPr>
          <w:p w14:paraId="380E67E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0.99 (0.95–1.02)</w:t>
            </w:r>
          </w:p>
        </w:tc>
        <w:tc>
          <w:tcPr>
            <w:tcW w:w="928" w:type="dxa"/>
            <w:tcBorders>
              <w:top w:val="nil"/>
              <w:left w:val="nil"/>
              <w:bottom w:val="nil"/>
              <w:right w:val="nil"/>
            </w:tcBorders>
            <w:vAlign w:val="center"/>
          </w:tcPr>
          <w:p w14:paraId="23A5BA8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0.499</w:t>
            </w:r>
          </w:p>
        </w:tc>
        <w:tc>
          <w:tcPr>
            <w:tcW w:w="1272" w:type="dxa"/>
            <w:tcBorders>
              <w:top w:val="nil"/>
              <w:left w:val="nil"/>
              <w:bottom w:val="nil"/>
              <w:right w:val="nil"/>
            </w:tcBorders>
            <w:vAlign w:val="center"/>
          </w:tcPr>
          <w:p w14:paraId="0B18EF0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1.02 (0.96–1.08)</w:t>
            </w:r>
          </w:p>
        </w:tc>
        <w:tc>
          <w:tcPr>
            <w:tcW w:w="928" w:type="dxa"/>
            <w:tcBorders>
              <w:top w:val="nil"/>
              <w:left w:val="nil"/>
              <w:bottom w:val="nil"/>
              <w:right w:val="nil"/>
            </w:tcBorders>
            <w:vAlign w:val="center"/>
          </w:tcPr>
          <w:p w14:paraId="5757340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0.441</w:t>
            </w:r>
          </w:p>
        </w:tc>
      </w:tr>
      <w:tr w14:paraId="0801A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684A17A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Stair-climbing trips/day</w:t>
            </w:r>
          </w:p>
        </w:tc>
        <w:tc>
          <w:tcPr>
            <w:tcW w:w="2575" w:type="dxa"/>
            <w:tcBorders>
              <w:top w:val="nil"/>
              <w:left w:val="nil"/>
              <w:bottom w:val="nil"/>
              <w:right w:val="nil"/>
            </w:tcBorders>
            <w:vAlign w:val="center"/>
          </w:tcPr>
          <w:p w14:paraId="62553B4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Per 1 round-trip increase</w:t>
            </w:r>
          </w:p>
        </w:tc>
        <w:tc>
          <w:tcPr>
            <w:tcW w:w="1250" w:type="dxa"/>
            <w:tcBorders>
              <w:top w:val="nil"/>
              <w:left w:val="nil"/>
              <w:bottom w:val="nil"/>
              <w:right w:val="nil"/>
            </w:tcBorders>
            <w:vAlign w:val="center"/>
          </w:tcPr>
          <w:p w14:paraId="373CF11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0.94 (0.84–1.06)</w:t>
            </w:r>
          </w:p>
        </w:tc>
        <w:tc>
          <w:tcPr>
            <w:tcW w:w="928" w:type="dxa"/>
            <w:tcBorders>
              <w:top w:val="nil"/>
              <w:left w:val="nil"/>
              <w:bottom w:val="nil"/>
              <w:right w:val="nil"/>
            </w:tcBorders>
            <w:vAlign w:val="center"/>
          </w:tcPr>
          <w:p w14:paraId="298B2CD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0.337</w:t>
            </w:r>
          </w:p>
        </w:tc>
        <w:tc>
          <w:tcPr>
            <w:tcW w:w="1272" w:type="dxa"/>
            <w:tcBorders>
              <w:top w:val="nil"/>
              <w:left w:val="nil"/>
              <w:bottom w:val="nil"/>
              <w:right w:val="nil"/>
            </w:tcBorders>
            <w:vAlign w:val="center"/>
          </w:tcPr>
          <w:p w14:paraId="66C812B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1.05 (0.87–1.27)</w:t>
            </w:r>
          </w:p>
        </w:tc>
        <w:tc>
          <w:tcPr>
            <w:tcW w:w="928" w:type="dxa"/>
            <w:tcBorders>
              <w:top w:val="nil"/>
              <w:left w:val="nil"/>
              <w:bottom w:val="nil"/>
              <w:right w:val="nil"/>
            </w:tcBorders>
            <w:vAlign w:val="center"/>
          </w:tcPr>
          <w:p w14:paraId="672303B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0.598</w:t>
            </w:r>
          </w:p>
        </w:tc>
      </w:tr>
      <w:tr w14:paraId="53E83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5690B1D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Vigorous-intensity activity</w:t>
            </w:r>
          </w:p>
        </w:tc>
        <w:tc>
          <w:tcPr>
            <w:tcW w:w="2575" w:type="dxa"/>
            <w:tcBorders>
              <w:top w:val="nil"/>
              <w:left w:val="nil"/>
              <w:bottom w:val="nil"/>
              <w:right w:val="nil"/>
            </w:tcBorders>
            <w:vAlign w:val="center"/>
          </w:tcPr>
          <w:p w14:paraId="380E110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Per 60 min/week increase</w:t>
            </w:r>
          </w:p>
        </w:tc>
        <w:tc>
          <w:tcPr>
            <w:tcW w:w="1250" w:type="dxa"/>
            <w:tcBorders>
              <w:top w:val="nil"/>
              <w:left w:val="nil"/>
              <w:bottom w:val="nil"/>
              <w:right w:val="nil"/>
            </w:tcBorders>
            <w:vAlign w:val="center"/>
          </w:tcPr>
          <w:p w14:paraId="4161F21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1.04 (1.02–1.07)</w:t>
            </w:r>
          </w:p>
        </w:tc>
        <w:tc>
          <w:tcPr>
            <w:tcW w:w="928" w:type="dxa"/>
            <w:tcBorders>
              <w:top w:val="nil"/>
              <w:left w:val="nil"/>
              <w:bottom w:val="nil"/>
              <w:right w:val="nil"/>
            </w:tcBorders>
            <w:vAlign w:val="center"/>
          </w:tcPr>
          <w:p w14:paraId="7C76184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&lt;0.001</w:t>
            </w:r>
          </w:p>
        </w:tc>
        <w:tc>
          <w:tcPr>
            <w:tcW w:w="1272" w:type="dxa"/>
            <w:tcBorders>
              <w:top w:val="nil"/>
              <w:left w:val="nil"/>
              <w:bottom w:val="nil"/>
              <w:right w:val="nil"/>
            </w:tcBorders>
            <w:vAlign w:val="center"/>
          </w:tcPr>
          <w:p w14:paraId="028AF77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1.02 (0.98–1.05)</w:t>
            </w:r>
          </w:p>
        </w:tc>
        <w:tc>
          <w:tcPr>
            <w:tcW w:w="928" w:type="dxa"/>
            <w:tcBorders>
              <w:top w:val="nil"/>
              <w:left w:val="nil"/>
              <w:bottom w:val="nil"/>
              <w:right w:val="nil"/>
            </w:tcBorders>
            <w:vAlign w:val="center"/>
          </w:tcPr>
          <w:p w14:paraId="5380617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0.242</w:t>
            </w:r>
          </w:p>
        </w:tc>
      </w:tr>
      <w:tr w14:paraId="3AF1C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nil"/>
              <w:right w:val="nil"/>
            </w:tcBorders>
            <w:vAlign w:val="center"/>
          </w:tcPr>
          <w:p w14:paraId="2207777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Moderate-intensity activity</w:t>
            </w:r>
          </w:p>
        </w:tc>
        <w:tc>
          <w:tcPr>
            <w:tcW w:w="2575" w:type="dxa"/>
            <w:tcBorders>
              <w:top w:val="nil"/>
              <w:left w:val="nil"/>
              <w:bottom w:val="nil"/>
              <w:right w:val="nil"/>
            </w:tcBorders>
            <w:vAlign w:val="center"/>
          </w:tcPr>
          <w:p w14:paraId="05A93A0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Per 60 min/week increase</w:t>
            </w:r>
          </w:p>
        </w:tc>
        <w:tc>
          <w:tcPr>
            <w:tcW w:w="1250" w:type="dxa"/>
            <w:tcBorders>
              <w:top w:val="nil"/>
              <w:left w:val="nil"/>
              <w:bottom w:val="nil"/>
              <w:right w:val="nil"/>
            </w:tcBorders>
            <w:vAlign w:val="center"/>
          </w:tcPr>
          <w:p w14:paraId="6C75748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1.01 (0.99–1.02)</w:t>
            </w:r>
          </w:p>
        </w:tc>
        <w:tc>
          <w:tcPr>
            <w:tcW w:w="928" w:type="dxa"/>
            <w:tcBorders>
              <w:top w:val="nil"/>
              <w:left w:val="nil"/>
              <w:bottom w:val="nil"/>
              <w:right w:val="nil"/>
            </w:tcBorders>
            <w:vAlign w:val="center"/>
          </w:tcPr>
          <w:p w14:paraId="4710240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0.415</w:t>
            </w:r>
          </w:p>
        </w:tc>
        <w:tc>
          <w:tcPr>
            <w:tcW w:w="1272" w:type="dxa"/>
            <w:tcBorders>
              <w:top w:val="nil"/>
              <w:left w:val="nil"/>
              <w:bottom w:val="nil"/>
              <w:right w:val="nil"/>
            </w:tcBorders>
            <w:vAlign w:val="center"/>
          </w:tcPr>
          <w:p w14:paraId="04F76B0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1.01 (0.99–1.04)</w:t>
            </w:r>
          </w:p>
        </w:tc>
        <w:tc>
          <w:tcPr>
            <w:tcW w:w="928" w:type="dxa"/>
            <w:tcBorders>
              <w:top w:val="nil"/>
              <w:left w:val="nil"/>
              <w:bottom w:val="nil"/>
              <w:right w:val="nil"/>
            </w:tcBorders>
            <w:vAlign w:val="center"/>
          </w:tcPr>
          <w:p w14:paraId="20F0AF7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0.380</w:t>
            </w:r>
          </w:p>
        </w:tc>
      </w:tr>
      <w:tr w14:paraId="068E2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2" w:type="dxa"/>
            <w:tcBorders>
              <w:top w:val="nil"/>
              <w:left w:val="nil"/>
              <w:bottom w:val="single" w:color="auto" w:sz="12" w:space="0"/>
              <w:right w:val="nil"/>
            </w:tcBorders>
            <w:vAlign w:val="center"/>
          </w:tcPr>
          <w:p w14:paraId="3516071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Sitting time on a weekday</w:t>
            </w:r>
          </w:p>
        </w:tc>
        <w:tc>
          <w:tcPr>
            <w:tcW w:w="2575" w:type="dxa"/>
            <w:tcBorders>
              <w:top w:val="nil"/>
              <w:left w:val="nil"/>
              <w:bottom w:val="single" w:color="auto" w:sz="12" w:space="0"/>
              <w:right w:val="nil"/>
            </w:tcBorders>
            <w:vAlign w:val="center"/>
          </w:tcPr>
          <w:p w14:paraId="6064251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1"/>
              </w:rPr>
            </w:pPr>
            <w:r>
              <w:rPr>
                <w:rFonts w:hint="default" w:ascii="Times New Roman" w:hAnsi="Times New Roman" w:eastAsia="宋体" w:cs="Times New Roman"/>
                <w:sz w:val="21"/>
              </w:rPr>
              <w:t>Per 60 min/day increase</w:t>
            </w:r>
          </w:p>
        </w:tc>
        <w:tc>
          <w:tcPr>
            <w:tcW w:w="1250" w:type="dxa"/>
            <w:tcBorders>
              <w:top w:val="nil"/>
              <w:left w:val="nil"/>
              <w:bottom w:val="single" w:color="auto" w:sz="12" w:space="0"/>
              <w:right w:val="nil"/>
            </w:tcBorders>
            <w:vAlign w:val="center"/>
          </w:tcPr>
          <w:p w14:paraId="4960B88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1.04 (0.99–1.09)</w:t>
            </w:r>
          </w:p>
        </w:tc>
        <w:tc>
          <w:tcPr>
            <w:tcW w:w="928" w:type="dxa"/>
            <w:tcBorders>
              <w:top w:val="nil"/>
              <w:left w:val="nil"/>
              <w:bottom w:val="single" w:color="auto" w:sz="12" w:space="0"/>
              <w:right w:val="nil"/>
            </w:tcBorders>
            <w:vAlign w:val="center"/>
          </w:tcPr>
          <w:p w14:paraId="2000BB8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0.182</w:t>
            </w:r>
          </w:p>
        </w:tc>
        <w:tc>
          <w:tcPr>
            <w:tcW w:w="1272" w:type="dxa"/>
            <w:tcBorders>
              <w:top w:val="nil"/>
              <w:left w:val="nil"/>
              <w:bottom w:val="single" w:color="auto" w:sz="12" w:space="0"/>
              <w:right w:val="nil"/>
            </w:tcBorders>
            <w:vAlign w:val="center"/>
          </w:tcPr>
          <w:p w14:paraId="54F9B20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1.04 (0.97–1.12)</w:t>
            </w:r>
          </w:p>
        </w:tc>
        <w:tc>
          <w:tcPr>
            <w:tcW w:w="928" w:type="dxa"/>
            <w:tcBorders>
              <w:top w:val="nil"/>
              <w:left w:val="nil"/>
              <w:bottom w:val="single" w:color="auto" w:sz="12" w:space="0"/>
              <w:right w:val="nil"/>
            </w:tcBorders>
            <w:vAlign w:val="center"/>
          </w:tcPr>
          <w:p w14:paraId="2166623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1"/>
              </w:rPr>
            </w:pPr>
            <w:r>
              <w:rPr>
                <w:rFonts w:hint="default" w:ascii="Times New Roman" w:hAnsi="Times New Roman" w:eastAsia="宋体" w:cs="Times New Roman"/>
                <w:sz w:val="21"/>
              </w:rPr>
              <w:t>0.276</w:t>
            </w:r>
          </w:p>
        </w:tc>
      </w:tr>
    </w:tbl>
    <w:p w14:paraId="4E93A0E4">
      <w:pPr>
        <w:keepNext w:val="0"/>
        <w:keepLines w:val="0"/>
        <w:pageBreakBefore w:val="0"/>
        <w:widowControl w:val="0"/>
        <w:kinsoku/>
        <w:wordWrap/>
        <w:overflowPunct/>
        <w:topLinePunct w:val="0"/>
        <w:autoSpaceDE/>
        <w:autoSpaceDN/>
        <w:bidi w:val="0"/>
        <w:adjustRightInd/>
        <w:snapToGrid/>
        <w:spacing w:beforeAutospacing="0" w:afterAutospacing="0" w:line="480" w:lineRule="auto"/>
        <w:textAlignment w:val="auto"/>
        <w:rPr>
          <w:rFonts w:hint="default" w:ascii="Times New Roman" w:hAnsi="Times New Roman" w:cs="Times New Roman"/>
          <w:sz w:val="20"/>
          <w:szCs w:val="20"/>
        </w:rPr>
      </w:pPr>
      <w:r>
        <w:rPr>
          <w:rFonts w:hint="default" w:ascii="Times New Roman" w:hAnsi="Times New Roman" w:cs="Times New Roman"/>
          <w:b/>
          <w:bCs/>
          <w:sz w:val="20"/>
          <w:szCs w:val="20"/>
        </w:rPr>
        <w:t>Note</w:t>
      </w:r>
      <w:r>
        <w:rPr>
          <w:rFonts w:hint="default" w:ascii="Times New Roman" w:hAnsi="Times New Roman" w:cs="Times New Roman"/>
          <w:b/>
          <w:bCs/>
          <w:sz w:val="20"/>
          <w:szCs w:val="20"/>
          <w:lang w:val="en-US" w:eastAsia="zh-CN"/>
        </w:rPr>
        <w:t>:</w:t>
      </w:r>
      <w:r>
        <w:rPr>
          <w:rFonts w:hint="default" w:ascii="Times New Roman" w:hAnsi="Times New Roman" w:cs="Times New Roman"/>
          <w:sz w:val="20"/>
          <w:szCs w:val="20"/>
          <w:lang w:val="en-US" w:eastAsia="zh-CN"/>
        </w:rPr>
        <w:t xml:space="preserve"> </w:t>
      </w:r>
      <w:r>
        <w:rPr>
          <w:rFonts w:hint="default" w:ascii="Times New Roman" w:hAnsi="Times New Roman" w:cs="Times New Roman"/>
          <w:sz w:val="20"/>
          <w:szCs w:val="20"/>
        </w:rPr>
        <w:t>Odds ratios (ORs) and 95% confidence intervals (CIs) are from the fully adjusted logistic regression model (Model 3). The exposure strata were defined by cross-classification of bone mass status (normal, osteopenia, osteoporosis) and possible sarcopenia status (No/Yes); the reference exposure category was Normal/No. Reference categories for covariates are shown in the “Contrast/Level” column (e.g., Never for smoking; Never for alcohol; Mixed for diet; No for elevator). Activity variables were scaled per 60 min/week, and sitting time per 60 min/day. NE indicates non-estimable/unstable estimates due to sparse data or (quasi-)complete separation (e.g., zero events in a category or missing-category indicators). Two-sided P values are reported to three decimals (&lt;</w:t>
      </w:r>
      <w:r>
        <w:rPr>
          <w:rFonts w:hint="eastAsia" w:ascii="Times New Roman" w:hAnsi="Times New Roman" w:cs="Times New Roman"/>
          <w:sz w:val="20"/>
          <w:szCs w:val="20"/>
          <w:lang w:val="en-US" w:eastAsia="zh-CN"/>
        </w:rPr>
        <w:t xml:space="preserve"> </w:t>
      </w:r>
      <w:r>
        <w:rPr>
          <w:rFonts w:hint="default" w:ascii="Times New Roman" w:hAnsi="Times New Roman" w:cs="Times New Roman"/>
          <w:sz w:val="20"/>
          <w:szCs w:val="20"/>
        </w:rPr>
        <w:t>0.001 shown as &lt;</w:t>
      </w:r>
      <w:r>
        <w:rPr>
          <w:rFonts w:hint="eastAsia" w:ascii="Times New Roman" w:hAnsi="Times New Roman" w:cs="Times New Roman"/>
          <w:sz w:val="20"/>
          <w:szCs w:val="20"/>
          <w:lang w:val="en-US" w:eastAsia="zh-CN"/>
        </w:rPr>
        <w:t xml:space="preserve"> </w:t>
      </w:r>
      <w:r>
        <w:rPr>
          <w:rFonts w:hint="default" w:ascii="Times New Roman" w:hAnsi="Times New Roman" w:cs="Times New Roman"/>
          <w:sz w:val="20"/>
          <w:szCs w:val="20"/>
        </w:rPr>
        <w:t>0.001).</w:t>
      </w:r>
    </w:p>
    <w:p w14:paraId="51F19850">
      <w:pPr>
        <w:keepNext w:val="0"/>
        <w:keepLines w:val="0"/>
        <w:pageBreakBefore w:val="0"/>
        <w:widowControl w:val="0"/>
        <w:kinsoku/>
        <w:wordWrap/>
        <w:overflowPunct/>
        <w:topLinePunct w:val="0"/>
        <w:autoSpaceDE/>
        <w:autoSpaceDN/>
        <w:bidi w:val="0"/>
        <w:adjustRightInd/>
        <w:snapToGrid/>
        <w:spacing w:beforeAutospacing="0" w:afterAutospacing="0" w:line="480" w:lineRule="auto"/>
        <w:textAlignment w:val="auto"/>
        <w:rPr>
          <w:rFonts w:hint="default" w:ascii="Times New Roman" w:hAnsi="Times New Roman" w:cs="Times New Roman"/>
          <w:sz w:val="20"/>
          <w:szCs w:val="20"/>
        </w:rPr>
      </w:pPr>
      <w:r>
        <w:rPr>
          <w:rFonts w:hint="default" w:ascii="Times New Roman" w:hAnsi="Times New Roman" w:cs="Times New Roman"/>
          <w:b/>
          <w:bCs/>
          <w:sz w:val="20"/>
          <w:szCs w:val="20"/>
        </w:rPr>
        <w:t>Abbreviations</w:t>
      </w:r>
      <w:r>
        <w:rPr>
          <w:rFonts w:hint="eastAsia" w:ascii="Times New Roman" w:hAnsi="Times New Roman" w:cs="Times New Roman"/>
          <w:b/>
          <w:bCs/>
          <w:sz w:val="20"/>
          <w:szCs w:val="20"/>
          <w:lang w:val="en-US" w:eastAsia="zh-CN"/>
        </w:rPr>
        <w:t xml:space="preserve">: </w:t>
      </w:r>
      <w:r>
        <w:rPr>
          <w:rFonts w:hint="default" w:ascii="Times New Roman" w:hAnsi="Times New Roman" w:cs="Times New Roman"/>
          <w:sz w:val="20"/>
          <w:szCs w:val="20"/>
        </w:rPr>
        <w:t>CI, confidence interval; NE, not estimable; OR, odds ratio.</w:t>
      </w:r>
    </w:p>
    <w:p w14:paraId="4D6A75D6">
      <w:pPr>
        <w:keepNext w:val="0"/>
        <w:keepLines w:val="0"/>
        <w:pageBreakBefore w:val="0"/>
        <w:widowControl w:val="0"/>
        <w:kinsoku/>
        <w:wordWrap/>
        <w:overflowPunct/>
        <w:topLinePunct w:val="0"/>
        <w:autoSpaceDE/>
        <w:autoSpaceDN/>
        <w:bidi w:val="0"/>
        <w:adjustRightInd/>
        <w:snapToGrid/>
        <w:spacing w:beforeAutospacing="0" w:afterAutospacing="0" w:line="480" w:lineRule="auto"/>
        <w:textAlignment w:val="auto"/>
        <w:rPr>
          <w:rFonts w:hint="eastAsia"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Supplement</w:t>
      </w:r>
      <w:r>
        <w:rPr>
          <w:rFonts w:hint="eastAsia" w:ascii="Times New Roman" w:hAnsi="Times New Roman" w:eastAsia="宋体" w:cs="Times New Roman"/>
          <w:b/>
          <w:bCs/>
          <w:sz w:val="24"/>
          <w:szCs w:val="24"/>
          <w:highlight w:val="none"/>
          <w:lang w:val="en-US" w:eastAsia="zh-CN"/>
        </w:rPr>
        <w:t xml:space="preserve"> Table S3. Stepwise-adjusted mean differences in lumbar spine and total hip DXA T-scores across bone mass × possible sarcopenia strata.</w:t>
      </w:r>
    </w:p>
    <w:tbl>
      <w:tblPr>
        <w:tblStyle w:val="6"/>
        <w:tblW w:w="90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5"/>
        <w:gridCol w:w="1416"/>
        <w:gridCol w:w="952"/>
        <w:gridCol w:w="1416"/>
        <w:gridCol w:w="952"/>
        <w:gridCol w:w="1416"/>
        <w:gridCol w:w="952"/>
      </w:tblGrid>
      <w:tr w14:paraId="6BAFE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925" w:type="dxa"/>
            <w:tcBorders>
              <w:top w:val="single" w:color="auto" w:sz="12" w:space="0"/>
              <w:left w:val="nil"/>
              <w:bottom w:val="single" w:color="auto" w:sz="4" w:space="0"/>
              <w:right w:val="nil"/>
            </w:tcBorders>
            <w:vAlign w:val="center"/>
          </w:tcPr>
          <w:p w14:paraId="5CC631AE">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b/>
                <w:sz w:val="20"/>
              </w:rPr>
            </w:pPr>
            <w:r>
              <w:rPr>
                <w:rFonts w:hint="default" w:ascii="Times New Roman" w:hAnsi="Times New Roman" w:eastAsia="宋体" w:cs="Times New Roman"/>
                <w:b/>
                <w:bCs w:val="0"/>
                <w:sz w:val="20"/>
                <w:szCs w:val="20"/>
                <w:highlight w:val="none"/>
                <w:lang w:val="en-US" w:eastAsia="zh-CN"/>
              </w:rPr>
              <w:t>Stratum</w:t>
            </w:r>
          </w:p>
        </w:tc>
        <w:tc>
          <w:tcPr>
            <w:tcW w:w="1416" w:type="dxa"/>
            <w:tcBorders>
              <w:top w:val="single" w:color="auto" w:sz="12" w:space="0"/>
              <w:left w:val="nil"/>
              <w:bottom w:val="single" w:color="auto" w:sz="4" w:space="0"/>
              <w:right w:val="nil"/>
            </w:tcBorders>
            <w:vAlign w:val="center"/>
          </w:tcPr>
          <w:p w14:paraId="702392F6">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val="0"/>
                <w:sz w:val="20"/>
                <w:szCs w:val="20"/>
                <w:highlight w:val="none"/>
                <w:lang w:val="en-US" w:eastAsia="zh-CN"/>
              </w:rPr>
            </w:pPr>
            <w:r>
              <w:rPr>
                <w:rFonts w:hint="default" w:ascii="Times New Roman" w:hAnsi="Times New Roman" w:eastAsia="宋体" w:cs="Times New Roman"/>
                <w:b/>
                <w:bCs w:val="0"/>
                <w:sz w:val="20"/>
                <w:szCs w:val="20"/>
                <w:highlight w:val="none"/>
                <w:lang w:val="en-US" w:eastAsia="zh-CN"/>
              </w:rPr>
              <w:t xml:space="preserve">Model 1: β </w:t>
            </w:r>
          </w:p>
          <w:p w14:paraId="0DE61813">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b/>
                <w:sz w:val="20"/>
              </w:rPr>
            </w:pPr>
            <w:r>
              <w:rPr>
                <w:rFonts w:hint="default" w:ascii="Times New Roman" w:hAnsi="Times New Roman" w:eastAsia="宋体" w:cs="Times New Roman"/>
                <w:b/>
                <w:bCs w:val="0"/>
                <w:sz w:val="20"/>
                <w:szCs w:val="20"/>
                <w:highlight w:val="none"/>
                <w:lang w:val="en-US" w:eastAsia="zh-CN"/>
              </w:rPr>
              <w:t>(95% CI)</w:t>
            </w:r>
          </w:p>
        </w:tc>
        <w:tc>
          <w:tcPr>
            <w:tcW w:w="952" w:type="dxa"/>
            <w:tcBorders>
              <w:top w:val="single" w:color="auto" w:sz="12" w:space="0"/>
              <w:left w:val="nil"/>
              <w:bottom w:val="single" w:color="auto" w:sz="4" w:space="0"/>
              <w:right w:val="nil"/>
            </w:tcBorders>
            <w:vAlign w:val="center"/>
          </w:tcPr>
          <w:p w14:paraId="5BBC3417">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b/>
                <w:sz w:val="20"/>
              </w:rPr>
            </w:pPr>
            <w:r>
              <w:rPr>
                <w:rFonts w:hint="default" w:ascii="Times New Roman" w:hAnsi="Times New Roman" w:eastAsia="宋体" w:cs="Times New Roman"/>
                <w:b/>
                <w:bCs w:val="0"/>
                <w:sz w:val="20"/>
                <w:szCs w:val="20"/>
                <w:highlight w:val="none"/>
                <w:lang w:val="en-US" w:eastAsia="zh-CN"/>
              </w:rPr>
              <w:t>P value</w:t>
            </w:r>
          </w:p>
        </w:tc>
        <w:tc>
          <w:tcPr>
            <w:tcW w:w="1416" w:type="dxa"/>
            <w:tcBorders>
              <w:top w:val="single" w:color="auto" w:sz="12" w:space="0"/>
              <w:left w:val="nil"/>
              <w:bottom w:val="single" w:color="auto" w:sz="4" w:space="0"/>
              <w:right w:val="nil"/>
            </w:tcBorders>
            <w:vAlign w:val="center"/>
          </w:tcPr>
          <w:p w14:paraId="4EBEC97E">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val="0"/>
                <w:sz w:val="20"/>
                <w:szCs w:val="20"/>
                <w:highlight w:val="none"/>
                <w:lang w:val="en-US" w:eastAsia="zh-CN"/>
              </w:rPr>
            </w:pPr>
            <w:r>
              <w:rPr>
                <w:rFonts w:hint="default" w:ascii="Times New Roman" w:hAnsi="Times New Roman" w:eastAsia="宋体" w:cs="Times New Roman"/>
                <w:b/>
                <w:bCs w:val="0"/>
                <w:sz w:val="20"/>
                <w:szCs w:val="20"/>
                <w:highlight w:val="none"/>
                <w:lang w:val="en-US" w:eastAsia="zh-CN"/>
              </w:rPr>
              <w:t xml:space="preserve">Model 2: β </w:t>
            </w:r>
          </w:p>
          <w:p w14:paraId="6F0F005C">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b/>
                <w:sz w:val="20"/>
              </w:rPr>
            </w:pPr>
            <w:r>
              <w:rPr>
                <w:rFonts w:hint="default" w:ascii="Times New Roman" w:hAnsi="Times New Roman" w:eastAsia="宋体" w:cs="Times New Roman"/>
                <w:b/>
                <w:bCs w:val="0"/>
                <w:sz w:val="20"/>
                <w:szCs w:val="20"/>
                <w:highlight w:val="none"/>
                <w:lang w:val="en-US" w:eastAsia="zh-CN"/>
              </w:rPr>
              <w:t>(95% CI)</w:t>
            </w:r>
          </w:p>
        </w:tc>
        <w:tc>
          <w:tcPr>
            <w:tcW w:w="952" w:type="dxa"/>
            <w:tcBorders>
              <w:top w:val="single" w:color="auto" w:sz="12" w:space="0"/>
              <w:left w:val="nil"/>
              <w:bottom w:val="single" w:color="auto" w:sz="4" w:space="0"/>
              <w:right w:val="nil"/>
            </w:tcBorders>
            <w:vAlign w:val="center"/>
          </w:tcPr>
          <w:p w14:paraId="27F49CC6">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b/>
                <w:sz w:val="20"/>
              </w:rPr>
            </w:pPr>
            <w:r>
              <w:rPr>
                <w:rFonts w:hint="default" w:ascii="Times New Roman" w:hAnsi="Times New Roman" w:eastAsia="宋体" w:cs="Times New Roman"/>
                <w:b/>
                <w:bCs w:val="0"/>
                <w:sz w:val="20"/>
                <w:szCs w:val="20"/>
                <w:highlight w:val="none"/>
                <w:lang w:val="en-US" w:eastAsia="zh-CN"/>
              </w:rPr>
              <w:t>P value</w:t>
            </w:r>
          </w:p>
        </w:tc>
        <w:tc>
          <w:tcPr>
            <w:tcW w:w="1416" w:type="dxa"/>
            <w:tcBorders>
              <w:top w:val="single" w:color="auto" w:sz="12" w:space="0"/>
              <w:left w:val="nil"/>
              <w:bottom w:val="single" w:color="auto" w:sz="4" w:space="0"/>
              <w:right w:val="nil"/>
            </w:tcBorders>
            <w:vAlign w:val="center"/>
          </w:tcPr>
          <w:p w14:paraId="0EE39A4E">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val="0"/>
                <w:sz w:val="20"/>
                <w:szCs w:val="20"/>
                <w:highlight w:val="none"/>
                <w:lang w:val="en-US" w:eastAsia="zh-CN"/>
              </w:rPr>
            </w:pPr>
            <w:r>
              <w:rPr>
                <w:rFonts w:hint="default" w:ascii="Times New Roman" w:hAnsi="Times New Roman" w:eastAsia="宋体" w:cs="Times New Roman"/>
                <w:b/>
                <w:bCs w:val="0"/>
                <w:sz w:val="20"/>
                <w:szCs w:val="20"/>
                <w:highlight w:val="none"/>
                <w:lang w:val="en-US" w:eastAsia="zh-CN"/>
              </w:rPr>
              <w:t xml:space="preserve">Model 3: β </w:t>
            </w:r>
          </w:p>
          <w:p w14:paraId="1AF23E63">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b/>
                <w:sz w:val="20"/>
              </w:rPr>
            </w:pPr>
            <w:r>
              <w:rPr>
                <w:rFonts w:hint="default" w:ascii="Times New Roman" w:hAnsi="Times New Roman" w:eastAsia="宋体" w:cs="Times New Roman"/>
                <w:b/>
                <w:bCs w:val="0"/>
                <w:sz w:val="20"/>
                <w:szCs w:val="20"/>
                <w:highlight w:val="none"/>
                <w:lang w:val="en-US" w:eastAsia="zh-CN"/>
              </w:rPr>
              <w:t>(95% CI)</w:t>
            </w:r>
          </w:p>
        </w:tc>
        <w:tc>
          <w:tcPr>
            <w:tcW w:w="952" w:type="dxa"/>
            <w:tcBorders>
              <w:top w:val="single" w:color="auto" w:sz="12" w:space="0"/>
              <w:left w:val="nil"/>
              <w:bottom w:val="single" w:color="auto" w:sz="4" w:space="0"/>
              <w:right w:val="nil"/>
            </w:tcBorders>
            <w:vAlign w:val="center"/>
          </w:tcPr>
          <w:p w14:paraId="62744C7E">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b/>
                <w:sz w:val="20"/>
              </w:rPr>
            </w:pPr>
            <w:r>
              <w:rPr>
                <w:rFonts w:hint="default" w:ascii="Times New Roman" w:hAnsi="Times New Roman" w:eastAsia="宋体" w:cs="Times New Roman"/>
                <w:b/>
                <w:bCs w:val="0"/>
                <w:sz w:val="20"/>
                <w:szCs w:val="20"/>
                <w:highlight w:val="none"/>
                <w:lang w:val="en-US" w:eastAsia="zh-CN"/>
              </w:rPr>
              <w:t>P value</w:t>
            </w:r>
          </w:p>
        </w:tc>
      </w:tr>
      <w:tr w14:paraId="45B21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29" w:type="dxa"/>
            <w:gridSpan w:val="7"/>
            <w:tcBorders>
              <w:top w:val="single" w:color="auto" w:sz="4" w:space="0"/>
              <w:left w:val="nil"/>
              <w:bottom w:val="nil"/>
              <w:right w:val="nil"/>
            </w:tcBorders>
            <w:vAlign w:val="center"/>
          </w:tcPr>
          <w:p w14:paraId="31A5BB33">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bCs/>
                <w:sz w:val="20"/>
                <w:szCs w:val="20"/>
                <w:highlight w:val="none"/>
                <w:lang w:val="en-US" w:eastAsia="zh-CN"/>
              </w:rPr>
              <w:t>Panel A. Lumbar spine T-score (N=1785)</w:t>
            </w:r>
          </w:p>
        </w:tc>
      </w:tr>
      <w:tr w14:paraId="4CE23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5" w:type="dxa"/>
            <w:tcBorders>
              <w:top w:val="nil"/>
              <w:left w:val="nil"/>
              <w:bottom w:val="nil"/>
              <w:right w:val="nil"/>
            </w:tcBorders>
            <w:vAlign w:val="center"/>
          </w:tcPr>
          <w:p w14:paraId="33550F48">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Normal/No</w:t>
            </w:r>
          </w:p>
        </w:tc>
        <w:tc>
          <w:tcPr>
            <w:tcW w:w="1416" w:type="dxa"/>
            <w:tcBorders>
              <w:top w:val="nil"/>
              <w:left w:val="nil"/>
              <w:bottom w:val="nil"/>
              <w:right w:val="nil"/>
            </w:tcBorders>
            <w:vAlign w:val="center"/>
          </w:tcPr>
          <w:p w14:paraId="0054084E">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0.00 (ref)</w:t>
            </w:r>
          </w:p>
        </w:tc>
        <w:tc>
          <w:tcPr>
            <w:tcW w:w="952" w:type="dxa"/>
            <w:tcBorders>
              <w:top w:val="nil"/>
              <w:left w:val="nil"/>
              <w:bottom w:val="nil"/>
              <w:right w:val="nil"/>
            </w:tcBorders>
            <w:vAlign w:val="center"/>
          </w:tcPr>
          <w:p w14:paraId="73132089">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w:t>
            </w:r>
          </w:p>
        </w:tc>
        <w:tc>
          <w:tcPr>
            <w:tcW w:w="1416" w:type="dxa"/>
            <w:tcBorders>
              <w:top w:val="nil"/>
              <w:left w:val="nil"/>
              <w:bottom w:val="nil"/>
              <w:right w:val="nil"/>
            </w:tcBorders>
            <w:vAlign w:val="center"/>
          </w:tcPr>
          <w:p w14:paraId="2358BF71">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0.00 (ref)</w:t>
            </w:r>
          </w:p>
        </w:tc>
        <w:tc>
          <w:tcPr>
            <w:tcW w:w="952" w:type="dxa"/>
            <w:tcBorders>
              <w:top w:val="nil"/>
              <w:left w:val="nil"/>
              <w:bottom w:val="nil"/>
              <w:right w:val="nil"/>
            </w:tcBorders>
            <w:vAlign w:val="center"/>
          </w:tcPr>
          <w:p w14:paraId="768C325F">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w:t>
            </w:r>
          </w:p>
        </w:tc>
        <w:tc>
          <w:tcPr>
            <w:tcW w:w="1416" w:type="dxa"/>
            <w:tcBorders>
              <w:top w:val="nil"/>
              <w:left w:val="nil"/>
              <w:bottom w:val="nil"/>
              <w:right w:val="nil"/>
            </w:tcBorders>
            <w:vAlign w:val="center"/>
          </w:tcPr>
          <w:p w14:paraId="22F77504">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0.00 (ref)</w:t>
            </w:r>
          </w:p>
        </w:tc>
        <w:tc>
          <w:tcPr>
            <w:tcW w:w="952" w:type="dxa"/>
            <w:tcBorders>
              <w:top w:val="nil"/>
              <w:left w:val="nil"/>
              <w:bottom w:val="nil"/>
              <w:right w:val="nil"/>
            </w:tcBorders>
            <w:vAlign w:val="center"/>
          </w:tcPr>
          <w:p w14:paraId="04AB5D2D">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w:t>
            </w:r>
          </w:p>
        </w:tc>
      </w:tr>
      <w:tr w14:paraId="79279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5" w:type="dxa"/>
            <w:tcBorders>
              <w:top w:val="nil"/>
              <w:left w:val="nil"/>
              <w:bottom w:val="nil"/>
              <w:right w:val="nil"/>
            </w:tcBorders>
            <w:vAlign w:val="center"/>
          </w:tcPr>
          <w:p w14:paraId="5240F788">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Normal/Yes</w:t>
            </w:r>
          </w:p>
        </w:tc>
        <w:tc>
          <w:tcPr>
            <w:tcW w:w="1416" w:type="dxa"/>
            <w:tcBorders>
              <w:top w:val="nil"/>
              <w:left w:val="nil"/>
              <w:bottom w:val="nil"/>
              <w:right w:val="nil"/>
            </w:tcBorders>
            <w:vAlign w:val="center"/>
          </w:tcPr>
          <w:p w14:paraId="17310C3C">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0.13 (95% CI, -0.07–0.33)</w:t>
            </w:r>
          </w:p>
        </w:tc>
        <w:tc>
          <w:tcPr>
            <w:tcW w:w="952" w:type="dxa"/>
            <w:tcBorders>
              <w:top w:val="nil"/>
              <w:left w:val="nil"/>
              <w:bottom w:val="nil"/>
              <w:right w:val="nil"/>
            </w:tcBorders>
            <w:vAlign w:val="center"/>
          </w:tcPr>
          <w:p w14:paraId="6BFF7F39">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0.192</w:t>
            </w:r>
          </w:p>
        </w:tc>
        <w:tc>
          <w:tcPr>
            <w:tcW w:w="1416" w:type="dxa"/>
            <w:tcBorders>
              <w:top w:val="nil"/>
              <w:left w:val="nil"/>
              <w:bottom w:val="nil"/>
              <w:right w:val="nil"/>
            </w:tcBorders>
            <w:vAlign w:val="center"/>
          </w:tcPr>
          <w:p w14:paraId="6EF81AB3">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0.14 (95% CI, -0.05–0.34)</w:t>
            </w:r>
          </w:p>
        </w:tc>
        <w:tc>
          <w:tcPr>
            <w:tcW w:w="952" w:type="dxa"/>
            <w:tcBorders>
              <w:top w:val="nil"/>
              <w:left w:val="nil"/>
              <w:bottom w:val="nil"/>
              <w:right w:val="nil"/>
            </w:tcBorders>
            <w:vAlign w:val="center"/>
          </w:tcPr>
          <w:p w14:paraId="661E5E72">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0.149</w:t>
            </w:r>
          </w:p>
        </w:tc>
        <w:tc>
          <w:tcPr>
            <w:tcW w:w="1416" w:type="dxa"/>
            <w:tcBorders>
              <w:top w:val="nil"/>
              <w:left w:val="nil"/>
              <w:bottom w:val="nil"/>
              <w:right w:val="nil"/>
            </w:tcBorders>
            <w:vAlign w:val="center"/>
          </w:tcPr>
          <w:p w14:paraId="34F5048B">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0.15 (95% CI, -0.05–0.34)</w:t>
            </w:r>
          </w:p>
        </w:tc>
        <w:tc>
          <w:tcPr>
            <w:tcW w:w="952" w:type="dxa"/>
            <w:tcBorders>
              <w:top w:val="nil"/>
              <w:left w:val="nil"/>
              <w:bottom w:val="nil"/>
              <w:right w:val="nil"/>
            </w:tcBorders>
            <w:vAlign w:val="center"/>
          </w:tcPr>
          <w:p w14:paraId="73F188C6">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0.148</w:t>
            </w:r>
          </w:p>
        </w:tc>
      </w:tr>
      <w:tr w14:paraId="4BF3E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5" w:type="dxa"/>
            <w:tcBorders>
              <w:top w:val="nil"/>
              <w:left w:val="nil"/>
              <w:bottom w:val="nil"/>
              <w:right w:val="nil"/>
            </w:tcBorders>
            <w:vAlign w:val="center"/>
          </w:tcPr>
          <w:p w14:paraId="08CB189F">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Osteopenia/No</w:t>
            </w:r>
          </w:p>
        </w:tc>
        <w:tc>
          <w:tcPr>
            <w:tcW w:w="1416" w:type="dxa"/>
            <w:tcBorders>
              <w:top w:val="nil"/>
              <w:left w:val="nil"/>
              <w:bottom w:val="nil"/>
              <w:right w:val="nil"/>
            </w:tcBorders>
            <w:vAlign w:val="center"/>
          </w:tcPr>
          <w:p w14:paraId="70E4D809">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-1.58 (95% CI, -1.70–-1.46)</w:t>
            </w:r>
          </w:p>
        </w:tc>
        <w:tc>
          <w:tcPr>
            <w:tcW w:w="952" w:type="dxa"/>
            <w:tcBorders>
              <w:top w:val="nil"/>
              <w:left w:val="nil"/>
              <w:bottom w:val="nil"/>
              <w:right w:val="nil"/>
            </w:tcBorders>
            <w:vAlign w:val="center"/>
          </w:tcPr>
          <w:p w14:paraId="41EDA373">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&lt;</w:t>
            </w:r>
            <w:r>
              <w:rPr>
                <w:rFonts w:hint="eastAsia" w:ascii="Times New Roman" w:hAnsi="Times New Roman" w:eastAsia="宋体" w:cs="Times New Roman"/>
                <w:b w:val="0"/>
                <w:bCs w:val="0"/>
                <w:sz w:val="20"/>
                <w:szCs w:val="20"/>
                <w:highlight w:val="none"/>
                <w:lang w:val="en-US" w:eastAsia="zh-CN"/>
              </w:rPr>
              <w:t xml:space="preserve"> </w:t>
            </w:r>
            <w:r>
              <w:rPr>
                <w:rFonts w:hint="default" w:ascii="Times New Roman" w:hAnsi="Times New Roman" w:eastAsia="宋体" w:cs="Times New Roman"/>
                <w:b w:val="0"/>
                <w:bCs w:val="0"/>
                <w:sz w:val="20"/>
                <w:szCs w:val="20"/>
                <w:highlight w:val="none"/>
                <w:lang w:val="en-US" w:eastAsia="zh-CN"/>
              </w:rPr>
              <w:t>0.001</w:t>
            </w:r>
          </w:p>
        </w:tc>
        <w:tc>
          <w:tcPr>
            <w:tcW w:w="1416" w:type="dxa"/>
            <w:tcBorders>
              <w:top w:val="nil"/>
              <w:left w:val="nil"/>
              <w:bottom w:val="nil"/>
              <w:right w:val="nil"/>
            </w:tcBorders>
            <w:vAlign w:val="center"/>
          </w:tcPr>
          <w:p w14:paraId="48F9AF19">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-1.58 (95% CI, -1.70–-1.45)</w:t>
            </w:r>
          </w:p>
        </w:tc>
        <w:tc>
          <w:tcPr>
            <w:tcW w:w="952" w:type="dxa"/>
            <w:tcBorders>
              <w:top w:val="nil"/>
              <w:left w:val="nil"/>
              <w:bottom w:val="nil"/>
              <w:right w:val="nil"/>
            </w:tcBorders>
            <w:vAlign w:val="center"/>
          </w:tcPr>
          <w:p w14:paraId="45D52401">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&lt;</w:t>
            </w:r>
            <w:r>
              <w:rPr>
                <w:rFonts w:hint="eastAsia" w:ascii="Times New Roman" w:hAnsi="Times New Roman" w:eastAsia="宋体" w:cs="Times New Roman"/>
                <w:b w:val="0"/>
                <w:bCs w:val="0"/>
                <w:sz w:val="20"/>
                <w:szCs w:val="20"/>
                <w:highlight w:val="none"/>
                <w:lang w:val="en-US" w:eastAsia="zh-CN"/>
              </w:rPr>
              <w:t xml:space="preserve"> </w:t>
            </w:r>
            <w:r>
              <w:rPr>
                <w:rFonts w:hint="default" w:ascii="Times New Roman" w:hAnsi="Times New Roman" w:eastAsia="宋体" w:cs="Times New Roman"/>
                <w:b w:val="0"/>
                <w:bCs w:val="0"/>
                <w:sz w:val="20"/>
                <w:szCs w:val="20"/>
                <w:highlight w:val="none"/>
                <w:lang w:val="en-US" w:eastAsia="zh-CN"/>
              </w:rPr>
              <w:t>0.001</w:t>
            </w:r>
          </w:p>
        </w:tc>
        <w:tc>
          <w:tcPr>
            <w:tcW w:w="1416" w:type="dxa"/>
            <w:tcBorders>
              <w:top w:val="nil"/>
              <w:left w:val="nil"/>
              <w:bottom w:val="nil"/>
              <w:right w:val="nil"/>
            </w:tcBorders>
            <w:vAlign w:val="center"/>
          </w:tcPr>
          <w:p w14:paraId="2E122835">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-1.56 (95% CI, -1.69–-1.44)</w:t>
            </w:r>
          </w:p>
        </w:tc>
        <w:tc>
          <w:tcPr>
            <w:tcW w:w="952" w:type="dxa"/>
            <w:tcBorders>
              <w:top w:val="nil"/>
              <w:left w:val="nil"/>
              <w:bottom w:val="nil"/>
              <w:right w:val="nil"/>
            </w:tcBorders>
            <w:vAlign w:val="center"/>
          </w:tcPr>
          <w:p w14:paraId="54610608">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&lt;</w:t>
            </w:r>
            <w:r>
              <w:rPr>
                <w:rFonts w:hint="eastAsia" w:ascii="Times New Roman" w:hAnsi="Times New Roman" w:eastAsia="宋体" w:cs="Times New Roman"/>
                <w:b w:val="0"/>
                <w:bCs w:val="0"/>
                <w:sz w:val="20"/>
                <w:szCs w:val="20"/>
                <w:highlight w:val="none"/>
                <w:lang w:val="en-US" w:eastAsia="zh-CN"/>
              </w:rPr>
              <w:t xml:space="preserve"> </w:t>
            </w:r>
            <w:r>
              <w:rPr>
                <w:rFonts w:hint="default" w:ascii="Times New Roman" w:hAnsi="Times New Roman" w:eastAsia="宋体" w:cs="Times New Roman"/>
                <w:b w:val="0"/>
                <w:bCs w:val="0"/>
                <w:sz w:val="20"/>
                <w:szCs w:val="20"/>
                <w:highlight w:val="none"/>
                <w:lang w:val="en-US" w:eastAsia="zh-CN"/>
              </w:rPr>
              <w:t>0.001</w:t>
            </w:r>
          </w:p>
        </w:tc>
      </w:tr>
      <w:tr w14:paraId="6C2A4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5" w:type="dxa"/>
            <w:tcBorders>
              <w:top w:val="nil"/>
              <w:left w:val="nil"/>
              <w:bottom w:val="nil"/>
              <w:right w:val="nil"/>
            </w:tcBorders>
            <w:vAlign w:val="center"/>
          </w:tcPr>
          <w:p w14:paraId="4EA49411">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Osteopenia/Yes</w:t>
            </w:r>
          </w:p>
        </w:tc>
        <w:tc>
          <w:tcPr>
            <w:tcW w:w="1416" w:type="dxa"/>
            <w:tcBorders>
              <w:top w:val="nil"/>
              <w:left w:val="nil"/>
              <w:bottom w:val="nil"/>
              <w:right w:val="nil"/>
            </w:tcBorders>
            <w:vAlign w:val="center"/>
          </w:tcPr>
          <w:p w14:paraId="3DDD3E36">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-1.47 (95% CI, -1.64–-1.30)</w:t>
            </w:r>
          </w:p>
        </w:tc>
        <w:tc>
          <w:tcPr>
            <w:tcW w:w="952" w:type="dxa"/>
            <w:tcBorders>
              <w:top w:val="nil"/>
              <w:left w:val="nil"/>
              <w:bottom w:val="nil"/>
              <w:right w:val="nil"/>
            </w:tcBorders>
            <w:vAlign w:val="center"/>
          </w:tcPr>
          <w:p w14:paraId="7F9F2079">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&lt;</w:t>
            </w:r>
            <w:r>
              <w:rPr>
                <w:rFonts w:hint="eastAsia" w:ascii="Times New Roman" w:hAnsi="Times New Roman" w:eastAsia="宋体" w:cs="Times New Roman"/>
                <w:b w:val="0"/>
                <w:bCs w:val="0"/>
                <w:sz w:val="20"/>
                <w:szCs w:val="20"/>
                <w:highlight w:val="none"/>
                <w:lang w:val="en-US" w:eastAsia="zh-CN"/>
              </w:rPr>
              <w:t xml:space="preserve"> </w:t>
            </w:r>
            <w:r>
              <w:rPr>
                <w:rFonts w:hint="default" w:ascii="Times New Roman" w:hAnsi="Times New Roman" w:eastAsia="宋体" w:cs="Times New Roman"/>
                <w:b w:val="0"/>
                <w:bCs w:val="0"/>
                <w:sz w:val="20"/>
                <w:szCs w:val="20"/>
                <w:highlight w:val="none"/>
                <w:lang w:val="en-US" w:eastAsia="zh-CN"/>
              </w:rPr>
              <w:t>0.001</w:t>
            </w:r>
          </w:p>
        </w:tc>
        <w:tc>
          <w:tcPr>
            <w:tcW w:w="1416" w:type="dxa"/>
            <w:tcBorders>
              <w:top w:val="nil"/>
              <w:left w:val="nil"/>
              <w:bottom w:val="nil"/>
              <w:right w:val="nil"/>
            </w:tcBorders>
            <w:vAlign w:val="center"/>
          </w:tcPr>
          <w:p w14:paraId="056BB730">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-1.45 (95% CI, -1.62–-1.28)</w:t>
            </w:r>
          </w:p>
        </w:tc>
        <w:tc>
          <w:tcPr>
            <w:tcW w:w="952" w:type="dxa"/>
            <w:tcBorders>
              <w:top w:val="nil"/>
              <w:left w:val="nil"/>
              <w:bottom w:val="nil"/>
              <w:right w:val="nil"/>
            </w:tcBorders>
            <w:vAlign w:val="center"/>
          </w:tcPr>
          <w:p w14:paraId="4563EFF9">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&lt;</w:t>
            </w:r>
            <w:r>
              <w:rPr>
                <w:rFonts w:hint="eastAsia" w:ascii="Times New Roman" w:hAnsi="Times New Roman" w:eastAsia="宋体" w:cs="Times New Roman"/>
                <w:b w:val="0"/>
                <w:bCs w:val="0"/>
                <w:sz w:val="20"/>
                <w:szCs w:val="20"/>
                <w:highlight w:val="none"/>
                <w:lang w:val="en-US" w:eastAsia="zh-CN"/>
              </w:rPr>
              <w:t xml:space="preserve"> </w:t>
            </w:r>
            <w:r>
              <w:rPr>
                <w:rFonts w:hint="default" w:ascii="Times New Roman" w:hAnsi="Times New Roman" w:eastAsia="宋体" w:cs="Times New Roman"/>
                <w:b w:val="0"/>
                <w:bCs w:val="0"/>
                <w:sz w:val="20"/>
                <w:szCs w:val="20"/>
                <w:highlight w:val="none"/>
                <w:lang w:val="en-US" w:eastAsia="zh-CN"/>
              </w:rPr>
              <w:t>0.001</w:t>
            </w:r>
          </w:p>
        </w:tc>
        <w:tc>
          <w:tcPr>
            <w:tcW w:w="1416" w:type="dxa"/>
            <w:tcBorders>
              <w:top w:val="nil"/>
              <w:left w:val="nil"/>
              <w:bottom w:val="nil"/>
              <w:right w:val="nil"/>
            </w:tcBorders>
            <w:vAlign w:val="center"/>
          </w:tcPr>
          <w:p w14:paraId="3488023B">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-1.45 (95% CI, -1.62–-1.28)</w:t>
            </w:r>
          </w:p>
        </w:tc>
        <w:tc>
          <w:tcPr>
            <w:tcW w:w="952" w:type="dxa"/>
            <w:tcBorders>
              <w:top w:val="nil"/>
              <w:left w:val="nil"/>
              <w:bottom w:val="nil"/>
              <w:right w:val="nil"/>
            </w:tcBorders>
            <w:vAlign w:val="center"/>
          </w:tcPr>
          <w:p w14:paraId="509D50F3">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&lt;</w:t>
            </w:r>
            <w:r>
              <w:rPr>
                <w:rFonts w:hint="eastAsia" w:ascii="Times New Roman" w:hAnsi="Times New Roman" w:eastAsia="宋体" w:cs="Times New Roman"/>
                <w:b w:val="0"/>
                <w:bCs w:val="0"/>
                <w:sz w:val="20"/>
                <w:szCs w:val="20"/>
                <w:highlight w:val="none"/>
                <w:lang w:val="en-US" w:eastAsia="zh-CN"/>
              </w:rPr>
              <w:t xml:space="preserve"> </w:t>
            </w:r>
            <w:r>
              <w:rPr>
                <w:rFonts w:hint="default" w:ascii="Times New Roman" w:hAnsi="Times New Roman" w:eastAsia="宋体" w:cs="Times New Roman"/>
                <w:b w:val="0"/>
                <w:bCs w:val="0"/>
                <w:sz w:val="20"/>
                <w:szCs w:val="20"/>
                <w:highlight w:val="none"/>
                <w:lang w:val="en-US" w:eastAsia="zh-CN"/>
              </w:rPr>
              <w:t>0.001</w:t>
            </w:r>
          </w:p>
        </w:tc>
      </w:tr>
      <w:tr w14:paraId="21B77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5" w:type="dxa"/>
            <w:tcBorders>
              <w:top w:val="nil"/>
              <w:left w:val="nil"/>
              <w:bottom w:val="nil"/>
              <w:right w:val="nil"/>
            </w:tcBorders>
            <w:vAlign w:val="center"/>
          </w:tcPr>
          <w:p w14:paraId="210A95F5">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Osteoporosis/No</w:t>
            </w:r>
          </w:p>
        </w:tc>
        <w:tc>
          <w:tcPr>
            <w:tcW w:w="1416" w:type="dxa"/>
            <w:tcBorders>
              <w:top w:val="nil"/>
              <w:left w:val="nil"/>
              <w:bottom w:val="nil"/>
              <w:right w:val="nil"/>
            </w:tcBorders>
            <w:vAlign w:val="center"/>
          </w:tcPr>
          <w:p w14:paraId="70858E80">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-2.93 (95% CI, -3.06–-2.79)</w:t>
            </w:r>
          </w:p>
        </w:tc>
        <w:tc>
          <w:tcPr>
            <w:tcW w:w="952" w:type="dxa"/>
            <w:tcBorders>
              <w:top w:val="nil"/>
              <w:left w:val="nil"/>
              <w:bottom w:val="nil"/>
              <w:right w:val="nil"/>
            </w:tcBorders>
            <w:vAlign w:val="center"/>
          </w:tcPr>
          <w:p w14:paraId="3B58B1CD">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&lt;</w:t>
            </w:r>
            <w:r>
              <w:rPr>
                <w:rFonts w:hint="eastAsia" w:ascii="Times New Roman" w:hAnsi="Times New Roman" w:eastAsia="宋体" w:cs="Times New Roman"/>
                <w:b w:val="0"/>
                <w:bCs w:val="0"/>
                <w:sz w:val="20"/>
                <w:szCs w:val="20"/>
                <w:highlight w:val="none"/>
                <w:lang w:val="en-US" w:eastAsia="zh-CN"/>
              </w:rPr>
              <w:t xml:space="preserve"> </w:t>
            </w:r>
            <w:r>
              <w:rPr>
                <w:rFonts w:hint="default" w:ascii="Times New Roman" w:hAnsi="Times New Roman" w:eastAsia="宋体" w:cs="Times New Roman"/>
                <w:b w:val="0"/>
                <w:bCs w:val="0"/>
                <w:sz w:val="20"/>
                <w:szCs w:val="20"/>
                <w:highlight w:val="none"/>
                <w:lang w:val="en-US" w:eastAsia="zh-CN"/>
              </w:rPr>
              <w:t>0.001</w:t>
            </w:r>
          </w:p>
        </w:tc>
        <w:tc>
          <w:tcPr>
            <w:tcW w:w="1416" w:type="dxa"/>
            <w:tcBorders>
              <w:top w:val="nil"/>
              <w:left w:val="nil"/>
              <w:bottom w:val="nil"/>
              <w:right w:val="nil"/>
            </w:tcBorders>
            <w:vAlign w:val="center"/>
          </w:tcPr>
          <w:p w14:paraId="13AADC01">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-2.89 (95% CI, -3.03–-2.76)</w:t>
            </w:r>
          </w:p>
        </w:tc>
        <w:tc>
          <w:tcPr>
            <w:tcW w:w="952" w:type="dxa"/>
            <w:tcBorders>
              <w:top w:val="nil"/>
              <w:left w:val="nil"/>
              <w:bottom w:val="nil"/>
              <w:right w:val="nil"/>
            </w:tcBorders>
            <w:vAlign w:val="center"/>
          </w:tcPr>
          <w:p w14:paraId="192FE1CE">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&lt;</w:t>
            </w:r>
            <w:r>
              <w:rPr>
                <w:rFonts w:hint="eastAsia" w:ascii="Times New Roman" w:hAnsi="Times New Roman" w:eastAsia="宋体" w:cs="Times New Roman"/>
                <w:b w:val="0"/>
                <w:bCs w:val="0"/>
                <w:sz w:val="20"/>
                <w:szCs w:val="20"/>
                <w:highlight w:val="none"/>
                <w:lang w:val="en-US" w:eastAsia="zh-CN"/>
              </w:rPr>
              <w:t xml:space="preserve"> </w:t>
            </w:r>
            <w:r>
              <w:rPr>
                <w:rFonts w:hint="default" w:ascii="Times New Roman" w:hAnsi="Times New Roman" w:eastAsia="宋体" w:cs="Times New Roman"/>
                <w:b w:val="0"/>
                <w:bCs w:val="0"/>
                <w:sz w:val="20"/>
                <w:szCs w:val="20"/>
                <w:highlight w:val="none"/>
                <w:lang w:val="en-US" w:eastAsia="zh-CN"/>
              </w:rPr>
              <w:t>0.001</w:t>
            </w:r>
          </w:p>
        </w:tc>
        <w:tc>
          <w:tcPr>
            <w:tcW w:w="1416" w:type="dxa"/>
            <w:tcBorders>
              <w:top w:val="nil"/>
              <w:left w:val="nil"/>
              <w:bottom w:val="nil"/>
              <w:right w:val="nil"/>
            </w:tcBorders>
            <w:vAlign w:val="center"/>
          </w:tcPr>
          <w:p w14:paraId="47F323B4">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-2.88 (95% CI, -3.01–-2.74)</w:t>
            </w:r>
          </w:p>
        </w:tc>
        <w:tc>
          <w:tcPr>
            <w:tcW w:w="952" w:type="dxa"/>
            <w:tcBorders>
              <w:top w:val="nil"/>
              <w:left w:val="nil"/>
              <w:bottom w:val="nil"/>
              <w:right w:val="nil"/>
            </w:tcBorders>
            <w:vAlign w:val="center"/>
          </w:tcPr>
          <w:p w14:paraId="422A4D9A">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&lt;</w:t>
            </w:r>
            <w:r>
              <w:rPr>
                <w:rFonts w:hint="eastAsia" w:ascii="Times New Roman" w:hAnsi="Times New Roman" w:eastAsia="宋体" w:cs="Times New Roman"/>
                <w:b w:val="0"/>
                <w:bCs w:val="0"/>
                <w:sz w:val="20"/>
                <w:szCs w:val="20"/>
                <w:highlight w:val="none"/>
                <w:lang w:val="en-US" w:eastAsia="zh-CN"/>
              </w:rPr>
              <w:t xml:space="preserve"> </w:t>
            </w:r>
            <w:r>
              <w:rPr>
                <w:rFonts w:hint="default" w:ascii="Times New Roman" w:hAnsi="Times New Roman" w:eastAsia="宋体" w:cs="Times New Roman"/>
                <w:b w:val="0"/>
                <w:bCs w:val="0"/>
                <w:sz w:val="20"/>
                <w:szCs w:val="20"/>
                <w:highlight w:val="none"/>
                <w:lang w:val="en-US" w:eastAsia="zh-CN"/>
              </w:rPr>
              <w:t>0.001</w:t>
            </w:r>
          </w:p>
        </w:tc>
      </w:tr>
      <w:tr w14:paraId="1425D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5" w:type="dxa"/>
            <w:tcBorders>
              <w:top w:val="nil"/>
              <w:left w:val="nil"/>
              <w:bottom w:val="nil"/>
              <w:right w:val="nil"/>
            </w:tcBorders>
            <w:vAlign w:val="center"/>
          </w:tcPr>
          <w:p w14:paraId="0B79145C">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Osteoporosis/Yes</w:t>
            </w:r>
          </w:p>
        </w:tc>
        <w:tc>
          <w:tcPr>
            <w:tcW w:w="1416" w:type="dxa"/>
            <w:tcBorders>
              <w:top w:val="nil"/>
              <w:left w:val="nil"/>
              <w:bottom w:val="nil"/>
              <w:right w:val="nil"/>
            </w:tcBorders>
            <w:vAlign w:val="center"/>
          </w:tcPr>
          <w:p w14:paraId="052A7724">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-2.82 (95% CI, -2.99–-2.66)</w:t>
            </w:r>
          </w:p>
        </w:tc>
        <w:tc>
          <w:tcPr>
            <w:tcW w:w="952" w:type="dxa"/>
            <w:tcBorders>
              <w:top w:val="nil"/>
              <w:left w:val="nil"/>
              <w:bottom w:val="nil"/>
              <w:right w:val="nil"/>
            </w:tcBorders>
            <w:vAlign w:val="center"/>
          </w:tcPr>
          <w:p w14:paraId="095085BB">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&lt;</w:t>
            </w:r>
            <w:r>
              <w:rPr>
                <w:rFonts w:hint="eastAsia" w:ascii="Times New Roman" w:hAnsi="Times New Roman" w:eastAsia="宋体" w:cs="Times New Roman"/>
                <w:b w:val="0"/>
                <w:bCs w:val="0"/>
                <w:sz w:val="20"/>
                <w:szCs w:val="20"/>
                <w:highlight w:val="none"/>
                <w:lang w:val="en-US" w:eastAsia="zh-CN"/>
              </w:rPr>
              <w:t xml:space="preserve"> </w:t>
            </w:r>
            <w:r>
              <w:rPr>
                <w:rFonts w:hint="default" w:ascii="Times New Roman" w:hAnsi="Times New Roman" w:eastAsia="宋体" w:cs="Times New Roman"/>
                <w:b w:val="0"/>
                <w:bCs w:val="0"/>
                <w:sz w:val="20"/>
                <w:szCs w:val="20"/>
                <w:highlight w:val="none"/>
                <w:lang w:val="en-US" w:eastAsia="zh-CN"/>
              </w:rPr>
              <w:t>0.001</w:t>
            </w:r>
          </w:p>
        </w:tc>
        <w:tc>
          <w:tcPr>
            <w:tcW w:w="1416" w:type="dxa"/>
            <w:tcBorders>
              <w:top w:val="nil"/>
              <w:left w:val="nil"/>
              <w:bottom w:val="nil"/>
              <w:right w:val="nil"/>
            </w:tcBorders>
            <w:vAlign w:val="center"/>
          </w:tcPr>
          <w:p w14:paraId="1B75955C">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-2.75 (95% CI, -2.91–-2.58)</w:t>
            </w:r>
          </w:p>
        </w:tc>
        <w:tc>
          <w:tcPr>
            <w:tcW w:w="952" w:type="dxa"/>
            <w:tcBorders>
              <w:top w:val="nil"/>
              <w:left w:val="nil"/>
              <w:bottom w:val="nil"/>
              <w:right w:val="nil"/>
            </w:tcBorders>
            <w:vAlign w:val="center"/>
          </w:tcPr>
          <w:p w14:paraId="291DDD5A">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&lt;</w:t>
            </w:r>
            <w:r>
              <w:rPr>
                <w:rFonts w:hint="eastAsia" w:ascii="Times New Roman" w:hAnsi="Times New Roman" w:eastAsia="宋体" w:cs="Times New Roman"/>
                <w:b w:val="0"/>
                <w:bCs w:val="0"/>
                <w:sz w:val="20"/>
                <w:szCs w:val="20"/>
                <w:highlight w:val="none"/>
                <w:lang w:val="en-US" w:eastAsia="zh-CN"/>
              </w:rPr>
              <w:t xml:space="preserve"> </w:t>
            </w:r>
            <w:r>
              <w:rPr>
                <w:rFonts w:hint="default" w:ascii="Times New Roman" w:hAnsi="Times New Roman" w:eastAsia="宋体" w:cs="Times New Roman"/>
                <w:b w:val="0"/>
                <w:bCs w:val="0"/>
                <w:sz w:val="20"/>
                <w:szCs w:val="20"/>
                <w:highlight w:val="none"/>
                <w:lang w:val="en-US" w:eastAsia="zh-CN"/>
              </w:rPr>
              <w:t>0.001</w:t>
            </w:r>
          </w:p>
        </w:tc>
        <w:tc>
          <w:tcPr>
            <w:tcW w:w="1416" w:type="dxa"/>
            <w:tcBorders>
              <w:top w:val="nil"/>
              <w:left w:val="nil"/>
              <w:bottom w:val="nil"/>
              <w:right w:val="nil"/>
            </w:tcBorders>
            <w:vAlign w:val="center"/>
          </w:tcPr>
          <w:p w14:paraId="0EF52AE3">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-2.75 (95% CI, -2.92–-2.58)</w:t>
            </w:r>
          </w:p>
        </w:tc>
        <w:tc>
          <w:tcPr>
            <w:tcW w:w="952" w:type="dxa"/>
            <w:tcBorders>
              <w:top w:val="nil"/>
              <w:left w:val="nil"/>
              <w:bottom w:val="nil"/>
              <w:right w:val="nil"/>
            </w:tcBorders>
            <w:vAlign w:val="center"/>
          </w:tcPr>
          <w:p w14:paraId="0E211A34">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&lt;</w:t>
            </w:r>
            <w:r>
              <w:rPr>
                <w:rFonts w:hint="eastAsia" w:ascii="Times New Roman" w:hAnsi="Times New Roman" w:eastAsia="宋体" w:cs="Times New Roman"/>
                <w:b w:val="0"/>
                <w:bCs w:val="0"/>
                <w:sz w:val="20"/>
                <w:szCs w:val="20"/>
                <w:highlight w:val="none"/>
                <w:lang w:val="en-US" w:eastAsia="zh-CN"/>
              </w:rPr>
              <w:t xml:space="preserve"> </w:t>
            </w:r>
            <w:r>
              <w:rPr>
                <w:rFonts w:hint="default" w:ascii="Times New Roman" w:hAnsi="Times New Roman" w:eastAsia="宋体" w:cs="Times New Roman"/>
                <w:b w:val="0"/>
                <w:bCs w:val="0"/>
                <w:sz w:val="20"/>
                <w:szCs w:val="20"/>
                <w:highlight w:val="none"/>
                <w:lang w:val="en-US" w:eastAsia="zh-CN"/>
              </w:rPr>
              <w:t>0.001</w:t>
            </w:r>
          </w:p>
        </w:tc>
      </w:tr>
      <w:tr w14:paraId="1B6AD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29" w:type="dxa"/>
            <w:gridSpan w:val="7"/>
            <w:tcBorders>
              <w:top w:val="nil"/>
              <w:left w:val="nil"/>
              <w:bottom w:val="nil"/>
              <w:right w:val="nil"/>
            </w:tcBorders>
            <w:vAlign w:val="center"/>
          </w:tcPr>
          <w:p w14:paraId="07537E59">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pPr>
            <w:r>
              <w:rPr>
                <w:rFonts w:hint="default" w:ascii="Times New Roman" w:hAnsi="Times New Roman" w:eastAsia="宋体" w:cs="Times New Roman"/>
                <w:b/>
                <w:bCs/>
                <w:sz w:val="20"/>
                <w:szCs w:val="20"/>
                <w:highlight w:val="none"/>
                <w:lang w:val="en-US" w:eastAsia="zh-CN"/>
              </w:rPr>
              <w:t>Panel B. Total hip T-score (N=1784)</w:t>
            </w:r>
          </w:p>
        </w:tc>
      </w:tr>
      <w:tr w14:paraId="766D7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5" w:type="dxa"/>
            <w:tcBorders>
              <w:top w:val="nil"/>
              <w:left w:val="nil"/>
              <w:bottom w:val="nil"/>
              <w:right w:val="nil"/>
            </w:tcBorders>
            <w:vAlign w:val="center"/>
          </w:tcPr>
          <w:p w14:paraId="23A3BC54">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Normal/No</w:t>
            </w:r>
          </w:p>
        </w:tc>
        <w:tc>
          <w:tcPr>
            <w:tcW w:w="1416" w:type="dxa"/>
            <w:tcBorders>
              <w:top w:val="nil"/>
              <w:left w:val="nil"/>
              <w:bottom w:val="nil"/>
              <w:right w:val="nil"/>
            </w:tcBorders>
            <w:vAlign w:val="center"/>
          </w:tcPr>
          <w:p w14:paraId="68BC9E70">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0.00 (ref)</w:t>
            </w:r>
          </w:p>
        </w:tc>
        <w:tc>
          <w:tcPr>
            <w:tcW w:w="952" w:type="dxa"/>
            <w:tcBorders>
              <w:top w:val="nil"/>
              <w:left w:val="nil"/>
              <w:bottom w:val="nil"/>
              <w:right w:val="nil"/>
            </w:tcBorders>
            <w:vAlign w:val="center"/>
          </w:tcPr>
          <w:p w14:paraId="65BE8BFA">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w:t>
            </w:r>
          </w:p>
        </w:tc>
        <w:tc>
          <w:tcPr>
            <w:tcW w:w="1416" w:type="dxa"/>
            <w:tcBorders>
              <w:top w:val="nil"/>
              <w:left w:val="nil"/>
              <w:bottom w:val="nil"/>
              <w:right w:val="nil"/>
            </w:tcBorders>
            <w:vAlign w:val="center"/>
          </w:tcPr>
          <w:p w14:paraId="0CF10617">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0.00 (ref)</w:t>
            </w:r>
          </w:p>
        </w:tc>
        <w:tc>
          <w:tcPr>
            <w:tcW w:w="952" w:type="dxa"/>
            <w:tcBorders>
              <w:top w:val="nil"/>
              <w:left w:val="nil"/>
              <w:bottom w:val="nil"/>
              <w:right w:val="nil"/>
            </w:tcBorders>
            <w:vAlign w:val="center"/>
          </w:tcPr>
          <w:p w14:paraId="1D40E839">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w:t>
            </w:r>
          </w:p>
        </w:tc>
        <w:tc>
          <w:tcPr>
            <w:tcW w:w="1416" w:type="dxa"/>
            <w:tcBorders>
              <w:top w:val="nil"/>
              <w:left w:val="nil"/>
              <w:bottom w:val="nil"/>
              <w:right w:val="nil"/>
            </w:tcBorders>
            <w:vAlign w:val="center"/>
          </w:tcPr>
          <w:p w14:paraId="21072E27">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0.00 (ref)</w:t>
            </w:r>
          </w:p>
        </w:tc>
        <w:tc>
          <w:tcPr>
            <w:tcW w:w="952" w:type="dxa"/>
            <w:tcBorders>
              <w:top w:val="nil"/>
              <w:left w:val="nil"/>
              <w:bottom w:val="nil"/>
              <w:right w:val="nil"/>
            </w:tcBorders>
            <w:vAlign w:val="center"/>
          </w:tcPr>
          <w:p w14:paraId="5557799F">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w:t>
            </w:r>
          </w:p>
        </w:tc>
      </w:tr>
      <w:tr w14:paraId="653A4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5" w:type="dxa"/>
            <w:tcBorders>
              <w:top w:val="nil"/>
              <w:left w:val="nil"/>
              <w:bottom w:val="nil"/>
              <w:right w:val="nil"/>
            </w:tcBorders>
            <w:vAlign w:val="center"/>
          </w:tcPr>
          <w:p w14:paraId="21ADE6C6">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Normal/Yes</w:t>
            </w:r>
          </w:p>
        </w:tc>
        <w:tc>
          <w:tcPr>
            <w:tcW w:w="1416" w:type="dxa"/>
            <w:tcBorders>
              <w:top w:val="nil"/>
              <w:left w:val="nil"/>
              <w:bottom w:val="nil"/>
              <w:right w:val="nil"/>
            </w:tcBorders>
            <w:vAlign w:val="center"/>
          </w:tcPr>
          <w:p w14:paraId="1755E1B0">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0.03 (95% CI, -0.13–0.20)</w:t>
            </w:r>
          </w:p>
        </w:tc>
        <w:tc>
          <w:tcPr>
            <w:tcW w:w="952" w:type="dxa"/>
            <w:tcBorders>
              <w:top w:val="nil"/>
              <w:left w:val="nil"/>
              <w:bottom w:val="nil"/>
              <w:right w:val="nil"/>
            </w:tcBorders>
            <w:vAlign w:val="center"/>
          </w:tcPr>
          <w:p w14:paraId="379C71A5">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0.683</w:t>
            </w:r>
          </w:p>
        </w:tc>
        <w:tc>
          <w:tcPr>
            <w:tcW w:w="1416" w:type="dxa"/>
            <w:tcBorders>
              <w:top w:val="nil"/>
              <w:left w:val="nil"/>
              <w:bottom w:val="nil"/>
              <w:right w:val="nil"/>
            </w:tcBorders>
            <w:vAlign w:val="center"/>
          </w:tcPr>
          <w:p w14:paraId="478E124C">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0.05 (95% CI, -0.11–0.22)</w:t>
            </w:r>
          </w:p>
        </w:tc>
        <w:tc>
          <w:tcPr>
            <w:tcW w:w="952" w:type="dxa"/>
            <w:tcBorders>
              <w:top w:val="nil"/>
              <w:left w:val="nil"/>
              <w:bottom w:val="nil"/>
              <w:right w:val="nil"/>
            </w:tcBorders>
            <w:vAlign w:val="center"/>
          </w:tcPr>
          <w:p w14:paraId="1360708E">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0.537</w:t>
            </w:r>
          </w:p>
        </w:tc>
        <w:tc>
          <w:tcPr>
            <w:tcW w:w="1416" w:type="dxa"/>
            <w:tcBorders>
              <w:top w:val="nil"/>
              <w:left w:val="nil"/>
              <w:bottom w:val="nil"/>
              <w:right w:val="nil"/>
            </w:tcBorders>
            <w:vAlign w:val="center"/>
          </w:tcPr>
          <w:p w14:paraId="27C4F1FF">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0.08 (95% CI, -0.08–0.25)</w:t>
            </w:r>
          </w:p>
        </w:tc>
        <w:tc>
          <w:tcPr>
            <w:tcW w:w="952" w:type="dxa"/>
            <w:tcBorders>
              <w:top w:val="nil"/>
              <w:left w:val="nil"/>
              <w:bottom w:val="nil"/>
              <w:right w:val="nil"/>
            </w:tcBorders>
            <w:vAlign w:val="center"/>
          </w:tcPr>
          <w:p w14:paraId="27BCF9F8">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0.327</w:t>
            </w:r>
          </w:p>
        </w:tc>
      </w:tr>
      <w:tr w14:paraId="41B95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5" w:type="dxa"/>
            <w:tcBorders>
              <w:top w:val="nil"/>
              <w:left w:val="nil"/>
              <w:bottom w:val="nil"/>
              <w:right w:val="nil"/>
            </w:tcBorders>
            <w:vAlign w:val="center"/>
          </w:tcPr>
          <w:p w14:paraId="6B4E4C5D">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Osteopenia/No</w:t>
            </w:r>
          </w:p>
        </w:tc>
        <w:tc>
          <w:tcPr>
            <w:tcW w:w="1416" w:type="dxa"/>
            <w:tcBorders>
              <w:top w:val="nil"/>
              <w:left w:val="nil"/>
              <w:bottom w:val="nil"/>
              <w:right w:val="nil"/>
            </w:tcBorders>
            <w:vAlign w:val="center"/>
          </w:tcPr>
          <w:p w14:paraId="022ECB65">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-1.09 (95% CI, -1.19–-0.98)</w:t>
            </w:r>
          </w:p>
        </w:tc>
        <w:tc>
          <w:tcPr>
            <w:tcW w:w="952" w:type="dxa"/>
            <w:tcBorders>
              <w:top w:val="nil"/>
              <w:left w:val="nil"/>
              <w:bottom w:val="nil"/>
              <w:right w:val="nil"/>
            </w:tcBorders>
            <w:vAlign w:val="center"/>
          </w:tcPr>
          <w:p w14:paraId="22F4DD6C">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&lt;</w:t>
            </w:r>
            <w:r>
              <w:rPr>
                <w:rFonts w:hint="eastAsia" w:ascii="Times New Roman" w:hAnsi="Times New Roman" w:eastAsia="宋体" w:cs="Times New Roman"/>
                <w:b w:val="0"/>
                <w:bCs w:val="0"/>
                <w:sz w:val="20"/>
                <w:szCs w:val="20"/>
                <w:highlight w:val="none"/>
                <w:lang w:val="en-US" w:eastAsia="zh-CN"/>
              </w:rPr>
              <w:t xml:space="preserve"> </w:t>
            </w:r>
            <w:r>
              <w:rPr>
                <w:rFonts w:hint="default" w:ascii="Times New Roman" w:hAnsi="Times New Roman" w:eastAsia="宋体" w:cs="Times New Roman"/>
                <w:b w:val="0"/>
                <w:bCs w:val="0"/>
                <w:sz w:val="20"/>
                <w:szCs w:val="20"/>
                <w:highlight w:val="none"/>
                <w:lang w:val="en-US" w:eastAsia="zh-CN"/>
              </w:rPr>
              <w:t>0.001</w:t>
            </w:r>
          </w:p>
        </w:tc>
        <w:tc>
          <w:tcPr>
            <w:tcW w:w="1416" w:type="dxa"/>
            <w:tcBorders>
              <w:top w:val="nil"/>
              <w:left w:val="nil"/>
              <w:bottom w:val="nil"/>
              <w:right w:val="nil"/>
            </w:tcBorders>
            <w:vAlign w:val="center"/>
          </w:tcPr>
          <w:p w14:paraId="3A913490">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-1.07 (95% CI, -1.17–-0.97)</w:t>
            </w:r>
          </w:p>
        </w:tc>
        <w:tc>
          <w:tcPr>
            <w:tcW w:w="952" w:type="dxa"/>
            <w:tcBorders>
              <w:top w:val="nil"/>
              <w:left w:val="nil"/>
              <w:bottom w:val="nil"/>
              <w:right w:val="nil"/>
            </w:tcBorders>
            <w:vAlign w:val="center"/>
          </w:tcPr>
          <w:p w14:paraId="5C5A035D">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&lt;</w:t>
            </w:r>
            <w:r>
              <w:rPr>
                <w:rFonts w:hint="eastAsia" w:ascii="Times New Roman" w:hAnsi="Times New Roman" w:eastAsia="宋体" w:cs="Times New Roman"/>
                <w:b w:val="0"/>
                <w:bCs w:val="0"/>
                <w:sz w:val="20"/>
                <w:szCs w:val="20"/>
                <w:highlight w:val="none"/>
                <w:lang w:val="en-US" w:eastAsia="zh-CN"/>
              </w:rPr>
              <w:t xml:space="preserve"> </w:t>
            </w:r>
            <w:r>
              <w:rPr>
                <w:rFonts w:hint="default" w:ascii="Times New Roman" w:hAnsi="Times New Roman" w:eastAsia="宋体" w:cs="Times New Roman"/>
                <w:b w:val="0"/>
                <w:bCs w:val="0"/>
                <w:sz w:val="20"/>
                <w:szCs w:val="20"/>
                <w:highlight w:val="none"/>
                <w:lang w:val="en-US" w:eastAsia="zh-CN"/>
              </w:rPr>
              <w:t>0.001</w:t>
            </w:r>
          </w:p>
        </w:tc>
        <w:tc>
          <w:tcPr>
            <w:tcW w:w="1416" w:type="dxa"/>
            <w:tcBorders>
              <w:top w:val="nil"/>
              <w:left w:val="nil"/>
              <w:bottom w:val="nil"/>
              <w:right w:val="nil"/>
            </w:tcBorders>
            <w:vAlign w:val="center"/>
          </w:tcPr>
          <w:p w14:paraId="5986CE75">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-1.08 (95% CI, -1.18–-0.98)</w:t>
            </w:r>
          </w:p>
        </w:tc>
        <w:tc>
          <w:tcPr>
            <w:tcW w:w="952" w:type="dxa"/>
            <w:tcBorders>
              <w:top w:val="nil"/>
              <w:left w:val="nil"/>
              <w:bottom w:val="nil"/>
              <w:right w:val="nil"/>
            </w:tcBorders>
            <w:vAlign w:val="center"/>
          </w:tcPr>
          <w:p w14:paraId="1A0EED8F">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&lt;</w:t>
            </w:r>
            <w:r>
              <w:rPr>
                <w:rFonts w:hint="eastAsia" w:ascii="Times New Roman" w:hAnsi="Times New Roman" w:eastAsia="宋体" w:cs="Times New Roman"/>
                <w:b w:val="0"/>
                <w:bCs w:val="0"/>
                <w:sz w:val="20"/>
                <w:szCs w:val="20"/>
                <w:highlight w:val="none"/>
                <w:lang w:val="en-US" w:eastAsia="zh-CN"/>
              </w:rPr>
              <w:t xml:space="preserve"> </w:t>
            </w:r>
            <w:r>
              <w:rPr>
                <w:rFonts w:hint="default" w:ascii="Times New Roman" w:hAnsi="Times New Roman" w:eastAsia="宋体" w:cs="Times New Roman"/>
                <w:b w:val="0"/>
                <w:bCs w:val="0"/>
                <w:sz w:val="20"/>
                <w:szCs w:val="20"/>
                <w:highlight w:val="none"/>
                <w:lang w:val="en-US" w:eastAsia="zh-CN"/>
              </w:rPr>
              <w:t>0.001</w:t>
            </w:r>
          </w:p>
        </w:tc>
      </w:tr>
      <w:tr w14:paraId="063C4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5" w:type="dxa"/>
            <w:tcBorders>
              <w:top w:val="nil"/>
              <w:left w:val="nil"/>
              <w:bottom w:val="nil"/>
              <w:right w:val="nil"/>
            </w:tcBorders>
            <w:vAlign w:val="center"/>
          </w:tcPr>
          <w:p w14:paraId="66FE93CD">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Osteopenia/Yes</w:t>
            </w:r>
          </w:p>
        </w:tc>
        <w:tc>
          <w:tcPr>
            <w:tcW w:w="1416" w:type="dxa"/>
            <w:tcBorders>
              <w:top w:val="nil"/>
              <w:left w:val="nil"/>
              <w:bottom w:val="nil"/>
              <w:right w:val="nil"/>
            </w:tcBorders>
            <w:vAlign w:val="center"/>
          </w:tcPr>
          <w:p w14:paraId="0B564AB6">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-1.16 (95% CI, -1.30–-1.02)</w:t>
            </w:r>
          </w:p>
        </w:tc>
        <w:tc>
          <w:tcPr>
            <w:tcW w:w="952" w:type="dxa"/>
            <w:tcBorders>
              <w:top w:val="nil"/>
              <w:left w:val="nil"/>
              <w:bottom w:val="nil"/>
              <w:right w:val="nil"/>
            </w:tcBorders>
            <w:vAlign w:val="center"/>
          </w:tcPr>
          <w:p w14:paraId="1663EF8F">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&lt;</w:t>
            </w:r>
            <w:r>
              <w:rPr>
                <w:rFonts w:hint="eastAsia" w:ascii="Times New Roman" w:hAnsi="Times New Roman" w:eastAsia="宋体" w:cs="Times New Roman"/>
                <w:b w:val="0"/>
                <w:bCs w:val="0"/>
                <w:sz w:val="20"/>
                <w:szCs w:val="20"/>
                <w:highlight w:val="none"/>
                <w:lang w:val="en-US" w:eastAsia="zh-CN"/>
              </w:rPr>
              <w:t xml:space="preserve"> </w:t>
            </w:r>
            <w:r>
              <w:rPr>
                <w:rFonts w:hint="default" w:ascii="Times New Roman" w:hAnsi="Times New Roman" w:eastAsia="宋体" w:cs="Times New Roman"/>
                <w:b w:val="0"/>
                <w:bCs w:val="0"/>
                <w:sz w:val="20"/>
                <w:szCs w:val="20"/>
                <w:highlight w:val="none"/>
                <w:lang w:val="en-US" w:eastAsia="zh-CN"/>
              </w:rPr>
              <w:t>0.001</w:t>
            </w:r>
          </w:p>
        </w:tc>
        <w:tc>
          <w:tcPr>
            <w:tcW w:w="1416" w:type="dxa"/>
            <w:tcBorders>
              <w:top w:val="nil"/>
              <w:left w:val="nil"/>
              <w:bottom w:val="nil"/>
              <w:right w:val="nil"/>
            </w:tcBorders>
            <w:vAlign w:val="center"/>
          </w:tcPr>
          <w:p w14:paraId="04EA8130">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-1.11 (95% CI, -1.25–-0.97)</w:t>
            </w:r>
          </w:p>
        </w:tc>
        <w:tc>
          <w:tcPr>
            <w:tcW w:w="952" w:type="dxa"/>
            <w:tcBorders>
              <w:top w:val="nil"/>
              <w:left w:val="nil"/>
              <w:bottom w:val="nil"/>
              <w:right w:val="nil"/>
            </w:tcBorders>
            <w:vAlign w:val="center"/>
          </w:tcPr>
          <w:p w14:paraId="746BD224">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&lt;</w:t>
            </w:r>
            <w:r>
              <w:rPr>
                <w:rFonts w:hint="eastAsia" w:ascii="Times New Roman" w:hAnsi="Times New Roman" w:eastAsia="宋体" w:cs="Times New Roman"/>
                <w:b w:val="0"/>
                <w:bCs w:val="0"/>
                <w:sz w:val="20"/>
                <w:szCs w:val="20"/>
                <w:highlight w:val="none"/>
                <w:lang w:val="en-US" w:eastAsia="zh-CN"/>
              </w:rPr>
              <w:t xml:space="preserve"> </w:t>
            </w:r>
            <w:r>
              <w:rPr>
                <w:rFonts w:hint="default" w:ascii="Times New Roman" w:hAnsi="Times New Roman" w:eastAsia="宋体" w:cs="Times New Roman"/>
                <w:b w:val="0"/>
                <w:bCs w:val="0"/>
                <w:sz w:val="20"/>
                <w:szCs w:val="20"/>
                <w:highlight w:val="none"/>
                <w:lang w:val="en-US" w:eastAsia="zh-CN"/>
              </w:rPr>
              <w:t>0.001</w:t>
            </w:r>
          </w:p>
        </w:tc>
        <w:tc>
          <w:tcPr>
            <w:tcW w:w="1416" w:type="dxa"/>
            <w:tcBorders>
              <w:top w:val="nil"/>
              <w:left w:val="nil"/>
              <w:bottom w:val="nil"/>
              <w:right w:val="nil"/>
            </w:tcBorders>
            <w:vAlign w:val="center"/>
          </w:tcPr>
          <w:p w14:paraId="31604311">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-1.10 (95% CI, -1.24–-0.96)</w:t>
            </w:r>
          </w:p>
        </w:tc>
        <w:tc>
          <w:tcPr>
            <w:tcW w:w="952" w:type="dxa"/>
            <w:tcBorders>
              <w:top w:val="nil"/>
              <w:left w:val="nil"/>
              <w:bottom w:val="nil"/>
              <w:right w:val="nil"/>
            </w:tcBorders>
            <w:vAlign w:val="center"/>
          </w:tcPr>
          <w:p w14:paraId="429BDA90">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&lt;</w:t>
            </w:r>
            <w:r>
              <w:rPr>
                <w:rFonts w:hint="eastAsia" w:ascii="Times New Roman" w:hAnsi="Times New Roman" w:eastAsia="宋体" w:cs="Times New Roman"/>
                <w:b w:val="0"/>
                <w:bCs w:val="0"/>
                <w:sz w:val="20"/>
                <w:szCs w:val="20"/>
                <w:highlight w:val="none"/>
                <w:lang w:val="en-US" w:eastAsia="zh-CN"/>
              </w:rPr>
              <w:t xml:space="preserve"> </w:t>
            </w:r>
            <w:r>
              <w:rPr>
                <w:rFonts w:hint="default" w:ascii="Times New Roman" w:hAnsi="Times New Roman" w:eastAsia="宋体" w:cs="Times New Roman"/>
                <w:b w:val="0"/>
                <w:bCs w:val="0"/>
                <w:sz w:val="20"/>
                <w:szCs w:val="20"/>
                <w:highlight w:val="none"/>
                <w:lang w:val="en-US" w:eastAsia="zh-CN"/>
              </w:rPr>
              <w:t>0.001</w:t>
            </w:r>
          </w:p>
        </w:tc>
      </w:tr>
      <w:tr w14:paraId="2149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5" w:type="dxa"/>
            <w:tcBorders>
              <w:top w:val="nil"/>
              <w:left w:val="nil"/>
              <w:bottom w:val="nil"/>
              <w:right w:val="nil"/>
            </w:tcBorders>
            <w:vAlign w:val="center"/>
          </w:tcPr>
          <w:p w14:paraId="32EC1622">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Osteoporosis/No</w:t>
            </w:r>
          </w:p>
        </w:tc>
        <w:tc>
          <w:tcPr>
            <w:tcW w:w="1416" w:type="dxa"/>
            <w:tcBorders>
              <w:top w:val="nil"/>
              <w:left w:val="nil"/>
              <w:bottom w:val="nil"/>
              <w:right w:val="nil"/>
            </w:tcBorders>
            <w:vAlign w:val="center"/>
          </w:tcPr>
          <w:p w14:paraId="73CE5E43">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-2.04 (95% CI, -2.16–-1.93)</w:t>
            </w:r>
          </w:p>
        </w:tc>
        <w:tc>
          <w:tcPr>
            <w:tcW w:w="952" w:type="dxa"/>
            <w:tcBorders>
              <w:top w:val="nil"/>
              <w:left w:val="nil"/>
              <w:bottom w:val="nil"/>
              <w:right w:val="nil"/>
            </w:tcBorders>
            <w:vAlign w:val="center"/>
          </w:tcPr>
          <w:p w14:paraId="20B0227A">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&lt;</w:t>
            </w:r>
            <w:r>
              <w:rPr>
                <w:rFonts w:hint="eastAsia" w:ascii="Times New Roman" w:hAnsi="Times New Roman" w:eastAsia="宋体" w:cs="Times New Roman"/>
                <w:b w:val="0"/>
                <w:bCs w:val="0"/>
                <w:sz w:val="20"/>
                <w:szCs w:val="20"/>
                <w:highlight w:val="none"/>
                <w:lang w:val="en-US" w:eastAsia="zh-CN"/>
              </w:rPr>
              <w:t xml:space="preserve"> </w:t>
            </w:r>
            <w:r>
              <w:rPr>
                <w:rFonts w:hint="default" w:ascii="Times New Roman" w:hAnsi="Times New Roman" w:eastAsia="宋体" w:cs="Times New Roman"/>
                <w:b w:val="0"/>
                <w:bCs w:val="0"/>
                <w:sz w:val="20"/>
                <w:szCs w:val="20"/>
                <w:highlight w:val="none"/>
                <w:lang w:val="en-US" w:eastAsia="zh-CN"/>
              </w:rPr>
              <w:t>0.001</w:t>
            </w:r>
          </w:p>
        </w:tc>
        <w:tc>
          <w:tcPr>
            <w:tcW w:w="1416" w:type="dxa"/>
            <w:tcBorders>
              <w:top w:val="nil"/>
              <w:left w:val="nil"/>
              <w:bottom w:val="nil"/>
              <w:right w:val="nil"/>
            </w:tcBorders>
            <w:vAlign w:val="center"/>
          </w:tcPr>
          <w:p w14:paraId="4016A7BA">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-2.00 (95% CI, -2.11–-1.89)</w:t>
            </w:r>
          </w:p>
        </w:tc>
        <w:tc>
          <w:tcPr>
            <w:tcW w:w="952" w:type="dxa"/>
            <w:tcBorders>
              <w:top w:val="nil"/>
              <w:left w:val="nil"/>
              <w:bottom w:val="nil"/>
              <w:right w:val="nil"/>
            </w:tcBorders>
            <w:vAlign w:val="center"/>
          </w:tcPr>
          <w:p w14:paraId="1D36355F">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&lt;</w:t>
            </w:r>
            <w:r>
              <w:rPr>
                <w:rFonts w:hint="eastAsia" w:ascii="Times New Roman" w:hAnsi="Times New Roman" w:eastAsia="宋体" w:cs="Times New Roman"/>
                <w:b w:val="0"/>
                <w:bCs w:val="0"/>
                <w:sz w:val="20"/>
                <w:szCs w:val="20"/>
                <w:highlight w:val="none"/>
                <w:lang w:val="en-US" w:eastAsia="zh-CN"/>
              </w:rPr>
              <w:t xml:space="preserve"> </w:t>
            </w:r>
            <w:r>
              <w:rPr>
                <w:rFonts w:hint="default" w:ascii="Times New Roman" w:hAnsi="Times New Roman" w:eastAsia="宋体" w:cs="Times New Roman"/>
                <w:b w:val="0"/>
                <w:bCs w:val="0"/>
                <w:sz w:val="20"/>
                <w:szCs w:val="20"/>
                <w:highlight w:val="none"/>
                <w:lang w:val="en-US" w:eastAsia="zh-CN"/>
              </w:rPr>
              <w:t>0.001</w:t>
            </w:r>
          </w:p>
        </w:tc>
        <w:tc>
          <w:tcPr>
            <w:tcW w:w="1416" w:type="dxa"/>
            <w:tcBorders>
              <w:top w:val="nil"/>
              <w:left w:val="nil"/>
              <w:bottom w:val="nil"/>
              <w:right w:val="nil"/>
            </w:tcBorders>
            <w:vAlign w:val="center"/>
          </w:tcPr>
          <w:p w14:paraId="4175F2EC">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-2.00 (95% CI, -2.11–-1.88)</w:t>
            </w:r>
          </w:p>
        </w:tc>
        <w:tc>
          <w:tcPr>
            <w:tcW w:w="952" w:type="dxa"/>
            <w:tcBorders>
              <w:top w:val="nil"/>
              <w:left w:val="nil"/>
              <w:bottom w:val="nil"/>
              <w:right w:val="nil"/>
            </w:tcBorders>
            <w:vAlign w:val="center"/>
          </w:tcPr>
          <w:p w14:paraId="18746E1A">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&lt;</w:t>
            </w:r>
            <w:r>
              <w:rPr>
                <w:rFonts w:hint="eastAsia" w:ascii="Times New Roman" w:hAnsi="Times New Roman" w:eastAsia="宋体" w:cs="Times New Roman"/>
                <w:b w:val="0"/>
                <w:bCs w:val="0"/>
                <w:sz w:val="20"/>
                <w:szCs w:val="20"/>
                <w:highlight w:val="none"/>
                <w:lang w:val="en-US" w:eastAsia="zh-CN"/>
              </w:rPr>
              <w:t xml:space="preserve"> </w:t>
            </w:r>
            <w:r>
              <w:rPr>
                <w:rFonts w:hint="default" w:ascii="Times New Roman" w:hAnsi="Times New Roman" w:eastAsia="宋体" w:cs="Times New Roman"/>
                <w:b w:val="0"/>
                <w:bCs w:val="0"/>
                <w:sz w:val="20"/>
                <w:szCs w:val="20"/>
                <w:highlight w:val="none"/>
                <w:lang w:val="en-US" w:eastAsia="zh-CN"/>
              </w:rPr>
              <w:t>0.001</w:t>
            </w:r>
          </w:p>
        </w:tc>
      </w:tr>
      <w:tr w14:paraId="3DD6E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5" w:type="dxa"/>
            <w:tcBorders>
              <w:top w:val="nil"/>
              <w:left w:val="nil"/>
              <w:bottom w:val="single" w:color="auto" w:sz="12" w:space="0"/>
              <w:right w:val="nil"/>
            </w:tcBorders>
            <w:vAlign w:val="center"/>
          </w:tcPr>
          <w:p w14:paraId="78FCF674">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Osteoporosis/Yes</w:t>
            </w:r>
          </w:p>
        </w:tc>
        <w:tc>
          <w:tcPr>
            <w:tcW w:w="1416" w:type="dxa"/>
            <w:tcBorders>
              <w:top w:val="nil"/>
              <w:left w:val="nil"/>
              <w:bottom w:val="single" w:color="auto" w:sz="12" w:space="0"/>
              <w:right w:val="nil"/>
            </w:tcBorders>
            <w:vAlign w:val="center"/>
          </w:tcPr>
          <w:p w14:paraId="001C8C12">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-2.38 (95% CI, -2.51–-2.24)</w:t>
            </w:r>
          </w:p>
        </w:tc>
        <w:tc>
          <w:tcPr>
            <w:tcW w:w="952" w:type="dxa"/>
            <w:tcBorders>
              <w:top w:val="nil"/>
              <w:left w:val="nil"/>
              <w:bottom w:val="single" w:color="auto" w:sz="12" w:space="0"/>
              <w:right w:val="nil"/>
            </w:tcBorders>
            <w:vAlign w:val="center"/>
          </w:tcPr>
          <w:p w14:paraId="1DD1DB6E">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&lt;</w:t>
            </w:r>
            <w:r>
              <w:rPr>
                <w:rFonts w:hint="eastAsia" w:ascii="Times New Roman" w:hAnsi="Times New Roman" w:eastAsia="宋体" w:cs="Times New Roman"/>
                <w:b w:val="0"/>
                <w:bCs w:val="0"/>
                <w:sz w:val="20"/>
                <w:szCs w:val="20"/>
                <w:highlight w:val="none"/>
                <w:lang w:val="en-US" w:eastAsia="zh-CN"/>
              </w:rPr>
              <w:t xml:space="preserve"> </w:t>
            </w:r>
            <w:r>
              <w:rPr>
                <w:rFonts w:hint="default" w:ascii="Times New Roman" w:hAnsi="Times New Roman" w:eastAsia="宋体" w:cs="Times New Roman"/>
                <w:b w:val="0"/>
                <w:bCs w:val="0"/>
                <w:sz w:val="20"/>
                <w:szCs w:val="20"/>
                <w:highlight w:val="none"/>
                <w:lang w:val="en-US" w:eastAsia="zh-CN"/>
              </w:rPr>
              <w:t>0.001</w:t>
            </w:r>
          </w:p>
        </w:tc>
        <w:tc>
          <w:tcPr>
            <w:tcW w:w="1416" w:type="dxa"/>
            <w:tcBorders>
              <w:top w:val="nil"/>
              <w:left w:val="nil"/>
              <w:bottom w:val="single" w:color="auto" w:sz="12" w:space="0"/>
              <w:right w:val="nil"/>
            </w:tcBorders>
            <w:vAlign w:val="center"/>
          </w:tcPr>
          <w:p w14:paraId="38E0F5E3">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-2.30 (95% CI, -2.44–-2.16)</w:t>
            </w:r>
          </w:p>
        </w:tc>
        <w:tc>
          <w:tcPr>
            <w:tcW w:w="952" w:type="dxa"/>
            <w:tcBorders>
              <w:top w:val="nil"/>
              <w:left w:val="nil"/>
              <w:bottom w:val="single" w:color="auto" w:sz="12" w:space="0"/>
              <w:right w:val="nil"/>
            </w:tcBorders>
            <w:vAlign w:val="center"/>
          </w:tcPr>
          <w:p w14:paraId="3618C013">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&lt;</w:t>
            </w:r>
            <w:r>
              <w:rPr>
                <w:rFonts w:hint="eastAsia" w:ascii="Times New Roman" w:hAnsi="Times New Roman" w:eastAsia="宋体" w:cs="Times New Roman"/>
                <w:b w:val="0"/>
                <w:bCs w:val="0"/>
                <w:sz w:val="20"/>
                <w:szCs w:val="20"/>
                <w:highlight w:val="none"/>
                <w:lang w:val="en-US" w:eastAsia="zh-CN"/>
              </w:rPr>
              <w:t xml:space="preserve"> </w:t>
            </w:r>
            <w:r>
              <w:rPr>
                <w:rFonts w:hint="default" w:ascii="Times New Roman" w:hAnsi="Times New Roman" w:eastAsia="宋体" w:cs="Times New Roman"/>
                <w:b w:val="0"/>
                <w:bCs w:val="0"/>
                <w:sz w:val="20"/>
                <w:szCs w:val="20"/>
                <w:highlight w:val="none"/>
                <w:lang w:val="en-US" w:eastAsia="zh-CN"/>
              </w:rPr>
              <w:t>0.001</w:t>
            </w:r>
          </w:p>
        </w:tc>
        <w:tc>
          <w:tcPr>
            <w:tcW w:w="1416" w:type="dxa"/>
            <w:tcBorders>
              <w:top w:val="nil"/>
              <w:left w:val="nil"/>
              <w:bottom w:val="single" w:color="auto" w:sz="12" w:space="0"/>
              <w:right w:val="nil"/>
            </w:tcBorders>
            <w:vAlign w:val="center"/>
          </w:tcPr>
          <w:p w14:paraId="51D53B02">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-2.28 (95% CI, -2.42–-2.14)</w:t>
            </w:r>
          </w:p>
        </w:tc>
        <w:tc>
          <w:tcPr>
            <w:tcW w:w="952" w:type="dxa"/>
            <w:tcBorders>
              <w:top w:val="nil"/>
              <w:left w:val="nil"/>
              <w:bottom w:val="single" w:color="auto" w:sz="12" w:space="0"/>
              <w:right w:val="nil"/>
            </w:tcBorders>
            <w:vAlign w:val="center"/>
          </w:tcPr>
          <w:p w14:paraId="6729FAF4">
            <w:pPr>
              <w:keepNext/>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highlight w:val="none"/>
                <w:lang w:val="en-US" w:eastAsia="zh-CN"/>
              </w:rPr>
              <w:t>&lt;</w:t>
            </w:r>
            <w:r>
              <w:rPr>
                <w:rFonts w:hint="eastAsia" w:ascii="Times New Roman" w:hAnsi="Times New Roman" w:eastAsia="宋体" w:cs="Times New Roman"/>
                <w:b w:val="0"/>
                <w:bCs w:val="0"/>
                <w:sz w:val="20"/>
                <w:szCs w:val="20"/>
                <w:highlight w:val="none"/>
                <w:lang w:val="en-US" w:eastAsia="zh-CN"/>
              </w:rPr>
              <w:t xml:space="preserve"> </w:t>
            </w:r>
            <w:r>
              <w:rPr>
                <w:rFonts w:hint="default" w:ascii="Times New Roman" w:hAnsi="Times New Roman" w:eastAsia="宋体" w:cs="Times New Roman"/>
                <w:b w:val="0"/>
                <w:bCs w:val="0"/>
                <w:sz w:val="20"/>
                <w:szCs w:val="20"/>
                <w:highlight w:val="none"/>
                <w:lang w:val="en-US" w:eastAsia="zh-CN"/>
              </w:rPr>
              <w:t>0.001</w:t>
            </w:r>
          </w:p>
        </w:tc>
      </w:tr>
    </w:tbl>
    <w:p w14:paraId="1BC4A211">
      <w:pPr>
        <w:keepNext w:val="0"/>
        <w:keepLines w:val="0"/>
        <w:pageBreakBefore w:val="0"/>
        <w:widowControl w:val="0"/>
        <w:kinsoku/>
        <w:wordWrap/>
        <w:overflowPunct/>
        <w:topLinePunct w:val="0"/>
        <w:autoSpaceDE/>
        <w:autoSpaceDN/>
        <w:bidi w:val="0"/>
        <w:adjustRightInd/>
        <w:snapToGrid/>
        <w:spacing w:beforeAutospacing="0" w:afterAutospacing="0" w:line="480" w:lineRule="auto"/>
        <w:textAlignment w:val="auto"/>
        <w:rPr>
          <w:rFonts w:hint="default" w:ascii="Times New Roman" w:hAnsi="Times New Roman" w:cs="Times New Roman"/>
          <w:b w:val="0"/>
          <w:bCs w:val="0"/>
          <w:sz w:val="20"/>
          <w:szCs w:val="20"/>
        </w:rPr>
      </w:pPr>
      <w:r>
        <w:rPr>
          <w:rFonts w:hint="default" w:ascii="Times New Roman" w:hAnsi="Times New Roman" w:cs="Times New Roman"/>
          <w:b/>
          <w:bCs/>
          <w:sz w:val="20"/>
          <w:szCs w:val="20"/>
        </w:rPr>
        <w:t xml:space="preserve">Notes: </w:t>
      </w:r>
      <w:r>
        <w:rPr>
          <w:rFonts w:hint="default" w:ascii="Times New Roman" w:hAnsi="Times New Roman" w:cs="Times New Roman"/>
          <w:b w:val="0"/>
          <w:bCs w:val="0"/>
          <w:sz w:val="20"/>
          <w:szCs w:val="20"/>
        </w:rPr>
        <w:t>Strata were defined by cross-classification of bone mass status (normal, osteopenia, osteoporosis) and possible sarcopenia status (No/Yes). β denotes the adjusted mean difference in T-score relative to the reference stratum (Normal/No), estimated using generalized linear models with an identity link. Model 1 adjusted for age and sex. Model 2 additionally adjusted for prespecified sociodemographic factors and lifestyle variables. Model 3 further incorporated additional prespecified covariate domains, including chronic disease history, supplement use, environmental exposures, sleep patterns/nocturia, physical activity, sedentary behavior, and general health status (full covariate list shown in Supplementary Table S2). Sample size differs across panels due to site-specific missingness. P values are two-sided and reported to three decimals (&lt; 0.001 shown as &lt; 0.001)</w:t>
      </w:r>
      <w:r>
        <w:rPr>
          <w:rFonts w:hint="default" w:ascii="Times New Roman" w:hAnsi="Times New Roman" w:cs="Times New Roman"/>
          <w:b w:val="0"/>
          <w:bCs w:val="0"/>
          <w:sz w:val="20"/>
          <w:szCs w:val="20"/>
        </w:rPr>
        <w:t xml:space="preserve">. </w:t>
      </w:r>
    </w:p>
    <w:p w14:paraId="5A0C68AE">
      <w:pPr>
        <w:keepNext w:val="0"/>
        <w:keepLines w:val="0"/>
        <w:pageBreakBefore w:val="0"/>
        <w:widowControl w:val="0"/>
        <w:kinsoku/>
        <w:wordWrap/>
        <w:overflowPunct/>
        <w:topLinePunct w:val="0"/>
        <w:autoSpaceDE/>
        <w:autoSpaceDN/>
        <w:bidi w:val="0"/>
        <w:adjustRightInd/>
        <w:snapToGrid/>
        <w:spacing w:beforeAutospacing="0" w:afterAutospacing="0" w:line="480" w:lineRule="auto"/>
        <w:textAlignment w:val="auto"/>
        <w:rPr>
          <w:rFonts w:hint="default" w:ascii="Times New Roman" w:hAnsi="Times New Roman" w:cs="Times New Roman"/>
          <w:b w:val="0"/>
          <w:bCs w:val="0"/>
          <w:sz w:val="20"/>
          <w:szCs w:val="20"/>
        </w:rPr>
      </w:pPr>
      <w:r>
        <w:rPr>
          <w:rFonts w:hint="default" w:ascii="Times New Roman" w:hAnsi="Times New Roman" w:cs="Times New Roman"/>
          <w:b/>
          <w:bCs/>
          <w:sz w:val="20"/>
          <w:szCs w:val="20"/>
        </w:rPr>
        <w:t>Abbreviations:</w:t>
      </w:r>
      <w:r>
        <w:rPr>
          <w:rFonts w:hint="default" w:ascii="Times New Roman" w:hAnsi="Times New Roman" w:cs="Times New Roman"/>
          <w:b w:val="0"/>
          <w:bCs w:val="0"/>
          <w:sz w:val="20"/>
          <w:szCs w:val="20"/>
        </w:rPr>
        <w:t xml:space="preserve"> CI, confidence interval; DXA, dual-energy X-ray absorptiometry; ref, reference.</w:t>
      </w:r>
    </w:p>
    <w:p w14:paraId="6A4BCC62">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Supplement Table S4. Fracture sites and triggers by bone mass × possible sarcopenia strata.</w:t>
      </w:r>
    </w:p>
    <w:tbl>
      <w:tblPr>
        <w:tblStyle w:val="6"/>
        <w:tblW w:w="85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1649"/>
        <w:gridCol w:w="995"/>
        <w:gridCol w:w="997"/>
        <w:gridCol w:w="1097"/>
        <w:gridCol w:w="1007"/>
        <w:gridCol w:w="1002"/>
        <w:gridCol w:w="998"/>
      </w:tblGrid>
      <w:tr w14:paraId="41694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39" w:type="dxa"/>
            <w:tcBorders>
              <w:top w:val="single" w:color="auto" w:sz="12" w:space="0"/>
              <w:left w:val="nil"/>
              <w:bottom w:val="single" w:color="auto" w:sz="4" w:space="0"/>
              <w:right w:val="nil"/>
            </w:tcBorders>
            <w:vAlign w:val="center"/>
          </w:tcPr>
          <w:p w14:paraId="4141910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sz w:val="20"/>
              </w:rPr>
            </w:pPr>
            <w:r>
              <w:rPr>
                <w:rFonts w:hint="default" w:ascii="Times New Roman" w:hAnsi="Times New Roman" w:eastAsia="宋体" w:cs="Times New Roman"/>
                <w:b/>
                <w:sz w:val="20"/>
                <w:szCs w:val="20"/>
              </w:rPr>
              <w:t>Section</w:t>
            </w:r>
          </w:p>
        </w:tc>
        <w:tc>
          <w:tcPr>
            <w:tcW w:w="1649" w:type="dxa"/>
            <w:tcBorders>
              <w:top w:val="single" w:color="auto" w:sz="12" w:space="0"/>
              <w:left w:val="nil"/>
              <w:bottom w:val="single" w:color="auto" w:sz="4" w:space="0"/>
              <w:right w:val="nil"/>
            </w:tcBorders>
            <w:vAlign w:val="center"/>
          </w:tcPr>
          <w:p w14:paraId="4AE331D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sz w:val="20"/>
              </w:rPr>
            </w:pPr>
            <w:r>
              <w:rPr>
                <w:rFonts w:hint="default" w:ascii="Times New Roman" w:hAnsi="Times New Roman" w:eastAsia="宋体" w:cs="Times New Roman"/>
                <w:b/>
                <w:sz w:val="20"/>
                <w:szCs w:val="20"/>
              </w:rPr>
              <w:t>Category</w:t>
            </w:r>
          </w:p>
        </w:tc>
        <w:tc>
          <w:tcPr>
            <w:tcW w:w="995" w:type="dxa"/>
            <w:tcBorders>
              <w:top w:val="single" w:color="auto" w:sz="12" w:space="0"/>
              <w:left w:val="nil"/>
              <w:bottom w:val="single" w:color="auto" w:sz="4" w:space="0"/>
              <w:right w:val="nil"/>
            </w:tcBorders>
            <w:vAlign w:val="center"/>
          </w:tcPr>
          <w:p w14:paraId="5405CAA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sz w:val="20"/>
                <w:szCs w:val="20"/>
              </w:rPr>
            </w:pPr>
            <w:r>
              <w:rPr>
                <w:rFonts w:hint="default" w:ascii="Times New Roman" w:hAnsi="Times New Roman" w:eastAsia="宋体" w:cs="Times New Roman"/>
                <w:b/>
                <w:sz w:val="20"/>
                <w:szCs w:val="20"/>
              </w:rPr>
              <w:t xml:space="preserve">N/N </w:t>
            </w:r>
          </w:p>
          <w:p w14:paraId="7649751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sz w:val="20"/>
              </w:rPr>
            </w:pPr>
            <w:r>
              <w:rPr>
                <w:rFonts w:hint="default" w:ascii="Times New Roman" w:hAnsi="Times New Roman" w:eastAsia="宋体" w:cs="Times New Roman"/>
                <w:b/>
                <w:sz w:val="20"/>
                <w:szCs w:val="20"/>
              </w:rPr>
              <w:t>(n=40)</w:t>
            </w:r>
          </w:p>
        </w:tc>
        <w:tc>
          <w:tcPr>
            <w:tcW w:w="997" w:type="dxa"/>
            <w:tcBorders>
              <w:top w:val="single" w:color="auto" w:sz="12" w:space="0"/>
              <w:left w:val="nil"/>
              <w:bottom w:val="single" w:color="auto" w:sz="4" w:space="0"/>
              <w:right w:val="nil"/>
            </w:tcBorders>
            <w:vAlign w:val="center"/>
          </w:tcPr>
          <w:p w14:paraId="4A4C0CC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sz w:val="20"/>
                <w:szCs w:val="20"/>
              </w:rPr>
            </w:pPr>
            <w:r>
              <w:rPr>
                <w:rFonts w:hint="default" w:ascii="Times New Roman" w:hAnsi="Times New Roman" w:eastAsia="宋体" w:cs="Times New Roman"/>
                <w:b/>
                <w:sz w:val="20"/>
                <w:szCs w:val="20"/>
              </w:rPr>
              <w:t xml:space="preserve">N/Y </w:t>
            </w:r>
          </w:p>
          <w:p w14:paraId="7572376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sz w:val="20"/>
              </w:rPr>
            </w:pPr>
            <w:r>
              <w:rPr>
                <w:rFonts w:hint="default" w:ascii="Times New Roman" w:hAnsi="Times New Roman" w:eastAsia="宋体" w:cs="Times New Roman"/>
                <w:b/>
                <w:sz w:val="20"/>
                <w:szCs w:val="20"/>
              </w:rPr>
              <w:t>(n=16)</w:t>
            </w:r>
          </w:p>
        </w:tc>
        <w:tc>
          <w:tcPr>
            <w:tcW w:w="1097" w:type="dxa"/>
            <w:tcBorders>
              <w:top w:val="single" w:color="auto" w:sz="12" w:space="0"/>
              <w:left w:val="nil"/>
              <w:bottom w:val="single" w:color="auto" w:sz="4" w:space="0"/>
              <w:right w:val="nil"/>
            </w:tcBorders>
            <w:vAlign w:val="center"/>
          </w:tcPr>
          <w:p w14:paraId="31D8A7D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sz w:val="20"/>
                <w:szCs w:val="20"/>
              </w:rPr>
            </w:pPr>
            <w:r>
              <w:rPr>
                <w:rFonts w:hint="default" w:ascii="Times New Roman" w:hAnsi="Times New Roman" w:eastAsia="宋体" w:cs="Times New Roman"/>
                <w:b/>
                <w:sz w:val="20"/>
                <w:szCs w:val="20"/>
              </w:rPr>
              <w:t xml:space="preserve">OPN/N </w:t>
            </w:r>
          </w:p>
          <w:p w14:paraId="298E100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sz w:val="20"/>
              </w:rPr>
            </w:pPr>
            <w:r>
              <w:rPr>
                <w:rFonts w:hint="default" w:ascii="Times New Roman" w:hAnsi="Times New Roman" w:eastAsia="宋体" w:cs="Times New Roman"/>
                <w:b/>
                <w:sz w:val="20"/>
                <w:szCs w:val="20"/>
              </w:rPr>
              <w:t>(n=104)</w:t>
            </w:r>
          </w:p>
        </w:tc>
        <w:tc>
          <w:tcPr>
            <w:tcW w:w="1007" w:type="dxa"/>
            <w:tcBorders>
              <w:top w:val="single" w:color="auto" w:sz="12" w:space="0"/>
              <w:left w:val="nil"/>
              <w:bottom w:val="single" w:color="auto" w:sz="4" w:space="0"/>
              <w:right w:val="nil"/>
            </w:tcBorders>
            <w:vAlign w:val="center"/>
          </w:tcPr>
          <w:p w14:paraId="4FA9951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sz w:val="20"/>
                <w:szCs w:val="20"/>
              </w:rPr>
            </w:pPr>
            <w:r>
              <w:rPr>
                <w:rFonts w:hint="default" w:ascii="Times New Roman" w:hAnsi="Times New Roman" w:eastAsia="宋体" w:cs="Times New Roman"/>
                <w:b/>
                <w:sz w:val="20"/>
                <w:szCs w:val="20"/>
              </w:rPr>
              <w:t xml:space="preserve">OPN/Y </w:t>
            </w:r>
          </w:p>
          <w:p w14:paraId="218E943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sz w:val="20"/>
              </w:rPr>
            </w:pPr>
            <w:r>
              <w:rPr>
                <w:rFonts w:hint="default" w:ascii="Times New Roman" w:hAnsi="Times New Roman" w:eastAsia="宋体" w:cs="Times New Roman"/>
                <w:b/>
                <w:sz w:val="20"/>
                <w:szCs w:val="20"/>
              </w:rPr>
              <w:t>(n=30)</w:t>
            </w:r>
          </w:p>
        </w:tc>
        <w:tc>
          <w:tcPr>
            <w:tcW w:w="1002" w:type="dxa"/>
            <w:tcBorders>
              <w:top w:val="single" w:color="auto" w:sz="12" w:space="0"/>
              <w:left w:val="nil"/>
              <w:bottom w:val="single" w:color="auto" w:sz="4" w:space="0"/>
              <w:right w:val="nil"/>
            </w:tcBorders>
            <w:vAlign w:val="center"/>
          </w:tcPr>
          <w:p w14:paraId="4F26FE7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sz w:val="20"/>
                <w:szCs w:val="20"/>
              </w:rPr>
            </w:pPr>
            <w:r>
              <w:rPr>
                <w:rFonts w:hint="default" w:ascii="Times New Roman" w:hAnsi="Times New Roman" w:eastAsia="宋体" w:cs="Times New Roman"/>
                <w:b/>
                <w:sz w:val="20"/>
                <w:szCs w:val="20"/>
              </w:rPr>
              <w:t xml:space="preserve">OPS/N </w:t>
            </w:r>
          </w:p>
          <w:p w14:paraId="429C279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sz w:val="20"/>
              </w:rPr>
            </w:pPr>
            <w:r>
              <w:rPr>
                <w:rFonts w:hint="default" w:ascii="Times New Roman" w:hAnsi="Times New Roman" w:eastAsia="宋体" w:cs="Times New Roman"/>
                <w:b/>
                <w:sz w:val="20"/>
                <w:szCs w:val="20"/>
              </w:rPr>
              <w:t>(n=89)</w:t>
            </w:r>
          </w:p>
        </w:tc>
        <w:tc>
          <w:tcPr>
            <w:tcW w:w="998" w:type="dxa"/>
            <w:tcBorders>
              <w:top w:val="single" w:color="auto" w:sz="12" w:space="0"/>
              <w:left w:val="nil"/>
              <w:bottom w:val="single" w:color="auto" w:sz="4" w:space="0"/>
              <w:right w:val="nil"/>
            </w:tcBorders>
            <w:vAlign w:val="center"/>
          </w:tcPr>
          <w:p w14:paraId="63AAA49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sz w:val="20"/>
                <w:szCs w:val="20"/>
              </w:rPr>
            </w:pPr>
            <w:r>
              <w:rPr>
                <w:rFonts w:hint="default" w:ascii="Times New Roman" w:hAnsi="Times New Roman" w:eastAsia="宋体" w:cs="Times New Roman"/>
                <w:b/>
                <w:sz w:val="20"/>
                <w:szCs w:val="20"/>
              </w:rPr>
              <w:t xml:space="preserve">OPS/Y </w:t>
            </w:r>
          </w:p>
          <w:p w14:paraId="6AAEB98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sz w:val="20"/>
              </w:rPr>
            </w:pPr>
            <w:r>
              <w:rPr>
                <w:rFonts w:hint="default" w:ascii="Times New Roman" w:hAnsi="Times New Roman" w:eastAsia="宋体" w:cs="Times New Roman"/>
                <w:b/>
                <w:sz w:val="20"/>
                <w:szCs w:val="20"/>
              </w:rPr>
              <w:t>(n=48)</w:t>
            </w:r>
          </w:p>
        </w:tc>
      </w:tr>
      <w:tr w14:paraId="47404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9" w:type="dxa"/>
            <w:tcBorders>
              <w:top w:val="single" w:color="auto" w:sz="4" w:space="0"/>
              <w:left w:val="nil"/>
              <w:bottom w:val="nil"/>
              <w:right w:val="nil"/>
            </w:tcBorders>
            <w:vAlign w:val="center"/>
          </w:tcPr>
          <w:p w14:paraId="2A6E12E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Site</w:t>
            </w:r>
          </w:p>
        </w:tc>
        <w:tc>
          <w:tcPr>
            <w:tcW w:w="1649" w:type="dxa"/>
            <w:tcBorders>
              <w:top w:val="single" w:color="auto" w:sz="4" w:space="0"/>
              <w:left w:val="nil"/>
              <w:bottom w:val="nil"/>
              <w:right w:val="nil"/>
            </w:tcBorders>
            <w:vAlign w:val="center"/>
          </w:tcPr>
          <w:p w14:paraId="727A90F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Spine</w:t>
            </w:r>
          </w:p>
        </w:tc>
        <w:tc>
          <w:tcPr>
            <w:tcW w:w="995" w:type="dxa"/>
            <w:tcBorders>
              <w:top w:val="single" w:color="auto" w:sz="4" w:space="0"/>
              <w:left w:val="nil"/>
              <w:bottom w:val="nil"/>
              <w:right w:val="nil"/>
            </w:tcBorders>
            <w:vAlign w:val="center"/>
          </w:tcPr>
          <w:p w14:paraId="523C78D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2/40 (5.0%)</w:t>
            </w:r>
          </w:p>
        </w:tc>
        <w:tc>
          <w:tcPr>
            <w:tcW w:w="997" w:type="dxa"/>
            <w:tcBorders>
              <w:top w:val="single" w:color="auto" w:sz="4" w:space="0"/>
              <w:left w:val="nil"/>
              <w:bottom w:val="nil"/>
              <w:right w:val="nil"/>
            </w:tcBorders>
            <w:vAlign w:val="center"/>
          </w:tcPr>
          <w:p w14:paraId="381F160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0/16 (0.0%)</w:t>
            </w:r>
          </w:p>
        </w:tc>
        <w:tc>
          <w:tcPr>
            <w:tcW w:w="1097" w:type="dxa"/>
            <w:tcBorders>
              <w:top w:val="single" w:color="auto" w:sz="4" w:space="0"/>
              <w:left w:val="nil"/>
              <w:bottom w:val="nil"/>
              <w:right w:val="nil"/>
            </w:tcBorders>
            <w:vAlign w:val="center"/>
          </w:tcPr>
          <w:p w14:paraId="6275C6E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8/104 (7.7%)</w:t>
            </w:r>
          </w:p>
        </w:tc>
        <w:tc>
          <w:tcPr>
            <w:tcW w:w="1007" w:type="dxa"/>
            <w:tcBorders>
              <w:top w:val="single" w:color="auto" w:sz="4" w:space="0"/>
              <w:left w:val="nil"/>
              <w:bottom w:val="nil"/>
              <w:right w:val="nil"/>
            </w:tcBorders>
            <w:vAlign w:val="center"/>
          </w:tcPr>
          <w:p w14:paraId="536E3C1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6/30 (20.0%)</w:t>
            </w:r>
          </w:p>
        </w:tc>
        <w:tc>
          <w:tcPr>
            <w:tcW w:w="1002" w:type="dxa"/>
            <w:tcBorders>
              <w:top w:val="single" w:color="auto" w:sz="4" w:space="0"/>
              <w:left w:val="nil"/>
              <w:bottom w:val="nil"/>
              <w:right w:val="nil"/>
            </w:tcBorders>
            <w:vAlign w:val="center"/>
          </w:tcPr>
          <w:p w14:paraId="41ACC59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8/89 (9.0%)</w:t>
            </w:r>
          </w:p>
        </w:tc>
        <w:tc>
          <w:tcPr>
            <w:tcW w:w="998" w:type="dxa"/>
            <w:tcBorders>
              <w:top w:val="single" w:color="auto" w:sz="4" w:space="0"/>
              <w:left w:val="nil"/>
              <w:bottom w:val="nil"/>
              <w:right w:val="nil"/>
            </w:tcBorders>
            <w:vAlign w:val="center"/>
          </w:tcPr>
          <w:p w14:paraId="4B01375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8/48 (16.7%)</w:t>
            </w:r>
          </w:p>
        </w:tc>
      </w:tr>
      <w:tr w14:paraId="20328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9" w:type="dxa"/>
            <w:tcBorders>
              <w:top w:val="nil"/>
              <w:left w:val="nil"/>
              <w:bottom w:val="nil"/>
              <w:right w:val="nil"/>
            </w:tcBorders>
            <w:vAlign w:val="center"/>
          </w:tcPr>
          <w:p w14:paraId="7644F70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Site</w:t>
            </w:r>
          </w:p>
        </w:tc>
        <w:tc>
          <w:tcPr>
            <w:tcW w:w="1649" w:type="dxa"/>
            <w:tcBorders>
              <w:top w:val="nil"/>
              <w:left w:val="nil"/>
              <w:bottom w:val="nil"/>
              <w:right w:val="nil"/>
            </w:tcBorders>
            <w:vAlign w:val="center"/>
          </w:tcPr>
          <w:p w14:paraId="3094EE3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Hip</w:t>
            </w:r>
          </w:p>
        </w:tc>
        <w:tc>
          <w:tcPr>
            <w:tcW w:w="995" w:type="dxa"/>
            <w:tcBorders>
              <w:top w:val="nil"/>
              <w:left w:val="nil"/>
              <w:bottom w:val="nil"/>
              <w:right w:val="nil"/>
            </w:tcBorders>
            <w:vAlign w:val="center"/>
          </w:tcPr>
          <w:p w14:paraId="786C97C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0/40 (0.0%)</w:t>
            </w:r>
          </w:p>
        </w:tc>
        <w:tc>
          <w:tcPr>
            <w:tcW w:w="997" w:type="dxa"/>
            <w:tcBorders>
              <w:top w:val="nil"/>
              <w:left w:val="nil"/>
              <w:bottom w:val="nil"/>
              <w:right w:val="nil"/>
            </w:tcBorders>
            <w:vAlign w:val="center"/>
          </w:tcPr>
          <w:p w14:paraId="4FE5758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0/16 (0.0%)</w:t>
            </w:r>
          </w:p>
        </w:tc>
        <w:tc>
          <w:tcPr>
            <w:tcW w:w="1097" w:type="dxa"/>
            <w:tcBorders>
              <w:top w:val="nil"/>
              <w:left w:val="nil"/>
              <w:bottom w:val="nil"/>
              <w:right w:val="nil"/>
            </w:tcBorders>
            <w:vAlign w:val="center"/>
          </w:tcPr>
          <w:p w14:paraId="6C66CB9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4/104 (3.8%)</w:t>
            </w:r>
          </w:p>
        </w:tc>
        <w:tc>
          <w:tcPr>
            <w:tcW w:w="1007" w:type="dxa"/>
            <w:tcBorders>
              <w:top w:val="nil"/>
              <w:left w:val="nil"/>
              <w:bottom w:val="nil"/>
              <w:right w:val="nil"/>
            </w:tcBorders>
            <w:vAlign w:val="center"/>
          </w:tcPr>
          <w:p w14:paraId="3D7EAC5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2/30 (6.7%)</w:t>
            </w:r>
          </w:p>
        </w:tc>
        <w:tc>
          <w:tcPr>
            <w:tcW w:w="1002" w:type="dxa"/>
            <w:tcBorders>
              <w:top w:val="nil"/>
              <w:left w:val="nil"/>
              <w:bottom w:val="nil"/>
              <w:right w:val="nil"/>
            </w:tcBorders>
            <w:vAlign w:val="center"/>
          </w:tcPr>
          <w:p w14:paraId="76D562C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3/89 (3.4%)</w:t>
            </w:r>
          </w:p>
        </w:tc>
        <w:tc>
          <w:tcPr>
            <w:tcW w:w="998" w:type="dxa"/>
            <w:tcBorders>
              <w:top w:val="nil"/>
              <w:left w:val="nil"/>
              <w:bottom w:val="nil"/>
              <w:right w:val="nil"/>
            </w:tcBorders>
            <w:vAlign w:val="center"/>
          </w:tcPr>
          <w:p w14:paraId="590AB13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4/48 (8.3%)</w:t>
            </w:r>
          </w:p>
        </w:tc>
      </w:tr>
      <w:tr w14:paraId="24A4C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9" w:type="dxa"/>
            <w:tcBorders>
              <w:top w:val="nil"/>
              <w:left w:val="nil"/>
              <w:bottom w:val="nil"/>
              <w:right w:val="nil"/>
            </w:tcBorders>
            <w:vAlign w:val="center"/>
          </w:tcPr>
          <w:p w14:paraId="57C17C6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Site</w:t>
            </w:r>
          </w:p>
        </w:tc>
        <w:tc>
          <w:tcPr>
            <w:tcW w:w="1649" w:type="dxa"/>
            <w:tcBorders>
              <w:top w:val="nil"/>
              <w:left w:val="nil"/>
              <w:bottom w:val="nil"/>
              <w:right w:val="nil"/>
            </w:tcBorders>
            <w:vAlign w:val="center"/>
          </w:tcPr>
          <w:p w14:paraId="28459C1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Clavicle</w:t>
            </w:r>
          </w:p>
        </w:tc>
        <w:tc>
          <w:tcPr>
            <w:tcW w:w="995" w:type="dxa"/>
            <w:tcBorders>
              <w:top w:val="nil"/>
              <w:left w:val="nil"/>
              <w:bottom w:val="nil"/>
              <w:right w:val="nil"/>
            </w:tcBorders>
            <w:vAlign w:val="center"/>
          </w:tcPr>
          <w:p w14:paraId="542784F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1/40 (2.5%)</w:t>
            </w:r>
          </w:p>
        </w:tc>
        <w:tc>
          <w:tcPr>
            <w:tcW w:w="997" w:type="dxa"/>
            <w:tcBorders>
              <w:top w:val="nil"/>
              <w:left w:val="nil"/>
              <w:bottom w:val="nil"/>
              <w:right w:val="nil"/>
            </w:tcBorders>
            <w:vAlign w:val="center"/>
          </w:tcPr>
          <w:p w14:paraId="33F845B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1/16 (6.2%)</w:t>
            </w:r>
          </w:p>
        </w:tc>
        <w:tc>
          <w:tcPr>
            <w:tcW w:w="1097" w:type="dxa"/>
            <w:tcBorders>
              <w:top w:val="nil"/>
              <w:left w:val="nil"/>
              <w:bottom w:val="nil"/>
              <w:right w:val="nil"/>
            </w:tcBorders>
            <w:vAlign w:val="center"/>
          </w:tcPr>
          <w:p w14:paraId="329CF42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7/104 (6.7%)</w:t>
            </w:r>
          </w:p>
        </w:tc>
        <w:tc>
          <w:tcPr>
            <w:tcW w:w="1007" w:type="dxa"/>
            <w:tcBorders>
              <w:top w:val="nil"/>
              <w:left w:val="nil"/>
              <w:bottom w:val="nil"/>
              <w:right w:val="nil"/>
            </w:tcBorders>
            <w:vAlign w:val="center"/>
          </w:tcPr>
          <w:p w14:paraId="2526E64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1/30 (3.3%)</w:t>
            </w:r>
          </w:p>
        </w:tc>
        <w:tc>
          <w:tcPr>
            <w:tcW w:w="1002" w:type="dxa"/>
            <w:tcBorders>
              <w:top w:val="nil"/>
              <w:left w:val="nil"/>
              <w:bottom w:val="nil"/>
              <w:right w:val="nil"/>
            </w:tcBorders>
            <w:vAlign w:val="center"/>
          </w:tcPr>
          <w:p w14:paraId="194F57E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2/89 (2.2%)</w:t>
            </w:r>
          </w:p>
        </w:tc>
        <w:tc>
          <w:tcPr>
            <w:tcW w:w="998" w:type="dxa"/>
            <w:tcBorders>
              <w:top w:val="nil"/>
              <w:left w:val="nil"/>
              <w:bottom w:val="nil"/>
              <w:right w:val="nil"/>
            </w:tcBorders>
            <w:vAlign w:val="center"/>
          </w:tcPr>
          <w:p w14:paraId="114FC59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1/48 (2.1%)</w:t>
            </w:r>
          </w:p>
        </w:tc>
      </w:tr>
      <w:tr w14:paraId="60D78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9" w:type="dxa"/>
            <w:tcBorders>
              <w:top w:val="nil"/>
              <w:left w:val="nil"/>
              <w:bottom w:val="nil"/>
              <w:right w:val="nil"/>
            </w:tcBorders>
            <w:vAlign w:val="center"/>
          </w:tcPr>
          <w:p w14:paraId="3C3C7C3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Site</w:t>
            </w:r>
          </w:p>
        </w:tc>
        <w:tc>
          <w:tcPr>
            <w:tcW w:w="1649" w:type="dxa"/>
            <w:tcBorders>
              <w:top w:val="nil"/>
              <w:left w:val="nil"/>
              <w:bottom w:val="nil"/>
              <w:right w:val="nil"/>
            </w:tcBorders>
            <w:vAlign w:val="center"/>
          </w:tcPr>
          <w:p w14:paraId="701CA11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Rib</w:t>
            </w:r>
          </w:p>
        </w:tc>
        <w:tc>
          <w:tcPr>
            <w:tcW w:w="995" w:type="dxa"/>
            <w:tcBorders>
              <w:top w:val="nil"/>
              <w:left w:val="nil"/>
              <w:bottom w:val="nil"/>
              <w:right w:val="nil"/>
            </w:tcBorders>
            <w:vAlign w:val="center"/>
          </w:tcPr>
          <w:p w14:paraId="520C411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2/40 (5.0%)</w:t>
            </w:r>
          </w:p>
        </w:tc>
        <w:tc>
          <w:tcPr>
            <w:tcW w:w="997" w:type="dxa"/>
            <w:tcBorders>
              <w:top w:val="nil"/>
              <w:left w:val="nil"/>
              <w:bottom w:val="nil"/>
              <w:right w:val="nil"/>
            </w:tcBorders>
            <w:vAlign w:val="center"/>
          </w:tcPr>
          <w:p w14:paraId="381535B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0/16 (0.0%)</w:t>
            </w:r>
          </w:p>
        </w:tc>
        <w:tc>
          <w:tcPr>
            <w:tcW w:w="1097" w:type="dxa"/>
            <w:tcBorders>
              <w:top w:val="nil"/>
              <w:left w:val="nil"/>
              <w:bottom w:val="nil"/>
              <w:right w:val="nil"/>
            </w:tcBorders>
            <w:vAlign w:val="center"/>
          </w:tcPr>
          <w:p w14:paraId="07FCFDE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8/104 (7.7%)</w:t>
            </w:r>
          </w:p>
        </w:tc>
        <w:tc>
          <w:tcPr>
            <w:tcW w:w="1007" w:type="dxa"/>
            <w:tcBorders>
              <w:top w:val="nil"/>
              <w:left w:val="nil"/>
              <w:bottom w:val="nil"/>
              <w:right w:val="nil"/>
            </w:tcBorders>
            <w:vAlign w:val="center"/>
          </w:tcPr>
          <w:p w14:paraId="706E0AF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2/30 (6.7%)</w:t>
            </w:r>
          </w:p>
        </w:tc>
        <w:tc>
          <w:tcPr>
            <w:tcW w:w="1002" w:type="dxa"/>
            <w:tcBorders>
              <w:top w:val="nil"/>
              <w:left w:val="nil"/>
              <w:bottom w:val="nil"/>
              <w:right w:val="nil"/>
            </w:tcBorders>
            <w:vAlign w:val="center"/>
          </w:tcPr>
          <w:p w14:paraId="2DA71D5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4/89 (4.5%)</w:t>
            </w:r>
          </w:p>
        </w:tc>
        <w:tc>
          <w:tcPr>
            <w:tcW w:w="998" w:type="dxa"/>
            <w:tcBorders>
              <w:top w:val="nil"/>
              <w:left w:val="nil"/>
              <w:bottom w:val="nil"/>
              <w:right w:val="nil"/>
            </w:tcBorders>
            <w:vAlign w:val="center"/>
          </w:tcPr>
          <w:p w14:paraId="0E0E3EC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8/48 (16.7%)</w:t>
            </w:r>
          </w:p>
        </w:tc>
      </w:tr>
      <w:tr w14:paraId="40540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9" w:type="dxa"/>
            <w:tcBorders>
              <w:top w:val="nil"/>
              <w:left w:val="nil"/>
              <w:bottom w:val="nil"/>
              <w:right w:val="nil"/>
            </w:tcBorders>
            <w:vAlign w:val="center"/>
          </w:tcPr>
          <w:p w14:paraId="5319D89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Site</w:t>
            </w:r>
          </w:p>
        </w:tc>
        <w:tc>
          <w:tcPr>
            <w:tcW w:w="1649" w:type="dxa"/>
            <w:tcBorders>
              <w:top w:val="nil"/>
              <w:left w:val="nil"/>
              <w:bottom w:val="nil"/>
              <w:right w:val="nil"/>
            </w:tcBorders>
            <w:vAlign w:val="center"/>
          </w:tcPr>
          <w:p w14:paraId="006D870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Limb (specified)</w:t>
            </w:r>
          </w:p>
        </w:tc>
        <w:tc>
          <w:tcPr>
            <w:tcW w:w="995" w:type="dxa"/>
            <w:tcBorders>
              <w:top w:val="nil"/>
              <w:left w:val="nil"/>
              <w:bottom w:val="nil"/>
              <w:right w:val="nil"/>
            </w:tcBorders>
            <w:vAlign w:val="center"/>
          </w:tcPr>
          <w:p w14:paraId="0BE1B8B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33/40 (82.5%)</w:t>
            </w:r>
          </w:p>
        </w:tc>
        <w:tc>
          <w:tcPr>
            <w:tcW w:w="997" w:type="dxa"/>
            <w:tcBorders>
              <w:top w:val="nil"/>
              <w:left w:val="nil"/>
              <w:bottom w:val="nil"/>
              <w:right w:val="nil"/>
            </w:tcBorders>
            <w:vAlign w:val="center"/>
          </w:tcPr>
          <w:p w14:paraId="350AABA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13/16 (81.2%)</w:t>
            </w:r>
          </w:p>
        </w:tc>
        <w:tc>
          <w:tcPr>
            <w:tcW w:w="1097" w:type="dxa"/>
            <w:tcBorders>
              <w:top w:val="nil"/>
              <w:left w:val="nil"/>
              <w:bottom w:val="nil"/>
              <w:right w:val="nil"/>
            </w:tcBorders>
            <w:vAlign w:val="center"/>
          </w:tcPr>
          <w:p w14:paraId="6FE4091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69/104 (66.3%)</w:t>
            </w:r>
          </w:p>
        </w:tc>
        <w:tc>
          <w:tcPr>
            <w:tcW w:w="1007" w:type="dxa"/>
            <w:tcBorders>
              <w:top w:val="nil"/>
              <w:left w:val="nil"/>
              <w:bottom w:val="nil"/>
              <w:right w:val="nil"/>
            </w:tcBorders>
            <w:vAlign w:val="center"/>
          </w:tcPr>
          <w:p w14:paraId="66E4F54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18/30 (60.0%)</w:t>
            </w:r>
          </w:p>
        </w:tc>
        <w:tc>
          <w:tcPr>
            <w:tcW w:w="1002" w:type="dxa"/>
            <w:tcBorders>
              <w:top w:val="nil"/>
              <w:left w:val="nil"/>
              <w:bottom w:val="nil"/>
              <w:right w:val="nil"/>
            </w:tcBorders>
            <w:vAlign w:val="center"/>
          </w:tcPr>
          <w:p w14:paraId="33B38D7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58/89 (65.2%)</w:t>
            </w:r>
          </w:p>
        </w:tc>
        <w:tc>
          <w:tcPr>
            <w:tcW w:w="998" w:type="dxa"/>
            <w:tcBorders>
              <w:top w:val="nil"/>
              <w:left w:val="nil"/>
              <w:bottom w:val="nil"/>
              <w:right w:val="nil"/>
            </w:tcBorders>
            <w:vAlign w:val="center"/>
          </w:tcPr>
          <w:p w14:paraId="2ABB208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24/48 (50.0%)</w:t>
            </w:r>
          </w:p>
        </w:tc>
      </w:tr>
      <w:tr w14:paraId="22D61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9" w:type="dxa"/>
            <w:tcBorders>
              <w:top w:val="nil"/>
              <w:left w:val="nil"/>
              <w:bottom w:val="nil"/>
              <w:right w:val="nil"/>
            </w:tcBorders>
            <w:vAlign w:val="center"/>
          </w:tcPr>
          <w:p w14:paraId="2925111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Site</w:t>
            </w:r>
          </w:p>
        </w:tc>
        <w:tc>
          <w:tcPr>
            <w:tcW w:w="1649" w:type="dxa"/>
            <w:tcBorders>
              <w:top w:val="nil"/>
              <w:left w:val="nil"/>
              <w:bottom w:val="nil"/>
              <w:right w:val="nil"/>
            </w:tcBorders>
            <w:vAlign w:val="center"/>
          </w:tcPr>
          <w:p w14:paraId="011A3E1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Other/unspecified</w:t>
            </w:r>
          </w:p>
        </w:tc>
        <w:tc>
          <w:tcPr>
            <w:tcW w:w="995" w:type="dxa"/>
            <w:tcBorders>
              <w:top w:val="nil"/>
              <w:left w:val="nil"/>
              <w:bottom w:val="nil"/>
              <w:right w:val="nil"/>
            </w:tcBorders>
            <w:vAlign w:val="center"/>
          </w:tcPr>
          <w:p w14:paraId="1AA5DB4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2/40 (5.0%)</w:t>
            </w:r>
          </w:p>
        </w:tc>
        <w:tc>
          <w:tcPr>
            <w:tcW w:w="997" w:type="dxa"/>
            <w:tcBorders>
              <w:top w:val="nil"/>
              <w:left w:val="nil"/>
              <w:bottom w:val="nil"/>
              <w:right w:val="nil"/>
            </w:tcBorders>
            <w:vAlign w:val="center"/>
          </w:tcPr>
          <w:p w14:paraId="4230D94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2/16 (12.5%)</w:t>
            </w:r>
          </w:p>
        </w:tc>
        <w:tc>
          <w:tcPr>
            <w:tcW w:w="1097" w:type="dxa"/>
            <w:tcBorders>
              <w:top w:val="nil"/>
              <w:left w:val="nil"/>
              <w:bottom w:val="nil"/>
              <w:right w:val="nil"/>
            </w:tcBorders>
            <w:vAlign w:val="center"/>
          </w:tcPr>
          <w:p w14:paraId="07424CC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8/104 (7.7%)</w:t>
            </w:r>
          </w:p>
        </w:tc>
        <w:tc>
          <w:tcPr>
            <w:tcW w:w="1007" w:type="dxa"/>
            <w:tcBorders>
              <w:top w:val="nil"/>
              <w:left w:val="nil"/>
              <w:bottom w:val="nil"/>
              <w:right w:val="nil"/>
            </w:tcBorders>
            <w:vAlign w:val="center"/>
          </w:tcPr>
          <w:p w14:paraId="7065DBB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1/30 (3.3%)</w:t>
            </w:r>
          </w:p>
        </w:tc>
        <w:tc>
          <w:tcPr>
            <w:tcW w:w="1002" w:type="dxa"/>
            <w:tcBorders>
              <w:top w:val="nil"/>
              <w:left w:val="nil"/>
              <w:bottom w:val="nil"/>
              <w:right w:val="nil"/>
            </w:tcBorders>
            <w:vAlign w:val="center"/>
          </w:tcPr>
          <w:p w14:paraId="3A10BE0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14/89 (15.7%)</w:t>
            </w:r>
          </w:p>
        </w:tc>
        <w:tc>
          <w:tcPr>
            <w:tcW w:w="998" w:type="dxa"/>
            <w:tcBorders>
              <w:top w:val="nil"/>
              <w:left w:val="nil"/>
              <w:bottom w:val="nil"/>
              <w:right w:val="nil"/>
            </w:tcBorders>
            <w:vAlign w:val="center"/>
          </w:tcPr>
          <w:p w14:paraId="0685465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3/48 (6.2%)</w:t>
            </w:r>
          </w:p>
        </w:tc>
      </w:tr>
      <w:tr w14:paraId="60FA4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9" w:type="dxa"/>
            <w:tcBorders>
              <w:top w:val="nil"/>
              <w:left w:val="nil"/>
              <w:bottom w:val="nil"/>
              <w:right w:val="nil"/>
            </w:tcBorders>
            <w:vAlign w:val="center"/>
          </w:tcPr>
          <w:p w14:paraId="5CD7868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Trigger</w:t>
            </w:r>
          </w:p>
        </w:tc>
        <w:tc>
          <w:tcPr>
            <w:tcW w:w="1649" w:type="dxa"/>
            <w:tcBorders>
              <w:top w:val="nil"/>
              <w:left w:val="nil"/>
              <w:bottom w:val="nil"/>
              <w:right w:val="nil"/>
            </w:tcBorders>
            <w:vAlign w:val="center"/>
          </w:tcPr>
          <w:p w14:paraId="06E35D0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Traffic accident</w:t>
            </w:r>
          </w:p>
        </w:tc>
        <w:tc>
          <w:tcPr>
            <w:tcW w:w="995" w:type="dxa"/>
            <w:tcBorders>
              <w:top w:val="nil"/>
              <w:left w:val="nil"/>
              <w:bottom w:val="nil"/>
              <w:right w:val="nil"/>
            </w:tcBorders>
            <w:vAlign w:val="center"/>
          </w:tcPr>
          <w:p w14:paraId="01DD0B0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5/40 (12.5%)</w:t>
            </w:r>
          </w:p>
        </w:tc>
        <w:tc>
          <w:tcPr>
            <w:tcW w:w="997" w:type="dxa"/>
            <w:tcBorders>
              <w:top w:val="nil"/>
              <w:left w:val="nil"/>
              <w:bottom w:val="nil"/>
              <w:right w:val="nil"/>
            </w:tcBorders>
            <w:vAlign w:val="center"/>
          </w:tcPr>
          <w:p w14:paraId="0F6ECF0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4/16 (25.0%)</w:t>
            </w:r>
          </w:p>
        </w:tc>
        <w:tc>
          <w:tcPr>
            <w:tcW w:w="1097" w:type="dxa"/>
            <w:tcBorders>
              <w:top w:val="nil"/>
              <w:left w:val="nil"/>
              <w:bottom w:val="nil"/>
              <w:right w:val="nil"/>
            </w:tcBorders>
            <w:vAlign w:val="center"/>
          </w:tcPr>
          <w:p w14:paraId="3B03A00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20/104 (19.2%)</w:t>
            </w:r>
          </w:p>
        </w:tc>
        <w:tc>
          <w:tcPr>
            <w:tcW w:w="1007" w:type="dxa"/>
            <w:tcBorders>
              <w:top w:val="nil"/>
              <w:left w:val="nil"/>
              <w:bottom w:val="nil"/>
              <w:right w:val="nil"/>
            </w:tcBorders>
            <w:vAlign w:val="center"/>
          </w:tcPr>
          <w:p w14:paraId="2F5C932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3/30 (10.0%)</w:t>
            </w:r>
          </w:p>
        </w:tc>
        <w:tc>
          <w:tcPr>
            <w:tcW w:w="1002" w:type="dxa"/>
            <w:tcBorders>
              <w:top w:val="nil"/>
              <w:left w:val="nil"/>
              <w:bottom w:val="nil"/>
              <w:right w:val="nil"/>
            </w:tcBorders>
            <w:vAlign w:val="center"/>
          </w:tcPr>
          <w:p w14:paraId="709F246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13/89 (14.6%)</w:t>
            </w:r>
          </w:p>
        </w:tc>
        <w:tc>
          <w:tcPr>
            <w:tcW w:w="998" w:type="dxa"/>
            <w:tcBorders>
              <w:top w:val="nil"/>
              <w:left w:val="nil"/>
              <w:bottom w:val="nil"/>
              <w:right w:val="nil"/>
            </w:tcBorders>
            <w:vAlign w:val="center"/>
          </w:tcPr>
          <w:p w14:paraId="7C434EA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10/48 (20.8%)</w:t>
            </w:r>
          </w:p>
        </w:tc>
      </w:tr>
      <w:tr w14:paraId="4209A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9" w:type="dxa"/>
            <w:tcBorders>
              <w:top w:val="nil"/>
              <w:left w:val="nil"/>
              <w:bottom w:val="nil"/>
              <w:right w:val="nil"/>
            </w:tcBorders>
            <w:vAlign w:val="center"/>
          </w:tcPr>
          <w:p w14:paraId="289B1A0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Trigger</w:t>
            </w:r>
          </w:p>
        </w:tc>
        <w:tc>
          <w:tcPr>
            <w:tcW w:w="1649" w:type="dxa"/>
            <w:tcBorders>
              <w:top w:val="nil"/>
              <w:left w:val="nil"/>
              <w:bottom w:val="nil"/>
              <w:right w:val="nil"/>
            </w:tcBorders>
            <w:vAlign w:val="center"/>
          </w:tcPr>
          <w:p w14:paraId="1BFB8F8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Fall</w:t>
            </w:r>
          </w:p>
        </w:tc>
        <w:tc>
          <w:tcPr>
            <w:tcW w:w="995" w:type="dxa"/>
            <w:tcBorders>
              <w:top w:val="nil"/>
              <w:left w:val="nil"/>
              <w:bottom w:val="nil"/>
              <w:right w:val="nil"/>
            </w:tcBorders>
            <w:vAlign w:val="center"/>
          </w:tcPr>
          <w:p w14:paraId="67AF8F3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23/40 (57.5%)</w:t>
            </w:r>
          </w:p>
        </w:tc>
        <w:tc>
          <w:tcPr>
            <w:tcW w:w="997" w:type="dxa"/>
            <w:tcBorders>
              <w:top w:val="nil"/>
              <w:left w:val="nil"/>
              <w:bottom w:val="nil"/>
              <w:right w:val="nil"/>
            </w:tcBorders>
            <w:vAlign w:val="center"/>
          </w:tcPr>
          <w:p w14:paraId="1EA01BA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9/16 (56.2%)</w:t>
            </w:r>
          </w:p>
        </w:tc>
        <w:tc>
          <w:tcPr>
            <w:tcW w:w="1097" w:type="dxa"/>
            <w:tcBorders>
              <w:top w:val="nil"/>
              <w:left w:val="nil"/>
              <w:bottom w:val="nil"/>
              <w:right w:val="nil"/>
            </w:tcBorders>
            <w:vAlign w:val="center"/>
          </w:tcPr>
          <w:p w14:paraId="505033D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65/104 (62.5%)</w:t>
            </w:r>
          </w:p>
        </w:tc>
        <w:tc>
          <w:tcPr>
            <w:tcW w:w="1007" w:type="dxa"/>
            <w:tcBorders>
              <w:top w:val="nil"/>
              <w:left w:val="nil"/>
              <w:bottom w:val="nil"/>
              <w:right w:val="nil"/>
            </w:tcBorders>
            <w:vAlign w:val="center"/>
          </w:tcPr>
          <w:p w14:paraId="1EFBE39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19/30 (63.3%)</w:t>
            </w:r>
          </w:p>
        </w:tc>
        <w:tc>
          <w:tcPr>
            <w:tcW w:w="1002" w:type="dxa"/>
            <w:tcBorders>
              <w:top w:val="nil"/>
              <w:left w:val="nil"/>
              <w:bottom w:val="nil"/>
              <w:right w:val="nil"/>
            </w:tcBorders>
            <w:vAlign w:val="center"/>
          </w:tcPr>
          <w:p w14:paraId="2E60BFA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60/89 (67.4%)</w:t>
            </w:r>
          </w:p>
        </w:tc>
        <w:tc>
          <w:tcPr>
            <w:tcW w:w="998" w:type="dxa"/>
            <w:tcBorders>
              <w:top w:val="nil"/>
              <w:left w:val="nil"/>
              <w:bottom w:val="nil"/>
              <w:right w:val="nil"/>
            </w:tcBorders>
            <w:vAlign w:val="center"/>
          </w:tcPr>
          <w:p w14:paraId="3FA7BC7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30/48 (62.5%)</w:t>
            </w:r>
          </w:p>
        </w:tc>
      </w:tr>
      <w:tr w14:paraId="3E478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9" w:type="dxa"/>
            <w:tcBorders>
              <w:top w:val="nil"/>
              <w:left w:val="nil"/>
              <w:bottom w:val="nil"/>
              <w:right w:val="nil"/>
            </w:tcBorders>
            <w:vAlign w:val="center"/>
          </w:tcPr>
          <w:p w14:paraId="23940BA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Trigger</w:t>
            </w:r>
          </w:p>
        </w:tc>
        <w:tc>
          <w:tcPr>
            <w:tcW w:w="1649" w:type="dxa"/>
            <w:tcBorders>
              <w:top w:val="nil"/>
              <w:left w:val="nil"/>
              <w:bottom w:val="nil"/>
              <w:right w:val="nil"/>
            </w:tcBorders>
            <w:vAlign w:val="center"/>
          </w:tcPr>
          <w:p w14:paraId="25DAF1E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Other</w:t>
            </w:r>
          </w:p>
        </w:tc>
        <w:tc>
          <w:tcPr>
            <w:tcW w:w="995" w:type="dxa"/>
            <w:tcBorders>
              <w:top w:val="nil"/>
              <w:left w:val="nil"/>
              <w:bottom w:val="nil"/>
              <w:right w:val="nil"/>
            </w:tcBorders>
            <w:vAlign w:val="center"/>
          </w:tcPr>
          <w:p w14:paraId="3AB63C1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12/40 (30.0%)</w:t>
            </w:r>
          </w:p>
        </w:tc>
        <w:tc>
          <w:tcPr>
            <w:tcW w:w="997" w:type="dxa"/>
            <w:tcBorders>
              <w:top w:val="nil"/>
              <w:left w:val="nil"/>
              <w:bottom w:val="nil"/>
              <w:right w:val="nil"/>
            </w:tcBorders>
            <w:vAlign w:val="center"/>
          </w:tcPr>
          <w:p w14:paraId="7A98EC1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3/16 (18.8%)</w:t>
            </w:r>
          </w:p>
        </w:tc>
        <w:tc>
          <w:tcPr>
            <w:tcW w:w="1097" w:type="dxa"/>
            <w:tcBorders>
              <w:top w:val="nil"/>
              <w:left w:val="nil"/>
              <w:bottom w:val="nil"/>
              <w:right w:val="nil"/>
            </w:tcBorders>
            <w:vAlign w:val="center"/>
          </w:tcPr>
          <w:p w14:paraId="0BD90EB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17/104 (16.3%)</w:t>
            </w:r>
          </w:p>
        </w:tc>
        <w:tc>
          <w:tcPr>
            <w:tcW w:w="1007" w:type="dxa"/>
            <w:tcBorders>
              <w:top w:val="nil"/>
              <w:left w:val="nil"/>
              <w:bottom w:val="nil"/>
              <w:right w:val="nil"/>
            </w:tcBorders>
            <w:vAlign w:val="center"/>
          </w:tcPr>
          <w:p w14:paraId="51FEAFE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7/30 (23.3%)</w:t>
            </w:r>
          </w:p>
        </w:tc>
        <w:tc>
          <w:tcPr>
            <w:tcW w:w="1002" w:type="dxa"/>
            <w:tcBorders>
              <w:top w:val="nil"/>
              <w:left w:val="nil"/>
              <w:bottom w:val="nil"/>
              <w:right w:val="nil"/>
            </w:tcBorders>
            <w:vAlign w:val="center"/>
          </w:tcPr>
          <w:p w14:paraId="77322AD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14/89 (15.7%)</w:t>
            </w:r>
          </w:p>
        </w:tc>
        <w:tc>
          <w:tcPr>
            <w:tcW w:w="998" w:type="dxa"/>
            <w:tcBorders>
              <w:top w:val="nil"/>
              <w:left w:val="nil"/>
              <w:bottom w:val="nil"/>
              <w:right w:val="nil"/>
            </w:tcBorders>
            <w:vAlign w:val="center"/>
          </w:tcPr>
          <w:p w14:paraId="3A605ED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6/48 (12.5%)</w:t>
            </w:r>
          </w:p>
        </w:tc>
      </w:tr>
      <w:tr w14:paraId="598F4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9" w:type="dxa"/>
            <w:tcBorders>
              <w:top w:val="nil"/>
              <w:left w:val="nil"/>
              <w:bottom w:val="single" w:color="auto" w:sz="12" w:space="0"/>
              <w:right w:val="nil"/>
            </w:tcBorders>
            <w:vAlign w:val="center"/>
          </w:tcPr>
          <w:p w14:paraId="5A9F79C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Trigger</w:t>
            </w:r>
          </w:p>
        </w:tc>
        <w:tc>
          <w:tcPr>
            <w:tcW w:w="1649" w:type="dxa"/>
            <w:tcBorders>
              <w:top w:val="nil"/>
              <w:left w:val="nil"/>
              <w:bottom w:val="single" w:color="auto" w:sz="12" w:space="0"/>
              <w:right w:val="nil"/>
            </w:tcBorders>
            <w:vAlign w:val="center"/>
          </w:tcPr>
          <w:p w14:paraId="49033D4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Other/unspecified</w:t>
            </w:r>
          </w:p>
        </w:tc>
        <w:tc>
          <w:tcPr>
            <w:tcW w:w="995" w:type="dxa"/>
            <w:tcBorders>
              <w:top w:val="nil"/>
              <w:left w:val="nil"/>
              <w:bottom w:val="single" w:color="auto" w:sz="12" w:space="0"/>
              <w:right w:val="nil"/>
            </w:tcBorders>
            <w:vAlign w:val="center"/>
          </w:tcPr>
          <w:p w14:paraId="0DEB34E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0/40 (0.0%)</w:t>
            </w:r>
          </w:p>
        </w:tc>
        <w:tc>
          <w:tcPr>
            <w:tcW w:w="997" w:type="dxa"/>
            <w:tcBorders>
              <w:top w:val="nil"/>
              <w:left w:val="nil"/>
              <w:bottom w:val="single" w:color="auto" w:sz="12" w:space="0"/>
              <w:right w:val="nil"/>
            </w:tcBorders>
            <w:vAlign w:val="center"/>
          </w:tcPr>
          <w:p w14:paraId="2A27E95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0/16 (0.0%)</w:t>
            </w:r>
          </w:p>
        </w:tc>
        <w:tc>
          <w:tcPr>
            <w:tcW w:w="1097" w:type="dxa"/>
            <w:tcBorders>
              <w:top w:val="nil"/>
              <w:left w:val="nil"/>
              <w:bottom w:val="single" w:color="auto" w:sz="12" w:space="0"/>
              <w:right w:val="nil"/>
            </w:tcBorders>
            <w:vAlign w:val="center"/>
          </w:tcPr>
          <w:p w14:paraId="0A260FA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2/104 (1.9%)</w:t>
            </w:r>
          </w:p>
        </w:tc>
        <w:tc>
          <w:tcPr>
            <w:tcW w:w="1007" w:type="dxa"/>
            <w:tcBorders>
              <w:top w:val="nil"/>
              <w:left w:val="nil"/>
              <w:bottom w:val="single" w:color="auto" w:sz="12" w:space="0"/>
              <w:right w:val="nil"/>
            </w:tcBorders>
            <w:vAlign w:val="center"/>
          </w:tcPr>
          <w:p w14:paraId="02CFF9C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1/30 (3.3%)</w:t>
            </w:r>
          </w:p>
        </w:tc>
        <w:tc>
          <w:tcPr>
            <w:tcW w:w="1002" w:type="dxa"/>
            <w:tcBorders>
              <w:top w:val="nil"/>
              <w:left w:val="nil"/>
              <w:bottom w:val="single" w:color="auto" w:sz="12" w:space="0"/>
              <w:right w:val="nil"/>
            </w:tcBorders>
            <w:vAlign w:val="center"/>
          </w:tcPr>
          <w:p w14:paraId="6E869F5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2/89 (2.2%)</w:t>
            </w:r>
          </w:p>
        </w:tc>
        <w:tc>
          <w:tcPr>
            <w:tcW w:w="998" w:type="dxa"/>
            <w:tcBorders>
              <w:top w:val="nil"/>
              <w:left w:val="nil"/>
              <w:bottom w:val="single" w:color="auto" w:sz="12" w:space="0"/>
              <w:right w:val="nil"/>
            </w:tcBorders>
            <w:vAlign w:val="center"/>
          </w:tcPr>
          <w:p w14:paraId="74A21B9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0"/>
                <w:szCs w:val="20"/>
              </w:rPr>
              <w:t>2/48 (4.2%)</w:t>
            </w:r>
          </w:p>
        </w:tc>
      </w:tr>
    </w:tbl>
    <w:p w14:paraId="2CA524EC">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sz w:val="20"/>
          <w:szCs w:val="20"/>
        </w:rPr>
      </w:pPr>
      <w:r>
        <w:rPr>
          <w:rStyle w:val="8"/>
          <w:rFonts w:hint="default" w:ascii="Times New Roman" w:hAnsi="Times New Roman" w:eastAsia="宋体" w:cs="Times New Roman"/>
          <w:sz w:val="20"/>
          <w:szCs w:val="20"/>
        </w:rPr>
        <w:t>Notes:</w:t>
      </w:r>
      <w:r>
        <w:rPr>
          <w:rFonts w:hint="default" w:ascii="Times New Roman" w:hAnsi="Times New Roman" w:eastAsia="宋体" w:cs="Times New Roman"/>
          <w:sz w:val="20"/>
          <w:szCs w:val="20"/>
        </w:rPr>
        <w:t xml:space="preserve"> This table summarizes the full breakdown of fracture sites and triggers among participants with prior fracture history (total n</w:t>
      </w:r>
      <w:r>
        <w:rPr>
          <w:rFonts w:hint="eastAsia" w:ascii="Times New Roman" w:hAnsi="Times New Roman" w:eastAsia="宋体" w:cs="Times New Roman"/>
          <w:sz w:val="20"/>
          <w:szCs w:val="20"/>
          <w:lang w:val="en-US" w:eastAsia="zh-CN"/>
        </w:rPr>
        <w:t xml:space="preserve"> </w:t>
      </w:r>
      <w:r>
        <w:rPr>
          <w:rFonts w:hint="default" w:ascii="Times New Roman" w:hAnsi="Times New Roman" w:eastAsia="宋体" w:cs="Times New Roman"/>
          <w:sz w:val="20"/>
          <w:szCs w:val="20"/>
        </w:rPr>
        <w:t>=</w:t>
      </w:r>
      <w:r>
        <w:rPr>
          <w:rFonts w:hint="eastAsia" w:ascii="Times New Roman" w:hAnsi="Times New Roman" w:eastAsia="宋体" w:cs="Times New Roman"/>
          <w:sz w:val="20"/>
          <w:szCs w:val="20"/>
          <w:lang w:val="en-US" w:eastAsia="zh-CN"/>
        </w:rPr>
        <w:t xml:space="preserve"> </w:t>
      </w:r>
      <w:r>
        <w:rPr>
          <w:rFonts w:hint="default" w:ascii="Times New Roman" w:hAnsi="Times New Roman" w:eastAsia="宋体" w:cs="Times New Roman"/>
          <w:sz w:val="20"/>
          <w:szCs w:val="20"/>
        </w:rPr>
        <w:t xml:space="preserve">327). Values are shown as n/N (%), where N is the number of fracture cases within each stratum. Column abbreviations: N/N, normal bone mass and no possible sarcopenia; N/Y, normal and possible sarcopenia; OPN/N, osteopenia and no possible sarcopenia; OPN/Y, osteopenia and possible sarcopenia; OPS/N, osteoporosis and no possible sarcopenia; OPS/Y, osteoporosis and possible sarcopenia. “Other/unspecified” indicates missing or non-specific self-reported responses. Overall </w:t>
      </w:r>
      <w:r>
        <w:rPr>
          <w:rFonts w:hint="default" w:ascii="Times New Roman" w:hAnsi="Times New Roman" w:eastAsia="宋体" w:cs="Times New Roman"/>
          <w:i/>
          <w:iCs/>
          <w:sz w:val="20"/>
          <w:szCs w:val="20"/>
        </w:rPr>
        <w:t>χ</w:t>
      </w:r>
      <w:r>
        <w:rPr>
          <w:rFonts w:hint="default" w:ascii="Times New Roman" w:hAnsi="Times New Roman" w:eastAsia="宋体" w:cs="Times New Roman"/>
          <w:sz w:val="20"/>
          <w:szCs w:val="20"/>
        </w:rPr>
        <w:t xml:space="preserve">² </w:t>
      </w:r>
      <w:r>
        <w:rPr>
          <w:rFonts w:hint="default" w:ascii="Times New Roman" w:hAnsi="Times New Roman" w:eastAsia="宋体" w:cs="Times New Roman"/>
          <w:i/>
          <w:iCs/>
          <w:sz w:val="20"/>
          <w:szCs w:val="20"/>
        </w:rPr>
        <w:t>P</w:t>
      </w:r>
      <w:r>
        <w:rPr>
          <w:rFonts w:hint="default" w:ascii="Times New Roman" w:hAnsi="Times New Roman" w:eastAsia="宋体" w:cs="Times New Roman"/>
          <w:sz w:val="20"/>
          <w:szCs w:val="20"/>
        </w:rPr>
        <w:t xml:space="preserve"> across six strata: site 0.063; trigger 0.766. Within-category </w:t>
      </w:r>
      <w:r>
        <w:rPr>
          <w:rFonts w:hint="default" w:ascii="Times New Roman" w:hAnsi="Times New Roman" w:eastAsia="宋体" w:cs="Times New Roman"/>
          <w:i/>
          <w:iCs/>
          <w:sz w:val="20"/>
          <w:szCs w:val="20"/>
        </w:rPr>
        <w:t>χ</w:t>
      </w:r>
      <w:r>
        <w:rPr>
          <w:rFonts w:hint="default" w:ascii="Times New Roman" w:hAnsi="Times New Roman" w:eastAsia="宋体" w:cs="Times New Roman"/>
          <w:sz w:val="20"/>
          <w:szCs w:val="20"/>
        </w:rPr>
        <w:t xml:space="preserve">² </w:t>
      </w:r>
      <w:r>
        <w:rPr>
          <w:rFonts w:hint="default" w:ascii="Times New Roman" w:hAnsi="Times New Roman" w:eastAsia="宋体" w:cs="Times New Roman"/>
          <w:i/>
          <w:iCs/>
          <w:sz w:val="20"/>
          <w:szCs w:val="20"/>
        </w:rPr>
        <w:t>P</w:t>
      </w:r>
      <w:r>
        <w:rPr>
          <w:rFonts w:hint="default" w:ascii="Times New Roman" w:hAnsi="Times New Roman" w:eastAsia="宋体" w:cs="Times New Roman"/>
          <w:sz w:val="20"/>
          <w:szCs w:val="20"/>
        </w:rPr>
        <w:t xml:space="preserve"> (Yes vs No): Normal 0.566/0.437; Osteopenia 0.407/0.572; Osteoporosis 0.037/0.694 (site/trigger).</w:t>
      </w:r>
    </w:p>
    <w:p w14:paraId="28F9C23C">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Times New Roman" w:hAnsi="Times New Roman" w:cs="Times New Roman" w:eastAsiaTheme="minorEastAsia"/>
          <w:sz w:val="20"/>
          <w:szCs w:val="20"/>
          <w:lang w:eastAsia="zh-CN"/>
        </w:rPr>
      </w:pPr>
      <w:r>
        <w:rPr>
          <w:rFonts w:hint="default" w:ascii="Times New Roman" w:hAnsi="Times New Roman" w:cs="Times New Roman"/>
          <w:b/>
          <w:bCs/>
          <w:sz w:val="20"/>
          <w:szCs w:val="20"/>
        </w:rPr>
        <w:t>Abbreviations</w:t>
      </w:r>
      <w:r>
        <w:rPr>
          <w:rFonts w:hint="eastAsia" w:ascii="Times New Roman" w:hAnsi="Times New Roman" w:cs="Times New Roman"/>
          <w:b/>
          <w:bCs/>
          <w:sz w:val="20"/>
          <w:szCs w:val="20"/>
          <w:lang w:val="en-US" w:eastAsia="zh-CN"/>
        </w:rPr>
        <w:t xml:space="preserve">: </w:t>
      </w:r>
      <w:bookmarkStart w:id="0" w:name="_GoBack"/>
      <w:bookmarkEnd w:id="0"/>
      <w:r>
        <w:rPr>
          <w:rFonts w:hint="default" w:ascii="Times New Roman" w:hAnsi="Times New Roman" w:cs="Times New Roman"/>
          <w:sz w:val="20"/>
          <w:szCs w:val="20"/>
        </w:rPr>
        <w:t>DXA, dual-energy X-ray absorptiometry</w:t>
      </w:r>
      <w:r>
        <w:rPr>
          <w:rFonts w:hint="eastAsia" w:ascii="Times New Roman" w:hAnsi="Times New Roman" w:cs="Times New Roman"/>
          <w:sz w:val="20"/>
          <w:szCs w:val="20"/>
          <w:lang w:val="en-US" w:eastAsia="zh-CN"/>
        </w:rPr>
        <w:t>.</w:t>
      </w:r>
    </w:p>
    <w:p w14:paraId="6F74152A">
      <w:pPr>
        <w:keepNext w:val="0"/>
        <w:keepLines w:val="0"/>
        <w:pageBreakBefore w:val="0"/>
        <w:widowControl w:val="0"/>
        <w:kinsoku/>
        <w:wordWrap/>
        <w:overflowPunct/>
        <w:topLinePunct w:val="0"/>
        <w:autoSpaceDE/>
        <w:autoSpaceDN/>
        <w:bidi w:val="0"/>
        <w:adjustRightInd/>
        <w:snapToGrid/>
        <w:spacing w:beforeAutospacing="0" w:afterAutospacing="0" w:line="480" w:lineRule="auto"/>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Supplement Table S5. Model 3–adjusted bone metabolism biomarkers across cross-classified bone mass × possible sarcopenia strata.</w:t>
      </w:r>
    </w:p>
    <w:tbl>
      <w:tblPr>
        <w:tblStyle w:val="6"/>
        <w:tblW w:w="9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1245"/>
        <w:gridCol w:w="1213"/>
        <w:gridCol w:w="1187"/>
        <w:gridCol w:w="1165"/>
        <w:gridCol w:w="924"/>
        <w:gridCol w:w="924"/>
        <w:gridCol w:w="1021"/>
        <w:gridCol w:w="791"/>
      </w:tblGrid>
      <w:tr w14:paraId="44A2D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388" w:type="dxa"/>
            <w:tcBorders>
              <w:top w:val="single" w:color="auto" w:sz="12" w:space="0"/>
              <w:left w:val="nil"/>
              <w:bottom w:val="single" w:color="auto" w:sz="4" w:space="0"/>
              <w:right w:val="nil"/>
            </w:tcBorders>
            <w:vAlign w:val="center"/>
          </w:tcPr>
          <w:p w14:paraId="29AF8C88">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b/>
                <w:sz w:val="20"/>
              </w:rPr>
            </w:pPr>
            <w:r>
              <w:rPr>
                <w:rFonts w:hint="default" w:ascii="Times New Roman" w:hAnsi="Times New Roman" w:eastAsia="宋体" w:cs="Times New Roman"/>
                <w:b/>
                <w:sz w:val="20"/>
                <w:szCs w:val="20"/>
              </w:rPr>
              <w:t>Biomarker</w:t>
            </w:r>
          </w:p>
        </w:tc>
        <w:tc>
          <w:tcPr>
            <w:tcW w:w="1245" w:type="dxa"/>
            <w:tcBorders>
              <w:top w:val="single" w:color="auto" w:sz="12" w:space="0"/>
              <w:left w:val="nil"/>
              <w:bottom w:val="single" w:color="auto" w:sz="4" w:space="0"/>
              <w:right w:val="nil"/>
            </w:tcBorders>
            <w:vAlign w:val="center"/>
          </w:tcPr>
          <w:p w14:paraId="6C5985FF">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b/>
                <w:sz w:val="20"/>
              </w:rPr>
            </w:pPr>
            <w:r>
              <w:rPr>
                <w:rFonts w:hint="default" w:ascii="Times New Roman" w:hAnsi="Times New Roman" w:eastAsia="宋体" w:cs="Times New Roman"/>
                <w:b/>
                <w:sz w:val="20"/>
                <w:szCs w:val="20"/>
              </w:rPr>
              <w:t>N/N</w:t>
            </w:r>
          </w:p>
        </w:tc>
        <w:tc>
          <w:tcPr>
            <w:tcW w:w="1213" w:type="dxa"/>
            <w:tcBorders>
              <w:top w:val="single" w:color="auto" w:sz="12" w:space="0"/>
              <w:left w:val="nil"/>
              <w:bottom w:val="single" w:color="auto" w:sz="4" w:space="0"/>
              <w:right w:val="nil"/>
            </w:tcBorders>
            <w:vAlign w:val="center"/>
          </w:tcPr>
          <w:p w14:paraId="0B38E94C">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b/>
                <w:sz w:val="20"/>
              </w:rPr>
            </w:pPr>
            <w:r>
              <w:rPr>
                <w:rFonts w:hint="default" w:ascii="Times New Roman" w:hAnsi="Times New Roman" w:eastAsia="宋体" w:cs="Times New Roman"/>
                <w:b/>
                <w:sz w:val="20"/>
                <w:szCs w:val="20"/>
              </w:rPr>
              <w:t>N/Y</w:t>
            </w:r>
          </w:p>
        </w:tc>
        <w:tc>
          <w:tcPr>
            <w:tcW w:w="1187" w:type="dxa"/>
            <w:tcBorders>
              <w:top w:val="single" w:color="auto" w:sz="12" w:space="0"/>
              <w:left w:val="nil"/>
              <w:bottom w:val="single" w:color="auto" w:sz="4" w:space="0"/>
              <w:right w:val="nil"/>
            </w:tcBorders>
            <w:vAlign w:val="center"/>
          </w:tcPr>
          <w:p w14:paraId="22B0BBA0">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b/>
                <w:sz w:val="20"/>
              </w:rPr>
            </w:pPr>
            <w:r>
              <w:rPr>
                <w:rFonts w:hint="default" w:ascii="Times New Roman" w:hAnsi="Times New Roman" w:eastAsia="宋体" w:cs="Times New Roman"/>
                <w:b/>
                <w:sz w:val="20"/>
                <w:szCs w:val="20"/>
              </w:rPr>
              <w:t>OPN/N</w:t>
            </w:r>
          </w:p>
        </w:tc>
        <w:tc>
          <w:tcPr>
            <w:tcW w:w="1165" w:type="dxa"/>
            <w:tcBorders>
              <w:top w:val="single" w:color="auto" w:sz="12" w:space="0"/>
              <w:left w:val="nil"/>
              <w:bottom w:val="single" w:color="auto" w:sz="4" w:space="0"/>
              <w:right w:val="nil"/>
            </w:tcBorders>
            <w:vAlign w:val="center"/>
          </w:tcPr>
          <w:p w14:paraId="55FC29C5">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b/>
                <w:sz w:val="20"/>
              </w:rPr>
            </w:pPr>
            <w:r>
              <w:rPr>
                <w:rFonts w:hint="default" w:ascii="Times New Roman" w:hAnsi="Times New Roman" w:eastAsia="宋体" w:cs="Times New Roman"/>
                <w:b/>
                <w:sz w:val="20"/>
                <w:szCs w:val="20"/>
              </w:rPr>
              <w:t>OPN/Y</w:t>
            </w:r>
          </w:p>
        </w:tc>
        <w:tc>
          <w:tcPr>
            <w:tcW w:w="924" w:type="dxa"/>
            <w:tcBorders>
              <w:top w:val="single" w:color="auto" w:sz="12" w:space="0"/>
              <w:left w:val="nil"/>
              <w:bottom w:val="single" w:color="auto" w:sz="4" w:space="0"/>
              <w:right w:val="nil"/>
            </w:tcBorders>
            <w:vAlign w:val="center"/>
          </w:tcPr>
          <w:p w14:paraId="35D7C994">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b/>
                <w:sz w:val="20"/>
              </w:rPr>
            </w:pPr>
            <w:r>
              <w:rPr>
                <w:rFonts w:hint="default" w:ascii="Times New Roman" w:hAnsi="Times New Roman" w:eastAsia="宋体" w:cs="Times New Roman"/>
                <w:b/>
                <w:sz w:val="20"/>
                <w:szCs w:val="20"/>
              </w:rPr>
              <w:t>OPS/N</w:t>
            </w:r>
          </w:p>
        </w:tc>
        <w:tc>
          <w:tcPr>
            <w:tcW w:w="924" w:type="dxa"/>
            <w:tcBorders>
              <w:top w:val="single" w:color="auto" w:sz="12" w:space="0"/>
              <w:left w:val="nil"/>
              <w:bottom w:val="single" w:color="auto" w:sz="4" w:space="0"/>
              <w:right w:val="nil"/>
            </w:tcBorders>
            <w:vAlign w:val="center"/>
          </w:tcPr>
          <w:p w14:paraId="545AFA7D">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b/>
                <w:sz w:val="20"/>
              </w:rPr>
            </w:pPr>
            <w:r>
              <w:rPr>
                <w:rFonts w:hint="default" w:ascii="Times New Roman" w:hAnsi="Times New Roman" w:eastAsia="宋体" w:cs="Times New Roman"/>
                <w:b/>
                <w:sz w:val="20"/>
                <w:szCs w:val="20"/>
              </w:rPr>
              <w:t>OPS/Y</w:t>
            </w:r>
          </w:p>
        </w:tc>
        <w:tc>
          <w:tcPr>
            <w:tcW w:w="1021" w:type="dxa"/>
            <w:tcBorders>
              <w:top w:val="single" w:color="auto" w:sz="12" w:space="0"/>
              <w:left w:val="nil"/>
              <w:bottom w:val="single" w:color="auto" w:sz="4" w:space="0"/>
              <w:right w:val="nil"/>
            </w:tcBorders>
            <w:vAlign w:val="center"/>
          </w:tcPr>
          <w:p w14:paraId="00D3E6BD">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b/>
                <w:sz w:val="20"/>
              </w:rPr>
            </w:pPr>
            <w:r>
              <w:rPr>
                <w:rFonts w:hint="default" w:ascii="Times New Roman" w:hAnsi="Times New Roman" w:eastAsia="宋体" w:cs="Times New Roman"/>
                <w:b/>
                <w:sz w:val="20"/>
                <w:szCs w:val="20"/>
              </w:rPr>
              <w:t>P_trend</w:t>
            </w:r>
          </w:p>
        </w:tc>
        <w:tc>
          <w:tcPr>
            <w:tcW w:w="791" w:type="dxa"/>
            <w:tcBorders>
              <w:top w:val="single" w:color="auto" w:sz="12" w:space="0"/>
              <w:left w:val="nil"/>
              <w:bottom w:val="single" w:color="auto" w:sz="4" w:space="0"/>
              <w:right w:val="nil"/>
            </w:tcBorders>
            <w:vAlign w:val="center"/>
          </w:tcPr>
          <w:p w14:paraId="7AD0E98C">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b/>
                <w:sz w:val="20"/>
              </w:rPr>
            </w:pPr>
            <w:r>
              <w:rPr>
                <w:rFonts w:hint="default" w:ascii="Times New Roman" w:hAnsi="Times New Roman" w:eastAsia="宋体" w:cs="Times New Roman"/>
                <w:b/>
                <w:sz w:val="20"/>
                <w:szCs w:val="20"/>
              </w:rPr>
              <w:t>P_int</w:t>
            </w:r>
          </w:p>
        </w:tc>
      </w:tr>
      <w:tr w14:paraId="6D327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58" w:type="dxa"/>
            <w:gridSpan w:val="9"/>
            <w:tcBorders>
              <w:top w:val="single" w:color="auto" w:sz="4" w:space="0"/>
              <w:left w:val="nil"/>
              <w:bottom w:val="nil"/>
              <w:right w:val="nil"/>
            </w:tcBorders>
            <w:vAlign w:val="center"/>
          </w:tcPr>
          <w:p w14:paraId="3DF253B8">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b/>
                <w:bCs/>
                <w:sz w:val="20"/>
              </w:rPr>
            </w:pPr>
            <w:r>
              <w:rPr>
                <w:rFonts w:hint="default" w:ascii="Times New Roman" w:hAnsi="Times New Roman" w:eastAsia="宋体" w:cs="Times New Roman"/>
                <w:b/>
                <w:bCs/>
                <w:sz w:val="20"/>
                <w:szCs w:val="20"/>
              </w:rPr>
              <w:t>Bone turnover markers</w:t>
            </w:r>
          </w:p>
        </w:tc>
      </w:tr>
      <w:tr w14:paraId="2C73A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8" w:type="dxa"/>
            <w:tcBorders>
              <w:top w:val="nil"/>
              <w:left w:val="nil"/>
              <w:bottom w:val="nil"/>
              <w:right w:val="nil"/>
            </w:tcBorders>
            <w:vAlign w:val="center"/>
          </w:tcPr>
          <w:p w14:paraId="0ACCA967">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sz w:val="20"/>
                <w:szCs w:val="20"/>
              </w:rPr>
              <w:t>β-CTx</w:t>
            </w:r>
          </w:p>
        </w:tc>
        <w:tc>
          <w:tcPr>
            <w:tcW w:w="1245" w:type="dxa"/>
            <w:tcBorders>
              <w:top w:val="nil"/>
              <w:left w:val="nil"/>
              <w:bottom w:val="nil"/>
              <w:right w:val="nil"/>
            </w:tcBorders>
            <w:vAlign w:val="center"/>
          </w:tcPr>
          <w:p w14:paraId="29E8FDB7">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0.19 (0.18–0.20)</w:t>
            </w:r>
          </w:p>
        </w:tc>
        <w:tc>
          <w:tcPr>
            <w:tcW w:w="1213" w:type="dxa"/>
            <w:tcBorders>
              <w:top w:val="nil"/>
              <w:left w:val="nil"/>
              <w:bottom w:val="nil"/>
              <w:right w:val="nil"/>
            </w:tcBorders>
            <w:vAlign w:val="center"/>
          </w:tcPr>
          <w:p w14:paraId="4948E040">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0.18 (0.17–0.20)</w:t>
            </w:r>
          </w:p>
        </w:tc>
        <w:tc>
          <w:tcPr>
            <w:tcW w:w="1187" w:type="dxa"/>
            <w:tcBorders>
              <w:top w:val="nil"/>
              <w:left w:val="nil"/>
              <w:bottom w:val="nil"/>
              <w:right w:val="nil"/>
            </w:tcBorders>
            <w:vAlign w:val="center"/>
          </w:tcPr>
          <w:p w14:paraId="00EA68AF">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0.21 (0.20–0.22)</w:t>
            </w:r>
          </w:p>
        </w:tc>
        <w:tc>
          <w:tcPr>
            <w:tcW w:w="1165" w:type="dxa"/>
            <w:tcBorders>
              <w:top w:val="nil"/>
              <w:left w:val="nil"/>
              <w:bottom w:val="nil"/>
              <w:right w:val="nil"/>
            </w:tcBorders>
            <w:vAlign w:val="center"/>
          </w:tcPr>
          <w:p w14:paraId="7915D22D">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0.22 (0.20–0.23)</w:t>
            </w:r>
          </w:p>
        </w:tc>
        <w:tc>
          <w:tcPr>
            <w:tcW w:w="924" w:type="dxa"/>
            <w:tcBorders>
              <w:top w:val="nil"/>
              <w:left w:val="nil"/>
              <w:bottom w:val="nil"/>
              <w:right w:val="nil"/>
            </w:tcBorders>
            <w:vAlign w:val="center"/>
          </w:tcPr>
          <w:p w14:paraId="6C83FA7E">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0.25 (0.24–0.26)</w:t>
            </w:r>
          </w:p>
        </w:tc>
        <w:tc>
          <w:tcPr>
            <w:tcW w:w="924" w:type="dxa"/>
            <w:tcBorders>
              <w:top w:val="nil"/>
              <w:left w:val="nil"/>
              <w:bottom w:val="nil"/>
              <w:right w:val="nil"/>
            </w:tcBorders>
            <w:vAlign w:val="center"/>
          </w:tcPr>
          <w:p w14:paraId="5223F5F5">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0.23 (0.22–0.25)</w:t>
            </w:r>
          </w:p>
        </w:tc>
        <w:tc>
          <w:tcPr>
            <w:tcW w:w="1021" w:type="dxa"/>
            <w:tcBorders>
              <w:top w:val="nil"/>
              <w:left w:val="nil"/>
              <w:bottom w:val="nil"/>
              <w:right w:val="nil"/>
            </w:tcBorders>
            <w:vAlign w:val="center"/>
          </w:tcPr>
          <w:p w14:paraId="05DA7524">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&lt;0.001</w:t>
            </w:r>
          </w:p>
        </w:tc>
        <w:tc>
          <w:tcPr>
            <w:tcW w:w="791" w:type="dxa"/>
            <w:tcBorders>
              <w:top w:val="nil"/>
              <w:left w:val="nil"/>
              <w:bottom w:val="nil"/>
              <w:right w:val="nil"/>
            </w:tcBorders>
            <w:vAlign w:val="center"/>
          </w:tcPr>
          <w:p w14:paraId="2815E95E">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0.301</w:t>
            </w:r>
          </w:p>
        </w:tc>
      </w:tr>
      <w:tr w14:paraId="46AEE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8" w:type="dxa"/>
            <w:tcBorders>
              <w:top w:val="nil"/>
              <w:left w:val="nil"/>
              <w:bottom w:val="nil"/>
              <w:right w:val="nil"/>
            </w:tcBorders>
            <w:vAlign w:val="center"/>
          </w:tcPr>
          <w:p w14:paraId="67FCDF95">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sz w:val="20"/>
                <w:szCs w:val="20"/>
              </w:rPr>
              <w:t>PINP</w:t>
            </w:r>
          </w:p>
        </w:tc>
        <w:tc>
          <w:tcPr>
            <w:tcW w:w="1245" w:type="dxa"/>
            <w:tcBorders>
              <w:top w:val="nil"/>
              <w:left w:val="nil"/>
              <w:bottom w:val="nil"/>
              <w:right w:val="nil"/>
            </w:tcBorders>
            <w:vAlign w:val="center"/>
          </w:tcPr>
          <w:p w14:paraId="4D3806E9">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39.57 (37.99–41.39)</w:t>
            </w:r>
          </w:p>
        </w:tc>
        <w:tc>
          <w:tcPr>
            <w:tcW w:w="1213" w:type="dxa"/>
            <w:tcBorders>
              <w:top w:val="nil"/>
              <w:left w:val="nil"/>
              <w:bottom w:val="nil"/>
              <w:right w:val="nil"/>
            </w:tcBorders>
            <w:vAlign w:val="center"/>
          </w:tcPr>
          <w:p w14:paraId="05C2F9C2">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39.61 (36.98–42.73)</w:t>
            </w:r>
          </w:p>
        </w:tc>
        <w:tc>
          <w:tcPr>
            <w:tcW w:w="1187" w:type="dxa"/>
            <w:tcBorders>
              <w:top w:val="nil"/>
              <w:left w:val="nil"/>
              <w:bottom w:val="nil"/>
              <w:right w:val="nil"/>
            </w:tcBorders>
            <w:vAlign w:val="center"/>
          </w:tcPr>
          <w:p w14:paraId="229D7094">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45.64 (44.33–47.17)</w:t>
            </w:r>
          </w:p>
        </w:tc>
        <w:tc>
          <w:tcPr>
            <w:tcW w:w="1165" w:type="dxa"/>
            <w:tcBorders>
              <w:top w:val="nil"/>
              <w:left w:val="nil"/>
              <w:bottom w:val="nil"/>
              <w:right w:val="nil"/>
            </w:tcBorders>
            <w:vAlign w:val="center"/>
          </w:tcPr>
          <w:p w14:paraId="4C738E0A">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47.06 (44.47–49.73)</w:t>
            </w:r>
          </w:p>
        </w:tc>
        <w:tc>
          <w:tcPr>
            <w:tcW w:w="924" w:type="dxa"/>
            <w:tcBorders>
              <w:top w:val="nil"/>
              <w:left w:val="nil"/>
              <w:bottom w:val="nil"/>
              <w:right w:val="nil"/>
            </w:tcBorders>
            <w:vAlign w:val="center"/>
          </w:tcPr>
          <w:p w14:paraId="4D02E4E8">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54.25 (52.17–56.24)</w:t>
            </w:r>
          </w:p>
        </w:tc>
        <w:tc>
          <w:tcPr>
            <w:tcW w:w="924" w:type="dxa"/>
            <w:tcBorders>
              <w:top w:val="nil"/>
              <w:left w:val="nil"/>
              <w:bottom w:val="nil"/>
              <w:right w:val="nil"/>
            </w:tcBorders>
            <w:vAlign w:val="center"/>
          </w:tcPr>
          <w:p w14:paraId="29049AE3">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53.58 (50.78–56.29)</w:t>
            </w:r>
          </w:p>
        </w:tc>
        <w:tc>
          <w:tcPr>
            <w:tcW w:w="1021" w:type="dxa"/>
            <w:tcBorders>
              <w:top w:val="nil"/>
              <w:left w:val="nil"/>
              <w:bottom w:val="nil"/>
              <w:right w:val="nil"/>
            </w:tcBorders>
            <w:vAlign w:val="center"/>
          </w:tcPr>
          <w:p w14:paraId="2113978F">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&lt;0.001</w:t>
            </w:r>
          </w:p>
        </w:tc>
        <w:tc>
          <w:tcPr>
            <w:tcW w:w="791" w:type="dxa"/>
            <w:tcBorders>
              <w:top w:val="nil"/>
              <w:left w:val="nil"/>
              <w:bottom w:val="nil"/>
              <w:right w:val="nil"/>
            </w:tcBorders>
            <w:vAlign w:val="center"/>
          </w:tcPr>
          <w:p w14:paraId="19C938AF">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0.602</w:t>
            </w:r>
          </w:p>
        </w:tc>
      </w:tr>
      <w:tr w14:paraId="6F0D9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8" w:type="dxa"/>
            <w:tcBorders>
              <w:top w:val="nil"/>
              <w:left w:val="nil"/>
              <w:bottom w:val="nil"/>
              <w:right w:val="nil"/>
            </w:tcBorders>
            <w:vAlign w:val="center"/>
          </w:tcPr>
          <w:p w14:paraId="64162887">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sz w:val="20"/>
                <w:szCs w:val="20"/>
              </w:rPr>
              <w:t>Osteocalcin</w:t>
            </w:r>
          </w:p>
        </w:tc>
        <w:tc>
          <w:tcPr>
            <w:tcW w:w="1245" w:type="dxa"/>
            <w:tcBorders>
              <w:top w:val="nil"/>
              <w:left w:val="nil"/>
              <w:bottom w:val="nil"/>
              <w:right w:val="nil"/>
            </w:tcBorders>
            <w:vAlign w:val="center"/>
          </w:tcPr>
          <w:p w14:paraId="70D00FDC">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11.61 (11.17–12.12)</w:t>
            </w:r>
          </w:p>
        </w:tc>
        <w:tc>
          <w:tcPr>
            <w:tcW w:w="1213" w:type="dxa"/>
            <w:tcBorders>
              <w:top w:val="nil"/>
              <w:left w:val="nil"/>
              <w:bottom w:val="nil"/>
              <w:right w:val="nil"/>
            </w:tcBorders>
            <w:vAlign w:val="center"/>
          </w:tcPr>
          <w:p w14:paraId="5647B086">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10.85 (10.16–11.66)</w:t>
            </w:r>
          </w:p>
        </w:tc>
        <w:tc>
          <w:tcPr>
            <w:tcW w:w="1187" w:type="dxa"/>
            <w:tcBorders>
              <w:top w:val="nil"/>
              <w:left w:val="nil"/>
              <w:bottom w:val="nil"/>
              <w:right w:val="nil"/>
            </w:tcBorders>
            <w:vAlign w:val="center"/>
          </w:tcPr>
          <w:p w14:paraId="11960814">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12.99 (12.63–13.40)</w:t>
            </w:r>
          </w:p>
        </w:tc>
        <w:tc>
          <w:tcPr>
            <w:tcW w:w="1165" w:type="dxa"/>
            <w:tcBorders>
              <w:top w:val="nil"/>
              <w:left w:val="nil"/>
              <w:bottom w:val="nil"/>
              <w:right w:val="nil"/>
            </w:tcBorders>
            <w:vAlign w:val="center"/>
          </w:tcPr>
          <w:p w14:paraId="48FE55AB">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12.98 (12.30–13.68)</w:t>
            </w:r>
          </w:p>
        </w:tc>
        <w:tc>
          <w:tcPr>
            <w:tcW w:w="924" w:type="dxa"/>
            <w:tcBorders>
              <w:top w:val="nil"/>
              <w:left w:val="nil"/>
              <w:bottom w:val="nil"/>
              <w:right w:val="nil"/>
            </w:tcBorders>
            <w:vAlign w:val="center"/>
          </w:tcPr>
          <w:p w14:paraId="11AD864E">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15.25 (14.69–15.78)</w:t>
            </w:r>
          </w:p>
        </w:tc>
        <w:tc>
          <w:tcPr>
            <w:tcW w:w="924" w:type="dxa"/>
            <w:tcBorders>
              <w:top w:val="nil"/>
              <w:left w:val="nil"/>
              <w:bottom w:val="nil"/>
              <w:right w:val="nil"/>
            </w:tcBorders>
            <w:vAlign w:val="center"/>
          </w:tcPr>
          <w:p w14:paraId="6D359AF3">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13.91 (13.22–14.58)</w:t>
            </w:r>
          </w:p>
        </w:tc>
        <w:tc>
          <w:tcPr>
            <w:tcW w:w="1021" w:type="dxa"/>
            <w:tcBorders>
              <w:top w:val="nil"/>
              <w:left w:val="nil"/>
              <w:bottom w:val="nil"/>
              <w:right w:val="nil"/>
            </w:tcBorders>
            <w:vAlign w:val="center"/>
          </w:tcPr>
          <w:p w14:paraId="45B4037D">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&lt;0.001</w:t>
            </w:r>
          </w:p>
        </w:tc>
        <w:tc>
          <w:tcPr>
            <w:tcW w:w="791" w:type="dxa"/>
            <w:tcBorders>
              <w:top w:val="nil"/>
              <w:left w:val="nil"/>
              <w:bottom w:val="nil"/>
              <w:right w:val="nil"/>
            </w:tcBorders>
            <w:vAlign w:val="center"/>
          </w:tcPr>
          <w:p w14:paraId="0896D4E8">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0.079</w:t>
            </w:r>
          </w:p>
        </w:tc>
      </w:tr>
      <w:tr w14:paraId="322E2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8" w:type="dxa"/>
            <w:tcBorders>
              <w:top w:val="nil"/>
              <w:left w:val="nil"/>
              <w:bottom w:val="nil"/>
              <w:right w:val="nil"/>
            </w:tcBorders>
            <w:vAlign w:val="center"/>
          </w:tcPr>
          <w:p w14:paraId="68983741">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sz w:val="20"/>
                <w:szCs w:val="20"/>
              </w:rPr>
              <w:t>ALP</w:t>
            </w:r>
          </w:p>
        </w:tc>
        <w:tc>
          <w:tcPr>
            <w:tcW w:w="1245" w:type="dxa"/>
            <w:tcBorders>
              <w:top w:val="nil"/>
              <w:left w:val="nil"/>
              <w:bottom w:val="nil"/>
              <w:right w:val="nil"/>
            </w:tcBorders>
            <w:vAlign w:val="center"/>
          </w:tcPr>
          <w:p w14:paraId="07A072FD">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72.61 (70.51–74.99)</w:t>
            </w:r>
          </w:p>
        </w:tc>
        <w:tc>
          <w:tcPr>
            <w:tcW w:w="1213" w:type="dxa"/>
            <w:tcBorders>
              <w:top w:val="nil"/>
              <w:left w:val="nil"/>
              <w:bottom w:val="nil"/>
              <w:right w:val="nil"/>
            </w:tcBorders>
            <w:vAlign w:val="center"/>
          </w:tcPr>
          <w:p w14:paraId="5DD72BFC">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72.31 (68.82–76.36)</w:t>
            </w:r>
          </w:p>
        </w:tc>
        <w:tc>
          <w:tcPr>
            <w:tcW w:w="1187" w:type="dxa"/>
            <w:tcBorders>
              <w:top w:val="nil"/>
              <w:left w:val="nil"/>
              <w:bottom w:val="nil"/>
              <w:right w:val="nil"/>
            </w:tcBorders>
            <w:vAlign w:val="center"/>
          </w:tcPr>
          <w:p w14:paraId="5C06B46C">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76.38 (74.73–78.23)</w:t>
            </w:r>
          </w:p>
        </w:tc>
        <w:tc>
          <w:tcPr>
            <w:tcW w:w="1165" w:type="dxa"/>
            <w:tcBorders>
              <w:top w:val="nil"/>
              <w:left w:val="nil"/>
              <w:bottom w:val="nil"/>
              <w:right w:val="nil"/>
            </w:tcBorders>
            <w:vAlign w:val="center"/>
          </w:tcPr>
          <w:p w14:paraId="06F61085">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76.78 (73.75–79.88)</w:t>
            </w:r>
          </w:p>
        </w:tc>
        <w:tc>
          <w:tcPr>
            <w:tcW w:w="924" w:type="dxa"/>
            <w:tcBorders>
              <w:top w:val="nil"/>
              <w:left w:val="nil"/>
              <w:bottom w:val="nil"/>
              <w:right w:val="nil"/>
            </w:tcBorders>
            <w:vAlign w:val="center"/>
          </w:tcPr>
          <w:p w14:paraId="4CD950F2">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82.68 (80.35–84.85)</w:t>
            </w:r>
          </w:p>
        </w:tc>
        <w:tc>
          <w:tcPr>
            <w:tcW w:w="924" w:type="dxa"/>
            <w:tcBorders>
              <w:top w:val="nil"/>
              <w:left w:val="nil"/>
              <w:bottom w:val="nil"/>
              <w:right w:val="nil"/>
            </w:tcBorders>
            <w:vAlign w:val="center"/>
          </w:tcPr>
          <w:p w14:paraId="625C5AD8">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80.27 (77.22–83.17)</w:t>
            </w:r>
          </w:p>
        </w:tc>
        <w:tc>
          <w:tcPr>
            <w:tcW w:w="1021" w:type="dxa"/>
            <w:tcBorders>
              <w:top w:val="nil"/>
              <w:left w:val="nil"/>
              <w:bottom w:val="nil"/>
              <w:right w:val="nil"/>
            </w:tcBorders>
            <w:vAlign w:val="center"/>
          </w:tcPr>
          <w:p w14:paraId="6502B50E">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&lt;0.001</w:t>
            </w:r>
          </w:p>
        </w:tc>
        <w:tc>
          <w:tcPr>
            <w:tcW w:w="791" w:type="dxa"/>
            <w:tcBorders>
              <w:top w:val="nil"/>
              <w:left w:val="nil"/>
              <w:bottom w:val="nil"/>
              <w:right w:val="nil"/>
            </w:tcBorders>
            <w:vAlign w:val="center"/>
          </w:tcPr>
          <w:p w14:paraId="17D8955E">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0.516</w:t>
            </w:r>
          </w:p>
        </w:tc>
      </w:tr>
      <w:tr w14:paraId="0F72D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58" w:type="dxa"/>
            <w:gridSpan w:val="9"/>
            <w:tcBorders>
              <w:top w:val="nil"/>
              <w:left w:val="nil"/>
              <w:bottom w:val="nil"/>
              <w:right w:val="nil"/>
            </w:tcBorders>
            <w:vAlign w:val="center"/>
          </w:tcPr>
          <w:p w14:paraId="711B1C44">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pPr>
            <w:r>
              <w:rPr>
                <w:rFonts w:hint="default" w:ascii="Times New Roman" w:hAnsi="Times New Roman" w:cs="Times New Roman"/>
                <w:b/>
                <w:bCs/>
                <w:sz w:val="20"/>
                <w:szCs w:val="20"/>
              </w:rPr>
              <w:t>Endocrine and renal markers</w:t>
            </w:r>
          </w:p>
        </w:tc>
      </w:tr>
      <w:tr w14:paraId="6E9E0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8" w:type="dxa"/>
            <w:tcBorders>
              <w:top w:val="nil"/>
              <w:left w:val="nil"/>
              <w:bottom w:val="nil"/>
              <w:right w:val="nil"/>
            </w:tcBorders>
            <w:vAlign w:val="center"/>
          </w:tcPr>
          <w:p w14:paraId="49B7D5C7">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sz w:val="20"/>
                <w:szCs w:val="20"/>
              </w:rPr>
              <w:t>PTH</w:t>
            </w:r>
          </w:p>
        </w:tc>
        <w:tc>
          <w:tcPr>
            <w:tcW w:w="1245" w:type="dxa"/>
            <w:tcBorders>
              <w:top w:val="nil"/>
              <w:left w:val="nil"/>
              <w:bottom w:val="nil"/>
              <w:right w:val="nil"/>
            </w:tcBorders>
            <w:vAlign w:val="center"/>
          </w:tcPr>
          <w:p w14:paraId="1E942590">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2.70 (2.57–2.84)</w:t>
            </w:r>
          </w:p>
        </w:tc>
        <w:tc>
          <w:tcPr>
            <w:tcW w:w="1213" w:type="dxa"/>
            <w:tcBorders>
              <w:top w:val="nil"/>
              <w:left w:val="nil"/>
              <w:bottom w:val="nil"/>
              <w:right w:val="nil"/>
            </w:tcBorders>
            <w:vAlign w:val="center"/>
          </w:tcPr>
          <w:p w14:paraId="795E303A">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2.40 (2.21–2.62)</w:t>
            </w:r>
          </w:p>
        </w:tc>
        <w:tc>
          <w:tcPr>
            <w:tcW w:w="1187" w:type="dxa"/>
            <w:tcBorders>
              <w:top w:val="nil"/>
              <w:left w:val="nil"/>
              <w:bottom w:val="nil"/>
              <w:right w:val="nil"/>
            </w:tcBorders>
            <w:vAlign w:val="center"/>
          </w:tcPr>
          <w:p w14:paraId="439F16AA">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2.64 (2.55–2.74)</w:t>
            </w:r>
          </w:p>
        </w:tc>
        <w:tc>
          <w:tcPr>
            <w:tcW w:w="1165" w:type="dxa"/>
            <w:tcBorders>
              <w:top w:val="nil"/>
              <w:left w:val="nil"/>
              <w:bottom w:val="nil"/>
              <w:right w:val="nil"/>
            </w:tcBorders>
            <w:vAlign w:val="center"/>
          </w:tcPr>
          <w:p w14:paraId="02666E8A">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2.54 (2.37–2.71)</w:t>
            </w:r>
          </w:p>
        </w:tc>
        <w:tc>
          <w:tcPr>
            <w:tcW w:w="924" w:type="dxa"/>
            <w:tcBorders>
              <w:top w:val="nil"/>
              <w:left w:val="nil"/>
              <w:bottom w:val="nil"/>
              <w:right w:val="nil"/>
            </w:tcBorders>
            <w:vAlign w:val="center"/>
          </w:tcPr>
          <w:p w14:paraId="7362851E">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2.70 (2.58–2.82)</w:t>
            </w:r>
          </w:p>
        </w:tc>
        <w:tc>
          <w:tcPr>
            <w:tcW w:w="924" w:type="dxa"/>
            <w:tcBorders>
              <w:top w:val="nil"/>
              <w:left w:val="nil"/>
              <w:bottom w:val="nil"/>
              <w:right w:val="nil"/>
            </w:tcBorders>
            <w:vAlign w:val="center"/>
          </w:tcPr>
          <w:p w14:paraId="022EEE3B">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2.56 (2.40–2.71)</w:t>
            </w:r>
          </w:p>
        </w:tc>
        <w:tc>
          <w:tcPr>
            <w:tcW w:w="1021" w:type="dxa"/>
            <w:tcBorders>
              <w:top w:val="nil"/>
              <w:left w:val="nil"/>
              <w:bottom w:val="nil"/>
              <w:right w:val="nil"/>
            </w:tcBorders>
            <w:vAlign w:val="center"/>
          </w:tcPr>
          <w:p w14:paraId="4461666A">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0.849</w:t>
            </w:r>
          </w:p>
        </w:tc>
        <w:tc>
          <w:tcPr>
            <w:tcW w:w="791" w:type="dxa"/>
            <w:tcBorders>
              <w:top w:val="nil"/>
              <w:left w:val="nil"/>
              <w:bottom w:val="nil"/>
              <w:right w:val="nil"/>
            </w:tcBorders>
            <w:vAlign w:val="center"/>
          </w:tcPr>
          <w:p w14:paraId="748882D7">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0.397</w:t>
            </w:r>
          </w:p>
        </w:tc>
      </w:tr>
      <w:tr w14:paraId="64872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8" w:type="dxa"/>
            <w:tcBorders>
              <w:top w:val="nil"/>
              <w:left w:val="nil"/>
              <w:bottom w:val="nil"/>
              <w:right w:val="nil"/>
            </w:tcBorders>
            <w:vAlign w:val="center"/>
          </w:tcPr>
          <w:p w14:paraId="57C6D1B6">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sz w:val="20"/>
                <w:szCs w:val="20"/>
              </w:rPr>
              <w:t>Creatinine</w:t>
            </w:r>
          </w:p>
        </w:tc>
        <w:tc>
          <w:tcPr>
            <w:tcW w:w="1245" w:type="dxa"/>
            <w:tcBorders>
              <w:top w:val="nil"/>
              <w:left w:val="nil"/>
              <w:bottom w:val="nil"/>
              <w:right w:val="nil"/>
            </w:tcBorders>
            <w:vAlign w:val="center"/>
          </w:tcPr>
          <w:p w14:paraId="1E2581CD">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69.87 (68.56–71.41)</w:t>
            </w:r>
          </w:p>
        </w:tc>
        <w:tc>
          <w:tcPr>
            <w:tcW w:w="1213" w:type="dxa"/>
            <w:tcBorders>
              <w:top w:val="nil"/>
              <w:left w:val="nil"/>
              <w:bottom w:val="nil"/>
              <w:right w:val="nil"/>
            </w:tcBorders>
            <w:vAlign w:val="center"/>
          </w:tcPr>
          <w:p w14:paraId="0B477985">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70.47 (68.21–72.97)</w:t>
            </w:r>
          </w:p>
        </w:tc>
        <w:tc>
          <w:tcPr>
            <w:tcW w:w="1187" w:type="dxa"/>
            <w:tcBorders>
              <w:top w:val="nil"/>
              <w:left w:val="nil"/>
              <w:bottom w:val="nil"/>
              <w:right w:val="nil"/>
            </w:tcBorders>
            <w:vAlign w:val="center"/>
          </w:tcPr>
          <w:p w14:paraId="1407EC38">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69.15 (68.09–70.25)</w:t>
            </w:r>
          </w:p>
        </w:tc>
        <w:tc>
          <w:tcPr>
            <w:tcW w:w="1165" w:type="dxa"/>
            <w:tcBorders>
              <w:top w:val="nil"/>
              <w:left w:val="nil"/>
              <w:bottom w:val="nil"/>
              <w:right w:val="nil"/>
            </w:tcBorders>
            <w:vAlign w:val="center"/>
          </w:tcPr>
          <w:p w14:paraId="5B699BA2">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68.35 (66.53–70.17)</w:t>
            </w:r>
          </w:p>
        </w:tc>
        <w:tc>
          <w:tcPr>
            <w:tcW w:w="924" w:type="dxa"/>
            <w:tcBorders>
              <w:top w:val="nil"/>
              <w:left w:val="nil"/>
              <w:bottom w:val="nil"/>
              <w:right w:val="nil"/>
            </w:tcBorders>
            <w:vAlign w:val="center"/>
          </w:tcPr>
          <w:p w14:paraId="3C0A0C6D">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66.62 (65.32–67.77)</w:t>
            </w:r>
          </w:p>
        </w:tc>
        <w:tc>
          <w:tcPr>
            <w:tcW w:w="924" w:type="dxa"/>
            <w:tcBorders>
              <w:top w:val="nil"/>
              <w:left w:val="nil"/>
              <w:bottom w:val="nil"/>
              <w:right w:val="nil"/>
            </w:tcBorders>
            <w:vAlign w:val="center"/>
          </w:tcPr>
          <w:p w14:paraId="38606A66">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66.19 (64.49–67.76)</w:t>
            </w:r>
          </w:p>
        </w:tc>
        <w:tc>
          <w:tcPr>
            <w:tcW w:w="1021" w:type="dxa"/>
            <w:tcBorders>
              <w:top w:val="nil"/>
              <w:left w:val="nil"/>
              <w:bottom w:val="nil"/>
              <w:right w:val="nil"/>
            </w:tcBorders>
            <w:vAlign w:val="center"/>
          </w:tcPr>
          <w:p w14:paraId="28141EA0">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&lt;0.001</w:t>
            </w:r>
          </w:p>
        </w:tc>
        <w:tc>
          <w:tcPr>
            <w:tcW w:w="791" w:type="dxa"/>
            <w:tcBorders>
              <w:top w:val="nil"/>
              <w:left w:val="nil"/>
              <w:bottom w:val="nil"/>
              <w:right w:val="nil"/>
            </w:tcBorders>
            <w:vAlign w:val="center"/>
          </w:tcPr>
          <w:p w14:paraId="265DCA3D">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0.695</w:t>
            </w:r>
          </w:p>
        </w:tc>
      </w:tr>
      <w:tr w14:paraId="2F1D9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58" w:type="dxa"/>
            <w:gridSpan w:val="9"/>
            <w:tcBorders>
              <w:top w:val="nil"/>
              <w:left w:val="nil"/>
              <w:bottom w:val="nil"/>
              <w:right w:val="nil"/>
            </w:tcBorders>
            <w:vAlign w:val="center"/>
          </w:tcPr>
          <w:p w14:paraId="35214B4F">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pPr>
            <w:r>
              <w:rPr>
                <w:rFonts w:hint="default" w:ascii="Times New Roman" w:hAnsi="Times New Roman" w:cs="Times New Roman"/>
                <w:b/>
                <w:bCs/>
                <w:sz w:val="20"/>
                <w:szCs w:val="20"/>
              </w:rPr>
              <w:t>Mineral markers</w:t>
            </w:r>
          </w:p>
        </w:tc>
      </w:tr>
      <w:tr w14:paraId="76F2A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8" w:type="dxa"/>
            <w:tcBorders>
              <w:top w:val="nil"/>
              <w:left w:val="nil"/>
              <w:bottom w:val="nil"/>
              <w:right w:val="nil"/>
            </w:tcBorders>
            <w:vAlign w:val="center"/>
          </w:tcPr>
          <w:p w14:paraId="33322804">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sz w:val="20"/>
                <w:szCs w:val="20"/>
              </w:rPr>
              <w:t>Calcium</w:t>
            </w:r>
          </w:p>
        </w:tc>
        <w:tc>
          <w:tcPr>
            <w:tcW w:w="1245" w:type="dxa"/>
            <w:tcBorders>
              <w:top w:val="nil"/>
              <w:left w:val="nil"/>
              <w:bottom w:val="nil"/>
              <w:right w:val="nil"/>
            </w:tcBorders>
            <w:vAlign w:val="center"/>
          </w:tcPr>
          <w:p w14:paraId="321DB985">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2.34 (2.33–2.36)</w:t>
            </w:r>
          </w:p>
        </w:tc>
        <w:tc>
          <w:tcPr>
            <w:tcW w:w="1213" w:type="dxa"/>
            <w:tcBorders>
              <w:top w:val="nil"/>
              <w:left w:val="nil"/>
              <w:bottom w:val="nil"/>
              <w:right w:val="nil"/>
            </w:tcBorders>
            <w:vAlign w:val="center"/>
          </w:tcPr>
          <w:p w14:paraId="38524D13">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2.34 (2.32–2.36)</w:t>
            </w:r>
          </w:p>
        </w:tc>
        <w:tc>
          <w:tcPr>
            <w:tcW w:w="1187" w:type="dxa"/>
            <w:tcBorders>
              <w:top w:val="nil"/>
              <w:left w:val="nil"/>
              <w:bottom w:val="nil"/>
              <w:right w:val="nil"/>
            </w:tcBorders>
            <w:vAlign w:val="center"/>
          </w:tcPr>
          <w:p w14:paraId="49A83DBB">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2.34 (2.34–2.35)</w:t>
            </w:r>
          </w:p>
        </w:tc>
        <w:tc>
          <w:tcPr>
            <w:tcW w:w="1165" w:type="dxa"/>
            <w:tcBorders>
              <w:top w:val="nil"/>
              <w:left w:val="nil"/>
              <w:bottom w:val="nil"/>
              <w:right w:val="nil"/>
            </w:tcBorders>
            <w:vAlign w:val="center"/>
          </w:tcPr>
          <w:p w14:paraId="182C366E">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2.36 (2.34–2.37)</w:t>
            </w:r>
          </w:p>
        </w:tc>
        <w:tc>
          <w:tcPr>
            <w:tcW w:w="924" w:type="dxa"/>
            <w:tcBorders>
              <w:top w:val="nil"/>
              <w:left w:val="nil"/>
              <w:bottom w:val="nil"/>
              <w:right w:val="nil"/>
            </w:tcBorders>
            <w:vAlign w:val="center"/>
          </w:tcPr>
          <w:p w14:paraId="37FC8B24">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2.34 (2.33–2.35)</w:t>
            </w:r>
          </w:p>
        </w:tc>
        <w:tc>
          <w:tcPr>
            <w:tcW w:w="924" w:type="dxa"/>
            <w:tcBorders>
              <w:top w:val="nil"/>
              <w:left w:val="nil"/>
              <w:bottom w:val="nil"/>
              <w:right w:val="nil"/>
            </w:tcBorders>
            <w:vAlign w:val="center"/>
          </w:tcPr>
          <w:p w14:paraId="7E9D3223">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2.35 (2.33–2.36)</w:t>
            </w:r>
          </w:p>
        </w:tc>
        <w:tc>
          <w:tcPr>
            <w:tcW w:w="1021" w:type="dxa"/>
            <w:tcBorders>
              <w:top w:val="nil"/>
              <w:left w:val="nil"/>
              <w:bottom w:val="nil"/>
              <w:right w:val="nil"/>
            </w:tcBorders>
            <w:vAlign w:val="center"/>
          </w:tcPr>
          <w:p w14:paraId="3D551550">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0.509</w:t>
            </w:r>
          </w:p>
        </w:tc>
        <w:tc>
          <w:tcPr>
            <w:tcW w:w="791" w:type="dxa"/>
            <w:tcBorders>
              <w:top w:val="nil"/>
              <w:left w:val="nil"/>
              <w:bottom w:val="nil"/>
              <w:right w:val="nil"/>
            </w:tcBorders>
            <w:vAlign w:val="center"/>
          </w:tcPr>
          <w:p w14:paraId="560A35CA">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0.650</w:t>
            </w:r>
          </w:p>
        </w:tc>
      </w:tr>
      <w:tr w14:paraId="3246C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8" w:type="dxa"/>
            <w:tcBorders>
              <w:top w:val="nil"/>
              <w:left w:val="nil"/>
              <w:bottom w:val="nil"/>
              <w:right w:val="nil"/>
            </w:tcBorders>
            <w:vAlign w:val="center"/>
          </w:tcPr>
          <w:p w14:paraId="421A05B8">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sz w:val="20"/>
                <w:szCs w:val="20"/>
              </w:rPr>
              <w:t>Phosphorus</w:t>
            </w:r>
          </w:p>
        </w:tc>
        <w:tc>
          <w:tcPr>
            <w:tcW w:w="1245" w:type="dxa"/>
            <w:tcBorders>
              <w:top w:val="nil"/>
              <w:left w:val="nil"/>
              <w:bottom w:val="nil"/>
              <w:right w:val="nil"/>
            </w:tcBorders>
            <w:vAlign w:val="center"/>
          </w:tcPr>
          <w:p w14:paraId="3BC47169">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1.24 (1.19–1.28)</w:t>
            </w:r>
          </w:p>
        </w:tc>
        <w:tc>
          <w:tcPr>
            <w:tcW w:w="1213" w:type="dxa"/>
            <w:tcBorders>
              <w:top w:val="nil"/>
              <w:left w:val="nil"/>
              <w:bottom w:val="nil"/>
              <w:right w:val="nil"/>
            </w:tcBorders>
            <w:vAlign w:val="center"/>
          </w:tcPr>
          <w:p w14:paraId="7193A284">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1.30 (1.23–1.39)</w:t>
            </w:r>
          </w:p>
        </w:tc>
        <w:tc>
          <w:tcPr>
            <w:tcW w:w="1187" w:type="dxa"/>
            <w:tcBorders>
              <w:top w:val="nil"/>
              <w:left w:val="nil"/>
              <w:bottom w:val="nil"/>
              <w:right w:val="nil"/>
            </w:tcBorders>
            <w:vAlign w:val="center"/>
          </w:tcPr>
          <w:p w14:paraId="554F87F0">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1.27 (1.24–1.31)</w:t>
            </w:r>
          </w:p>
        </w:tc>
        <w:tc>
          <w:tcPr>
            <w:tcW w:w="1165" w:type="dxa"/>
            <w:tcBorders>
              <w:top w:val="nil"/>
              <w:left w:val="nil"/>
              <w:bottom w:val="nil"/>
              <w:right w:val="nil"/>
            </w:tcBorders>
            <w:vAlign w:val="center"/>
          </w:tcPr>
          <w:p w14:paraId="6D7CCEFB">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1.26 (1.20–1.32)</w:t>
            </w:r>
          </w:p>
        </w:tc>
        <w:tc>
          <w:tcPr>
            <w:tcW w:w="924" w:type="dxa"/>
            <w:tcBorders>
              <w:top w:val="nil"/>
              <w:left w:val="nil"/>
              <w:bottom w:val="nil"/>
              <w:right w:val="nil"/>
            </w:tcBorders>
            <w:vAlign w:val="center"/>
          </w:tcPr>
          <w:p w14:paraId="1DFA365B">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1.27 (1.23–1.31)</w:t>
            </w:r>
          </w:p>
        </w:tc>
        <w:tc>
          <w:tcPr>
            <w:tcW w:w="924" w:type="dxa"/>
            <w:tcBorders>
              <w:top w:val="nil"/>
              <w:left w:val="nil"/>
              <w:bottom w:val="nil"/>
              <w:right w:val="nil"/>
            </w:tcBorders>
            <w:vAlign w:val="center"/>
          </w:tcPr>
          <w:p w14:paraId="6690AAF3">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1.29 (1.24–1.35)</w:t>
            </w:r>
          </w:p>
        </w:tc>
        <w:tc>
          <w:tcPr>
            <w:tcW w:w="1021" w:type="dxa"/>
            <w:tcBorders>
              <w:top w:val="nil"/>
              <w:left w:val="nil"/>
              <w:bottom w:val="nil"/>
              <w:right w:val="nil"/>
            </w:tcBorders>
            <w:vAlign w:val="center"/>
          </w:tcPr>
          <w:p w14:paraId="170A19FD">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0.292</w:t>
            </w:r>
          </w:p>
        </w:tc>
        <w:tc>
          <w:tcPr>
            <w:tcW w:w="791" w:type="dxa"/>
            <w:tcBorders>
              <w:top w:val="nil"/>
              <w:left w:val="nil"/>
              <w:bottom w:val="nil"/>
              <w:right w:val="nil"/>
            </w:tcBorders>
            <w:vAlign w:val="center"/>
          </w:tcPr>
          <w:p w14:paraId="3EE7D620">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0.340</w:t>
            </w:r>
          </w:p>
        </w:tc>
      </w:tr>
      <w:tr w14:paraId="0C9CA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8" w:type="dxa"/>
            <w:tcBorders>
              <w:top w:val="nil"/>
              <w:left w:val="nil"/>
              <w:bottom w:val="nil"/>
              <w:right w:val="nil"/>
            </w:tcBorders>
            <w:vAlign w:val="center"/>
          </w:tcPr>
          <w:p w14:paraId="4F3A8BDD">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sz w:val="20"/>
                <w:szCs w:val="20"/>
              </w:rPr>
              <w:t>Magnesium</w:t>
            </w:r>
          </w:p>
        </w:tc>
        <w:tc>
          <w:tcPr>
            <w:tcW w:w="1245" w:type="dxa"/>
            <w:tcBorders>
              <w:top w:val="nil"/>
              <w:left w:val="nil"/>
              <w:bottom w:val="nil"/>
              <w:right w:val="nil"/>
            </w:tcBorders>
            <w:vAlign w:val="center"/>
          </w:tcPr>
          <w:p w14:paraId="7DA13FE4">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0.99 (0.98–1.00)</w:t>
            </w:r>
          </w:p>
        </w:tc>
        <w:tc>
          <w:tcPr>
            <w:tcW w:w="1213" w:type="dxa"/>
            <w:tcBorders>
              <w:top w:val="nil"/>
              <w:left w:val="nil"/>
              <w:bottom w:val="nil"/>
              <w:right w:val="nil"/>
            </w:tcBorders>
            <w:vAlign w:val="center"/>
          </w:tcPr>
          <w:p w14:paraId="294DB363">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1.00 (0.99–1.02)</w:t>
            </w:r>
          </w:p>
        </w:tc>
        <w:tc>
          <w:tcPr>
            <w:tcW w:w="1187" w:type="dxa"/>
            <w:tcBorders>
              <w:top w:val="nil"/>
              <w:left w:val="nil"/>
              <w:bottom w:val="nil"/>
              <w:right w:val="nil"/>
            </w:tcBorders>
            <w:vAlign w:val="center"/>
          </w:tcPr>
          <w:p w14:paraId="5295C614">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1.00 (0.99–1.01)</w:t>
            </w:r>
          </w:p>
        </w:tc>
        <w:tc>
          <w:tcPr>
            <w:tcW w:w="1165" w:type="dxa"/>
            <w:tcBorders>
              <w:top w:val="nil"/>
              <w:left w:val="nil"/>
              <w:bottom w:val="nil"/>
              <w:right w:val="nil"/>
            </w:tcBorders>
            <w:vAlign w:val="center"/>
          </w:tcPr>
          <w:p w14:paraId="7056340C">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1.01 (0.99–1.02)</w:t>
            </w:r>
          </w:p>
        </w:tc>
        <w:tc>
          <w:tcPr>
            <w:tcW w:w="924" w:type="dxa"/>
            <w:tcBorders>
              <w:top w:val="nil"/>
              <w:left w:val="nil"/>
              <w:bottom w:val="nil"/>
              <w:right w:val="nil"/>
            </w:tcBorders>
            <w:vAlign w:val="center"/>
          </w:tcPr>
          <w:p w14:paraId="09325499">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1.00 (0.99–1.01)</w:t>
            </w:r>
          </w:p>
        </w:tc>
        <w:tc>
          <w:tcPr>
            <w:tcW w:w="924" w:type="dxa"/>
            <w:tcBorders>
              <w:top w:val="nil"/>
              <w:left w:val="nil"/>
              <w:bottom w:val="nil"/>
              <w:right w:val="nil"/>
            </w:tcBorders>
            <w:vAlign w:val="center"/>
          </w:tcPr>
          <w:p w14:paraId="27AADD7E">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1.00 (0.98–1.01)</w:t>
            </w:r>
          </w:p>
        </w:tc>
        <w:tc>
          <w:tcPr>
            <w:tcW w:w="1021" w:type="dxa"/>
            <w:tcBorders>
              <w:top w:val="nil"/>
              <w:left w:val="nil"/>
              <w:bottom w:val="nil"/>
              <w:right w:val="nil"/>
            </w:tcBorders>
            <w:vAlign w:val="center"/>
          </w:tcPr>
          <w:p w14:paraId="43D68193">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0.377</w:t>
            </w:r>
          </w:p>
        </w:tc>
        <w:tc>
          <w:tcPr>
            <w:tcW w:w="791" w:type="dxa"/>
            <w:tcBorders>
              <w:top w:val="nil"/>
              <w:left w:val="nil"/>
              <w:bottom w:val="nil"/>
              <w:right w:val="nil"/>
            </w:tcBorders>
            <w:vAlign w:val="center"/>
          </w:tcPr>
          <w:p w14:paraId="38A760E7">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0.248</w:t>
            </w:r>
          </w:p>
        </w:tc>
      </w:tr>
      <w:tr w14:paraId="6B28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58" w:type="dxa"/>
            <w:gridSpan w:val="9"/>
            <w:tcBorders>
              <w:top w:val="nil"/>
              <w:left w:val="nil"/>
              <w:bottom w:val="nil"/>
              <w:right w:val="nil"/>
            </w:tcBorders>
            <w:vAlign w:val="center"/>
          </w:tcPr>
          <w:p w14:paraId="1EC5A870">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bCs/>
                <w:sz w:val="20"/>
                <w:szCs w:val="20"/>
              </w:rPr>
              <w:t>Vitamin D fractions</w:t>
            </w:r>
          </w:p>
        </w:tc>
      </w:tr>
      <w:tr w14:paraId="16931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8" w:type="dxa"/>
            <w:tcBorders>
              <w:top w:val="nil"/>
              <w:left w:val="nil"/>
              <w:bottom w:val="nil"/>
              <w:right w:val="nil"/>
            </w:tcBorders>
            <w:vAlign w:val="center"/>
          </w:tcPr>
          <w:p w14:paraId="54E60BC4">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sz w:val="20"/>
                <w:szCs w:val="20"/>
              </w:rPr>
              <w:t>25(OH)D2</w:t>
            </w:r>
          </w:p>
        </w:tc>
        <w:tc>
          <w:tcPr>
            <w:tcW w:w="1245" w:type="dxa"/>
            <w:tcBorders>
              <w:top w:val="nil"/>
              <w:left w:val="nil"/>
              <w:bottom w:val="nil"/>
              <w:right w:val="nil"/>
            </w:tcBorders>
            <w:vAlign w:val="center"/>
          </w:tcPr>
          <w:p w14:paraId="2DE4EC79">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1.19 (1.10–1.29)</w:t>
            </w:r>
          </w:p>
        </w:tc>
        <w:tc>
          <w:tcPr>
            <w:tcW w:w="1213" w:type="dxa"/>
            <w:tcBorders>
              <w:top w:val="nil"/>
              <w:left w:val="nil"/>
              <w:bottom w:val="nil"/>
              <w:right w:val="nil"/>
            </w:tcBorders>
            <w:vAlign w:val="center"/>
          </w:tcPr>
          <w:p w14:paraId="350002D5">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1.18 (1.04–1.37)</w:t>
            </w:r>
          </w:p>
        </w:tc>
        <w:tc>
          <w:tcPr>
            <w:tcW w:w="1187" w:type="dxa"/>
            <w:tcBorders>
              <w:top w:val="nil"/>
              <w:left w:val="nil"/>
              <w:bottom w:val="nil"/>
              <w:right w:val="nil"/>
            </w:tcBorders>
            <w:vAlign w:val="center"/>
          </w:tcPr>
          <w:p w14:paraId="16A243CA">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1.17 (1.11–1.25)</w:t>
            </w:r>
          </w:p>
        </w:tc>
        <w:tc>
          <w:tcPr>
            <w:tcW w:w="1165" w:type="dxa"/>
            <w:tcBorders>
              <w:top w:val="nil"/>
              <w:left w:val="nil"/>
              <w:bottom w:val="nil"/>
              <w:right w:val="nil"/>
            </w:tcBorders>
            <w:vAlign w:val="center"/>
          </w:tcPr>
          <w:p w14:paraId="18F9649B">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1.16 (1.04–1.30)</w:t>
            </w:r>
          </w:p>
        </w:tc>
        <w:tc>
          <w:tcPr>
            <w:tcW w:w="924" w:type="dxa"/>
            <w:tcBorders>
              <w:top w:val="nil"/>
              <w:left w:val="nil"/>
              <w:bottom w:val="nil"/>
              <w:right w:val="nil"/>
            </w:tcBorders>
            <w:vAlign w:val="center"/>
          </w:tcPr>
          <w:p w14:paraId="2E51232E">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1.11 (1.03–1.19)</w:t>
            </w:r>
          </w:p>
        </w:tc>
        <w:tc>
          <w:tcPr>
            <w:tcW w:w="924" w:type="dxa"/>
            <w:tcBorders>
              <w:top w:val="nil"/>
              <w:left w:val="nil"/>
              <w:bottom w:val="nil"/>
              <w:right w:val="nil"/>
            </w:tcBorders>
            <w:vAlign w:val="center"/>
          </w:tcPr>
          <w:p w14:paraId="42E0E9A5">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1.08 (0.97–1.18)</w:t>
            </w:r>
          </w:p>
        </w:tc>
        <w:tc>
          <w:tcPr>
            <w:tcW w:w="1021" w:type="dxa"/>
            <w:tcBorders>
              <w:top w:val="nil"/>
              <w:left w:val="nil"/>
              <w:bottom w:val="nil"/>
              <w:right w:val="nil"/>
            </w:tcBorders>
            <w:vAlign w:val="center"/>
          </w:tcPr>
          <w:p w14:paraId="21EC5E55">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0.091</w:t>
            </w:r>
          </w:p>
        </w:tc>
        <w:tc>
          <w:tcPr>
            <w:tcW w:w="791" w:type="dxa"/>
            <w:tcBorders>
              <w:top w:val="nil"/>
              <w:left w:val="nil"/>
              <w:bottom w:val="nil"/>
              <w:right w:val="nil"/>
            </w:tcBorders>
            <w:vAlign w:val="center"/>
          </w:tcPr>
          <w:p w14:paraId="681E2C37">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0.935</w:t>
            </w:r>
          </w:p>
        </w:tc>
      </w:tr>
      <w:tr w14:paraId="1C55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8" w:type="dxa"/>
            <w:tcBorders>
              <w:top w:val="nil"/>
              <w:left w:val="nil"/>
              <w:bottom w:val="nil"/>
              <w:right w:val="nil"/>
            </w:tcBorders>
            <w:vAlign w:val="center"/>
          </w:tcPr>
          <w:p w14:paraId="13EB2688">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sz w:val="20"/>
                <w:szCs w:val="20"/>
              </w:rPr>
              <w:t>25(OH)D3</w:t>
            </w:r>
          </w:p>
        </w:tc>
        <w:tc>
          <w:tcPr>
            <w:tcW w:w="1245" w:type="dxa"/>
            <w:tcBorders>
              <w:top w:val="nil"/>
              <w:left w:val="nil"/>
              <w:bottom w:val="nil"/>
              <w:right w:val="nil"/>
            </w:tcBorders>
            <w:vAlign w:val="center"/>
          </w:tcPr>
          <w:p w14:paraId="3ED5667A">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15.04 (14.38–15.81)</w:t>
            </w:r>
          </w:p>
        </w:tc>
        <w:tc>
          <w:tcPr>
            <w:tcW w:w="1213" w:type="dxa"/>
            <w:tcBorders>
              <w:top w:val="nil"/>
              <w:left w:val="nil"/>
              <w:bottom w:val="nil"/>
              <w:right w:val="nil"/>
            </w:tcBorders>
            <w:vAlign w:val="center"/>
          </w:tcPr>
          <w:p w14:paraId="5035CAB0">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14.18 (13.13–15.42)</w:t>
            </w:r>
          </w:p>
        </w:tc>
        <w:tc>
          <w:tcPr>
            <w:tcW w:w="1187" w:type="dxa"/>
            <w:tcBorders>
              <w:top w:val="nil"/>
              <w:left w:val="nil"/>
              <w:bottom w:val="nil"/>
              <w:right w:val="nil"/>
            </w:tcBorders>
            <w:vAlign w:val="center"/>
          </w:tcPr>
          <w:p w14:paraId="33D9A839">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14.84 (14.37–15.39)</w:t>
            </w:r>
          </w:p>
        </w:tc>
        <w:tc>
          <w:tcPr>
            <w:tcW w:w="1165" w:type="dxa"/>
            <w:tcBorders>
              <w:top w:val="nil"/>
              <w:left w:val="nil"/>
              <w:bottom w:val="nil"/>
              <w:right w:val="nil"/>
            </w:tcBorders>
            <w:vAlign w:val="center"/>
          </w:tcPr>
          <w:p w14:paraId="7B0BE58F">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15.17 (14.25–16.13)</w:t>
            </w:r>
          </w:p>
        </w:tc>
        <w:tc>
          <w:tcPr>
            <w:tcW w:w="924" w:type="dxa"/>
            <w:tcBorders>
              <w:top w:val="nil"/>
              <w:left w:val="nil"/>
              <w:bottom w:val="nil"/>
              <w:right w:val="nil"/>
            </w:tcBorders>
            <w:vAlign w:val="center"/>
          </w:tcPr>
          <w:p w14:paraId="28ACF2B2">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14.53 (13.92–15.12)</w:t>
            </w:r>
          </w:p>
        </w:tc>
        <w:tc>
          <w:tcPr>
            <w:tcW w:w="924" w:type="dxa"/>
            <w:tcBorders>
              <w:top w:val="nil"/>
              <w:left w:val="nil"/>
              <w:bottom w:val="nil"/>
              <w:right w:val="nil"/>
            </w:tcBorders>
            <w:vAlign w:val="center"/>
          </w:tcPr>
          <w:p w14:paraId="1045C526">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13.88 (13.08–14.67)</w:t>
            </w:r>
          </w:p>
        </w:tc>
        <w:tc>
          <w:tcPr>
            <w:tcW w:w="1021" w:type="dxa"/>
            <w:tcBorders>
              <w:top w:val="nil"/>
              <w:left w:val="nil"/>
              <w:bottom w:val="nil"/>
              <w:right w:val="nil"/>
            </w:tcBorders>
            <w:vAlign w:val="center"/>
          </w:tcPr>
          <w:p w14:paraId="24B488F2">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0.113</w:t>
            </w:r>
          </w:p>
        </w:tc>
        <w:tc>
          <w:tcPr>
            <w:tcW w:w="791" w:type="dxa"/>
            <w:tcBorders>
              <w:top w:val="nil"/>
              <w:left w:val="nil"/>
              <w:bottom w:val="nil"/>
              <w:right w:val="nil"/>
            </w:tcBorders>
            <w:vAlign w:val="center"/>
          </w:tcPr>
          <w:p w14:paraId="4D39BECA">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0.246</w:t>
            </w:r>
          </w:p>
        </w:tc>
      </w:tr>
      <w:tr w14:paraId="27FA9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8" w:type="dxa"/>
            <w:tcBorders>
              <w:top w:val="nil"/>
              <w:left w:val="nil"/>
              <w:bottom w:val="single" w:color="auto" w:sz="12" w:space="0"/>
              <w:right w:val="nil"/>
            </w:tcBorders>
            <w:vAlign w:val="center"/>
          </w:tcPr>
          <w:p w14:paraId="78CF6B43">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sz w:val="20"/>
                <w:szCs w:val="20"/>
              </w:rPr>
              <w:t>Total 25(OH)D</w:t>
            </w:r>
          </w:p>
        </w:tc>
        <w:tc>
          <w:tcPr>
            <w:tcW w:w="1245" w:type="dxa"/>
            <w:tcBorders>
              <w:top w:val="nil"/>
              <w:left w:val="nil"/>
              <w:bottom w:val="single" w:color="auto" w:sz="12" w:space="0"/>
              <w:right w:val="nil"/>
            </w:tcBorders>
            <w:vAlign w:val="center"/>
          </w:tcPr>
          <w:p w14:paraId="01092A62">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16.13 (15.42–16.94)</w:t>
            </w:r>
          </w:p>
        </w:tc>
        <w:tc>
          <w:tcPr>
            <w:tcW w:w="1213" w:type="dxa"/>
            <w:tcBorders>
              <w:top w:val="nil"/>
              <w:left w:val="nil"/>
              <w:bottom w:val="single" w:color="auto" w:sz="12" w:space="0"/>
              <w:right w:val="nil"/>
            </w:tcBorders>
            <w:vAlign w:val="center"/>
          </w:tcPr>
          <w:p w14:paraId="1CCE2ACC">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15.16 (14.06–16.47)</w:t>
            </w:r>
          </w:p>
        </w:tc>
        <w:tc>
          <w:tcPr>
            <w:tcW w:w="1187" w:type="dxa"/>
            <w:tcBorders>
              <w:top w:val="nil"/>
              <w:left w:val="nil"/>
              <w:bottom w:val="single" w:color="auto" w:sz="12" w:space="0"/>
              <w:right w:val="nil"/>
            </w:tcBorders>
            <w:vAlign w:val="center"/>
          </w:tcPr>
          <w:p w14:paraId="6544041E">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15.98 (15.48–16.57)</w:t>
            </w:r>
          </w:p>
        </w:tc>
        <w:tc>
          <w:tcPr>
            <w:tcW w:w="1165" w:type="dxa"/>
            <w:tcBorders>
              <w:top w:val="nil"/>
              <w:left w:val="nil"/>
              <w:bottom w:val="single" w:color="auto" w:sz="12" w:space="0"/>
              <w:right w:val="nil"/>
            </w:tcBorders>
            <w:vAlign w:val="center"/>
          </w:tcPr>
          <w:p w14:paraId="7A07476A">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16.26 (15.28–17.27)</w:t>
            </w:r>
          </w:p>
        </w:tc>
        <w:tc>
          <w:tcPr>
            <w:tcW w:w="924" w:type="dxa"/>
            <w:tcBorders>
              <w:top w:val="nil"/>
              <w:left w:val="nil"/>
              <w:bottom w:val="single" w:color="auto" w:sz="12" w:space="0"/>
              <w:right w:val="nil"/>
            </w:tcBorders>
            <w:vAlign w:val="center"/>
          </w:tcPr>
          <w:p w14:paraId="353D927B">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15.52 (14.87–16.14)</w:t>
            </w:r>
          </w:p>
        </w:tc>
        <w:tc>
          <w:tcPr>
            <w:tcW w:w="924" w:type="dxa"/>
            <w:tcBorders>
              <w:top w:val="nil"/>
              <w:left w:val="nil"/>
              <w:bottom w:val="single" w:color="auto" w:sz="12" w:space="0"/>
              <w:right w:val="nil"/>
            </w:tcBorders>
            <w:vAlign w:val="center"/>
          </w:tcPr>
          <w:p w14:paraId="5D87E74F">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14.68 (13.84–15.49)</w:t>
            </w:r>
          </w:p>
        </w:tc>
        <w:tc>
          <w:tcPr>
            <w:tcW w:w="1021" w:type="dxa"/>
            <w:tcBorders>
              <w:top w:val="nil"/>
              <w:left w:val="nil"/>
              <w:bottom w:val="single" w:color="auto" w:sz="12" w:space="0"/>
              <w:right w:val="nil"/>
            </w:tcBorders>
            <w:vAlign w:val="center"/>
          </w:tcPr>
          <w:p w14:paraId="09C4FB89">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0.050</w:t>
            </w:r>
          </w:p>
        </w:tc>
        <w:tc>
          <w:tcPr>
            <w:tcW w:w="791" w:type="dxa"/>
            <w:tcBorders>
              <w:top w:val="nil"/>
              <w:left w:val="nil"/>
              <w:bottom w:val="single" w:color="auto" w:sz="12" w:space="0"/>
              <w:right w:val="nil"/>
            </w:tcBorders>
            <w:vAlign w:val="center"/>
          </w:tcPr>
          <w:p w14:paraId="2E52A814">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sz w:val="20"/>
                <w:szCs w:val="20"/>
              </w:rPr>
              <w:t>0.219</w:t>
            </w:r>
          </w:p>
        </w:tc>
      </w:tr>
    </w:tbl>
    <w:p w14:paraId="13D88155">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rPr>
      </w:pPr>
      <w:r>
        <w:rPr>
          <w:rFonts w:hint="eastAsia" w:ascii="Times New Roman" w:hAnsi="Times New Roman" w:cs="Times New Roman"/>
          <w:b/>
          <w:bCs/>
          <w:sz w:val="20"/>
          <w:szCs w:val="20"/>
          <w:lang w:val="en-US" w:eastAsia="zh-CN"/>
        </w:rPr>
        <w:t>Note:</w:t>
      </w:r>
      <w:r>
        <w:rPr>
          <w:rFonts w:hint="eastAsia" w:ascii="Times New Roman" w:hAnsi="Times New Roman" w:cs="Times New Roman"/>
          <w:b w:val="0"/>
          <w:bCs w:val="0"/>
          <w:sz w:val="20"/>
          <w:szCs w:val="20"/>
          <w:lang w:val="en-US" w:eastAsia="zh-CN"/>
        </w:rPr>
        <w:t xml:space="preserve"> </w:t>
      </w:r>
      <w:r>
        <w:rPr>
          <w:rFonts w:hint="default" w:ascii="Times New Roman" w:hAnsi="Times New Roman" w:cs="Times New Roman"/>
          <w:b w:val="0"/>
          <w:bCs w:val="0"/>
          <w:sz w:val="20"/>
          <w:szCs w:val="20"/>
        </w:rPr>
        <w:t xml:space="preserve">Strata were defined by cross-classification of </w:t>
      </w:r>
      <w:r>
        <w:rPr>
          <w:rStyle w:val="8"/>
          <w:rFonts w:hint="default" w:ascii="Times New Roman" w:hAnsi="Times New Roman" w:cs="Times New Roman"/>
          <w:b w:val="0"/>
          <w:bCs w:val="0"/>
          <w:sz w:val="20"/>
          <w:szCs w:val="20"/>
        </w:rPr>
        <w:t>bone mass status</w:t>
      </w:r>
      <w:r>
        <w:rPr>
          <w:rFonts w:hint="default" w:ascii="Times New Roman" w:hAnsi="Times New Roman" w:cs="Times New Roman"/>
          <w:b w:val="0"/>
          <w:bCs w:val="0"/>
          <w:sz w:val="20"/>
          <w:szCs w:val="20"/>
        </w:rPr>
        <w:t xml:space="preserve"> (normal, osteopenia, osteoporosis) and </w:t>
      </w:r>
      <w:r>
        <w:rPr>
          <w:rStyle w:val="8"/>
          <w:rFonts w:hint="default" w:ascii="Times New Roman" w:hAnsi="Times New Roman" w:cs="Times New Roman"/>
          <w:b w:val="0"/>
          <w:bCs w:val="0"/>
          <w:sz w:val="20"/>
          <w:szCs w:val="20"/>
        </w:rPr>
        <w:t>possible sarcopenia</w:t>
      </w:r>
      <w:r>
        <w:rPr>
          <w:rFonts w:hint="default" w:ascii="Times New Roman" w:hAnsi="Times New Roman" w:cs="Times New Roman"/>
          <w:b w:val="0"/>
          <w:bCs w:val="0"/>
          <w:sz w:val="20"/>
          <w:szCs w:val="20"/>
        </w:rPr>
        <w:t xml:space="preserve"> (No/Yes). Bone mass status was categorized using lumbar spine and left-hip </w:t>
      </w:r>
      <w:r>
        <w:rPr>
          <w:rStyle w:val="8"/>
          <w:rFonts w:hint="default" w:ascii="Times New Roman" w:hAnsi="Times New Roman" w:cs="Times New Roman"/>
          <w:b w:val="0"/>
          <w:bCs w:val="0"/>
          <w:sz w:val="20"/>
          <w:szCs w:val="20"/>
        </w:rPr>
        <w:t>dual-energy X-ray absorptiometry (DXA)</w:t>
      </w:r>
      <w:r>
        <w:rPr>
          <w:rFonts w:hint="default" w:ascii="Times New Roman" w:hAnsi="Times New Roman" w:cs="Times New Roman"/>
          <w:b w:val="0"/>
          <w:bCs w:val="0"/>
          <w:sz w:val="20"/>
          <w:szCs w:val="20"/>
        </w:rPr>
        <w:t xml:space="preserve"> T-scores; possible sarcopenia was defined dichotomously using prespecified cut-offs (see Methods).</w:t>
      </w:r>
      <w:r>
        <w:rPr>
          <w:rFonts w:hint="default" w:ascii="Times New Roman" w:hAnsi="Times New Roman" w:cs="Times New Roman"/>
          <w:b w:val="0"/>
          <w:bCs w:val="0"/>
          <w:sz w:val="20"/>
          <w:szCs w:val="20"/>
          <w:lang w:val="en-US" w:eastAsia="zh-CN"/>
        </w:rPr>
        <w:t xml:space="preserve"> </w:t>
      </w:r>
      <w:r>
        <w:rPr>
          <w:rFonts w:hint="default" w:ascii="Times New Roman" w:hAnsi="Times New Roman" w:cs="Times New Roman"/>
          <w:b w:val="0"/>
          <w:bCs w:val="0"/>
          <w:sz w:val="20"/>
          <w:szCs w:val="20"/>
        </w:rPr>
        <w:t xml:space="preserve">Values are </w:t>
      </w:r>
      <w:r>
        <w:rPr>
          <w:rStyle w:val="8"/>
          <w:rFonts w:hint="default" w:ascii="Times New Roman" w:hAnsi="Times New Roman" w:cs="Times New Roman"/>
          <w:b w:val="0"/>
          <w:bCs w:val="0"/>
          <w:sz w:val="20"/>
          <w:szCs w:val="20"/>
        </w:rPr>
        <w:t>Model 3–adjusted geometric means</w:t>
      </w:r>
      <w:r>
        <w:rPr>
          <w:rFonts w:hint="default" w:ascii="Times New Roman" w:hAnsi="Times New Roman" w:cs="Times New Roman"/>
          <w:b w:val="0"/>
          <w:bCs w:val="0"/>
          <w:sz w:val="20"/>
          <w:szCs w:val="20"/>
        </w:rPr>
        <w:t xml:space="preserve"> with </w:t>
      </w:r>
      <w:r>
        <w:rPr>
          <w:rStyle w:val="8"/>
          <w:rFonts w:hint="default" w:ascii="Times New Roman" w:hAnsi="Times New Roman" w:cs="Times New Roman"/>
          <w:b w:val="0"/>
          <w:bCs w:val="0"/>
          <w:sz w:val="20"/>
          <w:szCs w:val="20"/>
        </w:rPr>
        <w:t>95% confidence intervals (95% CI)</w:t>
      </w:r>
      <w:r>
        <w:rPr>
          <w:rFonts w:hint="default" w:ascii="Times New Roman" w:hAnsi="Times New Roman" w:cs="Times New Roman"/>
          <w:b w:val="0"/>
          <w:bCs w:val="0"/>
          <w:sz w:val="20"/>
          <w:szCs w:val="20"/>
        </w:rPr>
        <w:t xml:space="preserve"> for biomarkers analyzed on the log scale (β-CTx, PINP, osteocalcin, ALP, PTH, creatinine, 25(OH)D2, 25(OH)D3, total 25(OH)D), back-transformed to the original scale; and </w:t>
      </w:r>
      <w:r>
        <w:rPr>
          <w:rStyle w:val="8"/>
          <w:rFonts w:hint="default" w:ascii="Times New Roman" w:hAnsi="Times New Roman" w:cs="Times New Roman"/>
          <w:b w:val="0"/>
          <w:bCs w:val="0"/>
          <w:sz w:val="20"/>
          <w:szCs w:val="20"/>
        </w:rPr>
        <w:t>Model 3–adjusted means</w:t>
      </w:r>
      <w:r>
        <w:rPr>
          <w:rFonts w:hint="default" w:ascii="Times New Roman" w:hAnsi="Times New Roman" w:cs="Times New Roman"/>
          <w:b w:val="0"/>
          <w:bCs w:val="0"/>
          <w:sz w:val="20"/>
          <w:szCs w:val="20"/>
        </w:rPr>
        <w:t xml:space="preserve"> with 95% CI for approximately normally distributed mineral markers (calcium, phosphorus, magnesium).</w:t>
      </w:r>
      <w:r>
        <w:rPr>
          <w:rFonts w:hint="default" w:ascii="Times New Roman" w:hAnsi="Times New Roman" w:cs="Times New Roman"/>
          <w:b w:val="0"/>
          <w:bCs w:val="0"/>
          <w:sz w:val="20"/>
          <w:szCs w:val="20"/>
          <w:lang w:val="en-US" w:eastAsia="zh-CN"/>
        </w:rPr>
        <w:t xml:space="preserve"> </w:t>
      </w:r>
      <w:r>
        <w:rPr>
          <w:rStyle w:val="8"/>
          <w:rFonts w:hint="default" w:ascii="Times New Roman" w:hAnsi="Times New Roman" w:cs="Times New Roman"/>
          <w:b w:val="0"/>
          <w:bCs w:val="0"/>
          <w:i/>
          <w:iCs/>
          <w:sz w:val="20"/>
          <w:szCs w:val="20"/>
        </w:rPr>
        <w:t>P</w:t>
      </w:r>
      <w:r>
        <w:rPr>
          <w:rStyle w:val="8"/>
          <w:rFonts w:hint="default" w:ascii="Times New Roman" w:hAnsi="Times New Roman" w:cs="Times New Roman"/>
          <w:b w:val="0"/>
          <w:bCs w:val="0"/>
          <w:sz w:val="20"/>
          <w:szCs w:val="20"/>
        </w:rPr>
        <w:t>_trend</w:t>
      </w:r>
      <w:r>
        <w:rPr>
          <w:rFonts w:hint="default" w:ascii="Times New Roman" w:hAnsi="Times New Roman" w:cs="Times New Roman"/>
          <w:b w:val="0"/>
          <w:bCs w:val="0"/>
          <w:sz w:val="20"/>
          <w:szCs w:val="20"/>
        </w:rPr>
        <w:t xml:space="preserve"> was obtained by testing an ordinal trend across the six strata ordered from lowest to highest hypothesized risk gradient. </w:t>
      </w:r>
      <w:r>
        <w:rPr>
          <w:rStyle w:val="8"/>
          <w:rFonts w:hint="default" w:ascii="Times New Roman" w:hAnsi="Times New Roman" w:cs="Times New Roman"/>
          <w:b w:val="0"/>
          <w:bCs w:val="0"/>
          <w:i/>
          <w:iCs/>
          <w:sz w:val="20"/>
          <w:szCs w:val="20"/>
        </w:rPr>
        <w:t>P</w:t>
      </w:r>
      <w:r>
        <w:rPr>
          <w:rStyle w:val="8"/>
          <w:rFonts w:hint="default" w:ascii="Times New Roman" w:hAnsi="Times New Roman" w:cs="Times New Roman"/>
          <w:b w:val="0"/>
          <w:bCs w:val="0"/>
          <w:sz w:val="20"/>
          <w:szCs w:val="20"/>
        </w:rPr>
        <w:t>_int</w:t>
      </w:r>
      <w:r>
        <w:rPr>
          <w:rFonts w:hint="default" w:ascii="Times New Roman" w:hAnsi="Times New Roman" w:cs="Times New Roman"/>
          <w:b w:val="0"/>
          <w:bCs w:val="0"/>
          <w:sz w:val="20"/>
          <w:szCs w:val="20"/>
        </w:rPr>
        <w:t xml:space="preserve"> is the interaction </w:t>
      </w:r>
      <w:r>
        <w:rPr>
          <w:rFonts w:hint="default" w:ascii="Times New Roman" w:hAnsi="Times New Roman" w:cs="Times New Roman"/>
          <w:b w:val="0"/>
          <w:bCs w:val="0"/>
          <w:i/>
          <w:iCs/>
          <w:sz w:val="20"/>
          <w:szCs w:val="20"/>
        </w:rPr>
        <w:t>p</w:t>
      </w:r>
      <w:r>
        <w:rPr>
          <w:rFonts w:hint="default" w:ascii="Times New Roman" w:hAnsi="Times New Roman" w:cs="Times New Roman"/>
          <w:b w:val="0"/>
          <w:bCs w:val="0"/>
          <w:sz w:val="20"/>
          <w:szCs w:val="20"/>
        </w:rPr>
        <w:t xml:space="preserve">-value for </w:t>
      </w:r>
      <w:r>
        <w:rPr>
          <w:rStyle w:val="8"/>
          <w:rFonts w:hint="default" w:ascii="Times New Roman" w:hAnsi="Times New Roman" w:cs="Times New Roman"/>
          <w:b w:val="0"/>
          <w:bCs w:val="0"/>
          <w:sz w:val="20"/>
          <w:szCs w:val="20"/>
        </w:rPr>
        <w:t>bone mass status × possible sarcopenia</w:t>
      </w:r>
      <w:r>
        <w:rPr>
          <w:rFonts w:hint="default" w:ascii="Times New Roman" w:hAnsi="Times New Roman" w:cs="Times New Roman"/>
          <w:b w:val="0"/>
          <w:bCs w:val="0"/>
          <w:sz w:val="20"/>
          <w:szCs w:val="20"/>
        </w:rPr>
        <w:t xml:space="preserve"> in Model 3.</w:t>
      </w:r>
      <w:r>
        <w:rPr>
          <w:rFonts w:hint="default" w:ascii="Times New Roman" w:hAnsi="Times New Roman" w:cs="Times New Roman"/>
          <w:b w:val="0"/>
          <w:bCs w:val="0"/>
          <w:sz w:val="20"/>
          <w:szCs w:val="20"/>
          <w:lang w:val="en-US" w:eastAsia="zh-CN"/>
        </w:rPr>
        <w:t xml:space="preserve"> </w:t>
      </w:r>
      <w:r>
        <w:rPr>
          <w:rFonts w:hint="default" w:ascii="Times New Roman" w:hAnsi="Times New Roman" w:cs="Times New Roman"/>
          <w:b w:val="0"/>
          <w:bCs w:val="0"/>
          <w:i/>
          <w:iCs/>
          <w:sz w:val="20"/>
          <w:szCs w:val="20"/>
        </w:rPr>
        <w:t>P</w:t>
      </w:r>
      <w:r>
        <w:rPr>
          <w:rFonts w:hint="default" w:ascii="Times New Roman" w:hAnsi="Times New Roman" w:cs="Times New Roman"/>
          <w:b w:val="0"/>
          <w:bCs w:val="0"/>
          <w:sz w:val="20"/>
          <w:szCs w:val="20"/>
        </w:rPr>
        <w:t xml:space="preserve"> values are two-sided; values &lt;</w:t>
      </w:r>
      <w:r>
        <w:rPr>
          <w:rFonts w:hint="eastAsia" w:ascii="Times New Roman" w:hAnsi="Times New Roman" w:cs="Times New Roman"/>
          <w:b w:val="0"/>
          <w:bCs w:val="0"/>
          <w:sz w:val="20"/>
          <w:szCs w:val="20"/>
          <w:lang w:val="en-US" w:eastAsia="zh-CN"/>
        </w:rPr>
        <w:t xml:space="preserve"> </w:t>
      </w:r>
      <w:r>
        <w:rPr>
          <w:rFonts w:hint="default" w:ascii="Times New Roman" w:hAnsi="Times New Roman" w:cs="Times New Roman"/>
          <w:b w:val="0"/>
          <w:bCs w:val="0"/>
          <w:sz w:val="20"/>
          <w:szCs w:val="20"/>
        </w:rPr>
        <w:t xml:space="preserve">0.001 are reported </w:t>
      </w:r>
      <w:r>
        <w:rPr>
          <w:rFonts w:hint="default"/>
        </w:rPr>
        <w:t>as &lt;0.001.</w:t>
      </w:r>
    </w:p>
    <w:p w14:paraId="014257EB">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rPr>
      </w:pPr>
      <w:r>
        <w:rPr>
          <w:rFonts w:hint="default"/>
          <w:b/>
          <w:bCs/>
        </w:rPr>
        <w:t>Abbreviations</w:t>
      </w:r>
      <w:r>
        <w:rPr>
          <w:rFonts w:hint="eastAsia"/>
          <w:b/>
          <w:bCs/>
          <w:lang w:val="en-US" w:eastAsia="zh-CN"/>
        </w:rPr>
        <w:t xml:space="preserve">: </w:t>
      </w:r>
      <w:r>
        <w:rPr>
          <w:rFonts w:hint="default"/>
        </w:rPr>
        <w:t>ALP, alkaline phosphatase; β-CTx, beta C-terminal telopeptide of type I collagen; CI, confidence interval; C</w:t>
      </w:r>
      <w:r>
        <w:rPr>
          <w:rFonts w:hint="eastAsia"/>
          <w:lang w:val="en-US" w:eastAsia="zh-CN"/>
        </w:rPr>
        <w:t>r</w:t>
      </w:r>
      <w:r>
        <w:rPr>
          <w:rFonts w:hint="default"/>
        </w:rPr>
        <w:t>, creatinine; DXA, dual-energy X-ray absorptiometry; GM, geometric mean; Mg, magnesium; P, phosphorus; PINP, procollagen type I N-terminal propeptide; PTH, parathyroid hormone; 25(OH)D2, 25-hydroxyvitamin D2; 25(OH)D3, 25-hydroxyvitamin D3; total 25(OH)D, total 25-hydroxyvitamin D.</w:t>
      </w:r>
      <w:r>
        <w:rPr>
          <w:rFonts w:hint="eastAsia"/>
          <w:lang w:val="en-US" w:eastAsia="zh-CN"/>
        </w:rPr>
        <w:t xml:space="preserve"> </w:t>
      </w:r>
      <w:r>
        <w:rPr>
          <w:rFonts w:hint="default"/>
        </w:rPr>
        <w:t>N/N</w:t>
      </w:r>
      <w:r>
        <w:rPr>
          <w:rFonts w:hint="eastAsia"/>
          <w:lang w:val="en-US" w:eastAsia="zh-CN"/>
        </w:rPr>
        <w:t xml:space="preserve"> </w:t>
      </w:r>
      <w:r>
        <w:rPr>
          <w:rFonts w:hint="default"/>
        </w:rPr>
        <w:t>=</w:t>
      </w:r>
      <w:r>
        <w:rPr>
          <w:rFonts w:hint="eastAsia"/>
          <w:lang w:val="en-US" w:eastAsia="zh-CN"/>
        </w:rPr>
        <w:t xml:space="preserve"> </w:t>
      </w:r>
      <w:r>
        <w:rPr>
          <w:rFonts w:hint="default"/>
        </w:rPr>
        <w:t>Normal/No</w:t>
      </w:r>
      <w:r>
        <w:rPr>
          <w:rFonts w:hint="eastAsia"/>
          <w:lang w:val="en-US" w:eastAsia="zh-CN"/>
        </w:rPr>
        <w:t xml:space="preserve">, </w:t>
      </w:r>
      <w:r>
        <w:rPr>
          <w:rFonts w:hint="default"/>
        </w:rPr>
        <w:t>N/Y</w:t>
      </w:r>
      <w:r>
        <w:rPr>
          <w:rFonts w:hint="eastAsia"/>
          <w:lang w:val="en-US" w:eastAsia="zh-CN"/>
        </w:rPr>
        <w:t xml:space="preserve"> </w:t>
      </w:r>
      <w:r>
        <w:rPr>
          <w:rFonts w:hint="default"/>
        </w:rPr>
        <w:t>=</w:t>
      </w:r>
      <w:r>
        <w:rPr>
          <w:rFonts w:hint="eastAsia"/>
          <w:lang w:val="en-US" w:eastAsia="zh-CN"/>
        </w:rPr>
        <w:t xml:space="preserve"> </w:t>
      </w:r>
      <w:r>
        <w:rPr>
          <w:rFonts w:hint="default"/>
        </w:rPr>
        <w:t>Normal/Yes</w:t>
      </w:r>
      <w:r>
        <w:rPr>
          <w:rFonts w:hint="eastAsia"/>
          <w:lang w:val="en-US" w:eastAsia="zh-CN"/>
        </w:rPr>
        <w:t xml:space="preserve">, </w:t>
      </w:r>
      <w:r>
        <w:rPr>
          <w:rFonts w:hint="default"/>
        </w:rPr>
        <w:t>OPN/N</w:t>
      </w:r>
      <w:r>
        <w:rPr>
          <w:rFonts w:hint="eastAsia"/>
          <w:lang w:val="en-US" w:eastAsia="zh-CN"/>
        </w:rPr>
        <w:t xml:space="preserve"> </w:t>
      </w:r>
      <w:r>
        <w:rPr>
          <w:rFonts w:hint="default"/>
        </w:rPr>
        <w:t>=</w:t>
      </w:r>
      <w:r>
        <w:rPr>
          <w:rFonts w:hint="eastAsia"/>
          <w:lang w:val="en-US" w:eastAsia="zh-CN"/>
        </w:rPr>
        <w:t xml:space="preserve"> </w:t>
      </w:r>
      <w:r>
        <w:rPr>
          <w:rFonts w:hint="default"/>
        </w:rPr>
        <w:t>Osteopenia/No</w:t>
      </w:r>
      <w:r>
        <w:rPr>
          <w:rFonts w:hint="eastAsia"/>
          <w:lang w:val="en-US" w:eastAsia="zh-CN"/>
        </w:rPr>
        <w:t xml:space="preserve">, </w:t>
      </w:r>
      <w:r>
        <w:rPr>
          <w:rFonts w:hint="default"/>
        </w:rPr>
        <w:t>OPN/Y</w:t>
      </w:r>
      <w:r>
        <w:rPr>
          <w:rFonts w:hint="eastAsia"/>
          <w:lang w:val="en-US" w:eastAsia="zh-CN"/>
        </w:rPr>
        <w:t xml:space="preserve"> </w:t>
      </w:r>
      <w:r>
        <w:rPr>
          <w:rFonts w:hint="default"/>
        </w:rPr>
        <w:t>=</w:t>
      </w:r>
      <w:r>
        <w:rPr>
          <w:rFonts w:hint="eastAsia"/>
          <w:lang w:val="en-US" w:eastAsia="zh-CN"/>
        </w:rPr>
        <w:t xml:space="preserve"> </w:t>
      </w:r>
      <w:r>
        <w:rPr>
          <w:rFonts w:hint="default"/>
        </w:rPr>
        <w:t>Osteopenia/Yes</w:t>
      </w:r>
      <w:r>
        <w:rPr>
          <w:rFonts w:hint="eastAsia"/>
          <w:lang w:eastAsia="zh-CN"/>
        </w:rPr>
        <w:t>,</w:t>
      </w:r>
      <w:r>
        <w:rPr>
          <w:rFonts w:hint="eastAsia"/>
          <w:lang w:val="en-US" w:eastAsia="zh-CN"/>
        </w:rPr>
        <w:t xml:space="preserve"> </w:t>
      </w:r>
      <w:r>
        <w:rPr>
          <w:rFonts w:hint="default"/>
        </w:rPr>
        <w:t>OPS/N</w:t>
      </w:r>
      <w:r>
        <w:rPr>
          <w:rFonts w:hint="eastAsia"/>
          <w:lang w:val="en-US" w:eastAsia="zh-CN"/>
        </w:rPr>
        <w:t xml:space="preserve"> </w:t>
      </w:r>
      <w:r>
        <w:rPr>
          <w:rFonts w:hint="default"/>
        </w:rPr>
        <w:t>=</w:t>
      </w:r>
      <w:r>
        <w:rPr>
          <w:rFonts w:hint="eastAsia"/>
          <w:lang w:val="en-US" w:eastAsia="zh-CN"/>
        </w:rPr>
        <w:t xml:space="preserve"> </w:t>
      </w:r>
      <w:r>
        <w:rPr>
          <w:rFonts w:hint="default"/>
        </w:rPr>
        <w:t>Osteoporosis/No</w:t>
      </w:r>
      <w:r>
        <w:rPr>
          <w:rFonts w:hint="eastAsia"/>
          <w:lang w:eastAsia="zh-CN"/>
        </w:rPr>
        <w:t>,</w:t>
      </w:r>
      <w:r>
        <w:rPr>
          <w:rFonts w:hint="eastAsia"/>
          <w:lang w:val="en-US" w:eastAsia="zh-CN"/>
        </w:rPr>
        <w:t xml:space="preserve"> </w:t>
      </w:r>
      <w:r>
        <w:rPr>
          <w:rFonts w:hint="default"/>
        </w:rPr>
        <w:t>OPS/Y</w:t>
      </w:r>
      <w:r>
        <w:rPr>
          <w:rFonts w:hint="eastAsia"/>
          <w:lang w:val="en-US" w:eastAsia="zh-CN"/>
        </w:rPr>
        <w:t xml:space="preserve"> </w:t>
      </w:r>
      <w:r>
        <w:rPr>
          <w:rFonts w:hint="default"/>
        </w:rPr>
        <w:t>=</w:t>
      </w:r>
      <w:r>
        <w:rPr>
          <w:rFonts w:hint="eastAsia"/>
          <w:lang w:val="en-US" w:eastAsia="zh-CN"/>
        </w:rPr>
        <w:t xml:space="preserve"> </w:t>
      </w:r>
      <w:r>
        <w:rPr>
          <w:rFonts w:hint="default"/>
        </w:rPr>
        <w:t>Osteoporosis/Yes。</w:t>
      </w:r>
    </w:p>
    <w:p w14:paraId="19D0120A">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rPr>
        <w:t>Supplement Table S6. Sensitivity analyses under alternative definitions and sample restrictions</w:t>
      </w:r>
      <w:r>
        <w:rPr>
          <w:rFonts w:hint="eastAsia" w:ascii="Times New Roman" w:hAnsi="Times New Roman" w:eastAsia="宋体" w:cs="Times New Roman"/>
          <w:b/>
          <w:bCs/>
          <w:sz w:val="24"/>
          <w:szCs w:val="24"/>
          <w:lang w:val="en-US" w:eastAsia="zh-CN"/>
        </w:rPr>
        <w:t>.</w:t>
      </w:r>
    </w:p>
    <w:tbl>
      <w:tblPr>
        <w:tblStyle w:val="6"/>
        <w:tblW w:w="89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6"/>
        <w:gridCol w:w="1291"/>
        <w:gridCol w:w="1648"/>
        <w:gridCol w:w="1680"/>
        <w:gridCol w:w="952"/>
        <w:gridCol w:w="736"/>
      </w:tblGrid>
      <w:tr w14:paraId="1921D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2636" w:type="dxa"/>
            <w:tcBorders>
              <w:top w:val="single" w:color="auto" w:sz="12" w:space="0"/>
              <w:left w:val="nil"/>
              <w:bottom w:val="single" w:color="auto" w:sz="4" w:space="0"/>
              <w:right w:val="nil"/>
            </w:tcBorders>
            <w:vAlign w:val="center"/>
          </w:tcPr>
          <w:p w14:paraId="5EE58F6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b/>
                <w:sz w:val="20"/>
              </w:rPr>
            </w:pPr>
            <w:r>
              <w:rPr>
                <w:rFonts w:hint="default" w:ascii="Times New Roman" w:hAnsi="Times New Roman" w:eastAsia="宋体" w:cs="Times New Roman"/>
                <w:b/>
                <w:bCs w:val="0"/>
                <w:sz w:val="20"/>
                <w:szCs w:val="20"/>
              </w:rPr>
              <w:t>Scenario</w:t>
            </w:r>
          </w:p>
        </w:tc>
        <w:tc>
          <w:tcPr>
            <w:tcW w:w="1291" w:type="dxa"/>
            <w:tcBorders>
              <w:top w:val="single" w:color="auto" w:sz="12" w:space="0"/>
              <w:left w:val="nil"/>
              <w:bottom w:val="single" w:color="auto" w:sz="4" w:space="0"/>
              <w:right w:val="nil"/>
            </w:tcBorders>
            <w:vAlign w:val="center"/>
          </w:tcPr>
          <w:p w14:paraId="130F62C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b/>
                <w:sz w:val="20"/>
              </w:rPr>
            </w:pPr>
            <w:r>
              <w:rPr>
                <w:rFonts w:hint="default" w:ascii="Times New Roman" w:hAnsi="Times New Roman" w:eastAsia="宋体" w:cs="Times New Roman"/>
                <w:b/>
                <w:bCs w:val="0"/>
                <w:sz w:val="20"/>
                <w:szCs w:val="20"/>
              </w:rPr>
              <w:t>Outcome</w:t>
            </w:r>
          </w:p>
        </w:tc>
        <w:tc>
          <w:tcPr>
            <w:tcW w:w="1648" w:type="dxa"/>
            <w:tcBorders>
              <w:top w:val="single" w:color="auto" w:sz="12" w:space="0"/>
              <w:left w:val="nil"/>
              <w:bottom w:val="single" w:color="auto" w:sz="4" w:space="0"/>
              <w:right w:val="nil"/>
            </w:tcBorders>
            <w:vAlign w:val="center"/>
          </w:tcPr>
          <w:p w14:paraId="14D197B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b/>
                <w:sz w:val="20"/>
              </w:rPr>
            </w:pPr>
            <w:r>
              <w:rPr>
                <w:rFonts w:hint="default" w:ascii="Times New Roman" w:hAnsi="Times New Roman" w:eastAsia="宋体" w:cs="Times New Roman"/>
                <w:b/>
                <w:bCs w:val="0"/>
                <w:sz w:val="20"/>
                <w:szCs w:val="20"/>
              </w:rPr>
              <w:t>Effect measure</w:t>
            </w:r>
          </w:p>
        </w:tc>
        <w:tc>
          <w:tcPr>
            <w:tcW w:w="1680" w:type="dxa"/>
            <w:tcBorders>
              <w:top w:val="single" w:color="auto" w:sz="12" w:space="0"/>
              <w:left w:val="nil"/>
              <w:bottom w:val="single" w:color="auto" w:sz="4" w:space="0"/>
              <w:right w:val="nil"/>
            </w:tcBorders>
            <w:vAlign w:val="center"/>
          </w:tcPr>
          <w:p w14:paraId="71C0C93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bCs w:val="0"/>
                <w:sz w:val="20"/>
                <w:szCs w:val="20"/>
              </w:rPr>
            </w:pPr>
            <w:r>
              <w:rPr>
                <w:rFonts w:hint="default" w:ascii="Times New Roman" w:hAnsi="Times New Roman" w:eastAsia="宋体" w:cs="Times New Roman"/>
                <w:b/>
                <w:bCs w:val="0"/>
                <w:sz w:val="20"/>
                <w:szCs w:val="20"/>
              </w:rPr>
              <w:t xml:space="preserve">Estimate </w:t>
            </w:r>
          </w:p>
          <w:p w14:paraId="49FD0FD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b/>
                <w:sz w:val="20"/>
              </w:rPr>
            </w:pPr>
            <w:r>
              <w:rPr>
                <w:rFonts w:hint="default" w:ascii="Times New Roman" w:hAnsi="Times New Roman" w:eastAsia="宋体" w:cs="Times New Roman"/>
                <w:b/>
                <w:bCs w:val="0"/>
                <w:sz w:val="20"/>
                <w:szCs w:val="20"/>
              </w:rPr>
              <w:t>(lower–upper)</w:t>
            </w:r>
          </w:p>
        </w:tc>
        <w:tc>
          <w:tcPr>
            <w:tcW w:w="952" w:type="dxa"/>
            <w:tcBorders>
              <w:top w:val="single" w:color="auto" w:sz="12" w:space="0"/>
              <w:left w:val="nil"/>
              <w:bottom w:val="single" w:color="auto" w:sz="4" w:space="0"/>
              <w:right w:val="nil"/>
            </w:tcBorders>
            <w:vAlign w:val="center"/>
          </w:tcPr>
          <w:p w14:paraId="7B52B21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b/>
                <w:sz w:val="20"/>
              </w:rPr>
            </w:pPr>
            <w:r>
              <w:rPr>
                <w:rFonts w:hint="default" w:ascii="Times New Roman" w:hAnsi="Times New Roman" w:eastAsia="宋体" w:cs="Times New Roman"/>
                <w:b/>
                <w:bCs w:val="0"/>
                <w:i/>
                <w:iCs/>
                <w:sz w:val="20"/>
                <w:szCs w:val="20"/>
              </w:rPr>
              <w:t>P</w:t>
            </w:r>
            <w:r>
              <w:rPr>
                <w:rFonts w:hint="default" w:ascii="Times New Roman" w:hAnsi="Times New Roman" w:eastAsia="宋体" w:cs="Times New Roman"/>
                <w:b/>
                <w:bCs w:val="0"/>
                <w:sz w:val="20"/>
                <w:szCs w:val="20"/>
              </w:rPr>
              <w:t xml:space="preserve"> value</w:t>
            </w:r>
          </w:p>
        </w:tc>
        <w:tc>
          <w:tcPr>
            <w:tcW w:w="736" w:type="dxa"/>
            <w:tcBorders>
              <w:top w:val="single" w:color="auto" w:sz="12" w:space="0"/>
              <w:left w:val="nil"/>
              <w:bottom w:val="single" w:color="auto" w:sz="4" w:space="0"/>
              <w:right w:val="nil"/>
            </w:tcBorders>
            <w:vAlign w:val="center"/>
          </w:tcPr>
          <w:p w14:paraId="1AC4555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b/>
                <w:sz w:val="20"/>
              </w:rPr>
            </w:pPr>
            <w:r>
              <w:rPr>
                <w:rFonts w:hint="default" w:ascii="Times New Roman" w:hAnsi="Times New Roman" w:eastAsia="宋体" w:cs="Times New Roman"/>
                <w:b/>
                <w:bCs w:val="0"/>
                <w:sz w:val="20"/>
                <w:szCs w:val="20"/>
              </w:rPr>
              <w:t>N</w:t>
            </w:r>
          </w:p>
        </w:tc>
      </w:tr>
      <w:tr w14:paraId="4DDAF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single" w:color="auto" w:sz="4" w:space="0"/>
              <w:left w:val="nil"/>
              <w:bottom w:val="nil"/>
              <w:right w:val="nil"/>
            </w:tcBorders>
            <w:vAlign w:val="center"/>
          </w:tcPr>
          <w:p w14:paraId="54C9336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Main analysis</w:t>
            </w:r>
          </w:p>
        </w:tc>
        <w:tc>
          <w:tcPr>
            <w:tcW w:w="1291" w:type="dxa"/>
            <w:tcBorders>
              <w:top w:val="single" w:color="auto" w:sz="4" w:space="0"/>
              <w:left w:val="nil"/>
              <w:bottom w:val="nil"/>
              <w:right w:val="nil"/>
            </w:tcBorders>
            <w:vAlign w:val="center"/>
          </w:tcPr>
          <w:p w14:paraId="7DECAD8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Falls ≥1</w:t>
            </w:r>
          </w:p>
        </w:tc>
        <w:tc>
          <w:tcPr>
            <w:tcW w:w="1648" w:type="dxa"/>
            <w:tcBorders>
              <w:top w:val="single" w:color="auto" w:sz="4" w:space="0"/>
              <w:left w:val="nil"/>
              <w:bottom w:val="nil"/>
              <w:right w:val="nil"/>
            </w:tcBorders>
            <w:vAlign w:val="center"/>
          </w:tcPr>
          <w:p w14:paraId="0032365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Odds ratio</w:t>
            </w:r>
          </w:p>
        </w:tc>
        <w:tc>
          <w:tcPr>
            <w:tcW w:w="1680" w:type="dxa"/>
            <w:tcBorders>
              <w:top w:val="single" w:color="auto" w:sz="4" w:space="0"/>
              <w:left w:val="nil"/>
              <w:bottom w:val="nil"/>
              <w:right w:val="nil"/>
            </w:tcBorders>
            <w:vAlign w:val="center"/>
          </w:tcPr>
          <w:p w14:paraId="4A51046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1.66 (1.00–2.76)</w:t>
            </w:r>
          </w:p>
        </w:tc>
        <w:tc>
          <w:tcPr>
            <w:tcW w:w="952" w:type="dxa"/>
            <w:tcBorders>
              <w:top w:val="single" w:color="auto" w:sz="4" w:space="0"/>
              <w:left w:val="nil"/>
              <w:bottom w:val="nil"/>
              <w:right w:val="nil"/>
            </w:tcBorders>
            <w:vAlign w:val="center"/>
          </w:tcPr>
          <w:p w14:paraId="1226D18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0.045</w:t>
            </w:r>
          </w:p>
        </w:tc>
        <w:tc>
          <w:tcPr>
            <w:tcW w:w="736" w:type="dxa"/>
            <w:tcBorders>
              <w:top w:val="single" w:color="auto" w:sz="4" w:space="0"/>
              <w:left w:val="nil"/>
              <w:bottom w:val="nil"/>
              <w:right w:val="nil"/>
            </w:tcBorders>
            <w:vAlign w:val="center"/>
          </w:tcPr>
          <w:p w14:paraId="52B9962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1786</w:t>
            </w:r>
          </w:p>
        </w:tc>
      </w:tr>
      <w:tr w14:paraId="1C679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4B2E5D3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Main analysis</w:t>
            </w:r>
          </w:p>
        </w:tc>
        <w:tc>
          <w:tcPr>
            <w:tcW w:w="1291" w:type="dxa"/>
            <w:tcBorders>
              <w:top w:val="nil"/>
              <w:left w:val="nil"/>
              <w:bottom w:val="nil"/>
              <w:right w:val="nil"/>
            </w:tcBorders>
            <w:vAlign w:val="center"/>
          </w:tcPr>
          <w:p w14:paraId="3117CE2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Falls ≥2</w:t>
            </w:r>
          </w:p>
        </w:tc>
        <w:tc>
          <w:tcPr>
            <w:tcW w:w="1648" w:type="dxa"/>
            <w:tcBorders>
              <w:top w:val="nil"/>
              <w:left w:val="nil"/>
              <w:bottom w:val="nil"/>
              <w:right w:val="nil"/>
            </w:tcBorders>
            <w:vAlign w:val="center"/>
          </w:tcPr>
          <w:p w14:paraId="28D5040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Odds ratio</w:t>
            </w:r>
          </w:p>
        </w:tc>
        <w:tc>
          <w:tcPr>
            <w:tcW w:w="1680" w:type="dxa"/>
            <w:tcBorders>
              <w:top w:val="nil"/>
              <w:left w:val="nil"/>
              <w:bottom w:val="nil"/>
              <w:right w:val="nil"/>
            </w:tcBorders>
            <w:vAlign w:val="center"/>
          </w:tcPr>
          <w:p w14:paraId="4DF6820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1.35 (0.58–3.11)</w:t>
            </w:r>
          </w:p>
        </w:tc>
        <w:tc>
          <w:tcPr>
            <w:tcW w:w="952" w:type="dxa"/>
            <w:tcBorders>
              <w:top w:val="nil"/>
              <w:left w:val="nil"/>
              <w:bottom w:val="nil"/>
              <w:right w:val="nil"/>
            </w:tcBorders>
            <w:vAlign w:val="center"/>
          </w:tcPr>
          <w:p w14:paraId="1D660B7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0.487</w:t>
            </w:r>
          </w:p>
        </w:tc>
        <w:tc>
          <w:tcPr>
            <w:tcW w:w="736" w:type="dxa"/>
            <w:tcBorders>
              <w:top w:val="nil"/>
              <w:left w:val="nil"/>
              <w:bottom w:val="nil"/>
              <w:right w:val="nil"/>
            </w:tcBorders>
            <w:vAlign w:val="center"/>
          </w:tcPr>
          <w:p w14:paraId="6B103E3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1786</w:t>
            </w:r>
          </w:p>
        </w:tc>
      </w:tr>
      <w:tr w14:paraId="61A41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693C69E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Main analysis</w:t>
            </w:r>
          </w:p>
        </w:tc>
        <w:tc>
          <w:tcPr>
            <w:tcW w:w="1291" w:type="dxa"/>
            <w:tcBorders>
              <w:top w:val="nil"/>
              <w:left w:val="nil"/>
              <w:bottom w:val="nil"/>
              <w:right w:val="nil"/>
            </w:tcBorders>
            <w:vAlign w:val="center"/>
          </w:tcPr>
          <w:p w14:paraId="3A479BE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Prior fracture</w:t>
            </w:r>
          </w:p>
        </w:tc>
        <w:tc>
          <w:tcPr>
            <w:tcW w:w="1648" w:type="dxa"/>
            <w:tcBorders>
              <w:top w:val="nil"/>
              <w:left w:val="nil"/>
              <w:bottom w:val="nil"/>
              <w:right w:val="nil"/>
            </w:tcBorders>
            <w:vAlign w:val="center"/>
          </w:tcPr>
          <w:p w14:paraId="3763D8D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Odds ratio</w:t>
            </w:r>
          </w:p>
        </w:tc>
        <w:tc>
          <w:tcPr>
            <w:tcW w:w="1680" w:type="dxa"/>
            <w:tcBorders>
              <w:top w:val="nil"/>
              <w:left w:val="nil"/>
              <w:bottom w:val="nil"/>
              <w:right w:val="nil"/>
            </w:tcBorders>
            <w:vAlign w:val="center"/>
          </w:tcPr>
          <w:p w14:paraId="41DB029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1.59 (0.93–2.73)</w:t>
            </w:r>
          </w:p>
        </w:tc>
        <w:tc>
          <w:tcPr>
            <w:tcW w:w="952" w:type="dxa"/>
            <w:tcBorders>
              <w:top w:val="nil"/>
              <w:left w:val="nil"/>
              <w:bottom w:val="nil"/>
              <w:right w:val="nil"/>
            </w:tcBorders>
            <w:vAlign w:val="center"/>
          </w:tcPr>
          <w:p w14:paraId="6D4B273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0.089</w:t>
            </w:r>
          </w:p>
        </w:tc>
        <w:tc>
          <w:tcPr>
            <w:tcW w:w="736" w:type="dxa"/>
            <w:tcBorders>
              <w:top w:val="nil"/>
              <w:left w:val="nil"/>
              <w:bottom w:val="nil"/>
              <w:right w:val="nil"/>
            </w:tcBorders>
            <w:vAlign w:val="center"/>
          </w:tcPr>
          <w:p w14:paraId="4FC0F6B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1786</w:t>
            </w:r>
          </w:p>
        </w:tc>
      </w:tr>
      <w:tr w14:paraId="103A6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4E34B7E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Main analysis</w:t>
            </w:r>
          </w:p>
        </w:tc>
        <w:tc>
          <w:tcPr>
            <w:tcW w:w="1291" w:type="dxa"/>
            <w:tcBorders>
              <w:top w:val="nil"/>
              <w:left w:val="nil"/>
              <w:bottom w:val="nil"/>
              <w:right w:val="nil"/>
            </w:tcBorders>
            <w:vAlign w:val="center"/>
          </w:tcPr>
          <w:p w14:paraId="3586107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Lumbar T-score</w:t>
            </w:r>
          </w:p>
        </w:tc>
        <w:tc>
          <w:tcPr>
            <w:tcW w:w="1648" w:type="dxa"/>
            <w:tcBorders>
              <w:top w:val="nil"/>
              <w:left w:val="nil"/>
              <w:bottom w:val="nil"/>
              <w:right w:val="nil"/>
            </w:tcBorders>
            <w:vAlign w:val="center"/>
          </w:tcPr>
          <w:p w14:paraId="4A7A2C4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Mean difference</w:t>
            </w:r>
          </w:p>
        </w:tc>
        <w:tc>
          <w:tcPr>
            <w:tcW w:w="1680" w:type="dxa"/>
            <w:tcBorders>
              <w:top w:val="nil"/>
              <w:left w:val="nil"/>
              <w:bottom w:val="nil"/>
              <w:right w:val="nil"/>
            </w:tcBorders>
            <w:vAlign w:val="center"/>
          </w:tcPr>
          <w:p w14:paraId="4805200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−2.75 (−2.92–−2.59)</w:t>
            </w:r>
          </w:p>
        </w:tc>
        <w:tc>
          <w:tcPr>
            <w:tcW w:w="952" w:type="dxa"/>
            <w:tcBorders>
              <w:top w:val="nil"/>
              <w:left w:val="nil"/>
              <w:bottom w:val="nil"/>
              <w:right w:val="nil"/>
            </w:tcBorders>
            <w:vAlign w:val="center"/>
          </w:tcPr>
          <w:p w14:paraId="61C9C2D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&lt;</w:t>
            </w:r>
            <w:r>
              <w:rPr>
                <w:rFonts w:hint="eastAsia" w:ascii="Times New Roman" w:hAnsi="Times New Roman" w:eastAsia="宋体" w:cs="Times New Roman"/>
                <w:b w:val="0"/>
                <w:bCs w:val="0"/>
                <w:sz w:val="20"/>
                <w:szCs w:val="20"/>
                <w:lang w:val="en-US" w:eastAsia="zh-CN"/>
              </w:rPr>
              <w:t xml:space="preserve"> </w:t>
            </w:r>
            <w:r>
              <w:rPr>
                <w:rFonts w:hint="default" w:ascii="Times New Roman" w:hAnsi="Times New Roman" w:eastAsia="宋体" w:cs="Times New Roman"/>
                <w:b w:val="0"/>
                <w:bCs w:val="0"/>
                <w:sz w:val="20"/>
                <w:szCs w:val="20"/>
              </w:rPr>
              <w:t>0.001</w:t>
            </w:r>
          </w:p>
        </w:tc>
        <w:tc>
          <w:tcPr>
            <w:tcW w:w="736" w:type="dxa"/>
            <w:tcBorders>
              <w:top w:val="nil"/>
              <w:left w:val="nil"/>
              <w:bottom w:val="nil"/>
              <w:right w:val="nil"/>
            </w:tcBorders>
            <w:vAlign w:val="center"/>
          </w:tcPr>
          <w:p w14:paraId="3D47548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1786</w:t>
            </w:r>
          </w:p>
        </w:tc>
      </w:tr>
      <w:tr w14:paraId="5ABB3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044BC94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Main analysis</w:t>
            </w:r>
          </w:p>
        </w:tc>
        <w:tc>
          <w:tcPr>
            <w:tcW w:w="1291" w:type="dxa"/>
            <w:tcBorders>
              <w:top w:val="nil"/>
              <w:left w:val="nil"/>
              <w:bottom w:val="nil"/>
              <w:right w:val="nil"/>
            </w:tcBorders>
            <w:vAlign w:val="center"/>
          </w:tcPr>
          <w:p w14:paraId="64015DD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Hip T-score</w:t>
            </w:r>
          </w:p>
        </w:tc>
        <w:tc>
          <w:tcPr>
            <w:tcW w:w="1648" w:type="dxa"/>
            <w:tcBorders>
              <w:top w:val="nil"/>
              <w:left w:val="nil"/>
              <w:bottom w:val="nil"/>
              <w:right w:val="nil"/>
            </w:tcBorders>
            <w:vAlign w:val="center"/>
          </w:tcPr>
          <w:p w14:paraId="74C6481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Mean difference</w:t>
            </w:r>
          </w:p>
        </w:tc>
        <w:tc>
          <w:tcPr>
            <w:tcW w:w="1680" w:type="dxa"/>
            <w:tcBorders>
              <w:top w:val="nil"/>
              <w:left w:val="nil"/>
              <w:bottom w:val="nil"/>
              <w:right w:val="nil"/>
            </w:tcBorders>
            <w:vAlign w:val="center"/>
          </w:tcPr>
          <w:p w14:paraId="7614D16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−2.55 (−2.68–−2.42)</w:t>
            </w:r>
          </w:p>
        </w:tc>
        <w:tc>
          <w:tcPr>
            <w:tcW w:w="952" w:type="dxa"/>
            <w:tcBorders>
              <w:top w:val="nil"/>
              <w:left w:val="nil"/>
              <w:bottom w:val="nil"/>
              <w:right w:val="nil"/>
            </w:tcBorders>
            <w:vAlign w:val="center"/>
          </w:tcPr>
          <w:p w14:paraId="4680C87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&lt;</w:t>
            </w:r>
            <w:r>
              <w:rPr>
                <w:rFonts w:hint="eastAsia" w:ascii="Times New Roman" w:hAnsi="Times New Roman" w:eastAsia="宋体" w:cs="Times New Roman"/>
                <w:b w:val="0"/>
                <w:bCs w:val="0"/>
                <w:sz w:val="20"/>
                <w:szCs w:val="20"/>
                <w:lang w:val="en-US" w:eastAsia="zh-CN"/>
              </w:rPr>
              <w:t xml:space="preserve"> </w:t>
            </w:r>
            <w:r>
              <w:rPr>
                <w:rFonts w:hint="default" w:ascii="Times New Roman" w:hAnsi="Times New Roman" w:eastAsia="宋体" w:cs="Times New Roman"/>
                <w:b w:val="0"/>
                <w:bCs w:val="0"/>
                <w:sz w:val="20"/>
                <w:szCs w:val="20"/>
              </w:rPr>
              <w:t>0.001</w:t>
            </w:r>
          </w:p>
        </w:tc>
        <w:tc>
          <w:tcPr>
            <w:tcW w:w="736" w:type="dxa"/>
            <w:tcBorders>
              <w:top w:val="nil"/>
              <w:left w:val="nil"/>
              <w:bottom w:val="nil"/>
              <w:right w:val="nil"/>
            </w:tcBorders>
            <w:vAlign w:val="center"/>
          </w:tcPr>
          <w:p w14:paraId="7685A35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1786</w:t>
            </w:r>
          </w:p>
        </w:tc>
      </w:tr>
      <w:tr w14:paraId="62C93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53AFC1B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Bone status: lumbar only</w:t>
            </w:r>
          </w:p>
        </w:tc>
        <w:tc>
          <w:tcPr>
            <w:tcW w:w="1291" w:type="dxa"/>
            <w:tcBorders>
              <w:top w:val="nil"/>
              <w:left w:val="nil"/>
              <w:bottom w:val="nil"/>
              <w:right w:val="nil"/>
            </w:tcBorders>
            <w:vAlign w:val="center"/>
          </w:tcPr>
          <w:p w14:paraId="7C5667A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Falls ≥1</w:t>
            </w:r>
          </w:p>
        </w:tc>
        <w:tc>
          <w:tcPr>
            <w:tcW w:w="1648" w:type="dxa"/>
            <w:tcBorders>
              <w:top w:val="nil"/>
              <w:left w:val="nil"/>
              <w:bottom w:val="nil"/>
              <w:right w:val="nil"/>
            </w:tcBorders>
            <w:vAlign w:val="center"/>
          </w:tcPr>
          <w:p w14:paraId="4D69ACD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Odds ratio</w:t>
            </w:r>
          </w:p>
        </w:tc>
        <w:tc>
          <w:tcPr>
            <w:tcW w:w="1680" w:type="dxa"/>
            <w:tcBorders>
              <w:top w:val="nil"/>
              <w:left w:val="nil"/>
              <w:bottom w:val="nil"/>
              <w:right w:val="nil"/>
            </w:tcBorders>
            <w:vAlign w:val="center"/>
          </w:tcPr>
          <w:p w14:paraId="3DD9E0E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1.52 (0.92–2.51)</w:t>
            </w:r>
          </w:p>
        </w:tc>
        <w:tc>
          <w:tcPr>
            <w:tcW w:w="952" w:type="dxa"/>
            <w:tcBorders>
              <w:top w:val="nil"/>
              <w:left w:val="nil"/>
              <w:bottom w:val="nil"/>
              <w:right w:val="nil"/>
            </w:tcBorders>
            <w:vAlign w:val="center"/>
          </w:tcPr>
          <w:p w14:paraId="2C9B947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0.103</w:t>
            </w:r>
          </w:p>
        </w:tc>
        <w:tc>
          <w:tcPr>
            <w:tcW w:w="736" w:type="dxa"/>
            <w:tcBorders>
              <w:top w:val="nil"/>
              <w:left w:val="nil"/>
              <w:bottom w:val="nil"/>
              <w:right w:val="nil"/>
            </w:tcBorders>
            <w:vAlign w:val="center"/>
          </w:tcPr>
          <w:p w14:paraId="5DE3ED6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1786</w:t>
            </w:r>
          </w:p>
        </w:tc>
      </w:tr>
      <w:tr w14:paraId="53F7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3CD6057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Bone status: lumbar only</w:t>
            </w:r>
          </w:p>
        </w:tc>
        <w:tc>
          <w:tcPr>
            <w:tcW w:w="1291" w:type="dxa"/>
            <w:tcBorders>
              <w:top w:val="nil"/>
              <w:left w:val="nil"/>
              <w:bottom w:val="nil"/>
              <w:right w:val="nil"/>
            </w:tcBorders>
            <w:vAlign w:val="center"/>
          </w:tcPr>
          <w:p w14:paraId="229EE4E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Falls ≥2</w:t>
            </w:r>
          </w:p>
        </w:tc>
        <w:tc>
          <w:tcPr>
            <w:tcW w:w="1648" w:type="dxa"/>
            <w:tcBorders>
              <w:top w:val="nil"/>
              <w:left w:val="nil"/>
              <w:bottom w:val="nil"/>
              <w:right w:val="nil"/>
            </w:tcBorders>
            <w:vAlign w:val="center"/>
          </w:tcPr>
          <w:p w14:paraId="41CDAD4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Odds ratio</w:t>
            </w:r>
          </w:p>
        </w:tc>
        <w:tc>
          <w:tcPr>
            <w:tcW w:w="1680" w:type="dxa"/>
            <w:tcBorders>
              <w:top w:val="nil"/>
              <w:left w:val="nil"/>
              <w:bottom w:val="nil"/>
              <w:right w:val="nil"/>
            </w:tcBorders>
            <w:vAlign w:val="center"/>
          </w:tcPr>
          <w:p w14:paraId="3786E03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1.14 (0.50–2.58)</w:t>
            </w:r>
          </w:p>
        </w:tc>
        <w:tc>
          <w:tcPr>
            <w:tcW w:w="952" w:type="dxa"/>
            <w:tcBorders>
              <w:top w:val="nil"/>
              <w:left w:val="nil"/>
              <w:bottom w:val="nil"/>
              <w:right w:val="nil"/>
            </w:tcBorders>
            <w:vAlign w:val="center"/>
          </w:tcPr>
          <w:p w14:paraId="6A5AF42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0.758</w:t>
            </w:r>
          </w:p>
        </w:tc>
        <w:tc>
          <w:tcPr>
            <w:tcW w:w="736" w:type="dxa"/>
            <w:tcBorders>
              <w:top w:val="nil"/>
              <w:left w:val="nil"/>
              <w:bottom w:val="nil"/>
              <w:right w:val="nil"/>
            </w:tcBorders>
            <w:vAlign w:val="center"/>
          </w:tcPr>
          <w:p w14:paraId="4140975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1786</w:t>
            </w:r>
          </w:p>
        </w:tc>
      </w:tr>
      <w:tr w14:paraId="7BF1E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341105A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Bone status: lumbar only</w:t>
            </w:r>
          </w:p>
        </w:tc>
        <w:tc>
          <w:tcPr>
            <w:tcW w:w="1291" w:type="dxa"/>
            <w:tcBorders>
              <w:top w:val="nil"/>
              <w:left w:val="nil"/>
              <w:bottom w:val="nil"/>
              <w:right w:val="nil"/>
            </w:tcBorders>
            <w:vAlign w:val="center"/>
          </w:tcPr>
          <w:p w14:paraId="11626D4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Prior fracture</w:t>
            </w:r>
          </w:p>
        </w:tc>
        <w:tc>
          <w:tcPr>
            <w:tcW w:w="1648" w:type="dxa"/>
            <w:tcBorders>
              <w:top w:val="nil"/>
              <w:left w:val="nil"/>
              <w:bottom w:val="nil"/>
              <w:right w:val="nil"/>
            </w:tcBorders>
            <w:vAlign w:val="center"/>
          </w:tcPr>
          <w:p w14:paraId="3D61483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Odds ratio</w:t>
            </w:r>
          </w:p>
        </w:tc>
        <w:tc>
          <w:tcPr>
            <w:tcW w:w="1680" w:type="dxa"/>
            <w:tcBorders>
              <w:top w:val="nil"/>
              <w:left w:val="nil"/>
              <w:bottom w:val="nil"/>
              <w:right w:val="nil"/>
            </w:tcBorders>
            <w:vAlign w:val="center"/>
          </w:tcPr>
          <w:p w14:paraId="556DE55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1.45 (0.85–2.49)</w:t>
            </w:r>
          </w:p>
        </w:tc>
        <w:tc>
          <w:tcPr>
            <w:tcW w:w="952" w:type="dxa"/>
            <w:tcBorders>
              <w:top w:val="nil"/>
              <w:left w:val="nil"/>
              <w:bottom w:val="nil"/>
              <w:right w:val="nil"/>
            </w:tcBorders>
            <w:vAlign w:val="center"/>
          </w:tcPr>
          <w:p w14:paraId="17B32A9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0.179</w:t>
            </w:r>
          </w:p>
        </w:tc>
        <w:tc>
          <w:tcPr>
            <w:tcW w:w="736" w:type="dxa"/>
            <w:tcBorders>
              <w:top w:val="nil"/>
              <w:left w:val="nil"/>
              <w:bottom w:val="nil"/>
              <w:right w:val="nil"/>
            </w:tcBorders>
            <w:vAlign w:val="center"/>
          </w:tcPr>
          <w:p w14:paraId="09A85B4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1786</w:t>
            </w:r>
          </w:p>
        </w:tc>
      </w:tr>
      <w:tr w14:paraId="3772B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36913D9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Bone status: lumbar only</w:t>
            </w:r>
          </w:p>
        </w:tc>
        <w:tc>
          <w:tcPr>
            <w:tcW w:w="1291" w:type="dxa"/>
            <w:tcBorders>
              <w:top w:val="nil"/>
              <w:left w:val="nil"/>
              <w:bottom w:val="nil"/>
              <w:right w:val="nil"/>
            </w:tcBorders>
            <w:vAlign w:val="center"/>
          </w:tcPr>
          <w:p w14:paraId="5E48EE3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Lumbar T-score</w:t>
            </w:r>
          </w:p>
        </w:tc>
        <w:tc>
          <w:tcPr>
            <w:tcW w:w="1648" w:type="dxa"/>
            <w:tcBorders>
              <w:top w:val="nil"/>
              <w:left w:val="nil"/>
              <w:bottom w:val="nil"/>
              <w:right w:val="nil"/>
            </w:tcBorders>
            <w:vAlign w:val="center"/>
          </w:tcPr>
          <w:p w14:paraId="5145B8D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Mean difference</w:t>
            </w:r>
          </w:p>
        </w:tc>
        <w:tc>
          <w:tcPr>
            <w:tcW w:w="1680" w:type="dxa"/>
            <w:tcBorders>
              <w:top w:val="nil"/>
              <w:left w:val="nil"/>
              <w:bottom w:val="nil"/>
              <w:right w:val="nil"/>
            </w:tcBorders>
            <w:vAlign w:val="center"/>
          </w:tcPr>
          <w:p w14:paraId="1E4C771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−2.93 (−3.10–−2.76)</w:t>
            </w:r>
          </w:p>
        </w:tc>
        <w:tc>
          <w:tcPr>
            <w:tcW w:w="952" w:type="dxa"/>
            <w:tcBorders>
              <w:top w:val="nil"/>
              <w:left w:val="nil"/>
              <w:bottom w:val="nil"/>
              <w:right w:val="nil"/>
            </w:tcBorders>
            <w:vAlign w:val="center"/>
          </w:tcPr>
          <w:p w14:paraId="6C1BDD3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&lt;0.001</w:t>
            </w:r>
          </w:p>
        </w:tc>
        <w:tc>
          <w:tcPr>
            <w:tcW w:w="736" w:type="dxa"/>
            <w:tcBorders>
              <w:top w:val="nil"/>
              <w:left w:val="nil"/>
              <w:bottom w:val="nil"/>
              <w:right w:val="nil"/>
            </w:tcBorders>
            <w:vAlign w:val="center"/>
          </w:tcPr>
          <w:p w14:paraId="350FD36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1786</w:t>
            </w:r>
          </w:p>
        </w:tc>
      </w:tr>
      <w:tr w14:paraId="3DDEB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0F9CF50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Bone status: lumbar only</w:t>
            </w:r>
          </w:p>
        </w:tc>
        <w:tc>
          <w:tcPr>
            <w:tcW w:w="1291" w:type="dxa"/>
            <w:tcBorders>
              <w:top w:val="nil"/>
              <w:left w:val="nil"/>
              <w:bottom w:val="nil"/>
              <w:right w:val="nil"/>
            </w:tcBorders>
            <w:vAlign w:val="center"/>
          </w:tcPr>
          <w:p w14:paraId="338FA0F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Hip T-score</w:t>
            </w:r>
          </w:p>
        </w:tc>
        <w:tc>
          <w:tcPr>
            <w:tcW w:w="1648" w:type="dxa"/>
            <w:tcBorders>
              <w:top w:val="nil"/>
              <w:left w:val="nil"/>
              <w:bottom w:val="nil"/>
              <w:right w:val="nil"/>
            </w:tcBorders>
            <w:vAlign w:val="center"/>
          </w:tcPr>
          <w:p w14:paraId="5AF6CCA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Mean difference</w:t>
            </w:r>
          </w:p>
        </w:tc>
        <w:tc>
          <w:tcPr>
            <w:tcW w:w="1680" w:type="dxa"/>
            <w:tcBorders>
              <w:top w:val="nil"/>
              <w:left w:val="nil"/>
              <w:bottom w:val="nil"/>
              <w:right w:val="nil"/>
            </w:tcBorders>
            <w:vAlign w:val="center"/>
          </w:tcPr>
          <w:p w14:paraId="628E562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−1.53 (−1.66–−1.40)</w:t>
            </w:r>
          </w:p>
        </w:tc>
        <w:tc>
          <w:tcPr>
            <w:tcW w:w="952" w:type="dxa"/>
            <w:tcBorders>
              <w:top w:val="nil"/>
              <w:left w:val="nil"/>
              <w:bottom w:val="nil"/>
              <w:right w:val="nil"/>
            </w:tcBorders>
            <w:vAlign w:val="center"/>
          </w:tcPr>
          <w:p w14:paraId="6A71E65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&lt;</w:t>
            </w:r>
            <w:r>
              <w:rPr>
                <w:rFonts w:hint="eastAsia" w:ascii="Times New Roman" w:hAnsi="Times New Roman" w:eastAsia="宋体" w:cs="Times New Roman"/>
                <w:b w:val="0"/>
                <w:bCs w:val="0"/>
                <w:sz w:val="20"/>
                <w:szCs w:val="20"/>
                <w:lang w:val="en-US" w:eastAsia="zh-CN"/>
              </w:rPr>
              <w:t xml:space="preserve"> </w:t>
            </w:r>
            <w:r>
              <w:rPr>
                <w:rFonts w:hint="default" w:ascii="Times New Roman" w:hAnsi="Times New Roman" w:eastAsia="宋体" w:cs="Times New Roman"/>
                <w:b w:val="0"/>
                <w:bCs w:val="0"/>
                <w:sz w:val="20"/>
                <w:szCs w:val="20"/>
              </w:rPr>
              <w:t>0.001</w:t>
            </w:r>
          </w:p>
        </w:tc>
        <w:tc>
          <w:tcPr>
            <w:tcW w:w="736" w:type="dxa"/>
            <w:tcBorders>
              <w:top w:val="nil"/>
              <w:left w:val="nil"/>
              <w:bottom w:val="nil"/>
              <w:right w:val="nil"/>
            </w:tcBorders>
            <w:vAlign w:val="center"/>
          </w:tcPr>
          <w:p w14:paraId="35018F0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1786</w:t>
            </w:r>
          </w:p>
        </w:tc>
      </w:tr>
      <w:tr w14:paraId="26272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3C1E1DC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Bone status: hip only</w:t>
            </w:r>
          </w:p>
        </w:tc>
        <w:tc>
          <w:tcPr>
            <w:tcW w:w="1291" w:type="dxa"/>
            <w:tcBorders>
              <w:top w:val="nil"/>
              <w:left w:val="nil"/>
              <w:bottom w:val="nil"/>
              <w:right w:val="nil"/>
            </w:tcBorders>
            <w:vAlign w:val="center"/>
          </w:tcPr>
          <w:p w14:paraId="6A9AE1D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Falls ≥1</w:t>
            </w:r>
          </w:p>
        </w:tc>
        <w:tc>
          <w:tcPr>
            <w:tcW w:w="1648" w:type="dxa"/>
            <w:tcBorders>
              <w:top w:val="nil"/>
              <w:left w:val="nil"/>
              <w:bottom w:val="nil"/>
              <w:right w:val="nil"/>
            </w:tcBorders>
            <w:vAlign w:val="center"/>
          </w:tcPr>
          <w:p w14:paraId="7199EFE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Odds ratio</w:t>
            </w:r>
          </w:p>
        </w:tc>
        <w:tc>
          <w:tcPr>
            <w:tcW w:w="1680" w:type="dxa"/>
            <w:tcBorders>
              <w:top w:val="nil"/>
              <w:left w:val="nil"/>
              <w:bottom w:val="nil"/>
              <w:right w:val="nil"/>
            </w:tcBorders>
            <w:vAlign w:val="center"/>
          </w:tcPr>
          <w:p w14:paraId="530E14F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1.72 (1.05–2.80)</w:t>
            </w:r>
          </w:p>
        </w:tc>
        <w:tc>
          <w:tcPr>
            <w:tcW w:w="952" w:type="dxa"/>
            <w:tcBorders>
              <w:top w:val="nil"/>
              <w:left w:val="nil"/>
              <w:bottom w:val="nil"/>
              <w:right w:val="nil"/>
            </w:tcBorders>
            <w:vAlign w:val="center"/>
          </w:tcPr>
          <w:p w14:paraId="190FCFF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0.032</w:t>
            </w:r>
          </w:p>
        </w:tc>
        <w:tc>
          <w:tcPr>
            <w:tcW w:w="736" w:type="dxa"/>
            <w:tcBorders>
              <w:top w:val="nil"/>
              <w:left w:val="nil"/>
              <w:bottom w:val="nil"/>
              <w:right w:val="nil"/>
            </w:tcBorders>
            <w:vAlign w:val="center"/>
          </w:tcPr>
          <w:p w14:paraId="5F295EE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1786</w:t>
            </w:r>
          </w:p>
        </w:tc>
      </w:tr>
      <w:tr w14:paraId="531B4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69DFA5E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Bone status: hip only</w:t>
            </w:r>
          </w:p>
        </w:tc>
        <w:tc>
          <w:tcPr>
            <w:tcW w:w="1291" w:type="dxa"/>
            <w:tcBorders>
              <w:top w:val="nil"/>
              <w:left w:val="nil"/>
              <w:bottom w:val="nil"/>
              <w:right w:val="nil"/>
            </w:tcBorders>
            <w:vAlign w:val="center"/>
          </w:tcPr>
          <w:p w14:paraId="2C30422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Falls ≥2</w:t>
            </w:r>
          </w:p>
        </w:tc>
        <w:tc>
          <w:tcPr>
            <w:tcW w:w="1648" w:type="dxa"/>
            <w:tcBorders>
              <w:top w:val="nil"/>
              <w:left w:val="nil"/>
              <w:bottom w:val="nil"/>
              <w:right w:val="nil"/>
            </w:tcBorders>
            <w:vAlign w:val="center"/>
          </w:tcPr>
          <w:p w14:paraId="2DBC309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Odds ratio</w:t>
            </w:r>
          </w:p>
        </w:tc>
        <w:tc>
          <w:tcPr>
            <w:tcW w:w="1680" w:type="dxa"/>
            <w:tcBorders>
              <w:top w:val="nil"/>
              <w:left w:val="nil"/>
              <w:bottom w:val="nil"/>
              <w:right w:val="nil"/>
            </w:tcBorders>
            <w:vAlign w:val="center"/>
          </w:tcPr>
          <w:p w14:paraId="148C3FA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1.37 (0.59–3.15)</w:t>
            </w:r>
          </w:p>
        </w:tc>
        <w:tc>
          <w:tcPr>
            <w:tcW w:w="952" w:type="dxa"/>
            <w:tcBorders>
              <w:top w:val="nil"/>
              <w:left w:val="nil"/>
              <w:bottom w:val="nil"/>
              <w:right w:val="nil"/>
            </w:tcBorders>
            <w:vAlign w:val="center"/>
          </w:tcPr>
          <w:p w14:paraId="0F948E9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0.461</w:t>
            </w:r>
          </w:p>
        </w:tc>
        <w:tc>
          <w:tcPr>
            <w:tcW w:w="736" w:type="dxa"/>
            <w:tcBorders>
              <w:top w:val="nil"/>
              <w:left w:val="nil"/>
              <w:bottom w:val="nil"/>
              <w:right w:val="nil"/>
            </w:tcBorders>
            <w:vAlign w:val="center"/>
          </w:tcPr>
          <w:p w14:paraId="5571286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1786</w:t>
            </w:r>
          </w:p>
        </w:tc>
      </w:tr>
      <w:tr w14:paraId="6713F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36C7B9D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Bone status: hip only</w:t>
            </w:r>
          </w:p>
        </w:tc>
        <w:tc>
          <w:tcPr>
            <w:tcW w:w="1291" w:type="dxa"/>
            <w:tcBorders>
              <w:top w:val="nil"/>
              <w:left w:val="nil"/>
              <w:bottom w:val="nil"/>
              <w:right w:val="nil"/>
            </w:tcBorders>
            <w:vAlign w:val="center"/>
          </w:tcPr>
          <w:p w14:paraId="7688CC0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Prior fracture</w:t>
            </w:r>
          </w:p>
        </w:tc>
        <w:tc>
          <w:tcPr>
            <w:tcW w:w="1648" w:type="dxa"/>
            <w:tcBorders>
              <w:top w:val="nil"/>
              <w:left w:val="nil"/>
              <w:bottom w:val="nil"/>
              <w:right w:val="nil"/>
            </w:tcBorders>
            <w:vAlign w:val="center"/>
          </w:tcPr>
          <w:p w14:paraId="6AF9C28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Odds ratio</w:t>
            </w:r>
          </w:p>
        </w:tc>
        <w:tc>
          <w:tcPr>
            <w:tcW w:w="1680" w:type="dxa"/>
            <w:tcBorders>
              <w:top w:val="nil"/>
              <w:left w:val="nil"/>
              <w:bottom w:val="nil"/>
              <w:right w:val="nil"/>
            </w:tcBorders>
            <w:vAlign w:val="center"/>
          </w:tcPr>
          <w:p w14:paraId="42A4759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1.72 (1.01–2.92)</w:t>
            </w:r>
          </w:p>
        </w:tc>
        <w:tc>
          <w:tcPr>
            <w:tcW w:w="952" w:type="dxa"/>
            <w:tcBorders>
              <w:top w:val="nil"/>
              <w:left w:val="nil"/>
              <w:bottom w:val="nil"/>
              <w:right w:val="nil"/>
            </w:tcBorders>
            <w:vAlign w:val="center"/>
          </w:tcPr>
          <w:p w14:paraId="7F96988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0.045</w:t>
            </w:r>
          </w:p>
        </w:tc>
        <w:tc>
          <w:tcPr>
            <w:tcW w:w="736" w:type="dxa"/>
            <w:tcBorders>
              <w:top w:val="nil"/>
              <w:left w:val="nil"/>
              <w:bottom w:val="nil"/>
              <w:right w:val="nil"/>
            </w:tcBorders>
            <w:vAlign w:val="center"/>
          </w:tcPr>
          <w:p w14:paraId="4A7F15B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1786</w:t>
            </w:r>
          </w:p>
        </w:tc>
      </w:tr>
      <w:tr w14:paraId="465E5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5F1ED75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Bone status: hip only</w:t>
            </w:r>
          </w:p>
        </w:tc>
        <w:tc>
          <w:tcPr>
            <w:tcW w:w="1291" w:type="dxa"/>
            <w:tcBorders>
              <w:top w:val="nil"/>
              <w:left w:val="nil"/>
              <w:bottom w:val="nil"/>
              <w:right w:val="nil"/>
            </w:tcBorders>
            <w:vAlign w:val="center"/>
          </w:tcPr>
          <w:p w14:paraId="00A1467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Lumbar T-score</w:t>
            </w:r>
          </w:p>
        </w:tc>
        <w:tc>
          <w:tcPr>
            <w:tcW w:w="1648" w:type="dxa"/>
            <w:tcBorders>
              <w:top w:val="nil"/>
              <w:left w:val="nil"/>
              <w:bottom w:val="nil"/>
              <w:right w:val="nil"/>
            </w:tcBorders>
            <w:vAlign w:val="center"/>
          </w:tcPr>
          <w:p w14:paraId="6AD64B7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Mean difference</w:t>
            </w:r>
          </w:p>
        </w:tc>
        <w:tc>
          <w:tcPr>
            <w:tcW w:w="1680" w:type="dxa"/>
            <w:tcBorders>
              <w:top w:val="nil"/>
              <w:left w:val="nil"/>
              <w:bottom w:val="nil"/>
              <w:right w:val="nil"/>
            </w:tcBorders>
            <w:vAlign w:val="center"/>
          </w:tcPr>
          <w:p w14:paraId="1674AD7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−1.54 (−1.72–−1.36)</w:t>
            </w:r>
          </w:p>
        </w:tc>
        <w:tc>
          <w:tcPr>
            <w:tcW w:w="952" w:type="dxa"/>
            <w:tcBorders>
              <w:top w:val="nil"/>
              <w:left w:val="nil"/>
              <w:bottom w:val="nil"/>
              <w:right w:val="nil"/>
            </w:tcBorders>
            <w:vAlign w:val="center"/>
          </w:tcPr>
          <w:p w14:paraId="4DC3F6F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&lt;</w:t>
            </w:r>
            <w:r>
              <w:rPr>
                <w:rFonts w:hint="eastAsia" w:ascii="Times New Roman" w:hAnsi="Times New Roman" w:eastAsia="宋体" w:cs="Times New Roman"/>
                <w:b w:val="0"/>
                <w:bCs w:val="0"/>
                <w:sz w:val="20"/>
                <w:szCs w:val="20"/>
                <w:lang w:val="en-US" w:eastAsia="zh-CN"/>
              </w:rPr>
              <w:t xml:space="preserve"> </w:t>
            </w:r>
            <w:r>
              <w:rPr>
                <w:rFonts w:hint="default" w:ascii="Times New Roman" w:hAnsi="Times New Roman" w:eastAsia="宋体" w:cs="Times New Roman"/>
                <w:b w:val="0"/>
                <w:bCs w:val="0"/>
                <w:sz w:val="20"/>
                <w:szCs w:val="20"/>
              </w:rPr>
              <w:t>0.001</w:t>
            </w:r>
          </w:p>
        </w:tc>
        <w:tc>
          <w:tcPr>
            <w:tcW w:w="736" w:type="dxa"/>
            <w:tcBorders>
              <w:top w:val="nil"/>
              <w:left w:val="nil"/>
              <w:bottom w:val="nil"/>
              <w:right w:val="nil"/>
            </w:tcBorders>
            <w:vAlign w:val="center"/>
          </w:tcPr>
          <w:p w14:paraId="48A91AF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1786</w:t>
            </w:r>
          </w:p>
        </w:tc>
      </w:tr>
      <w:tr w14:paraId="71CC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572E22F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Bone status: hip only</w:t>
            </w:r>
          </w:p>
        </w:tc>
        <w:tc>
          <w:tcPr>
            <w:tcW w:w="1291" w:type="dxa"/>
            <w:tcBorders>
              <w:top w:val="nil"/>
              <w:left w:val="nil"/>
              <w:bottom w:val="nil"/>
              <w:right w:val="nil"/>
            </w:tcBorders>
            <w:vAlign w:val="center"/>
          </w:tcPr>
          <w:p w14:paraId="24A3710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Hip T-score</w:t>
            </w:r>
          </w:p>
        </w:tc>
        <w:tc>
          <w:tcPr>
            <w:tcW w:w="1648" w:type="dxa"/>
            <w:tcBorders>
              <w:top w:val="nil"/>
              <w:left w:val="nil"/>
              <w:bottom w:val="nil"/>
              <w:right w:val="nil"/>
            </w:tcBorders>
            <w:vAlign w:val="center"/>
          </w:tcPr>
          <w:p w14:paraId="1B615F4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Mean difference</w:t>
            </w:r>
          </w:p>
        </w:tc>
        <w:tc>
          <w:tcPr>
            <w:tcW w:w="1680" w:type="dxa"/>
            <w:tcBorders>
              <w:top w:val="nil"/>
              <w:left w:val="nil"/>
              <w:bottom w:val="nil"/>
              <w:right w:val="nil"/>
            </w:tcBorders>
            <w:vAlign w:val="center"/>
          </w:tcPr>
          <w:p w14:paraId="70C4634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−2.81 (−2.94–−2.69)</w:t>
            </w:r>
          </w:p>
        </w:tc>
        <w:tc>
          <w:tcPr>
            <w:tcW w:w="952" w:type="dxa"/>
            <w:tcBorders>
              <w:top w:val="nil"/>
              <w:left w:val="nil"/>
              <w:bottom w:val="nil"/>
              <w:right w:val="nil"/>
            </w:tcBorders>
            <w:vAlign w:val="center"/>
          </w:tcPr>
          <w:p w14:paraId="6ACBFF6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&lt;</w:t>
            </w:r>
            <w:r>
              <w:rPr>
                <w:rFonts w:hint="eastAsia" w:ascii="Times New Roman" w:hAnsi="Times New Roman" w:eastAsia="宋体" w:cs="Times New Roman"/>
                <w:b w:val="0"/>
                <w:bCs w:val="0"/>
                <w:sz w:val="20"/>
                <w:szCs w:val="20"/>
                <w:lang w:val="en-US" w:eastAsia="zh-CN"/>
              </w:rPr>
              <w:t xml:space="preserve"> </w:t>
            </w:r>
            <w:r>
              <w:rPr>
                <w:rFonts w:hint="default" w:ascii="Times New Roman" w:hAnsi="Times New Roman" w:eastAsia="宋体" w:cs="Times New Roman"/>
                <w:b w:val="0"/>
                <w:bCs w:val="0"/>
                <w:sz w:val="20"/>
                <w:szCs w:val="20"/>
              </w:rPr>
              <w:t>0.001</w:t>
            </w:r>
          </w:p>
        </w:tc>
        <w:tc>
          <w:tcPr>
            <w:tcW w:w="736" w:type="dxa"/>
            <w:tcBorders>
              <w:top w:val="nil"/>
              <w:left w:val="nil"/>
              <w:bottom w:val="nil"/>
              <w:right w:val="nil"/>
            </w:tcBorders>
            <w:vAlign w:val="center"/>
          </w:tcPr>
          <w:p w14:paraId="46C5669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1786</w:t>
            </w:r>
          </w:p>
        </w:tc>
      </w:tr>
      <w:tr w14:paraId="3BB3F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24CACAB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Possible sarcopenia: grip only</w:t>
            </w:r>
          </w:p>
        </w:tc>
        <w:tc>
          <w:tcPr>
            <w:tcW w:w="1291" w:type="dxa"/>
            <w:tcBorders>
              <w:top w:val="nil"/>
              <w:left w:val="nil"/>
              <w:bottom w:val="nil"/>
              <w:right w:val="nil"/>
            </w:tcBorders>
            <w:vAlign w:val="center"/>
          </w:tcPr>
          <w:p w14:paraId="4972109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Falls ≥1</w:t>
            </w:r>
          </w:p>
        </w:tc>
        <w:tc>
          <w:tcPr>
            <w:tcW w:w="1648" w:type="dxa"/>
            <w:tcBorders>
              <w:top w:val="nil"/>
              <w:left w:val="nil"/>
              <w:bottom w:val="nil"/>
              <w:right w:val="nil"/>
            </w:tcBorders>
            <w:vAlign w:val="center"/>
          </w:tcPr>
          <w:p w14:paraId="6C20147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Odds ratio</w:t>
            </w:r>
          </w:p>
        </w:tc>
        <w:tc>
          <w:tcPr>
            <w:tcW w:w="1680" w:type="dxa"/>
            <w:tcBorders>
              <w:top w:val="nil"/>
              <w:left w:val="nil"/>
              <w:bottom w:val="nil"/>
              <w:right w:val="nil"/>
            </w:tcBorders>
            <w:vAlign w:val="center"/>
          </w:tcPr>
          <w:p w14:paraId="76BC123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1.61 (0.98–2.64)</w:t>
            </w:r>
          </w:p>
        </w:tc>
        <w:tc>
          <w:tcPr>
            <w:tcW w:w="952" w:type="dxa"/>
            <w:tcBorders>
              <w:top w:val="nil"/>
              <w:left w:val="nil"/>
              <w:bottom w:val="nil"/>
              <w:right w:val="nil"/>
            </w:tcBorders>
            <w:vAlign w:val="center"/>
          </w:tcPr>
          <w:p w14:paraId="7CBC4FE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0.059</w:t>
            </w:r>
          </w:p>
        </w:tc>
        <w:tc>
          <w:tcPr>
            <w:tcW w:w="736" w:type="dxa"/>
            <w:tcBorders>
              <w:top w:val="nil"/>
              <w:left w:val="nil"/>
              <w:bottom w:val="nil"/>
              <w:right w:val="nil"/>
            </w:tcBorders>
            <w:vAlign w:val="center"/>
          </w:tcPr>
          <w:p w14:paraId="70F0887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1786</w:t>
            </w:r>
          </w:p>
        </w:tc>
      </w:tr>
      <w:tr w14:paraId="3830B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5937974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Possible sarcopenia: grip only</w:t>
            </w:r>
          </w:p>
        </w:tc>
        <w:tc>
          <w:tcPr>
            <w:tcW w:w="1291" w:type="dxa"/>
            <w:tcBorders>
              <w:top w:val="nil"/>
              <w:left w:val="nil"/>
              <w:bottom w:val="nil"/>
              <w:right w:val="nil"/>
            </w:tcBorders>
            <w:vAlign w:val="center"/>
          </w:tcPr>
          <w:p w14:paraId="6801F9D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Falls ≥2</w:t>
            </w:r>
          </w:p>
        </w:tc>
        <w:tc>
          <w:tcPr>
            <w:tcW w:w="1648" w:type="dxa"/>
            <w:tcBorders>
              <w:top w:val="nil"/>
              <w:left w:val="nil"/>
              <w:bottom w:val="nil"/>
              <w:right w:val="nil"/>
            </w:tcBorders>
            <w:vAlign w:val="center"/>
          </w:tcPr>
          <w:p w14:paraId="18CDF88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Odds ratio</w:t>
            </w:r>
          </w:p>
        </w:tc>
        <w:tc>
          <w:tcPr>
            <w:tcW w:w="1680" w:type="dxa"/>
            <w:tcBorders>
              <w:top w:val="nil"/>
              <w:left w:val="nil"/>
              <w:bottom w:val="nil"/>
              <w:right w:val="nil"/>
            </w:tcBorders>
            <w:vAlign w:val="center"/>
          </w:tcPr>
          <w:p w14:paraId="56C643D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1.28 (0.55–2.97)</w:t>
            </w:r>
          </w:p>
        </w:tc>
        <w:tc>
          <w:tcPr>
            <w:tcW w:w="952" w:type="dxa"/>
            <w:tcBorders>
              <w:top w:val="nil"/>
              <w:left w:val="nil"/>
              <w:bottom w:val="nil"/>
              <w:right w:val="nil"/>
            </w:tcBorders>
            <w:vAlign w:val="center"/>
          </w:tcPr>
          <w:p w14:paraId="355429F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0.559</w:t>
            </w:r>
          </w:p>
        </w:tc>
        <w:tc>
          <w:tcPr>
            <w:tcW w:w="736" w:type="dxa"/>
            <w:tcBorders>
              <w:top w:val="nil"/>
              <w:left w:val="nil"/>
              <w:bottom w:val="nil"/>
              <w:right w:val="nil"/>
            </w:tcBorders>
            <w:vAlign w:val="center"/>
          </w:tcPr>
          <w:p w14:paraId="1A40A37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1786</w:t>
            </w:r>
          </w:p>
        </w:tc>
      </w:tr>
      <w:tr w14:paraId="05398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6BAE276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Possible sarcopenia: grip only</w:t>
            </w:r>
          </w:p>
        </w:tc>
        <w:tc>
          <w:tcPr>
            <w:tcW w:w="1291" w:type="dxa"/>
            <w:tcBorders>
              <w:top w:val="nil"/>
              <w:left w:val="nil"/>
              <w:bottom w:val="nil"/>
              <w:right w:val="nil"/>
            </w:tcBorders>
            <w:vAlign w:val="center"/>
          </w:tcPr>
          <w:p w14:paraId="4D12D99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Prior fracture</w:t>
            </w:r>
          </w:p>
        </w:tc>
        <w:tc>
          <w:tcPr>
            <w:tcW w:w="1648" w:type="dxa"/>
            <w:tcBorders>
              <w:top w:val="nil"/>
              <w:left w:val="nil"/>
              <w:bottom w:val="nil"/>
              <w:right w:val="nil"/>
            </w:tcBorders>
            <w:vAlign w:val="center"/>
          </w:tcPr>
          <w:p w14:paraId="64D0986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Odds ratio</w:t>
            </w:r>
          </w:p>
        </w:tc>
        <w:tc>
          <w:tcPr>
            <w:tcW w:w="1680" w:type="dxa"/>
            <w:tcBorders>
              <w:top w:val="nil"/>
              <w:left w:val="nil"/>
              <w:bottom w:val="nil"/>
              <w:right w:val="nil"/>
            </w:tcBorders>
            <w:vAlign w:val="center"/>
          </w:tcPr>
          <w:p w14:paraId="2D48B61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1.65 (0.97–2.83)</w:t>
            </w:r>
          </w:p>
        </w:tc>
        <w:tc>
          <w:tcPr>
            <w:tcW w:w="952" w:type="dxa"/>
            <w:tcBorders>
              <w:top w:val="nil"/>
              <w:left w:val="nil"/>
              <w:bottom w:val="nil"/>
              <w:right w:val="nil"/>
            </w:tcBorders>
            <w:vAlign w:val="center"/>
          </w:tcPr>
          <w:p w14:paraId="315BF5D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0.066</w:t>
            </w:r>
          </w:p>
        </w:tc>
        <w:tc>
          <w:tcPr>
            <w:tcW w:w="736" w:type="dxa"/>
            <w:tcBorders>
              <w:top w:val="nil"/>
              <w:left w:val="nil"/>
              <w:bottom w:val="nil"/>
              <w:right w:val="nil"/>
            </w:tcBorders>
            <w:vAlign w:val="center"/>
          </w:tcPr>
          <w:p w14:paraId="785B416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1786</w:t>
            </w:r>
          </w:p>
        </w:tc>
      </w:tr>
      <w:tr w14:paraId="0B762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01E6304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Possible sarcopenia: grip only</w:t>
            </w:r>
          </w:p>
        </w:tc>
        <w:tc>
          <w:tcPr>
            <w:tcW w:w="1291" w:type="dxa"/>
            <w:tcBorders>
              <w:top w:val="nil"/>
              <w:left w:val="nil"/>
              <w:bottom w:val="nil"/>
              <w:right w:val="nil"/>
            </w:tcBorders>
            <w:vAlign w:val="center"/>
          </w:tcPr>
          <w:p w14:paraId="62040C0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Lumbar T-score</w:t>
            </w:r>
          </w:p>
        </w:tc>
        <w:tc>
          <w:tcPr>
            <w:tcW w:w="1648" w:type="dxa"/>
            <w:tcBorders>
              <w:top w:val="nil"/>
              <w:left w:val="nil"/>
              <w:bottom w:val="nil"/>
              <w:right w:val="nil"/>
            </w:tcBorders>
            <w:vAlign w:val="center"/>
          </w:tcPr>
          <w:p w14:paraId="3FDE823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Mean difference</w:t>
            </w:r>
          </w:p>
        </w:tc>
        <w:tc>
          <w:tcPr>
            <w:tcW w:w="1680" w:type="dxa"/>
            <w:tcBorders>
              <w:top w:val="nil"/>
              <w:left w:val="nil"/>
              <w:bottom w:val="nil"/>
              <w:right w:val="nil"/>
            </w:tcBorders>
            <w:vAlign w:val="center"/>
          </w:tcPr>
          <w:p w14:paraId="3C0744E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−2.78 (−2.95–−2.62)</w:t>
            </w:r>
          </w:p>
        </w:tc>
        <w:tc>
          <w:tcPr>
            <w:tcW w:w="952" w:type="dxa"/>
            <w:tcBorders>
              <w:top w:val="nil"/>
              <w:left w:val="nil"/>
              <w:bottom w:val="nil"/>
              <w:right w:val="nil"/>
            </w:tcBorders>
            <w:vAlign w:val="center"/>
          </w:tcPr>
          <w:p w14:paraId="6DDD22C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&lt;</w:t>
            </w:r>
            <w:r>
              <w:rPr>
                <w:rFonts w:hint="eastAsia" w:ascii="Times New Roman" w:hAnsi="Times New Roman" w:eastAsia="宋体" w:cs="Times New Roman"/>
                <w:b w:val="0"/>
                <w:bCs w:val="0"/>
                <w:sz w:val="20"/>
                <w:szCs w:val="20"/>
                <w:lang w:val="en-US" w:eastAsia="zh-CN"/>
              </w:rPr>
              <w:t xml:space="preserve"> </w:t>
            </w:r>
            <w:r>
              <w:rPr>
                <w:rFonts w:hint="default" w:ascii="Times New Roman" w:hAnsi="Times New Roman" w:eastAsia="宋体" w:cs="Times New Roman"/>
                <w:b w:val="0"/>
                <w:bCs w:val="0"/>
                <w:sz w:val="20"/>
                <w:szCs w:val="20"/>
              </w:rPr>
              <w:t>0.001</w:t>
            </w:r>
          </w:p>
        </w:tc>
        <w:tc>
          <w:tcPr>
            <w:tcW w:w="736" w:type="dxa"/>
            <w:tcBorders>
              <w:top w:val="nil"/>
              <w:left w:val="nil"/>
              <w:bottom w:val="nil"/>
              <w:right w:val="nil"/>
            </w:tcBorders>
            <w:vAlign w:val="center"/>
          </w:tcPr>
          <w:p w14:paraId="47A5B8F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1786</w:t>
            </w:r>
          </w:p>
        </w:tc>
      </w:tr>
      <w:tr w14:paraId="5A02B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09716B7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Possible sarcopenia: grip only</w:t>
            </w:r>
          </w:p>
        </w:tc>
        <w:tc>
          <w:tcPr>
            <w:tcW w:w="1291" w:type="dxa"/>
            <w:tcBorders>
              <w:top w:val="nil"/>
              <w:left w:val="nil"/>
              <w:bottom w:val="nil"/>
              <w:right w:val="nil"/>
            </w:tcBorders>
            <w:vAlign w:val="center"/>
          </w:tcPr>
          <w:p w14:paraId="68CFEE7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Hip T-score</w:t>
            </w:r>
          </w:p>
        </w:tc>
        <w:tc>
          <w:tcPr>
            <w:tcW w:w="1648" w:type="dxa"/>
            <w:tcBorders>
              <w:top w:val="nil"/>
              <w:left w:val="nil"/>
              <w:bottom w:val="nil"/>
              <w:right w:val="nil"/>
            </w:tcBorders>
            <w:vAlign w:val="center"/>
          </w:tcPr>
          <w:p w14:paraId="42DC3D3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Mean difference</w:t>
            </w:r>
          </w:p>
        </w:tc>
        <w:tc>
          <w:tcPr>
            <w:tcW w:w="1680" w:type="dxa"/>
            <w:tcBorders>
              <w:top w:val="nil"/>
              <w:left w:val="nil"/>
              <w:bottom w:val="nil"/>
              <w:right w:val="nil"/>
            </w:tcBorders>
            <w:vAlign w:val="center"/>
          </w:tcPr>
          <w:p w14:paraId="1DCA76B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−2.60 (−2.73–−2.47)</w:t>
            </w:r>
          </w:p>
        </w:tc>
        <w:tc>
          <w:tcPr>
            <w:tcW w:w="952" w:type="dxa"/>
            <w:tcBorders>
              <w:top w:val="nil"/>
              <w:left w:val="nil"/>
              <w:bottom w:val="nil"/>
              <w:right w:val="nil"/>
            </w:tcBorders>
            <w:vAlign w:val="center"/>
          </w:tcPr>
          <w:p w14:paraId="52D3E4A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&lt;</w:t>
            </w:r>
            <w:r>
              <w:rPr>
                <w:rFonts w:hint="eastAsia" w:ascii="Times New Roman" w:hAnsi="Times New Roman" w:eastAsia="宋体" w:cs="Times New Roman"/>
                <w:b w:val="0"/>
                <w:bCs w:val="0"/>
                <w:sz w:val="20"/>
                <w:szCs w:val="20"/>
                <w:lang w:val="en-US" w:eastAsia="zh-CN"/>
              </w:rPr>
              <w:t xml:space="preserve"> </w:t>
            </w:r>
            <w:r>
              <w:rPr>
                <w:rFonts w:hint="default" w:ascii="Times New Roman" w:hAnsi="Times New Roman" w:eastAsia="宋体" w:cs="Times New Roman"/>
                <w:b w:val="0"/>
                <w:bCs w:val="0"/>
                <w:sz w:val="20"/>
                <w:szCs w:val="20"/>
              </w:rPr>
              <w:t>0.001</w:t>
            </w:r>
          </w:p>
        </w:tc>
        <w:tc>
          <w:tcPr>
            <w:tcW w:w="736" w:type="dxa"/>
            <w:tcBorders>
              <w:top w:val="nil"/>
              <w:left w:val="nil"/>
              <w:bottom w:val="nil"/>
              <w:right w:val="nil"/>
            </w:tcBorders>
            <w:vAlign w:val="center"/>
          </w:tcPr>
          <w:p w14:paraId="74A51E2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1786</w:t>
            </w:r>
          </w:p>
        </w:tc>
      </w:tr>
      <w:tr w14:paraId="40A75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26FF26E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Possible sarcopenia: chair-stand only</w:t>
            </w:r>
          </w:p>
        </w:tc>
        <w:tc>
          <w:tcPr>
            <w:tcW w:w="1291" w:type="dxa"/>
            <w:tcBorders>
              <w:top w:val="nil"/>
              <w:left w:val="nil"/>
              <w:bottom w:val="nil"/>
              <w:right w:val="nil"/>
            </w:tcBorders>
            <w:vAlign w:val="center"/>
          </w:tcPr>
          <w:p w14:paraId="04B7BD4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Falls ≥1</w:t>
            </w:r>
          </w:p>
        </w:tc>
        <w:tc>
          <w:tcPr>
            <w:tcW w:w="1648" w:type="dxa"/>
            <w:tcBorders>
              <w:top w:val="nil"/>
              <w:left w:val="nil"/>
              <w:bottom w:val="nil"/>
              <w:right w:val="nil"/>
            </w:tcBorders>
            <w:vAlign w:val="center"/>
          </w:tcPr>
          <w:p w14:paraId="638A2D0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Odds ratio</w:t>
            </w:r>
          </w:p>
        </w:tc>
        <w:tc>
          <w:tcPr>
            <w:tcW w:w="1680" w:type="dxa"/>
            <w:tcBorders>
              <w:top w:val="nil"/>
              <w:left w:val="nil"/>
              <w:bottom w:val="nil"/>
              <w:right w:val="nil"/>
            </w:tcBorders>
            <w:vAlign w:val="center"/>
          </w:tcPr>
          <w:p w14:paraId="033A3A1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1.58 (0.97–2.58)</w:t>
            </w:r>
          </w:p>
        </w:tc>
        <w:tc>
          <w:tcPr>
            <w:tcW w:w="952" w:type="dxa"/>
            <w:tcBorders>
              <w:top w:val="nil"/>
              <w:left w:val="nil"/>
              <w:bottom w:val="nil"/>
              <w:right w:val="nil"/>
            </w:tcBorders>
            <w:vAlign w:val="center"/>
          </w:tcPr>
          <w:p w14:paraId="5999F05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0.064</w:t>
            </w:r>
          </w:p>
        </w:tc>
        <w:tc>
          <w:tcPr>
            <w:tcW w:w="736" w:type="dxa"/>
            <w:tcBorders>
              <w:top w:val="nil"/>
              <w:left w:val="nil"/>
              <w:bottom w:val="nil"/>
              <w:right w:val="nil"/>
            </w:tcBorders>
            <w:vAlign w:val="center"/>
          </w:tcPr>
          <w:p w14:paraId="385D96E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1786</w:t>
            </w:r>
          </w:p>
        </w:tc>
      </w:tr>
      <w:tr w14:paraId="74F0A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4E0A6C9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Possible sarcopenia: chair-stand only</w:t>
            </w:r>
          </w:p>
        </w:tc>
        <w:tc>
          <w:tcPr>
            <w:tcW w:w="1291" w:type="dxa"/>
            <w:tcBorders>
              <w:top w:val="nil"/>
              <w:left w:val="nil"/>
              <w:bottom w:val="nil"/>
              <w:right w:val="nil"/>
            </w:tcBorders>
            <w:vAlign w:val="center"/>
          </w:tcPr>
          <w:p w14:paraId="3C565B0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Falls ≥2</w:t>
            </w:r>
          </w:p>
        </w:tc>
        <w:tc>
          <w:tcPr>
            <w:tcW w:w="1648" w:type="dxa"/>
            <w:tcBorders>
              <w:top w:val="nil"/>
              <w:left w:val="nil"/>
              <w:bottom w:val="nil"/>
              <w:right w:val="nil"/>
            </w:tcBorders>
            <w:vAlign w:val="center"/>
          </w:tcPr>
          <w:p w14:paraId="2EB67E6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Odds ratio</w:t>
            </w:r>
          </w:p>
        </w:tc>
        <w:tc>
          <w:tcPr>
            <w:tcW w:w="1680" w:type="dxa"/>
            <w:tcBorders>
              <w:top w:val="nil"/>
              <w:left w:val="nil"/>
              <w:bottom w:val="nil"/>
              <w:right w:val="nil"/>
            </w:tcBorders>
            <w:vAlign w:val="center"/>
          </w:tcPr>
          <w:p w14:paraId="59632B8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1.31 (0.57–3.02)</w:t>
            </w:r>
          </w:p>
        </w:tc>
        <w:tc>
          <w:tcPr>
            <w:tcW w:w="952" w:type="dxa"/>
            <w:tcBorders>
              <w:top w:val="nil"/>
              <w:left w:val="nil"/>
              <w:bottom w:val="nil"/>
              <w:right w:val="nil"/>
            </w:tcBorders>
            <w:vAlign w:val="center"/>
          </w:tcPr>
          <w:p w14:paraId="5C423AB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0.523</w:t>
            </w:r>
          </w:p>
        </w:tc>
        <w:tc>
          <w:tcPr>
            <w:tcW w:w="736" w:type="dxa"/>
            <w:tcBorders>
              <w:top w:val="nil"/>
              <w:left w:val="nil"/>
              <w:bottom w:val="nil"/>
              <w:right w:val="nil"/>
            </w:tcBorders>
            <w:vAlign w:val="center"/>
          </w:tcPr>
          <w:p w14:paraId="00E1701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1786</w:t>
            </w:r>
          </w:p>
        </w:tc>
      </w:tr>
      <w:tr w14:paraId="0CC4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345CDAF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Possible sarcopenia: chair-stand only</w:t>
            </w:r>
          </w:p>
        </w:tc>
        <w:tc>
          <w:tcPr>
            <w:tcW w:w="1291" w:type="dxa"/>
            <w:tcBorders>
              <w:top w:val="nil"/>
              <w:left w:val="nil"/>
              <w:bottom w:val="nil"/>
              <w:right w:val="nil"/>
            </w:tcBorders>
            <w:vAlign w:val="center"/>
          </w:tcPr>
          <w:p w14:paraId="0F9CB00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Prior fracture</w:t>
            </w:r>
          </w:p>
        </w:tc>
        <w:tc>
          <w:tcPr>
            <w:tcW w:w="1648" w:type="dxa"/>
            <w:tcBorders>
              <w:top w:val="nil"/>
              <w:left w:val="nil"/>
              <w:bottom w:val="nil"/>
              <w:right w:val="nil"/>
            </w:tcBorders>
            <w:vAlign w:val="center"/>
          </w:tcPr>
          <w:p w14:paraId="125B660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Odds ratio</w:t>
            </w:r>
          </w:p>
        </w:tc>
        <w:tc>
          <w:tcPr>
            <w:tcW w:w="1680" w:type="dxa"/>
            <w:tcBorders>
              <w:top w:val="nil"/>
              <w:left w:val="nil"/>
              <w:bottom w:val="nil"/>
              <w:right w:val="nil"/>
            </w:tcBorders>
            <w:vAlign w:val="center"/>
          </w:tcPr>
          <w:p w14:paraId="6E5C042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1.55 (0.90–2.67)</w:t>
            </w:r>
          </w:p>
        </w:tc>
        <w:tc>
          <w:tcPr>
            <w:tcW w:w="952" w:type="dxa"/>
            <w:tcBorders>
              <w:top w:val="nil"/>
              <w:left w:val="nil"/>
              <w:bottom w:val="nil"/>
              <w:right w:val="nil"/>
            </w:tcBorders>
            <w:vAlign w:val="center"/>
          </w:tcPr>
          <w:p w14:paraId="6D91CBD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0.113</w:t>
            </w:r>
          </w:p>
        </w:tc>
        <w:tc>
          <w:tcPr>
            <w:tcW w:w="736" w:type="dxa"/>
            <w:tcBorders>
              <w:top w:val="nil"/>
              <w:left w:val="nil"/>
              <w:bottom w:val="nil"/>
              <w:right w:val="nil"/>
            </w:tcBorders>
            <w:vAlign w:val="center"/>
          </w:tcPr>
          <w:p w14:paraId="32F4BC4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1786</w:t>
            </w:r>
          </w:p>
        </w:tc>
      </w:tr>
      <w:tr w14:paraId="360D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21F68FA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Possible sarcopenia: chair-stand only</w:t>
            </w:r>
          </w:p>
        </w:tc>
        <w:tc>
          <w:tcPr>
            <w:tcW w:w="1291" w:type="dxa"/>
            <w:tcBorders>
              <w:top w:val="nil"/>
              <w:left w:val="nil"/>
              <w:bottom w:val="nil"/>
              <w:right w:val="nil"/>
            </w:tcBorders>
            <w:vAlign w:val="center"/>
          </w:tcPr>
          <w:p w14:paraId="6BB03C3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Lumbar T-score</w:t>
            </w:r>
          </w:p>
        </w:tc>
        <w:tc>
          <w:tcPr>
            <w:tcW w:w="1648" w:type="dxa"/>
            <w:tcBorders>
              <w:top w:val="nil"/>
              <w:left w:val="nil"/>
              <w:bottom w:val="nil"/>
              <w:right w:val="nil"/>
            </w:tcBorders>
            <w:vAlign w:val="center"/>
          </w:tcPr>
          <w:p w14:paraId="650C90E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Mean difference</w:t>
            </w:r>
          </w:p>
        </w:tc>
        <w:tc>
          <w:tcPr>
            <w:tcW w:w="1680" w:type="dxa"/>
            <w:tcBorders>
              <w:top w:val="nil"/>
              <w:left w:val="nil"/>
              <w:bottom w:val="nil"/>
              <w:right w:val="nil"/>
            </w:tcBorders>
            <w:vAlign w:val="center"/>
          </w:tcPr>
          <w:p w14:paraId="68DD878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−2.71 (−2.87–−2.54)</w:t>
            </w:r>
          </w:p>
        </w:tc>
        <w:tc>
          <w:tcPr>
            <w:tcW w:w="952" w:type="dxa"/>
            <w:tcBorders>
              <w:top w:val="nil"/>
              <w:left w:val="nil"/>
              <w:bottom w:val="nil"/>
              <w:right w:val="nil"/>
            </w:tcBorders>
            <w:vAlign w:val="center"/>
          </w:tcPr>
          <w:p w14:paraId="31E55A0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&lt;0.001</w:t>
            </w:r>
          </w:p>
        </w:tc>
        <w:tc>
          <w:tcPr>
            <w:tcW w:w="736" w:type="dxa"/>
            <w:tcBorders>
              <w:top w:val="nil"/>
              <w:left w:val="nil"/>
              <w:bottom w:val="nil"/>
              <w:right w:val="nil"/>
            </w:tcBorders>
            <w:vAlign w:val="center"/>
          </w:tcPr>
          <w:p w14:paraId="7D38C0D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1786</w:t>
            </w:r>
          </w:p>
        </w:tc>
      </w:tr>
      <w:tr w14:paraId="648BE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224BFC7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Possible sarcopenia: chair-stand only</w:t>
            </w:r>
          </w:p>
        </w:tc>
        <w:tc>
          <w:tcPr>
            <w:tcW w:w="1291" w:type="dxa"/>
            <w:tcBorders>
              <w:top w:val="nil"/>
              <w:left w:val="nil"/>
              <w:bottom w:val="nil"/>
              <w:right w:val="nil"/>
            </w:tcBorders>
            <w:vAlign w:val="center"/>
          </w:tcPr>
          <w:p w14:paraId="7ACEAB5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Hip T-score</w:t>
            </w:r>
          </w:p>
        </w:tc>
        <w:tc>
          <w:tcPr>
            <w:tcW w:w="1648" w:type="dxa"/>
            <w:tcBorders>
              <w:top w:val="nil"/>
              <w:left w:val="nil"/>
              <w:bottom w:val="nil"/>
              <w:right w:val="nil"/>
            </w:tcBorders>
            <w:vAlign w:val="center"/>
          </w:tcPr>
          <w:p w14:paraId="33D4EED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Mean difference</w:t>
            </w:r>
          </w:p>
        </w:tc>
        <w:tc>
          <w:tcPr>
            <w:tcW w:w="1680" w:type="dxa"/>
            <w:tcBorders>
              <w:top w:val="nil"/>
              <w:left w:val="nil"/>
              <w:bottom w:val="nil"/>
              <w:right w:val="nil"/>
            </w:tcBorders>
            <w:vAlign w:val="center"/>
          </w:tcPr>
          <w:p w14:paraId="529E981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−2.58 (−2.71–−2.45)</w:t>
            </w:r>
          </w:p>
        </w:tc>
        <w:tc>
          <w:tcPr>
            <w:tcW w:w="952" w:type="dxa"/>
            <w:tcBorders>
              <w:top w:val="nil"/>
              <w:left w:val="nil"/>
              <w:bottom w:val="nil"/>
              <w:right w:val="nil"/>
            </w:tcBorders>
            <w:vAlign w:val="center"/>
          </w:tcPr>
          <w:p w14:paraId="75EBB7A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&lt;0.001</w:t>
            </w:r>
          </w:p>
        </w:tc>
        <w:tc>
          <w:tcPr>
            <w:tcW w:w="736" w:type="dxa"/>
            <w:tcBorders>
              <w:top w:val="nil"/>
              <w:left w:val="nil"/>
              <w:bottom w:val="nil"/>
              <w:right w:val="nil"/>
            </w:tcBorders>
            <w:vAlign w:val="center"/>
          </w:tcPr>
          <w:p w14:paraId="67AC3A0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1786</w:t>
            </w:r>
          </w:p>
        </w:tc>
      </w:tr>
      <w:tr w14:paraId="2EE09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2120C5C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Complete-case (bone+grip+chair)</w:t>
            </w:r>
          </w:p>
        </w:tc>
        <w:tc>
          <w:tcPr>
            <w:tcW w:w="1291" w:type="dxa"/>
            <w:tcBorders>
              <w:top w:val="nil"/>
              <w:left w:val="nil"/>
              <w:bottom w:val="nil"/>
              <w:right w:val="nil"/>
            </w:tcBorders>
            <w:vAlign w:val="center"/>
          </w:tcPr>
          <w:p w14:paraId="591AFF3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Falls ≥1</w:t>
            </w:r>
          </w:p>
        </w:tc>
        <w:tc>
          <w:tcPr>
            <w:tcW w:w="1648" w:type="dxa"/>
            <w:tcBorders>
              <w:top w:val="nil"/>
              <w:left w:val="nil"/>
              <w:bottom w:val="nil"/>
              <w:right w:val="nil"/>
            </w:tcBorders>
            <w:vAlign w:val="center"/>
          </w:tcPr>
          <w:p w14:paraId="27EF17A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Odds ratio</w:t>
            </w:r>
          </w:p>
        </w:tc>
        <w:tc>
          <w:tcPr>
            <w:tcW w:w="1680" w:type="dxa"/>
            <w:tcBorders>
              <w:top w:val="nil"/>
              <w:left w:val="nil"/>
              <w:bottom w:val="nil"/>
              <w:right w:val="nil"/>
            </w:tcBorders>
            <w:vAlign w:val="center"/>
          </w:tcPr>
          <w:p w14:paraId="4D8DFBF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1.64 (0.98–2.75)</w:t>
            </w:r>
          </w:p>
        </w:tc>
        <w:tc>
          <w:tcPr>
            <w:tcW w:w="952" w:type="dxa"/>
            <w:tcBorders>
              <w:top w:val="nil"/>
              <w:left w:val="nil"/>
              <w:bottom w:val="nil"/>
              <w:right w:val="nil"/>
            </w:tcBorders>
            <w:vAlign w:val="center"/>
          </w:tcPr>
          <w:p w14:paraId="7DA21AA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0.061</w:t>
            </w:r>
          </w:p>
        </w:tc>
        <w:tc>
          <w:tcPr>
            <w:tcW w:w="736" w:type="dxa"/>
            <w:tcBorders>
              <w:top w:val="nil"/>
              <w:left w:val="nil"/>
              <w:bottom w:val="nil"/>
              <w:right w:val="nil"/>
            </w:tcBorders>
            <w:vAlign w:val="center"/>
          </w:tcPr>
          <w:p w14:paraId="5151370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1669</w:t>
            </w:r>
          </w:p>
        </w:tc>
      </w:tr>
      <w:tr w14:paraId="44ED7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51AB6B5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Complete-case (bone+grip+chair)</w:t>
            </w:r>
          </w:p>
        </w:tc>
        <w:tc>
          <w:tcPr>
            <w:tcW w:w="1291" w:type="dxa"/>
            <w:tcBorders>
              <w:top w:val="nil"/>
              <w:left w:val="nil"/>
              <w:bottom w:val="nil"/>
              <w:right w:val="nil"/>
            </w:tcBorders>
            <w:vAlign w:val="center"/>
          </w:tcPr>
          <w:p w14:paraId="2885D69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Falls ≥2</w:t>
            </w:r>
          </w:p>
        </w:tc>
        <w:tc>
          <w:tcPr>
            <w:tcW w:w="1648" w:type="dxa"/>
            <w:tcBorders>
              <w:top w:val="nil"/>
              <w:left w:val="nil"/>
              <w:bottom w:val="nil"/>
              <w:right w:val="nil"/>
            </w:tcBorders>
            <w:vAlign w:val="center"/>
          </w:tcPr>
          <w:p w14:paraId="24A4FD4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Odds ratio</w:t>
            </w:r>
          </w:p>
        </w:tc>
        <w:tc>
          <w:tcPr>
            <w:tcW w:w="1680" w:type="dxa"/>
            <w:tcBorders>
              <w:top w:val="nil"/>
              <w:left w:val="nil"/>
              <w:bottom w:val="nil"/>
              <w:right w:val="nil"/>
            </w:tcBorders>
            <w:vAlign w:val="center"/>
          </w:tcPr>
          <w:p w14:paraId="61FD0A6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1.34 (0.55–3.27)</w:t>
            </w:r>
          </w:p>
        </w:tc>
        <w:tc>
          <w:tcPr>
            <w:tcW w:w="952" w:type="dxa"/>
            <w:tcBorders>
              <w:top w:val="nil"/>
              <w:left w:val="nil"/>
              <w:bottom w:val="nil"/>
              <w:right w:val="nil"/>
            </w:tcBorders>
            <w:vAlign w:val="center"/>
          </w:tcPr>
          <w:p w14:paraId="7612B5E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0.514</w:t>
            </w:r>
          </w:p>
        </w:tc>
        <w:tc>
          <w:tcPr>
            <w:tcW w:w="736" w:type="dxa"/>
            <w:tcBorders>
              <w:top w:val="nil"/>
              <w:left w:val="nil"/>
              <w:bottom w:val="nil"/>
              <w:right w:val="nil"/>
            </w:tcBorders>
            <w:vAlign w:val="center"/>
          </w:tcPr>
          <w:p w14:paraId="4BC2BE3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1669</w:t>
            </w:r>
          </w:p>
        </w:tc>
      </w:tr>
      <w:tr w14:paraId="1704B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6DF15F3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Complete-case (bone+grip+chair)</w:t>
            </w:r>
          </w:p>
        </w:tc>
        <w:tc>
          <w:tcPr>
            <w:tcW w:w="1291" w:type="dxa"/>
            <w:tcBorders>
              <w:top w:val="nil"/>
              <w:left w:val="nil"/>
              <w:bottom w:val="nil"/>
              <w:right w:val="nil"/>
            </w:tcBorders>
            <w:vAlign w:val="center"/>
          </w:tcPr>
          <w:p w14:paraId="057182C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Prior fracture</w:t>
            </w:r>
          </w:p>
        </w:tc>
        <w:tc>
          <w:tcPr>
            <w:tcW w:w="1648" w:type="dxa"/>
            <w:tcBorders>
              <w:top w:val="nil"/>
              <w:left w:val="nil"/>
              <w:bottom w:val="nil"/>
              <w:right w:val="nil"/>
            </w:tcBorders>
            <w:vAlign w:val="center"/>
          </w:tcPr>
          <w:p w14:paraId="39BBB9E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Odds ratio</w:t>
            </w:r>
          </w:p>
        </w:tc>
        <w:tc>
          <w:tcPr>
            <w:tcW w:w="1680" w:type="dxa"/>
            <w:tcBorders>
              <w:top w:val="nil"/>
              <w:left w:val="nil"/>
              <w:bottom w:val="nil"/>
              <w:right w:val="nil"/>
            </w:tcBorders>
            <w:vAlign w:val="center"/>
          </w:tcPr>
          <w:p w14:paraId="78EEC7B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1.53 (0.86–2.71)</w:t>
            </w:r>
          </w:p>
        </w:tc>
        <w:tc>
          <w:tcPr>
            <w:tcW w:w="952" w:type="dxa"/>
            <w:tcBorders>
              <w:top w:val="nil"/>
              <w:left w:val="nil"/>
              <w:bottom w:val="nil"/>
              <w:right w:val="nil"/>
            </w:tcBorders>
            <w:vAlign w:val="center"/>
          </w:tcPr>
          <w:p w14:paraId="43B7DC7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0.152</w:t>
            </w:r>
          </w:p>
        </w:tc>
        <w:tc>
          <w:tcPr>
            <w:tcW w:w="736" w:type="dxa"/>
            <w:tcBorders>
              <w:top w:val="nil"/>
              <w:left w:val="nil"/>
              <w:bottom w:val="nil"/>
              <w:right w:val="nil"/>
            </w:tcBorders>
            <w:vAlign w:val="center"/>
          </w:tcPr>
          <w:p w14:paraId="79A2988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1669</w:t>
            </w:r>
          </w:p>
        </w:tc>
      </w:tr>
      <w:tr w14:paraId="5C87A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0DF9CE7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Complete-case (bone+grip+chair)</w:t>
            </w:r>
          </w:p>
        </w:tc>
        <w:tc>
          <w:tcPr>
            <w:tcW w:w="1291" w:type="dxa"/>
            <w:tcBorders>
              <w:top w:val="nil"/>
              <w:left w:val="nil"/>
              <w:bottom w:val="nil"/>
              <w:right w:val="nil"/>
            </w:tcBorders>
            <w:vAlign w:val="center"/>
          </w:tcPr>
          <w:p w14:paraId="6C9AE91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Lumbar T-score</w:t>
            </w:r>
          </w:p>
        </w:tc>
        <w:tc>
          <w:tcPr>
            <w:tcW w:w="1648" w:type="dxa"/>
            <w:tcBorders>
              <w:top w:val="nil"/>
              <w:left w:val="nil"/>
              <w:bottom w:val="nil"/>
              <w:right w:val="nil"/>
            </w:tcBorders>
            <w:vAlign w:val="center"/>
          </w:tcPr>
          <w:p w14:paraId="1BA4EC5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Mean difference</w:t>
            </w:r>
          </w:p>
        </w:tc>
        <w:tc>
          <w:tcPr>
            <w:tcW w:w="1680" w:type="dxa"/>
            <w:tcBorders>
              <w:top w:val="nil"/>
              <w:left w:val="nil"/>
              <w:bottom w:val="nil"/>
              <w:right w:val="nil"/>
            </w:tcBorders>
            <w:vAlign w:val="center"/>
          </w:tcPr>
          <w:p w14:paraId="34E1934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−2.75 (−2.91–−2.58)</w:t>
            </w:r>
          </w:p>
        </w:tc>
        <w:tc>
          <w:tcPr>
            <w:tcW w:w="952" w:type="dxa"/>
            <w:tcBorders>
              <w:top w:val="nil"/>
              <w:left w:val="nil"/>
              <w:bottom w:val="nil"/>
              <w:right w:val="nil"/>
            </w:tcBorders>
            <w:vAlign w:val="center"/>
          </w:tcPr>
          <w:p w14:paraId="79821D3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&lt;</w:t>
            </w:r>
            <w:r>
              <w:rPr>
                <w:rFonts w:hint="eastAsia" w:ascii="Times New Roman" w:hAnsi="Times New Roman" w:eastAsia="宋体" w:cs="Times New Roman"/>
                <w:b w:val="0"/>
                <w:bCs w:val="0"/>
                <w:sz w:val="20"/>
                <w:szCs w:val="20"/>
                <w:lang w:val="en-US" w:eastAsia="zh-CN"/>
              </w:rPr>
              <w:t xml:space="preserve"> </w:t>
            </w:r>
            <w:r>
              <w:rPr>
                <w:rFonts w:hint="default" w:ascii="Times New Roman" w:hAnsi="Times New Roman" w:eastAsia="宋体" w:cs="Times New Roman"/>
                <w:b w:val="0"/>
                <w:bCs w:val="0"/>
                <w:sz w:val="20"/>
                <w:szCs w:val="20"/>
              </w:rPr>
              <w:t>0.001</w:t>
            </w:r>
          </w:p>
        </w:tc>
        <w:tc>
          <w:tcPr>
            <w:tcW w:w="736" w:type="dxa"/>
            <w:tcBorders>
              <w:top w:val="nil"/>
              <w:left w:val="nil"/>
              <w:bottom w:val="nil"/>
              <w:right w:val="nil"/>
            </w:tcBorders>
            <w:vAlign w:val="center"/>
          </w:tcPr>
          <w:p w14:paraId="1FEF786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1669</w:t>
            </w:r>
          </w:p>
        </w:tc>
      </w:tr>
      <w:tr w14:paraId="12318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68633B5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Complete-case (bone+grip+chair)</w:t>
            </w:r>
          </w:p>
        </w:tc>
        <w:tc>
          <w:tcPr>
            <w:tcW w:w="1291" w:type="dxa"/>
            <w:tcBorders>
              <w:top w:val="nil"/>
              <w:left w:val="nil"/>
              <w:bottom w:val="nil"/>
              <w:right w:val="nil"/>
            </w:tcBorders>
            <w:vAlign w:val="center"/>
          </w:tcPr>
          <w:p w14:paraId="707B7C6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Hip T-score</w:t>
            </w:r>
          </w:p>
        </w:tc>
        <w:tc>
          <w:tcPr>
            <w:tcW w:w="1648" w:type="dxa"/>
            <w:tcBorders>
              <w:top w:val="nil"/>
              <w:left w:val="nil"/>
              <w:bottom w:val="nil"/>
              <w:right w:val="nil"/>
            </w:tcBorders>
            <w:vAlign w:val="center"/>
          </w:tcPr>
          <w:p w14:paraId="003FCD4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Mean difference</w:t>
            </w:r>
          </w:p>
        </w:tc>
        <w:tc>
          <w:tcPr>
            <w:tcW w:w="1680" w:type="dxa"/>
            <w:tcBorders>
              <w:top w:val="nil"/>
              <w:left w:val="nil"/>
              <w:bottom w:val="nil"/>
              <w:right w:val="nil"/>
            </w:tcBorders>
            <w:vAlign w:val="center"/>
          </w:tcPr>
          <w:p w14:paraId="3FD2A12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−2.55 (−2.68–−2.42)</w:t>
            </w:r>
          </w:p>
        </w:tc>
        <w:tc>
          <w:tcPr>
            <w:tcW w:w="952" w:type="dxa"/>
            <w:tcBorders>
              <w:top w:val="nil"/>
              <w:left w:val="nil"/>
              <w:bottom w:val="nil"/>
              <w:right w:val="nil"/>
            </w:tcBorders>
            <w:vAlign w:val="center"/>
          </w:tcPr>
          <w:p w14:paraId="2AFD422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&lt;</w:t>
            </w:r>
            <w:r>
              <w:rPr>
                <w:rFonts w:hint="eastAsia" w:ascii="Times New Roman" w:hAnsi="Times New Roman" w:eastAsia="宋体" w:cs="Times New Roman"/>
                <w:b w:val="0"/>
                <w:bCs w:val="0"/>
                <w:sz w:val="20"/>
                <w:szCs w:val="20"/>
                <w:lang w:val="en-US" w:eastAsia="zh-CN"/>
              </w:rPr>
              <w:t xml:space="preserve"> </w:t>
            </w:r>
            <w:r>
              <w:rPr>
                <w:rFonts w:hint="default" w:ascii="Times New Roman" w:hAnsi="Times New Roman" w:eastAsia="宋体" w:cs="Times New Roman"/>
                <w:b w:val="0"/>
                <w:bCs w:val="0"/>
                <w:sz w:val="20"/>
                <w:szCs w:val="20"/>
              </w:rPr>
              <w:t>0.001</w:t>
            </w:r>
          </w:p>
        </w:tc>
        <w:tc>
          <w:tcPr>
            <w:tcW w:w="736" w:type="dxa"/>
            <w:tcBorders>
              <w:top w:val="nil"/>
              <w:left w:val="nil"/>
              <w:bottom w:val="nil"/>
              <w:right w:val="nil"/>
            </w:tcBorders>
            <w:vAlign w:val="center"/>
          </w:tcPr>
          <w:p w14:paraId="3328E14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1669</w:t>
            </w:r>
          </w:p>
        </w:tc>
      </w:tr>
      <w:tr w14:paraId="79CD5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4309C3B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Exclude prior hip fracture</w:t>
            </w:r>
          </w:p>
        </w:tc>
        <w:tc>
          <w:tcPr>
            <w:tcW w:w="1291" w:type="dxa"/>
            <w:tcBorders>
              <w:top w:val="nil"/>
              <w:left w:val="nil"/>
              <w:bottom w:val="nil"/>
              <w:right w:val="nil"/>
            </w:tcBorders>
            <w:vAlign w:val="center"/>
          </w:tcPr>
          <w:p w14:paraId="5EEF809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Falls ≥1</w:t>
            </w:r>
          </w:p>
        </w:tc>
        <w:tc>
          <w:tcPr>
            <w:tcW w:w="1648" w:type="dxa"/>
            <w:tcBorders>
              <w:top w:val="nil"/>
              <w:left w:val="nil"/>
              <w:bottom w:val="nil"/>
              <w:right w:val="nil"/>
            </w:tcBorders>
            <w:vAlign w:val="center"/>
          </w:tcPr>
          <w:p w14:paraId="416B38D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Odds ratio</w:t>
            </w:r>
          </w:p>
        </w:tc>
        <w:tc>
          <w:tcPr>
            <w:tcW w:w="1680" w:type="dxa"/>
            <w:tcBorders>
              <w:top w:val="nil"/>
              <w:left w:val="nil"/>
              <w:bottom w:val="nil"/>
              <w:right w:val="nil"/>
            </w:tcBorders>
            <w:vAlign w:val="center"/>
          </w:tcPr>
          <w:p w14:paraId="190F26B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1.66 (0.99–2.78)</w:t>
            </w:r>
          </w:p>
        </w:tc>
        <w:tc>
          <w:tcPr>
            <w:tcW w:w="952" w:type="dxa"/>
            <w:tcBorders>
              <w:top w:val="nil"/>
              <w:left w:val="nil"/>
              <w:bottom w:val="nil"/>
              <w:right w:val="nil"/>
            </w:tcBorders>
            <w:vAlign w:val="center"/>
          </w:tcPr>
          <w:p w14:paraId="51BFDB0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0.052</w:t>
            </w:r>
          </w:p>
        </w:tc>
        <w:tc>
          <w:tcPr>
            <w:tcW w:w="736" w:type="dxa"/>
            <w:tcBorders>
              <w:top w:val="nil"/>
              <w:left w:val="nil"/>
              <w:bottom w:val="nil"/>
              <w:right w:val="nil"/>
            </w:tcBorders>
            <w:vAlign w:val="center"/>
          </w:tcPr>
          <w:p w14:paraId="0341F32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1741</w:t>
            </w:r>
          </w:p>
        </w:tc>
      </w:tr>
      <w:tr w14:paraId="0453E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0FADD34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Exclude prior hip fracture</w:t>
            </w:r>
          </w:p>
        </w:tc>
        <w:tc>
          <w:tcPr>
            <w:tcW w:w="1291" w:type="dxa"/>
            <w:tcBorders>
              <w:top w:val="nil"/>
              <w:left w:val="nil"/>
              <w:bottom w:val="nil"/>
              <w:right w:val="nil"/>
            </w:tcBorders>
            <w:vAlign w:val="center"/>
          </w:tcPr>
          <w:p w14:paraId="3130A9E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Falls ≥2</w:t>
            </w:r>
          </w:p>
        </w:tc>
        <w:tc>
          <w:tcPr>
            <w:tcW w:w="1648" w:type="dxa"/>
            <w:tcBorders>
              <w:top w:val="nil"/>
              <w:left w:val="nil"/>
              <w:bottom w:val="nil"/>
              <w:right w:val="nil"/>
            </w:tcBorders>
            <w:vAlign w:val="center"/>
          </w:tcPr>
          <w:p w14:paraId="3140CF9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Odds ratio</w:t>
            </w:r>
          </w:p>
        </w:tc>
        <w:tc>
          <w:tcPr>
            <w:tcW w:w="1680" w:type="dxa"/>
            <w:tcBorders>
              <w:top w:val="nil"/>
              <w:left w:val="nil"/>
              <w:bottom w:val="nil"/>
              <w:right w:val="nil"/>
            </w:tcBorders>
            <w:vAlign w:val="center"/>
          </w:tcPr>
          <w:p w14:paraId="7A2414A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1.43 (0.60–3.39)</w:t>
            </w:r>
          </w:p>
        </w:tc>
        <w:tc>
          <w:tcPr>
            <w:tcW w:w="952" w:type="dxa"/>
            <w:tcBorders>
              <w:top w:val="nil"/>
              <w:left w:val="nil"/>
              <w:bottom w:val="nil"/>
              <w:right w:val="nil"/>
            </w:tcBorders>
            <w:vAlign w:val="center"/>
          </w:tcPr>
          <w:p w14:paraId="5EA35AB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0.419</w:t>
            </w:r>
          </w:p>
        </w:tc>
        <w:tc>
          <w:tcPr>
            <w:tcW w:w="736" w:type="dxa"/>
            <w:tcBorders>
              <w:top w:val="nil"/>
              <w:left w:val="nil"/>
              <w:bottom w:val="nil"/>
              <w:right w:val="nil"/>
            </w:tcBorders>
            <w:vAlign w:val="center"/>
          </w:tcPr>
          <w:p w14:paraId="2B43323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1741</w:t>
            </w:r>
          </w:p>
        </w:tc>
      </w:tr>
      <w:tr w14:paraId="046AD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57B13FB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Exclude prior hip fracture</w:t>
            </w:r>
          </w:p>
        </w:tc>
        <w:tc>
          <w:tcPr>
            <w:tcW w:w="1291" w:type="dxa"/>
            <w:tcBorders>
              <w:top w:val="nil"/>
              <w:left w:val="nil"/>
              <w:bottom w:val="nil"/>
              <w:right w:val="nil"/>
            </w:tcBorders>
            <w:vAlign w:val="center"/>
          </w:tcPr>
          <w:p w14:paraId="0E6C35C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Prior fracture</w:t>
            </w:r>
          </w:p>
        </w:tc>
        <w:tc>
          <w:tcPr>
            <w:tcW w:w="1648" w:type="dxa"/>
            <w:tcBorders>
              <w:top w:val="nil"/>
              <w:left w:val="nil"/>
              <w:bottom w:val="nil"/>
              <w:right w:val="nil"/>
            </w:tcBorders>
            <w:vAlign w:val="center"/>
          </w:tcPr>
          <w:p w14:paraId="44041F2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Odds ratio</w:t>
            </w:r>
          </w:p>
        </w:tc>
        <w:tc>
          <w:tcPr>
            <w:tcW w:w="1680" w:type="dxa"/>
            <w:tcBorders>
              <w:top w:val="nil"/>
              <w:left w:val="nil"/>
              <w:bottom w:val="nil"/>
              <w:right w:val="nil"/>
            </w:tcBorders>
            <w:vAlign w:val="center"/>
          </w:tcPr>
          <w:p w14:paraId="33F247E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1.32 (0.75–2.33)</w:t>
            </w:r>
          </w:p>
        </w:tc>
        <w:tc>
          <w:tcPr>
            <w:tcW w:w="952" w:type="dxa"/>
            <w:tcBorders>
              <w:top w:val="nil"/>
              <w:left w:val="nil"/>
              <w:bottom w:val="nil"/>
              <w:right w:val="nil"/>
            </w:tcBorders>
            <w:vAlign w:val="center"/>
          </w:tcPr>
          <w:p w14:paraId="1D1DC6F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0.338</w:t>
            </w:r>
          </w:p>
        </w:tc>
        <w:tc>
          <w:tcPr>
            <w:tcW w:w="736" w:type="dxa"/>
            <w:tcBorders>
              <w:top w:val="nil"/>
              <w:left w:val="nil"/>
              <w:bottom w:val="nil"/>
              <w:right w:val="nil"/>
            </w:tcBorders>
            <w:vAlign w:val="center"/>
          </w:tcPr>
          <w:p w14:paraId="2645CD7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1741</w:t>
            </w:r>
          </w:p>
        </w:tc>
      </w:tr>
      <w:tr w14:paraId="4FCA3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5CB7392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Exclude prior hip fracture</w:t>
            </w:r>
          </w:p>
        </w:tc>
        <w:tc>
          <w:tcPr>
            <w:tcW w:w="1291" w:type="dxa"/>
            <w:tcBorders>
              <w:top w:val="nil"/>
              <w:left w:val="nil"/>
              <w:bottom w:val="nil"/>
              <w:right w:val="nil"/>
            </w:tcBorders>
            <w:vAlign w:val="center"/>
          </w:tcPr>
          <w:p w14:paraId="525489F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Lumbar T-score</w:t>
            </w:r>
          </w:p>
        </w:tc>
        <w:tc>
          <w:tcPr>
            <w:tcW w:w="1648" w:type="dxa"/>
            <w:tcBorders>
              <w:top w:val="nil"/>
              <w:left w:val="nil"/>
              <w:bottom w:val="nil"/>
              <w:right w:val="nil"/>
            </w:tcBorders>
            <w:vAlign w:val="center"/>
          </w:tcPr>
          <w:p w14:paraId="7547A67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Mean difference</w:t>
            </w:r>
          </w:p>
        </w:tc>
        <w:tc>
          <w:tcPr>
            <w:tcW w:w="1680" w:type="dxa"/>
            <w:tcBorders>
              <w:top w:val="nil"/>
              <w:left w:val="nil"/>
              <w:bottom w:val="nil"/>
              <w:right w:val="nil"/>
            </w:tcBorders>
            <w:vAlign w:val="center"/>
          </w:tcPr>
          <w:p w14:paraId="574DC5D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−2.75 (−2.92–−2.59)</w:t>
            </w:r>
          </w:p>
        </w:tc>
        <w:tc>
          <w:tcPr>
            <w:tcW w:w="952" w:type="dxa"/>
            <w:tcBorders>
              <w:top w:val="nil"/>
              <w:left w:val="nil"/>
              <w:bottom w:val="nil"/>
              <w:right w:val="nil"/>
            </w:tcBorders>
            <w:vAlign w:val="center"/>
          </w:tcPr>
          <w:p w14:paraId="5B90597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&lt;</w:t>
            </w:r>
            <w:r>
              <w:rPr>
                <w:rFonts w:hint="eastAsia" w:ascii="Times New Roman" w:hAnsi="Times New Roman" w:eastAsia="宋体" w:cs="Times New Roman"/>
                <w:b w:val="0"/>
                <w:bCs w:val="0"/>
                <w:sz w:val="20"/>
                <w:szCs w:val="20"/>
                <w:lang w:val="en-US" w:eastAsia="zh-CN"/>
              </w:rPr>
              <w:t xml:space="preserve"> </w:t>
            </w:r>
            <w:r>
              <w:rPr>
                <w:rFonts w:hint="default" w:ascii="Times New Roman" w:hAnsi="Times New Roman" w:eastAsia="宋体" w:cs="Times New Roman"/>
                <w:b w:val="0"/>
                <w:bCs w:val="0"/>
                <w:sz w:val="20"/>
                <w:szCs w:val="20"/>
              </w:rPr>
              <w:t>0.001</w:t>
            </w:r>
          </w:p>
        </w:tc>
        <w:tc>
          <w:tcPr>
            <w:tcW w:w="736" w:type="dxa"/>
            <w:tcBorders>
              <w:top w:val="nil"/>
              <w:left w:val="nil"/>
              <w:bottom w:val="nil"/>
              <w:right w:val="nil"/>
            </w:tcBorders>
            <w:vAlign w:val="center"/>
          </w:tcPr>
          <w:p w14:paraId="6486A56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1741</w:t>
            </w:r>
          </w:p>
        </w:tc>
      </w:tr>
      <w:tr w14:paraId="3354F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394D0AC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Exclude prior hip fracture</w:t>
            </w:r>
          </w:p>
        </w:tc>
        <w:tc>
          <w:tcPr>
            <w:tcW w:w="1291" w:type="dxa"/>
            <w:tcBorders>
              <w:top w:val="nil"/>
              <w:left w:val="nil"/>
              <w:bottom w:val="nil"/>
              <w:right w:val="nil"/>
            </w:tcBorders>
            <w:vAlign w:val="center"/>
          </w:tcPr>
          <w:p w14:paraId="3240EC1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Hip T-score</w:t>
            </w:r>
          </w:p>
        </w:tc>
        <w:tc>
          <w:tcPr>
            <w:tcW w:w="1648" w:type="dxa"/>
            <w:tcBorders>
              <w:top w:val="nil"/>
              <w:left w:val="nil"/>
              <w:bottom w:val="nil"/>
              <w:right w:val="nil"/>
            </w:tcBorders>
            <w:vAlign w:val="center"/>
          </w:tcPr>
          <w:p w14:paraId="141ED71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Mean difference</w:t>
            </w:r>
          </w:p>
        </w:tc>
        <w:tc>
          <w:tcPr>
            <w:tcW w:w="1680" w:type="dxa"/>
            <w:tcBorders>
              <w:top w:val="nil"/>
              <w:left w:val="nil"/>
              <w:bottom w:val="nil"/>
              <w:right w:val="nil"/>
            </w:tcBorders>
            <w:vAlign w:val="center"/>
          </w:tcPr>
          <w:p w14:paraId="428F70C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−2.55 (−2.69–−2.42)</w:t>
            </w:r>
          </w:p>
        </w:tc>
        <w:tc>
          <w:tcPr>
            <w:tcW w:w="952" w:type="dxa"/>
            <w:tcBorders>
              <w:top w:val="nil"/>
              <w:left w:val="nil"/>
              <w:bottom w:val="nil"/>
              <w:right w:val="nil"/>
            </w:tcBorders>
            <w:vAlign w:val="center"/>
          </w:tcPr>
          <w:p w14:paraId="3502B3C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&lt;</w:t>
            </w:r>
            <w:r>
              <w:rPr>
                <w:rFonts w:hint="eastAsia" w:ascii="Times New Roman" w:hAnsi="Times New Roman" w:eastAsia="宋体" w:cs="Times New Roman"/>
                <w:b w:val="0"/>
                <w:bCs w:val="0"/>
                <w:sz w:val="20"/>
                <w:szCs w:val="20"/>
                <w:lang w:val="en-US" w:eastAsia="zh-CN"/>
              </w:rPr>
              <w:t xml:space="preserve"> </w:t>
            </w:r>
            <w:r>
              <w:rPr>
                <w:rFonts w:hint="default" w:ascii="Times New Roman" w:hAnsi="Times New Roman" w:eastAsia="宋体" w:cs="Times New Roman"/>
                <w:b w:val="0"/>
                <w:bCs w:val="0"/>
                <w:sz w:val="20"/>
                <w:szCs w:val="20"/>
              </w:rPr>
              <w:t>0.001</w:t>
            </w:r>
          </w:p>
        </w:tc>
        <w:tc>
          <w:tcPr>
            <w:tcW w:w="736" w:type="dxa"/>
            <w:tcBorders>
              <w:top w:val="nil"/>
              <w:left w:val="nil"/>
              <w:bottom w:val="nil"/>
              <w:right w:val="nil"/>
            </w:tcBorders>
            <w:vAlign w:val="center"/>
          </w:tcPr>
          <w:p w14:paraId="7744DB8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1741</w:t>
            </w:r>
          </w:p>
        </w:tc>
      </w:tr>
      <w:tr w14:paraId="148AE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0F157FF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Exclude long-term glucocorticoids</w:t>
            </w:r>
          </w:p>
        </w:tc>
        <w:tc>
          <w:tcPr>
            <w:tcW w:w="1291" w:type="dxa"/>
            <w:tcBorders>
              <w:top w:val="nil"/>
              <w:left w:val="nil"/>
              <w:bottom w:val="nil"/>
              <w:right w:val="nil"/>
            </w:tcBorders>
            <w:vAlign w:val="center"/>
          </w:tcPr>
          <w:p w14:paraId="001C52A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Falls ≥1</w:t>
            </w:r>
          </w:p>
        </w:tc>
        <w:tc>
          <w:tcPr>
            <w:tcW w:w="1648" w:type="dxa"/>
            <w:tcBorders>
              <w:top w:val="nil"/>
              <w:left w:val="nil"/>
              <w:bottom w:val="nil"/>
              <w:right w:val="nil"/>
            </w:tcBorders>
            <w:vAlign w:val="center"/>
          </w:tcPr>
          <w:p w14:paraId="26D1E54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Odds ratio</w:t>
            </w:r>
          </w:p>
        </w:tc>
        <w:tc>
          <w:tcPr>
            <w:tcW w:w="1680" w:type="dxa"/>
            <w:tcBorders>
              <w:top w:val="nil"/>
              <w:left w:val="nil"/>
              <w:bottom w:val="nil"/>
              <w:right w:val="nil"/>
            </w:tcBorders>
            <w:vAlign w:val="center"/>
          </w:tcPr>
          <w:p w14:paraId="6015DFC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1.67 (1.00–2.80)</w:t>
            </w:r>
          </w:p>
        </w:tc>
        <w:tc>
          <w:tcPr>
            <w:tcW w:w="952" w:type="dxa"/>
            <w:tcBorders>
              <w:top w:val="nil"/>
              <w:left w:val="nil"/>
              <w:bottom w:val="nil"/>
              <w:right w:val="nil"/>
            </w:tcBorders>
            <w:vAlign w:val="center"/>
          </w:tcPr>
          <w:p w14:paraId="3E0A00B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0.051</w:t>
            </w:r>
          </w:p>
        </w:tc>
        <w:tc>
          <w:tcPr>
            <w:tcW w:w="736" w:type="dxa"/>
            <w:tcBorders>
              <w:top w:val="nil"/>
              <w:left w:val="nil"/>
              <w:bottom w:val="nil"/>
              <w:right w:val="nil"/>
            </w:tcBorders>
            <w:vAlign w:val="center"/>
          </w:tcPr>
          <w:p w14:paraId="3D67317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1758</w:t>
            </w:r>
          </w:p>
        </w:tc>
      </w:tr>
      <w:tr w14:paraId="50515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665468C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Exclude long-term glucocorticoids</w:t>
            </w:r>
          </w:p>
        </w:tc>
        <w:tc>
          <w:tcPr>
            <w:tcW w:w="1291" w:type="dxa"/>
            <w:tcBorders>
              <w:top w:val="nil"/>
              <w:left w:val="nil"/>
              <w:bottom w:val="nil"/>
              <w:right w:val="nil"/>
            </w:tcBorders>
            <w:vAlign w:val="center"/>
          </w:tcPr>
          <w:p w14:paraId="1BCBEF7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Falls ≥2</w:t>
            </w:r>
          </w:p>
        </w:tc>
        <w:tc>
          <w:tcPr>
            <w:tcW w:w="1648" w:type="dxa"/>
            <w:tcBorders>
              <w:top w:val="nil"/>
              <w:left w:val="nil"/>
              <w:bottom w:val="nil"/>
              <w:right w:val="nil"/>
            </w:tcBorders>
            <w:vAlign w:val="center"/>
          </w:tcPr>
          <w:p w14:paraId="1F013A1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Odds ratio</w:t>
            </w:r>
          </w:p>
        </w:tc>
        <w:tc>
          <w:tcPr>
            <w:tcW w:w="1680" w:type="dxa"/>
            <w:tcBorders>
              <w:top w:val="nil"/>
              <w:left w:val="nil"/>
              <w:bottom w:val="nil"/>
              <w:right w:val="nil"/>
            </w:tcBorders>
            <w:vAlign w:val="center"/>
          </w:tcPr>
          <w:p w14:paraId="23B1463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1.37 (0.59–3.19)</w:t>
            </w:r>
          </w:p>
        </w:tc>
        <w:tc>
          <w:tcPr>
            <w:tcW w:w="952" w:type="dxa"/>
            <w:tcBorders>
              <w:top w:val="nil"/>
              <w:left w:val="nil"/>
              <w:bottom w:val="nil"/>
              <w:right w:val="nil"/>
            </w:tcBorders>
            <w:vAlign w:val="center"/>
          </w:tcPr>
          <w:p w14:paraId="127D041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0.466</w:t>
            </w:r>
          </w:p>
        </w:tc>
        <w:tc>
          <w:tcPr>
            <w:tcW w:w="736" w:type="dxa"/>
            <w:tcBorders>
              <w:top w:val="nil"/>
              <w:left w:val="nil"/>
              <w:bottom w:val="nil"/>
              <w:right w:val="nil"/>
            </w:tcBorders>
            <w:vAlign w:val="center"/>
          </w:tcPr>
          <w:p w14:paraId="12C533C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1758</w:t>
            </w:r>
          </w:p>
        </w:tc>
      </w:tr>
      <w:tr w14:paraId="12F74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1EC0920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Exclude long-term glucocorticoids</w:t>
            </w:r>
          </w:p>
        </w:tc>
        <w:tc>
          <w:tcPr>
            <w:tcW w:w="1291" w:type="dxa"/>
            <w:tcBorders>
              <w:top w:val="nil"/>
              <w:left w:val="nil"/>
              <w:bottom w:val="nil"/>
              <w:right w:val="nil"/>
            </w:tcBorders>
            <w:vAlign w:val="center"/>
          </w:tcPr>
          <w:p w14:paraId="4396364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Prior fracture</w:t>
            </w:r>
          </w:p>
        </w:tc>
        <w:tc>
          <w:tcPr>
            <w:tcW w:w="1648" w:type="dxa"/>
            <w:tcBorders>
              <w:top w:val="nil"/>
              <w:left w:val="nil"/>
              <w:bottom w:val="nil"/>
              <w:right w:val="nil"/>
            </w:tcBorders>
            <w:vAlign w:val="center"/>
          </w:tcPr>
          <w:p w14:paraId="42918E7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Odds ratio</w:t>
            </w:r>
          </w:p>
        </w:tc>
        <w:tc>
          <w:tcPr>
            <w:tcW w:w="1680" w:type="dxa"/>
            <w:tcBorders>
              <w:top w:val="nil"/>
              <w:left w:val="nil"/>
              <w:bottom w:val="nil"/>
              <w:right w:val="nil"/>
            </w:tcBorders>
            <w:vAlign w:val="center"/>
          </w:tcPr>
          <w:p w14:paraId="5BD4605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1.59 (0.92–2.75)</w:t>
            </w:r>
          </w:p>
        </w:tc>
        <w:tc>
          <w:tcPr>
            <w:tcW w:w="952" w:type="dxa"/>
            <w:tcBorders>
              <w:top w:val="nil"/>
              <w:left w:val="nil"/>
              <w:bottom w:val="nil"/>
              <w:right w:val="nil"/>
            </w:tcBorders>
            <w:vAlign w:val="center"/>
          </w:tcPr>
          <w:p w14:paraId="3E48C34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0.096</w:t>
            </w:r>
          </w:p>
        </w:tc>
        <w:tc>
          <w:tcPr>
            <w:tcW w:w="736" w:type="dxa"/>
            <w:tcBorders>
              <w:top w:val="nil"/>
              <w:left w:val="nil"/>
              <w:bottom w:val="nil"/>
              <w:right w:val="nil"/>
            </w:tcBorders>
            <w:vAlign w:val="center"/>
          </w:tcPr>
          <w:p w14:paraId="59D98E0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1758</w:t>
            </w:r>
          </w:p>
        </w:tc>
      </w:tr>
      <w:tr w14:paraId="731AA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nil"/>
              <w:right w:val="nil"/>
            </w:tcBorders>
            <w:vAlign w:val="center"/>
          </w:tcPr>
          <w:p w14:paraId="02762DE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Exclude long-term glucocorticoids</w:t>
            </w:r>
          </w:p>
        </w:tc>
        <w:tc>
          <w:tcPr>
            <w:tcW w:w="1291" w:type="dxa"/>
            <w:tcBorders>
              <w:top w:val="nil"/>
              <w:left w:val="nil"/>
              <w:bottom w:val="nil"/>
              <w:right w:val="nil"/>
            </w:tcBorders>
            <w:vAlign w:val="center"/>
          </w:tcPr>
          <w:p w14:paraId="37097BE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Lumbar T-score</w:t>
            </w:r>
          </w:p>
        </w:tc>
        <w:tc>
          <w:tcPr>
            <w:tcW w:w="1648" w:type="dxa"/>
            <w:tcBorders>
              <w:top w:val="nil"/>
              <w:left w:val="nil"/>
              <w:bottom w:val="nil"/>
              <w:right w:val="nil"/>
            </w:tcBorders>
            <w:vAlign w:val="center"/>
          </w:tcPr>
          <w:p w14:paraId="050DFC8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Mean difference</w:t>
            </w:r>
          </w:p>
        </w:tc>
        <w:tc>
          <w:tcPr>
            <w:tcW w:w="1680" w:type="dxa"/>
            <w:tcBorders>
              <w:top w:val="nil"/>
              <w:left w:val="nil"/>
              <w:bottom w:val="nil"/>
              <w:right w:val="nil"/>
            </w:tcBorders>
            <w:vAlign w:val="center"/>
          </w:tcPr>
          <w:p w14:paraId="56B9A99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−2.74 (−2.91–−2.58)</w:t>
            </w:r>
          </w:p>
        </w:tc>
        <w:tc>
          <w:tcPr>
            <w:tcW w:w="952" w:type="dxa"/>
            <w:tcBorders>
              <w:top w:val="nil"/>
              <w:left w:val="nil"/>
              <w:bottom w:val="nil"/>
              <w:right w:val="nil"/>
            </w:tcBorders>
            <w:vAlign w:val="center"/>
          </w:tcPr>
          <w:p w14:paraId="515B018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&lt;</w:t>
            </w:r>
            <w:r>
              <w:rPr>
                <w:rFonts w:hint="eastAsia" w:ascii="Times New Roman" w:hAnsi="Times New Roman" w:eastAsia="宋体" w:cs="Times New Roman"/>
                <w:b w:val="0"/>
                <w:bCs w:val="0"/>
                <w:sz w:val="20"/>
                <w:szCs w:val="20"/>
                <w:lang w:val="en-US" w:eastAsia="zh-CN"/>
              </w:rPr>
              <w:t xml:space="preserve"> </w:t>
            </w:r>
            <w:r>
              <w:rPr>
                <w:rFonts w:hint="default" w:ascii="Times New Roman" w:hAnsi="Times New Roman" w:eastAsia="宋体" w:cs="Times New Roman"/>
                <w:b w:val="0"/>
                <w:bCs w:val="0"/>
                <w:sz w:val="20"/>
                <w:szCs w:val="20"/>
              </w:rPr>
              <w:t>0.001</w:t>
            </w:r>
          </w:p>
        </w:tc>
        <w:tc>
          <w:tcPr>
            <w:tcW w:w="736" w:type="dxa"/>
            <w:tcBorders>
              <w:top w:val="nil"/>
              <w:left w:val="nil"/>
              <w:bottom w:val="nil"/>
              <w:right w:val="nil"/>
            </w:tcBorders>
            <w:vAlign w:val="center"/>
          </w:tcPr>
          <w:p w14:paraId="14A1B91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1758</w:t>
            </w:r>
          </w:p>
        </w:tc>
      </w:tr>
      <w:tr w14:paraId="0FCA9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6" w:type="dxa"/>
            <w:tcBorders>
              <w:top w:val="nil"/>
              <w:left w:val="nil"/>
              <w:bottom w:val="single" w:color="auto" w:sz="12" w:space="0"/>
              <w:right w:val="nil"/>
            </w:tcBorders>
            <w:vAlign w:val="center"/>
          </w:tcPr>
          <w:p w14:paraId="46747BC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Exclude long-term glucocorticoids</w:t>
            </w:r>
          </w:p>
        </w:tc>
        <w:tc>
          <w:tcPr>
            <w:tcW w:w="1291" w:type="dxa"/>
            <w:tcBorders>
              <w:top w:val="nil"/>
              <w:left w:val="nil"/>
              <w:bottom w:val="single" w:color="auto" w:sz="12" w:space="0"/>
              <w:right w:val="nil"/>
            </w:tcBorders>
            <w:vAlign w:val="center"/>
          </w:tcPr>
          <w:p w14:paraId="747962C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Hip T-score</w:t>
            </w:r>
          </w:p>
        </w:tc>
        <w:tc>
          <w:tcPr>
            <w:tcW w:w="1648" w:type="dxa"/>
            <w:tcBorders>
              <w:top w:val="nil"/>
              <w:left w:val="nil"/>
              <w:bottom w:val="single" w:color="auto" w:sz="12" w:space="0"/>
              <w:right w:val="nil"/>
            </w:tcBorders>
            <w:vAlign w:val="center"/>
          </w:tcPr>
          <w:p w14:paraId="01AE590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eastAsia="宋体"/>
                <w:sz w:val="20"/>
              </w:rPr>
            </w:pPr>
            <w:r>
              <w:rPr>
                <w:rFonts w:hint="default" w:ascii="Times New Roman" w:hAnsi="Times New Roman" w:eastAsia="宋体" w:cs="Times New Roman"/>
                <w:b w:val="0"/>
                <w:bCs w:val="0"/>
                <w:sz w:val="20"/>
                <w:szCs w:val="20"/>
              </w:rPr>
              <w:t>Mean difference</w:t>
            </w:r>
          </w:p>
        </w:tc>
        <w:tc>
          <w:tcPr>
            <w:tcW w:w="1680" w:type="dxa"/>
            <w:tcBorders>
              <w:top w:val="nil"/>
              <w:left w:val="nil"/>
              <w:bottom w:val="single" w:color="auto" w:sz="12" w:space="0"/>
              <w:right w:val="nil"/>
            </w:tcBorders>
            <w:vAlign w:val="center"/>
          </w:tcPr>
          <w:p w14:paraId="020ACBE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−2.55 (−2.69–−2.42)</w:t>
            </w:r>
          </w:p>
        </w:tc>
        <w:tc>
          <w:tcPr>
            <w:tcW w:w="952" w:type="dxa"/>
            <w:tcBorders>
              <w:top w:val="nil"/>
              <w:left w:val="nil"/>
              <w:bottom w:val="single" w:color="auto" w:sz="12" w:space="0"/>
              <w:right w:val="nil"/>
            </w:tcBorders>
            <w:vAlign w:val="center"/>
          </w:tcPr>
          <w:p w14:paraId="4BD04F3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&lt;</w:t>
            </w:r>
            <w:r>
              <w:rPr>
                <w:rFonts w:hint="eastAsia" w:ascii="Times New Roman" w:hAnsi="Times New Roman" w:eastAsia="宋体" w:cs="Times New Roman"/>
                <w:b w:val="0"/>
                <w:bCs w:val="0"/>
                <w:sz w:val="20"/>
                <w:szCs w:val="20"/>
                <w:lang w:val="en-US" w:eastAsia="zh-CN"/>
              </w:rPr>
              <w:t xml:space="preserve"> </w:t>
            </w:r>
            <w:r>
              <w:rPr>
                <w:rFonts w:hint="default" w:ascii="Times New Roman" w:hAnsi="Times New Roman" w:eastAsia="宋体" w:cs="Times New Roman"/>
                <w:b w:val="0"/>
                <w:bCs w:val="0"/>
                <w:sz w:val="20"/>
                <w:szCs w:val="20"/>
              </w:rPr>
              <w:t>0.001</w:t>
            </w:r>
          </w:p>
        </w:tc>
        <w:tc>
          <w:tcPr>
            <w:tcW w:w="736" w:type="dxa"/>
            <w:tcBorders>
              <w:top w:val="nil"/>
              <w:left w:val="nil"/>
              <w:bottom w:val="single" w:color="auto" w:sz="12" w:space="0"/>
              <w:right w:val="nil"/>
            </w:tcBorders>
            <w:vAlign w:val="center"/>
          </w:tcPr>
          <w:p w14:paraId="63D8492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eastAsia="宋体"/>
                <w:sz w:val="20"/>
              </w:rPr>
            </w:pPr>
            <w:r>
              <w:rPr>
                <w:rFonts w:hint="default" w:ascii="Times New Roman" w:hAnsi="Times New Roman" w:eastAsia="宋体" w:cs="Times New Roman"/>
                <w:b w:val="0"/>
                <w:bCs w:val="0"/>
                <w:sz w:val="20"/>
                <w:szCs w:val="20"/>
              </w:rPr>
              <w:t>1758</w:t>
            </w:r>
          </w:p>
        </w:tc>
      </w:tr>
    </w:tbl>
    <w:p w14:paraId="0AE22EE5">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bCs/>
          <w:sz w:val="20"/>
          <w:szCs w:val="20"/>
        </w:rPr>
        <w:t>Note:</w:t>
      </w:r>
      <w:r>
        <w:rPr>
          <w:rFonts w:hint="default" w:ascii="Times New Roman" w:hAnsi="Times New Roman" w:eastAsia="宋体" w:cs="Times New Roman"/>
          <w:b w:val="0"/>
          <w:bCs w:val="0"/>
          <w:sz w:val="20"/>
          <w:szCs w:val="20"/>
        </w:rPr>
        <w:t xml:space="preserve"> Values in parentheses indicate 95% confidence intervals. Estimates compare Osteoporosis/Yes with the reference stratum Normal/No. Binary outcomes are reported as odds ratios from logistic regression; continuous outcomes are adjusted mean differences (β) from generalized linear models with an identity link. All estimates are from the fully adjusted model (Model 3) using the covariate set specified in the Methods. Sensitivity scenarios redefine bone mass status (lumbar-only or hip-only DXA T-scores), redefine possible sarcopenia (grip-only or chair-stand-only), restrict to complete-case participants with non-missing bone and muscle measures, exclude participants with prior hip fracture, or exclude long-term glucocorticoid users. N denotes the number of participants included in each model. P values are two-sided and reported to three decimals (&lt;</w:t>
      </w:r>
      <w:r>
        <w:rPr>
          <w:rFonts w:hint="eastAsia" w:ascii="Times New Roman" w:hAnsi="Times New Roman" w:eastAsia="宋体" w:cs="Times New Roman"/>
          <w:b w:val="0"/>
          <w:bCs w:val="0"/>
          <w:sz w:val="20"/>
          <w:szCs w:val="20"/>
          <w:lang w:val="en-US" w:eastAsia="zh-CN"/>
        </w:rPr>
        <w:t xml:space="preserve"> </w:t>
      </w:r>
      <w:r>
        <w:rPr>
          <w:rFonts w:hint="default" w:ascii="Times New Roman" w:hAnsi="Times New Roman" w:eastAsia="宋体" w:cs="Times New Roman"/>
          <w:b w:val="0"/>
          <w:bCs w:val="0"/>
          <w:sz w:val="20"/>
          <w:szCs w:val="20"/>
        </w:rPr>
        <w:t>0.001 shown as &lt;</w:t>
      </w:r>
      <w:r>
        <w:rPr>
          <w:rFonts w:hint="eastAsia" w:ascii="Times New Roman" w:hAnsi="Times New Roman" w:eastAsia="宋体" w:cs="Times New Roman"/>
          <w:b w:val="0"/>
          <w:bCs w:val="0"/>
          <w:sz w:val="20"/>
          <w:szCs w:val="20"/>
          <w:lang w:val="en-US" w:eastAsia="zh-CN"/>
        </w:rPr>
        <w:t xml:space="preserve"> </w:t>
      </w:r>
      <w:r>
        <w:rPr>
          <w:rFonts w:hint="default" w:ascii="Times New Roman" w:hAnsi="Times New Roman" w:eastAsia="宋体" w:cs="Times New Roman"/>
          <w:b w:val="0"/>
          <w:bCs w:val="0"/>
          <w:sz w:val="20"/>
          <w:szCs w:val="20"/>
        </w:rPr>
        <w:t>0.001).</w:t>
      </w:r>
    </w:p>
    <w:p w14:paraId="1B227778">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eastAsia="宋体" w:cs="Times New Roman"/>
          <w:b w:val="0"/>
          <w:bCs w:val="0"/>
          <w:sz w:val="20"/>
          <w:szCs w:val="20"/>
        </w:rPr>
      </w:pPr>
      <w:r>
        <w:rPr>
          <w:rFonts w:hint="default" w:ascii="Times New Roman" w:hAnsi="Times New Roman" w:eastAsia="宋体" w:cs="Times New Roman"/>
          <w:b/>
          <w:bCs/>
          <w:sz w:val="20"/>
          <w:szCs w:val="20"/>
        </w:rPr>
        <w:t>Abbreviations:</w:t>
      </w:r>
      <w:r>
        <w:rPr>
          <w:rFonts w:hint="default" w:ascii="Times New Roman" w:hAnsi="Times New Roman" w:eastAsia="宋体" w:cs="Times New Roman"/>
          <w:b w:val="0"/>
          <w:bCs w:val="0"/>
          <w:sz w:val="20"/>
          <w:szCs w:val="20"/>
        </w:rPr>
        <w:t xml:space="preserve"> CI, confidence interval; dual-energy X-ray absorptiometry (DXA); OR, odds ratio.</w:t>
      </w:r>
    </w:p>
    <w:p w14:paraId="6D6C5818">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eastAsiaTheme="minorEastAsia"/>
          <w:lang w:eastAsia="zh-CN"/>
        </w:rPr>
      </w:pPr>
      <w:r>
        <w:rPr>
          <w:rFonts w:hint="eastAsia"/>
        </w:rPr>
        <w:t xml:space="preserve"> </w:t>
      </w:r>
      <w:r>
        <w:rPr>
          <w:rFonts w:hint="eastAsia" w:eastAsiaTheme="minorEastAsia"/>
          <w:lang w:eastAsia="zh-CN"/>
        </w:rPr>
        <w:drawing>
          <wp:inline distT="0" distB="0" distL="114300" distR="114300">
            <wp:extent cx="5273675" cy="4808220"/>
            <wp:effectExtent l="0" t="0" r="3175" b="11430"/>
            <wp:docPr id="1" name="图片 1" descr="SuppFigur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uppFigure_S1"/>
                    <pic:cNvPicPr>
                      <a:picLocks noChangeAspect="1"/>
                    </pic:cNvPicPr>
                  </pic:nvPicPr>
                  <pic:blipFill>
                    <a:blip r:embed="rId4"/>
                    <a:stretch>
                      <a:fillRect/>
                    </a:stretch>
                  </pic:blipFill>
                  <pic:spPr>
                    <a:xfrm>
                      <a:off x="0" y="0"/>
                      <a:ext cx="5273675" cy="4808220"/>
                    </a:xfrm>
                    <a:prstGeom prst="rect">
                      <a:avLst/>
                    </a:prstGeom>
                  </pic:spPr>
                </pic:pic>
              </a:graphicData>
            </a:graphic>
          </wp:inline>
        </w:drawing>
      </w:r>
    </w:p>
    <w:p w14:paraId="673FAC5B">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Supplement Fig</w:t>
      </w:r>
      <w:r>
        <w:rPr>
          <w:rFonts w:hint="eastAsia" w:ascii="Times New Roman" w:hAnsi="Times New Roman" w:cs="Times New Roman"/>
          <w:sz w:val="24"/>
          <w:szCs w:val="24"/>
          <w:lang w:val="en-US" w:eastAsia="zh-CN"/>
        </w:rPr>
        <w:t>ure</w:t>
      </w:r>
      <w:r>
        <w:rPr>
          <w:rFonts w:hint="default" w:ascii="Times New Roman" w:hAnsi="Times New Roman" w:cs="Times New Roman"/>
          <w:sz w:val="24"/>
          <w:szCs w:val="24"/>
        </w:rPr>
        <w:t xml:space="preserve"> S1. Distributions and tail checks for key continuous variables.</w:t>
      </w:r>
    </w:p>
    <w:p w14:paraId="11DE405B">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jc w:val="both"/>
        <w:textAlignment w:val="auto"/>
        <w:rPr>
          <w:rFonts w:hint="default" w:ascii="Times New Roman" w:hAnsi="Times New Roman" w:cs="Times New Roman"/>
          <w:sz w:val="20"/>
          <w:szCs w:val="20"/>
        </w:rPr>
      </w:pPr>
      <w:r>
        <w:rPr>
          <w:rStyle w:val="8"/>
          <w:rFonts w:hint="default" w:ascii="Times New Roman" w:hAnsi="Times New Roman" w:cs="Times New Roman"/>
          <w:sz w:val="20"/>
          <w:szCs w:val="20"/>
        </w:rPr>
        <w:t>Legend:</w:t>
      </w:r>
      <w:r>
        <w:rPr>
          <w:rFonts w:hint="default" w:ascii="Times New Roman" w:hAnsi="Times New Roman" w:cs="Times New Roman"/>
          <w:sz w:val="20"/>
          <w:szCs w:val="20"/>
        </w:rPr>
        <w:t xml:space="preserve"> Multi-panel histograms (with kernel density overlays) summarize the distributions of key continuous measures in the analytic cohort, supporting extreme-value inspection and prespecified transformation choices for subsequent models. Panels include age, BMI, maximum handgrip strength, chair-stand time, lumbar spine and hip T-scores (with dashed lines marking −1.0 and −2.5 clinical cut-points used for bone-mass categorization), total 25(OH)D, and </w:t>
      </w:r>
      <w:r>
        <w:rPr>
          <w:rFonts w:hint="eastAsia" w:ascii="Times New Roman" w:hAnsi="Times New Roman" w:cs="Times New Roman"/>
          <w:sz w:val="20"/>
          <w:szCs w:val="20"/>
          <w:lang w:eastAsia="zh-CN"/>
        </w:rPr>
        <w:t>β-CTx</w:t>
      </w:r>
      <w:r>
        <w:rPr>
          <w:rFonts w:hint="default" w:ascii="Times New Roman" w:hAnsi="Times New Roman" w:cs="Times New Roman"/>
          <w:sz w:val="20"/>
          <w:szCs w:val="20"/>
        </w:rPr>
        <w:t xml:space="preserve"> displayed on the log scale.</w:t>
      </w:r>
    </w:p>
    <w:p w14:paraId="3882EA3B">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textAlignment w:val="auto"/>
        <w:rPr>
          <w:rFonts w:hint="eastAsia" w:ascii="Times New Roman" w:hAnsi="Times New Roman" w:cs="Times New Roman" w:eastAsiaTheme="minorEastAsia"/>
          <w:sz w:val="20"/>
          <w:szCs w:val="20"/>
          <w:lang w:eastAsia="zh-CN"/>
        </w:rPr>
      </w:pPr>
      <w:r>
        <w:rPr>
          <w:rFonts w:hint="eastAsia" w:ascii="Times New Roman" w:hAnsi="Times New Roman" w:cs="Times New Roman" w:eastAsiaTheme="minorEastAsia"/>
          <w:sz w:val="20"/>
          <w:szCs w:val="20"/>
          <w:lang w:eastAsia="zh-CN"/>
        </w:rPr>
        <w:drawing>
          <wp:inline distT="0" distB="0" distL="114300" distR="114300">
            <wp:extent cx="5270500" cy="4999990"/>
            <wp:effectExtent l="0" t="0" r="6350" b="10160"/>
            <wp:docPr id="2" name="图片 2" descr="SuppFigur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uppFigure_S2"/>
                    <pic:cNvPicPr>
                      <a:picLocks noChangeAspect="1"/>
                    </pic:cNvPicPr>
                  </pic:nvPicPr>
                  <pic:blipFill>
                    <a:blip r:embed="rId5"/>
                    <a:stretch>
                      <a:fillRect/>
                    </a:stretch>
                  </pic:blipFill>
                  <pic:spPr>
                    <a:xfrm>
                      <a:off x="0" y="0"/>
                      <a:ext cx="5270500" cy="4999990"/>
                    </a:xfrm>
                    <a:prstGeom prst="rect">
                      <a:avLst/>
                    </a:prstGeom>
                  </pic:spPr>
                </pic:pic>
              </a:graphicData>
            </a:graphic>
          </wp:inline>
        </w:drawing>
      </w:r>
    </w:p>
    <w:p w14:paraId="630C5B2A">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Supplement Fig</w:t>
      </w:r>
      <w:r>
        <w:rPr>
          <w:rFonts w:hint="eastAsia" w:ascii="Times New Roman" w:hAnsi="Times New Roman" w:cs="Times New Roman"/>
          <w:sz w:val="24"/>
          <w:szCs w:val="24"/>
          <w:lang w:val="en-US" w:eastAsia="zh-CN"/>
        </w:rPr>
        <w:t>ure</w:t>
      </w:r>
      <w:r>
        <w:rPr>
          <w:rFonts w:hint="default" w:ascii="Times New Roman" w:hAnsi="Times New Roman" w:cs="Times New Roman"/>
          <w:sz w:val="24"/>
          <w:szCs w:val="24"/>
        </w:rPr>
        <w:t xml:space="preserve"> S2. Sensitivity to missingness handling rules.</w:t>
      </w:r>
    </w:p>
    <w:p w14:paraId="7B105A33">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jc w:val="both"/>
        <w:textAlignment w:val="auto"/>
        <w:rPr>
          <w:rFonts w:hint="default" w:ascii="Times New Roman" w:hAnsi="Times New Roman" w:cs="Times New Roman"/>
          <w:sz w:val="20"/>
          <w:szCs w:val="20"/>
        </w:rPr>
      </w:pPr>
      <w:r>
        <w:rPr>
          <w:rStyle w:val="8"/>
          <w:rFonts w:hint="default" w:ascii="Times New Roman" w:hAnsi="Times New Roman" w:cs="Times New Roman"/>
          <w:sz w:val="20"/>
          <w:szCs w:val="20"/>
        </w:rPr>
        <w:t>Legend:</w:t>
      </w:r>
      <w:r>
        <w:rPr>
          <w:rFonts w:hint="default" w:ascii="Times New Roman" w:hAnsi="Times New Roman" w:cs="Times New Roman"/>
          <w:sz w:val="20"/>
          <w:szCs w:val="20"/>
        </w:rPr>
        <w:t xml:space="preserve"> Fully adjusted (Model 3) associations between cross-classified strata (G2–G6) and past-year falls are shown as adjusted odds ratios (ORs) with 95% confidence intervals, using </w:t>
      </w:r>
      <w:r>
        <w:rPr>
          <w:rStyle w:val="8"/>
          <w:rFonts w:hint="default" w:ascii="Times New Roman" w:hAnsi="Times New Roman" w:cs="Times New Roman"/>
          <w:b w:val="0"/>
          <w:bCs/>
          <w:sz w:val="20"/>
          <w:szCs w:val="20"/>
        </w:rPr>
        <w:t>G1</w:t>
      </w:r>
      <w:r>
        <w:rPr>
          <w:rFonts w:hint="default" w:ascii="Times New Roman" w:hAnsi="Times New Roman" w:cs="Times New Roman"/>
          <w:sz w:val="20"/>
          <w:szCs w:val="20"/>
        </w:rPr>
        <w:t xml:space="preserve"> as the reference. Two missingness-handling strategies are contrasted:</w:t>
      </w:r>
      <w:r>
        <w:rPr>
          <w:rFonts w:hint="default" w:ascii="Times New Roman" w:hAnsi="Times New Roman" w:cs="Times New Roman"/>
          <w:b/>
          <w:bCs/>
          <w:sz w:val="20"/>
          <w:szCs w:val="20"/>
        </w:rPr>
        <w:t xml:space="preserve"> </w:t>
      </w:r>
      <w:r>
        <w:rPr>
          <w:rStyle w:val="8"/>
          <w:rFonts w:hint="default" w:ascii="Times New Roman" w:hAnsi="Times New Roman" w:cs="Times New Roman"/>
          <w:b w:val="0"/>
          <w:bCs w:val="0"/>
          <w:sz w:val="20"/>
          <w:szCs w:val="20"/>
        </w:rPr>
        <w:t>Primary</w:t>
      </w:r>
      <w:r>
        <w:rPr>
          <w:rFonts w:hint="default" w:ascii="Times New Roman" w:hAnsi="Times New Roman" w:cs="Times New Roman"/>
          <w:b w:val="0"/>
          <w:bCs w:val="0"/>
          <w:sz w:val="20"/>
          <w:szCs w:val="20"/>
        </w:rPr>
        <w:t>,</w:t>
      </w:r>
      <w:r>
        <w:rPr>
          <w:rFonts w:hint="default" w:ascii="Times New Roman" w:hAnsi="Times New Roman" w:cs="Times New Roman"/>
          <w:sz w:val="20"/>
          <w:szCs w:val="20"/>
        </w:rPr>
        <w:t xml:space="preserve"> using prespecified deterministic recoding rules for blanks to preserve the main analytic definition; and </w:t>
      </w:r>
      <w:r>
        <w:rPr>
          <w:rStyle w:val="8"/>
          <w:rFonts w:hint="default" w:ascii="Times New Roman" w:hAnsi="Times New Roman" w:cs="Times New Roman"/>
          <w:b w:val="0"/>
          <w:bCs/>
          <w:sz w:val="20"/>
          <w:szCs w:val="20"/>
        </w:rPr>
        <w:t>Alternative</w:t>
      </w:r>
      <w:r>
        <w:rPr>
          <w:rFonts w:hint="default" w:ascii="Times New Roman" w:hAnsi="Times New Roman" w:cs="Times New Roman"/>
          <w:b w:val="0"/>
          <w:bCs/>
          <w:sz w:val="20"/>
          <w:szCs w:val="20"/>
        </w:rPr>
        <w:t>,</w:t>
      </w:r>
      <w:r>
        <w:rPr>
          <w:rFonts w:hint="default" w:ascii="Times New Roman" w:hAnsi="Times New Roman" w:cs="Times New Roman"/>
          <w:sz w:val="20"/>
          <w:szCs w:val="20"/>
        </w:rPr>
        <w:t xml:space="preserve"> using a missing-level/indicator approach. Panel </w:t>
      </w:r>
      <w:r>
        <w:rPr>
          <w:rStyle w:val="8"/>
          <w:rFonts w:hint="default" w:ascii="Times New Roman" w:hAnsi="Times New Roman" w:cs="Times New Roman"/>
          <w:sz w:val="20"/>
          <w:szCs w:val="20"/>
        </w:rPr>
        <w:t>A</w:t>
      </w:r>
      <w:r>
        <w:rPr>
          <w:rFonts w:hint="default" w:ascii="Times New Roman" w:hAnsi="Times New Roman" w:cs="Times New Roman"/>
          <w:sz w:val="20"/>
          <w:szCs w:val="20"/>
        </w:rPr>
        <w:t xml:space="preserve">: falls ≥1 (primary outcome). Panel </w:t>
      </w:r>
      <w:r>
        <w:rPr>
          <w:rStyle w:val="8"/>
          <w:rFonts w:hint="default" w:ascii="Times New Roman" w:hAnsi="Times New Roman" w:cs="Times New Roman"/>
          <w:b w:val="0"/>
          <w:bCs/>
          <w:sz w:val="20"/>
          <w:szCs w:val="20"/>
        </w:rPr>
        <w:t>B</w:t>
      </w:r>
      <w:r>
        <w:rPr>
          <w:rFonts w:hint="default" w:ascii="Times New Roman" w:hAnsi="Times New Roman" w:cs="Times New Roman"/>
          <w:sz w:val="20"/>
          <w:szCs w:val="20"/>
        </w:rPr>
        <w:t>: falls ≥2 (secondary outcome). Asterisks denote statistical significance for OR vs 1 (* p&lt;0.05; ** p&lt;0.01; *** p&lt;0.001); all tests are two-sided.</w:t>
      </w:r>
    </w:p>
    <w:p w14:paraId="20BC05CD">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textAlignment w:val="auto"/>
        <w:rPr>
          <w:rFonts w:hint="eastAsia" w:ascii="Times New Roman" w:hAnsi="Times New Roman" w:cs="Times New Roman" w:eastAsiaTheme="minorEastAsia"/>
          <w:sz w:val="20"/>
          <w:szCs w:val="20"/>
          <w:lang w:eastAsia="zh-CN"/>
        </w:rPr>
      </w:pPr>
      <w:r>
        <w:rPr>
          <w:rFonts w:hint="eastAsia" w:ascii="Times New Roman" w:hAnsi="Times New Roman" w:cs="Times New Roman" w:eastAsiaTheme="minorEastAsia"/>
          <w:sz w:val="20"/>
          <w:szCs w:val="20"/>
          <w:lang w:eastAsia="zh-CN"/>
        </w:rPr>
        <w:drawing>
          <wp:inline distT="0" distB="0" distL="114300" distR="114300">
            <wp:extent cx="5273675" cy="2807970"/>
            <wp:effectExtent l="0" t="0" r="3175" b="11430"/>
            <wp:docPr id="3" name="图片 3" descr="SuppFigure_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uppFigure_S3"/>
                    <pic:cNvPicPr>
                      <a:picLocks noChangeAspect="1"/>
                    </pic:cNvPicPr>
                  </pic:nvPicPr>
                  <pic:blipFill>
                    <a:blip r:embed="rId6"/>
                    <a:stretch>
                      <a:fillRect/>
                    </a:stretch>
                  </pic:blipFill>
                  <pic:spPr>
                    <a:xfrm>
                      <a:off x="0" y="0"/>
                      <a:ext cx="5273675" cy="2807970"/>
                    </a:xfrm>
                    <a:prstGeom prst="rect">
                      <a:avLst/>
                    </a:prstGeom>
                  </pic:spPr>
                </pic:pic>
              </a:graphicData>
            </a:graphic>
          </wp:inline>
        </w:drawing>
      </w:r>
    </w:p>
    <w:p w14:paraId="56F1F9BC">
      <w:pPr>
        <w:keepNext w:val="0"/>
        <w:keepLines w:val="0"/>
        <w:pageBreakBefore w:val="0"/>
        <w:kinsoku/>
        <w:wordWrap/>
        <w:overflowPunct/>
        <w:topLinePunct w:val="0"/>
        <w:autoSpaceDE/>
        <w:autoSpaceDN/>
        <w:bidi w:val="0"/>
        <w:adjustRightInd/>
        <w:snapToGrid/>
        <w:spacing w:beforeAutospacing="0" w:afterAutospacing="0" w:line="480" w:lineRule="auto"/>
        <w:textAlignment w:val="auto"/>
        <w:rPr>
          <w:rFonts w:hint="default" w:ascii="Times New Roman" w:hAnsi="Times New Roman" w:eastAsia="宋体" w:cs="Times New Roman"/>
          <w:sz w:val="24"/>
          <w:szCs w:val="24"/>
        </w:rPr>
      </w:pPr>
      <w:r>
        <w:rPr>
          <w:rStyle w:val="8"/>
          <w:rFonts w:hint="default" w:ascii="Times New Roman" w:hAnsi="Times New Roman" w:eastAsia="宋体" w:cs="Times New Roman"/>
          <w:sz w:val="24"/>
          <w:szCs w:val="24"/>
        </w:rPr>
        <w:t>Supplement Fig</w:t>
      </w:r>
      <w:r>
        <w:rPr>
          <w:rStyle w:val="8"/>
          <w:rFonts w:hint="eastAsia" w:ascii="Times New Roman" w:hAnsi="Times New Roman" w:eastAsia="宋体" w:cs="Times New Roman"/>
          <w:sz w:val="24"/>
          <w:szCs w:val="24"/>
          <w:lang w:val="en-US" w:eastAsia="zh-CN"/>
        </w:rPr>
        <w:t>ure</w:t>
      </w:r>
      <w:r>
        <w:rPr>
          <w:rStyle w:val="8"/>
          <w:rFonts w:hint="default" w:ascii="Times New Roman" w:hAnsi="Times New Roman" w:eastAsia="宋体" w:cs="Times New Roman"/>
          <w:sz w:val="24"/>
          <w:szCs w:val="24"/>
        </w:rPr>
        <w:t xml:space="preserve"> S3 Expanded heatmaps of fragility fracture site and trigger distributions by cross-classified group (G1–G6).</w:t>
      </w:r>
    </w:p>
    <w:p w14:paraId="0A694143">
      <w:pPr>
        <w:keepNext w:val="0"/>
        <w:keepLines w:val="0"/>
        <w:pageBreakBefore w:val="0"/>
        <w:kinsoku/>
        <w:wordWrap/>
        <w:overflowPunct/>
        <w:topLinePunct w:val="0"/>
        <w:autoSpaceDE/>
        <w:autoSpaceDN/>
        <w:bidi w:val="0"/>
        <w:adjustRightInd/>
        <w:snapToGrid/>
        <w:spacing w:beforeAutospacing="0" w:afterAutospacing="0" w:line="480" w:lineRule="auto"/>
        <w:textAlignment w:val="auto"/>
        <w:rPr>
          <w:rFonts w:hint="default" w:ascii="Times New Roman" w:hAnsi="Times New Roman" w:eastAsia="宋体" w:cs="Times New Roman"/>
          <w:b w:val="0"/>
          <w:bCs w:val="0"/>
          <w:sz w:val="20"/>
          <w:szCs w:val="20"/>
        </w:rPr>
      </w:pPr>
      <w:r>
        <w:rPr>
          <w:rStyle w:val="8"/>
          <w:rFonts w:hint="default" w:ascii="Times New Roman" w:hAnsi="Times New Roman" w:cs="Times New Roman"/>
          <w:sz w:val="20"/>
          <w:szCs w:val="20"/>
        </w:rPr>
        <w:t>Legend:</w:t>
      </w:r>
      <w:r>
        <w:rPr>
          <w:rStyle w:val="8"/>
          <w:rFonts w:hint="eastAsia" w:ascii="Times New Roman" w:hAnsi="Times New Roman" w:cs="Times New Roman"/>
          <w:sz w:val="20"/>
          <w:szCs w:val="20"/>
          <w:lang w:val="en-US" w:eastAsia="zh-CN"/>
        </w:rPr>
        <w:t xml:space="preserve"> </w:t>
      </w:r>
      <w:r>
        <w:rPr>
          <w:rFonts w:hint="default" w:ascii="Times New Roman" w:hAnsi="Times New Roman" w:eastAsia="宋体" w:cs="Times New Roman"/>
          <w:sz w:val="20"/>
          <w:szCs w:val="20"/>
        </w:rPr>
        <w:t>H</w:t>
      </w:r>
      <w:r>
        <w:rPr>
          <w:rFonts w:hint="default" w:ascii="Times New Roman" w:hAnsi="Times New Roman" w:eastAsia="宋体" w:cs="Times New Roman"/>
          <w:b w:val="0"/>
          <w:bCs w:val="0"/>
          <w:sz w:val="20"/>
          <w:szCs w:val="20"/>
        </w:rPr>
        <w:t xml:space="preserve">eatmaps display category-level profiles corresponding to the main-text “Top categories + Other” presentation, while retaining the expanded set of categories. Values represent </w:t>
      </w:r>
      <w:r>
        <w:rPr>
          <w:rStyle w:val="8"/>
          <w:rFonts w:hint="default" w:ascii="Times New Roman" w:hAnsi="Times New Roman" w:eastAsia="宋体" w:cs="Times New Roman"/>
          <w:b w:val="0"/>
          <w:bCs w:val="0"/>
          <w:sz w:val="20"/>
          <w:szCs w:val="20"/>
        </w:rPr>
        <w:t>within-stratum percentages among participants reporting a prior fragility fracture</w:t>
      </w:r>
      <w:r>
        <w:rPr>
          <w:rFonts w:hint="default" w:ascii="Times New Roman" w:hAnsi="Times New Roman" w:eastAsia="宋体" w:cs="Times New Roman"/>
          <w:b w:val="0"/>
          <w:bCs w:val="0"/>
          <w:sz w:val="20"/>
          <w:szCs w:val="20"/>
        </w:rPr>
        <w:t xml:space="preserve">, allowing comparison of profile composition across groups without conflating composition with overall fracture prevalence. </w:t>
      </w:r>
      <w:r>
        <w:rPr>
          <w:rStyle w:val="8"/>
          <w:rFonts w:hint="default" w:ascii="Times New Roman" w:hAnsi="Times New Roman" w:eastAsia="宋体" w:cs="Times New Roman"/>
          <w:b w:val="0"/>
          <w:bCs w:val="0"/>
          <w:sz w:val="20"/>
          <w:szCs w:val="20"/>
        </w:rPr>
        <w:t>Darker shading indicates higher percentages.</w:t>
      </w:r>
      <w:r>
        <w:rPr>
          <w:rFonts w:hint="default" w:ascii="Times New Roman" w:hAnsi="Times New Roman" w:eastAsia="宋体" w:cs="Times New Roman"/>
          <w:b w:val="0"/>
          <w:bCs w:val="0"/>
          <w:sz w:val="20"/>
          <w:szCs w:val="20"/>
        </w:rPr>
        <w:t xml:space="preserve"> </w:t>
      </w:r>
      <w:r>
        <w:rPr>
          <w:rStyle w:val="8"/>
          <w:rFonts w:hint="default" w:ascii="Times New Roman" w:hAnsi="Times New Roman" w:eastAsia="宋体" w:cs="Times New Roman"/>
          <w:b w:val="0"/>
          <w:bCs w:val="0"/>
          <w:sz w:val="20"/>
          <w:szCs w:val="20"/>
        </w:rPr>
        <w:t>(A)</w:t>
      </w:r>
      <w:r>
        <w:rPr>
          <w:rFonts w:hint="default" w:ascii="Times New Roman" w:hAnsi="Times New Roman" w:eastAsia="宋体" w:cs="Times New Roman"/>
          <w:b w:val="0"/>
          <w:bCs w:val="0"/>
          <w:sz w:val="20"/>
          <w:szCs w:val="20"/>
        </w:rPr>
        <w:t xml:space="preserve"> Fracture sites. </w:t>
      </w:r>
      <w:r>
        <w:rPr>
          <w:rStyle w:val="8"/>
          <w:rFonts w:hint="default" w:ascii="Times New Roman" w:hAnsi="Times New Roman" w:eastAsia="宋体" w:cs="Times New Roman"/>
          <w:b w:val="0"/>
          <w:bCs w:val="0"/>
          <w:sz w:val="20"/>
          <w:szCs w:val="20"/>
        </w:rPr>
        <w:t>(B)</w:t>
      </w:r>
      <w:r>
        <w:rPr>
          <w:rFonts w:hint="default" w:ascii="Times New Roman" w:hAnsi="Times New Roman" w:eastAsia="宋体" w:cs="Times New Roman"/>
          <w:b w:val="0"/>
          <w:bCs w:val="0"/>
          <w:sz w:val="20"/>
          <w:szCs w:val="20"/>
        </w:rPr>
        <w:t xml:space="preserve"> Fracture triggers (including other/unknown categories where applicable).</w:t>
      </w:r>
    </w:p>
    <w:p w14:paraId="3CB35D42">
      <w:pPr>
        <w:keepNext w:val="0"/>
        <w:keepLines w:val="0"/>
        <w:pageBreakBefore w:val="0"/>
        <w:kinsoku/>
        <w:wordWrap/>
        <w:overflowPunct/>
        <w:topLinePunct w:val="0"/>
        <w:autoSpaceDE/>
        <w:autoSpaceDN/>
        <w:bidi w:val="0"/>
        <w:adjustRightInd/>
        <w:snapToGrid/>
        <w:spacing w:beforeAutospacing="0" w:afterAutospacing="0" w:line="480" w:lineRule="auto"/>
        <w:textAlignment w:val="auto"/>
        <w:rPr>
          <w:rFonts w:hint="eastAsia" w:ascii="Times New Roman" w:hAnsi="Times New Roman" w:eastAsia="宋体" w:cs="Times New Roman"/>
          <w:sz w:val="20"/>
          <w:szCs w:val="20"/>
          <w:lang w:eastAsia="zh-CN"/>
        </w:rPr>
      </w:pPr>
      <w:r>
        <w:rPr>
          <w:rFonts w:hint="eastAsia" w:ascii="Times New Roman" w:hAnsi="Times New Roman" w:eastAsia="宋体" w:cs="Times New Roman"/>
          <w:sz w:val="20"/>
          <w:szCs w:val="20"/>
          <w:lang w:eastAsia="zh-CN"/>
        </w:rPr>
        <w:drawing>
          <wp:inline distT="0" distB="0" distL="114300" distR="114300">
            <wp:extent cx="5270500" cy="4424680"/>
            <wp:effectExtent l="0" t="0" r="6350" b="13970"/>
            <wp:docPr id="4" name="图片 4" descr="SuppFigure_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uppFigure_S4"/>
                    <pic:cNvPicPr>
                      <a:picLocks noChangeAspect="1"/>
                    </pic:cNvPicPr>
                  </pic:nvPicPr>
                  <pic:blipFill>
                    <a:blip r:embed="rId7"/>
                    <a:stretch>
                      <a:fillRect/>
                    </a:stretch>
                  </pic:blipFill>
                  <pic:spPr>
                    <a:xfrm>
                      <a:off x="0" y="0"/>
                      <a:ext cx="5270500" cy="4424680"/>
                    </a:xfrm>
                    <a:prstGeom prst="rect">
                      <a:avLst/>
                    </a:prstGeom>
                  </pic:spPr>
                </pic:pic>
              </a:graphicData>
            </a:graphic>
          </wp:inline>
        </w:drawing>
      </w:r>
    </w:p>
    <w:p w14:paraId="723E558D">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Supplement Fig</w:t>
      </w:r>
      <w:r>
        <w:rPr>
          <w:rFonts w:hint="eastAsia" w:ascii="Times New Roman" w:hAnsi="Times New Roman" w:cs="Times New Roman"/>
          <w:sz w:val="24"/>
          <w:szCs w:val="24"/>
          <w:lang w:val="en-US" w:eastAsia="zh-CN"/>
        </w:rPr>
        <w:t>ure</w:t>
      </w:r>
      <w:r>
        <w:rPr>
          <w:rFonts w:hint="default" w:ascii="Times New Roman" w:hAnsi="Times New Roman" w:cs="Times New Roman"/>
          <w:sz w:val="24"/>
          <w:szCs w:val="24"/>
        </w:rPr>
        <w:t xml:space="preserve"> S4. Correlation structure among biomarkers.</w:t>
      </w:r>
    </w:p>
    <w:p w14:paraId="2CCA249C">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jc w:val="both"/>
        <w:textAlignment w:val="auto"/>
        <w:rPr>
          <w:rFonts w:hint="default" w:ascii="Times New Roman" w:hAnsi="Times New Roman" w:cs="Times New Roman"/>
          <w:sz w:val="20"/>
          <w:szCs w:val="20"/>
        </w:rPr>
      </w:pPr>
      <w:r>
        <w:rPr>
          <w:rStyle w:val="8"/>
          <w:rFonts w:hint="default" w:ascii="Times New Roman" w:hAnsi="Times New Roman" w:cs="Times New Roman"/>
          <w:sz w:val="20"/>
          <w:szCs w:val="20"/>
        </w:rPr>
        <w:t>Legend:</w:t>
      </w:r>
      <w:r>
        <w:rPr>
          <w:rFonts w:hint="default" w:ascii="Times New Roman" w:hAnsi="Times New Roman" w:cs="Times New Roman"/>
          <w:sz w:val="20"/>
          <w:szCs w:val="20"/>
        </w:rPr>
        <w:t xml:space="preserve"> Spearman correlation matrix among bone turnover, endocrine, mineral homeostasis, vitamin D fractions, and renal background markers. Correlations are computed on the analysis scale used in modeling (log-transformed where appropriate), and cells display Spearman’s ρ. The heatmap is intended to document internal consistency of the biomarker “spectrum” as supportive evidence rather than to imply mechanistic causality.</w:t>
      </w:r>
    </w:p>
    <w:p w14:paraId="5424F2CE">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textAlignment w:val="auto"/>
        <w:rPr>
          <w:rFonts w:hint="eastAsia" w:ascii="Times New Roman" w:hAnsi="Times New Roman" w:cs="Times New Roman" w:eastAsiaTheme="minorEastAsia"/>
          <w:sz w:val="20"/>
          <w:szCs w:val="20"/>
          <w:lang w:eastAsia="zh-CN"/>
        </w:rPr>
      </w:pPr>
      <w:r>
        <w:rPr>
          <w:rFonts w:hint="eastAsia" w:ascii="Times New Roman" w:hAnsi="Times New Roman" w:cs="Times New Roman" w:eastAsiaTheme="minorEastAsia"/>
          <w:sz w:val="20"/>
          <w:szCs w:val="20"/>
          <w:lang w:eastAsia="zh-CN"/>
        </w:rPr>
        <w:drawing>
          <wp:inline distT="0" distB="0" distL="114300" distR="114300">
            <wp:extent cx="5270500" cy="6071870"/>
            <wp:effectExtent l="0" t="0" r="6350" b="5080"/>
            <wp:docPr id="5" name="图片 5" descr="SuppFigure_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uppFigure_S5"/>
                    <pic:cNvPicPr>
                      <a:picLocks noChangeAspect="1"/>
                    </pic:cNvPicPr>
                  </pic:nvPicPr>
                  <pic:blipFill>
                    <a:blip r:embed="rId8"/>
                    <a:stretch>
                      <a:fillRect/>
                    </a:stretch>
                  </pic:blipFill>
                  <pic:spPr>
                    <a:xfrm>
                      <a:off x="0" y="0"/>
                      <a:ext cx="5270500" cy="6071870"/>
                    </a:xfrm>
                    <a:prstGeom prst="rect">
                      <a:avLst/>
                    </a:prstGeom>
                  </pic:spPr>
                </pic:pic>
              </a:graphicData>
            </a:graphic>
          </wp:inline>
        </w:drawing>
      </w:r>
    </w:p>
    <w:p w14:paraId="07B893D4">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Supplementary Fig</w:t>
      </w:r>
      <w:r>
        <w:rPr>
          <w:rFonts w:hint="eastAsia" w:ascii="Times New Roman" w:hAnsi="Times New Roman" w:cs="Times New Roman"/>
          <w:b/>
          <w:bCs/>
          <w:sz w:val="24"/>
          <w:szCs w:val="24"/>
          <w:lang w:val="en-US" w:eastAsia="zh-CN"/>
        </w:rPr>
        <w:t>ure</w:t>
      </w:r>
      <w:r>
        <w:rPr>
          <w:rFonts w:hint="default" w:ascii="Times New Roman" w:hAnsi="Times New Roman" w:cs="Times New Roman"/>
          <w:b/>
          <w:bCs/>
          <w:sz w:val="24"/>
          <w:szCs w:val="24"/>
        </w:rPr>
        <w:t xml:space="preserve"> S5. Subgroup forest plots for the highest-risk contrast (G6 vs G1).</w:t>
      </w:r>
    </w:p>
    <w:p w14:paraId="1DE8B111">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auto"/>
        <w:jc w:val="both"/>
        <w:textAlignment w:val="auto"/>
        <w:rPr>
          <w:rFonts w:hint="default" w:ascii="Times New Roman" w:hAnsi="Times New Roman" w:eastAsia="宋体" w:cs="Times New Roman"/>
          <w:b/>
          <w:bCs/>
          <w:sz w:val="24"/>
          <w:szCs w:val="24"/>
        </w:rPr>
      </w:pPr>
      <w:r>
        <w:rPr>
          <w:rFonts w:hint="default" w:ascii="Times New Roman" w:hAnsi="Times New Roman" w:cs="Times New Roman"/>
          <w:b/>
          <w:bCs/>
          <w:sz w:val="20"/>
          <w:szCs w:val="20"/>
        </w:rPr>
        <w:t>Legend:</w:t>
      </w:r>
      <w:r>
        <w:rPr>
          <w:rFonts w:hint="default" w:ascii="Times New Roman" w:hAnsi="Times New Roman" w:cs="Times New Roman"/>
          <w:b w:val="0"/>
          <w:bCs w:val="0"/>
          <w:sz w:val="20"/>
          <w:szCs w:val="20"/>
        </w:rPr>
        <w:t xml:space="preserve"> Subgroup analyses evaluate the fully adjusted (Model 3) association for the highest-risk contrast (G6 vs G1). Points and horizontal bars represent adjusted ORs and 95% confidence intervals within each subgroup stratum. Panel A: falls ≥1. Panel B: falls ≥2. Asterisks appended to subgroup labels denote statistical significance for OR vs 1 (* p&lt;0.05; ** p&lt;0.01; *** p&lt;0.001); all tests are two-sided.</w:t>
      </w:r>
    </w:p>
    <w:sectPr>
      <w:pgSz w:w="11906" w:h="16838"/>
      <w:pgMar w:top="1440" w:right="1800" w:bottom="1440" w:left="1800" w:header="851" w:footer="992" w:gutter="0"/>
      <w:lnNumType w:countBy="1" w:restart="continuou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DFA67E4"/>
    <w:rsid w:val="0EBD3E55"/>
    <w:rsid w:val="14E824F5"/>
    <w:rsid w:val="31F52E49"/>
    <w:rsid w:val="35E724B1"/>
    <w:rsid w:val="427961DD"/>
    <w:rsid w:val="65BE00A4"/>
    <w:rsid w:val="6A0978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7">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1906</Words>
  <Characters>10217</Characters>
  <Lines>0</Lines>
  <Paragraphs>0</Paragraphs>
  <TotalTime>161</TotalTime>
  <ScaleCrop>false</ScaleCrop>
  <LinksUpToDate>false</LinksUpToDate>
  <CharactersWithSpaces>11420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2026-01-24T16:00:00Z</dcterms:created>
  <dc:creator>17703</dc:creator>
  <cp:lastModifiedBy>今天学习了</cp:lastModifiedBy>
  <dcterms:modified xsi:type="dcterms:W3CDTF">2026-01-28T10:53:25Z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eyJoZGlkIjoiYmVlMzFlM2Y5YjYzZDk3MzkxNDQxNGJiYmZiMjk3ZWEiLCJ1c2VySWQiOiIzMTE2NTg0MjIifQ==</vt:lpwstr>
  </property>
  <property fmtid="{D5CDD505-2E9C-101B-9397-08002B2CF9AE}" pid="4" name="ICV">
    <vt:lpwstr>C7732D1CE5C14396A9A3CCE9693C428A_12</vt:lpwstr>
  </property>
</Properties>
</file>