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098B" w14:textId="711E1FF9" w:rsidR="001C498A" w:rsidRDefault="001C498A" w:rsidP="001C49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figures for </w:t>
      </w:r>
      <w:r w:rsidRPr="0015703E">
        <w:rPr>
          <w:rFonts w:ascii="Times New Roman" w:hAnsi="Times New Roman" w:cs="Times New Roman"/>
          <w:b/>
          <w:bCs/>
          <w:sz w:val="24"/>
          <w:szCs w:val="24"/>
        </w:rPr>
        <w:t>Replication-first reciprocal genome editing resolves ANKRD1 as a convergent regulatory target at the 17q21.31 locus</w:t>
      </w:r>
    </w:p>
    <w:p w14:paraId="4933C867" w14:textId="77777777" w:rsidR="001C498A" w:rsidRPr="002F63C3" w:rsidRDefault="001C498A" w:rsidP="001C498A">
      <w:pPr>
        <w:jc w:val="both"/>
        <w:rPr>
          <w:rFonts w:ascii="Times New Roman" w:hAnsi="Times New Roman" w:cs="Times New Roman"/>
          <w:sz w:val="24"/>
          <w:szCs w:val="24"/>
        </w:rPr>
      </w:pPr>
      <w:r w:rsidRPr="002F63C3">
        <w:rPr>
          <w:rFonts w:ascii="Times New Roman" w:hAnsi="Times New Roman" w:cs="Times New Roman"/>
          <w:sz w:val="24"/>
          <w:szCs w:val="24"/>
        </w:rPr>
        <w:t>Oyedele J. Olaoye</w:t>
      </w:r>
      <w:r w:rsidRPr="002F63C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2F63C3">
        <w:rPr>
          <w:rFonts w:ascii="Times New Roman" w:hAnsi="Times New Roman" w:cs="Times New Roman"/>
          <w:sz w:val="24"/>
          <w:szCs w:val="24"/>
        </w:rPr>
        <w:t>, Sophie L. Farrow</w:t>
      </w:r>
      <w:r w:rsidRPr="002F63C3">
        <w:rPr>
          <w:rFonts w:ascii="Times New Roman" w:hAnsi="Times New Roman" w:cs="Times New Roman"/>
          <w:sz w:val="24"/>
          <w:szCs w:val="24"/>
          <w:vertAlign w:val="superscript"/>
        </w:rPr>
        <w:t>1,2,3 ⱡ</w:t>
      </w:r>
      <w:r w:rsidRPr="002F63C3">
        <w:rPr>
          <w:rFonts w:ascii="Times New Roman" w:hAnsi="Times New Roman" w:cs="Times New Roman"/>
          <w:sz w:val="24"/>
          <w:szCs w:val="24"/>
        </w:rPr>
        <w:t>, Antony A. Cooper</w:t>
      </w:r>
      <w:r w:rsidRPr="002F63C3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Pr="002F63C3">
        <w:rPr>
          <w:rFonts w:ascii="Times New Roman" w:hAnsi="Times New Roman" w:cs="Times New Roman"/>
          <w:sz w:val="24"/>
          <w:szCs w:val="24"/>
        </w:rPr>
        <w:t>, Denis M. Nyaga</w:t>
      </w:r>
      <w:r w:rsidRPr="002F63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F63C3">
        <w:rPr>
          <w:rFonts w:ascii="Times New Roman" w:hAnsi="Times New Roman" w:cs="Times New Roman"/>
          <w:sz w:val="24"/>
          <w:szCs w:val="24"/>
        </w:rPr>
        <w:t>, Justin M. O’Sullivan</w:t>
      </w:r>
      <w:r w:rsidRPr="002F63C3">
        <w:rPr>
          <w:rFonts w:ascii="Times New Roman" w:hAnsi="Times New Roman" w:cs="Times New Roman"/>
          <w:sz w:val="24"/>
          <w:szCs w:val="24"/>
          <w:vertAlign w:val="superscript"/>
        </w:rPr>
        <w:t>1,5,6,7*</w:t>
      </w:r>
    </w:p>
    <w:p w14:paraId="7AD5BE38" w14:textId="77777777" w:rsidR="008850AC" w:rsidRPr="002F63C3" w:rsidRDefault="008850AC" w:rsidP="008850A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scxw246295650"/>
          <w:rFonts w:eastAsiaTheme="majorEastAsia"/>
          <w:lang w:val="en-AU"/>
        </w:rPr>
      </w:pPr>
      <w:bookmarkStart w:id="0" w:name="_Int_wQbhODcc"/>
      <w:r w:rsidRPr="002F63C3">
        <w:rPr>
          <w:rStyle w:val="normaltextrun"/>
          <w:rFonts w:eastAsiaTheme="majorEastAsia"/>
          <w:lang w:val="en-AU"/>
        </w:rPr>
        <w:t>Liggins Institute, The University of Auckland, Auckland 1023, New Zealand.</w:t>
      </w:r>
      <w:bookmarkEnd w:id="0"/>
      <w:r w:rsidRPr="002F63C3">
        <w:rPr>
          <w:rStyle w:val="scxw246295650"/>
          <w:rFonts w:eastAsiaTheme="majorEastAsia"/>
        </w:rPr>
        <w:t> </w:t>
      </w:r>
    </w:p>
    <w:p w14:paraId="74EF5C3B" w14:textId="77777777" w:rsidR="008850AC" w:rsidRPr="002F63C3" w:rsidRDefault="008850AC" w:rsidP="008850AC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Theme="majorEastAsia" w:hAnsi="Times New Roman" w:cs="Times New Roman"/>
          <w:sz w:val="24"/>
          <w:szCs w:val="24"/>
          <w:lang w:val="en-AU"/>
        </w:rPr>
      </w:pPr>
      <w:r w:rsidRPr="002F63C3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Maurice Wilkins Centre for Molecular Biodiscovery, Auckland 1010, New Zealand.</w:t>
      </w:r>
      <w:r w:rsidRPr="002F63C3">
        <w:rPr>
          <w:rStyle w:val="scxw246295650"/>
          <w:rFonts w:ascii="Times New Roman" w:hAnsi="Times New Roman" w:cs="Times New Roman"/>
          <w:sz w:val="24"/>
          <w:szCs w:val="24"/>
        </w:rPr>
        <w:t> </w:t>
      </w:r>
    </w:p>
    <w:p w14:paraId="1DB2473C" w14:textId="77777777" w:rsidR="008850AC" w:rsidRPr="002F63C3" w:rsidRDefault="008850AC" w:rsidP="008850AC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AU"/>
        </w:rPr>
      </w:pPr>
      <w:r w:rsidRPr="002F63C3">
        <w:rPr>
          <w:rStyle w:val="normaltextrun"/>
          <w:rFonts w:ascii="Times New Roman" w:hAnsi="Times New Roman" w:cs="Times New Roman"/>
          <w:kern w:val="0"/>
          <w:sz w:val="24"/>
          <w:szCs w:val="24"/>
          <w:lang w:val="en-AU" w:eastAsia="en-NZ"/>
        </w:rPr>
        <w:t xml:space="preserve">Oxford Parkinson’s Disease Centre, Kavli Institute for Nanoscience discovery, Dorothy Crowfoot Hodgkin Building, University of Oxford, Oxford, OX1 3QU, United Kingdom </w:t>
      </w:r>
    </w:p>
    <w:p w14:paraId="5B638FC1" w14:textId="77777777" w:rsidR="008850AC" w:rsidRPr="002F63C3" w:rsidRDefault="008850AC" w:rsidP="008850AC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AU"/>
        </w:rPr>
      </w:pPr>
      <w:r w:rsidRPr="002F63C3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St Vincent’s Clinical School, UNSW Sydney, Sydney, NSW, Australia.</w:t>
      </w:r>
    </w:p>
    <w:p w14:paraId="158EB97B" w14:textId="77777777" w:rsidR="008850AC" w:rsidRPr="002F63C3" w:rsidRDefault="008850AC" w:rsidP="008850AC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 w:rsidRPr="002F63C3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Australian Parkinson’s Mission, Garvan Institute of Medical Research, Sydney, New South Wales, Australia.</w:t>
      </w:r>
      <w:r w:rsidRPr="002F63C3">
        <w:rPr>
          <w:rStyle w:val="eop"/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1F6E5969" w14:textId="77777777" w:rsidR="008850AC" w:rsidRPr="002F63C3" w:rsidRDefault="008850AC" w:rsidP="008850AC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 w:rsidRPr="002F63C3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MRC </w:t>
      </w:r>
      <w:proofErr w:type="spellStart"/>
      <w:r w:rsidRPr="002F63C3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Lifecourse</w:t>
      </w:r>
      <w:proofErr w:type="spellEnd"/>
      <w:r w:rsidRPr="002F63C3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 Epidemiology Unit, University of Southampton, United Kingdom.</w:t>
      </w:r>
      <w:r w:rsidRPr="002F63C3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768CDAF" w14:textId="77777777" w:rsidR="008850AC" w:rsidRPr="002F63C3" w:rsidRDefault="008850AC" w:rsidP="008850AC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63C3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Singapore Institute for Clinical Sciences, Agency for Science, Technology and Research (A*STAR), Singapore, Singapore.</w:t>
      </w:r>
    </w:p>
    <w:p w14:paraId="3AA7A9C9" w14:textId="77777777" w:rsidR="008850AC" w:rsidRPr="002F63C3" w:rsidRDefault="008850AC" w:rsidP="008850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AU"/>
        </w:rPr>
      </w:pPr>
      <w:r w:rsidRPr="002F63C3">
        <w:rPr>
          <w:vertAlign w:val="superscript"/>
        </w:rPr>
        <w:t xml:space="preserve">ⱡ </w:t>
      </w:r>
      <w:r w:rsidRPr="002F63C3">
        <w:t>Current address.</w:t>
      </w:r>
    </w:p>
    <w:p w14:paraId="4D295D7C" w14:textId="77777777" w:rsidR="008850AC" w:rsidRPr="002F63C3" w:rsidRDefault="008850AC" w:rsidP="008850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AU"/>
        </w:rPr>
      </w:pPr>
      <w:r w:rsidRPr="002F63C3">
        <w:rPr>
          <w:rStyle w:val="normaltextrun"/>
          <w:rFonts w:eastAsiaTheme="majorEastAsia"/>
          <w:lang w:val="en-AU"/>
        </w:rPr>
        <w:t xml:space="preserve">*Corresponding author: </w:t>
      </w:r>
      <w:hyperlink r:id="rId5" w:history="1">
        <w:r w:rsidRPr="002F63C3">
          <w:rPr>
            <w:rStyle w:val="Hyperlink"/>
            <w:rFonts w:eastAsiaTheme="majorEastAsia"/>
            <w:lang w:val="en-AU"/>
          </w:rPr>
          <w:t>justin.osullivan@auckland.ac.nz</w:t>
        </w:r>
      </w:hyperlink>
    </w:p>
    <w:p w14:paraId="5D7BD022" w14:textId="12CA64B0" w:rsidR="008850AC" w:rsidRDefault="008850AC">
      <w:pPr>
        <w:rPr>
          <w:noProof/>
        </w:rPr>
      </w:pPr>
      <w:r>
        <w:rPr>
          <w:noProof/>
        </w:rPr>
        <w:br w:type="page"/>
      </w:r>
    </w:p>
    <w:p w14:paraId="79857280" w14:textId="77777777" w:rsidR="00EF6FB4" w:rsidRDefault="00EF6FB4">
      <w:pPr>
        <w:rPr>
          <w:noProof/>
        </w:rPr>
      </w:pPr>
    </w:p>
    <w:p w14:paraId="19DDFCE1" w14:textId="77777777" w:rsidR="00EF6FB4" w:rsidRDefault="00EF6FB4">
      <w:pPr>
        <w:rPr>
          <w:noProof/>
        </w:rPr>
      </w:pPr>
    </w:p>
    <w:p w14:paraId="5A31D636" w14:textId="71EC8602" w:rsidR="00843E43" w:rsidRDefault="007160CF">
      <w:r>
        <w:rPr>
          <w:noProof/>
        </w:rPr>
        <w:drawing>
          <wp:inline distT="0" distB="0" distL="0" distR="0" wp14:anchorId="356142F4" wp14:editId="2862A44A">
            <wp:extent cx="5731510" cy="2453005"/>
            <wp:effectExtent l="0" t="0" r="2540" b="444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CC00F0B-6CA2-A722-D1AA-57E380568D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CC00F0B-6CA2-A722-D1AA-57E380568D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DC2A7" w14:textId="77777777" w:rsidR="007160CF" w:rsidRPr="007160CF" w:rsidRDefault="007160CF" w:rsidP="007160CF">
      <w:pPr>
        <w:spacing w:line="240" w:lineRule="auto"/>
      </w:pPr>
      <w:r w:rsidRPr="007160CF">
        <w:rPr>
          <w:b/>
          <w:bCs/>
        </w:rPr>
        <w:t>Figure S1: Global burden and directionality of differentially expressed genes (DEGs) across all pairwise contrasts (FDR-adjusted p ≤ 0.05 and |</w:t>
      </w:r>
      <w:proofErr w:type="spellStart"/>
      <w:r w:rsidRPr="007160CF">
        <w:rPr>
          <w:b/>
          <w:bCs/>
        </w:rPr>
        <w:t>log₂FC</w:t>
      </w:r>
      <w:proofErr w:type="spellEnd"/>
      <w:r w:rsidRPr="007160CF">
        <w:rPr>
          <w:b/>
          <w:bCs/>
        </w:rPr>
        <w:t>| ≥ 1)</w:t>
      </w:r>
      <w:r w:rsidRPr="007160CF">
        <w:t> </w:t>
      </w:r>
    </w:p>
    <w:p w14:paraId="734149DF" w14:textId="77777777" w:rsidR="007160CF" w:rsidRPr="007160CF" w:rsidRDefault="007160CF" w:rsidP="007160CF">
      <w:pPr>
        <w:spacing w:line="240" w:lineRule="auto"/>
      </w:pPr>
      <w:r w:rsidRPr="007160CF">
        <w:t>Left panel (total DEGs per contrast). Bars show the number of significant DEGs for each comparison (exact counts are printed above the bars). From left to right: </w:t>
      </w:r>
    </w:p>
    <w:p w14:paraId="2ABBDB9C" w14:textId="77777777" w:rsidR="007160CF" w:rsidRPr="007160CF" w:rsidRDefault="007160CF" w:rsidP="007160CF">
      <w:pPr>
        <w:spacing w:line="240" w:lineRule="auto"/>
      </w:pPr>
      <w:r w:rsidRPr="007160CF">
        <w:t>(A) rs77692262 G|G vs rs77692262 A|A on a rs79724577 A|A background (i.e., edited at rs77692262 only versus wild type): 1,585 DEGs. </w:t>
      </w:r>
    </w:p>
    <w:p w14:paraId="03E4C339" w14:textId="77777777" w:rsidR="007160CF" w:rsidRPr="007160CF" w:rsidRDefault="007160CF" w:rsidP="007160CF">
      <w:pPr>
        <w:spacing w:line="240" w:lineRule="auto"/>
      </w:pPr>
      <w:r w:rsidRPr="007160CF">
        <w:t>(B) rs79724577 C|C vs rs79724577 A|A on a rs77692262 A|A background (edited at rs79724577): 247 DEGs. </w:t>
      </w:r>
    </w:p>
    <w:p w14:paraId="7A22031F" w14:textId="77777777" w:rsidR="007160CF" w:rsidRPr="007160CF" w:rsidRDefault="007160CF" w:rsidP="007160CF">
      <w:pPr>
        <w:spacing w:line="240" w:lineRule="auto"/>
      </w:pPr>
      <w:r w:rsidRPr="007160CF">
        <w:t>(C) rs79724577 C|C (new clones) vs rs79724577 A|A on a rs77692262 A|A background (edited at rs79724577): 170 DEGs. </w:t>
      </w:r>
    </w:p>
    <w:p w14:paraId="05DEBCEB" w14:textId="77777777" w:rsidR="007160CF" w:rsidRPr="007160CF" w:rsidRDefault="007160CF" w:rsidP="007160CF">
      <w:pPr>
        <w:spacing w:line="240" w:lineRule="auto"/>
      </w:pPr>
      <w:r w:rsidRPr="007160CF">
        <w:t>(D) rs77692262 G|G; rs79724577 A|A vs rs77692262 G|G; rs79724577 C|C: 1,220 DEGs. </w:t>
      </w:r>
    </w:p>
    <w:p w14:paraId="4D023233" w14:textId="77777777" w:rsidR="007160CF" w:rsidRPr="007160CF" w:rsidRDefault="007160CF" w:rsidP="007160CF">
      <w:pPr>
        <w:spacing w:line="240" w:lineRule="auto"/>
      </w:pPr>
      <w:r w:rsidRPr="007160CF">
        <w:t>(E) rs79724577 C|C; rs77692262 A|A (rs77692262 reference) vs rs77692262 G|G; rs79724577 C|C: 16 DEGs. </w:t>
      </w:r>
    </w:p>
    <w:p w14:paraId="684CBC85" w14:textId="77777777" w:rsidR="007160CF" w:rsidRPr="007160CF" w:rsidRDefault="007160CF" w:rsidP="007160CF">
      <w:pPr>
        <w:spacing w:line="240" w:lineRule="auto"/>
      </w:pPr>
      <w:r w:rsidRPr="007160CF">
        <w:t>(F) rs79724577 C|C (new clones); rs77692262 A|A (rs77692262 reference) vs rs77692262 G|G; rs79724577 C|C: 34 DEGs. </w:t>
      </w:r>
    </w:p>
    <w:p w14:paraId="62E92D08" w14:textId="77777777" w:rsidR="007160CF" w:rsidRPr="007160CF" w:rsidRDefault="007160CF" w:rsidP="007160CF">
      <w:pPr>
        <w:spacing w:line="240" w:lineRule="auto"/>
      </w:pPr>
      <w:r w:rsidRPr="007160CF">
        <w:t>(G) rs77692262 G|G; rs79724577 A|A vs rs79724577 C|C; rs77692262 G|G: 800 DEGs. </w:t>
      </w:r>
    </w:p>
    <w:p w14:paraId="26716945" w14:textId="77777777" w:rsidR="007160CF" w:rsidRPr="007160CF" w:rsidRDefault="007160CF" w:rsidP="007160CF">
      <w:pPr>
        <w:spacing w:line="240" w:lineRule="auto"/>
      </w:pPr>
      <w:r w:rsidRPr="007160CF">
        <w:t>(H) rs79724577 C|C; rs77692262 A|A vs rs79724577 C|C; rs77692262 G|G: 11 DEGs. </w:t>
      </w:r>
    </w:p>
    <w:p w14:paraId="67E03BFA" w14:textId="77777777" w:rsidR="007160CF" w:rsidRPr="007160CF" w:rsidRDefault="007160CF" w:rsidP="007160CF">
      <w:pPr>
        <w:spacing w:line="240" w:lineRule="auto"/>
      </w:pPr>
      <w:r w:rsidRPr="007160CF">
        <w:t>(I) rs79724577 C|C (new clones); rs77692262 A|</w:t>
      </w:r>
      <w:proofErr w:type="gramStart"/>
      <w:r w:rsidRPr="007160CF">
        <w:t>A  vs</w:t>
      </w:r>
      <w:proofErr w:type="gramEnd"/>
      <w:r w:rsidRPr="007160CF">
        <w:t> rs79724577 C|C; rs77692262 G|G: 71 DEGs. </w:t>
      </w:r>
    </w:p>
    <w:p w14:paraId="2069E3B4" w14:textId="77777777" w:rsidR="007160CF" w:rsidRPr="007160CF" w:rsidRDefault="007160CF" w:rsidP="007160CF">
      <w:pPr>
        <w:spacing w:line="240" w:lineRule="auto"/>
      </w:pPr>
      <w:r w:rsidRPr="007160CF">
        <w:t>(J) rs77692262 G|G; rs79724577 C|C vs rs79724577 C|C; rs77692262 G|G -reciprocal double-edited clone-control: 27 DEGs. </w:t>
      </w:r>
    </w:p>
    <w:p w14:paraId="195129DD" w14:textId="77777777" w:rsidR="007160CF" w:rsidRPr="007160CF" w:rsidRDefault="007160CF" w:rsidP="007160CF">
      <w:pPr>
        <w:spacing w:line="240" w:lineRule="auto"/>
      </w:pPr>
      <w:r w:rsidRPr="007160CF">
        <w:t xml:space="preserve">Right panel (directionality). Each bar is split into upregulated (red) and downregulated (blue) counts for the same contrasts. Highlights: the rs77692262 G|G vs A|A comparison shows the largest burden (1,585 DEGs; 410 up / 1,175 down), whereas rs79724577 edits on a wild-type rs77692262 background are smaller but show a dosage trend (C|C vs A|A: 247 DEGs; 109 up / 138 down; C|C (new clones) vs A|A: 170 DEGs; 70 up / 100 down). Background-swap contrasts </w:t>
      </w:r>
      <w:r w:rsidRPr="007160CF">
        <w:lastRenderedPageBreak/>
        <w:t>(e.g., rs77692262 G|G vs rs77692262 G|G; rs79724577 C|C, rs77692262 G|G vs rs79724577 C|C; rs77692262 G|G) can display large totals (e.g., 1,220 and 800 DEGs), yet - as shown by the three-way Venn analyses-only a small subset replicates across reciprocal backgrounds, reflecting context specificity of many signals. </w:t>
      </w:r>
    </w:p>
    <w:p w14:paraId="693A499F" w14:textId="431F5703" w:rsidR="007160CF" w:rsidRDefault="007160CF">
      <w:r>
        <w:br w:type="page"/>
      </w:r>
    </w:p>
    <w:p w14:paraId="2459E994" w14:textId="713E1F9D" w:rsidR="007160CF" w:rsidRDefault="00415D23">
      <w:r>
        <w:rPr>
          <w:noProof/>
        </w:rPr>
        <w:lastRenderedPageBreak/>
        <w:drawing>
          <wp:inline distT="0" distB="0" distL="0" distR="0" wp14:anchorId="774FC5F7" wp14:editId="351EBFC0">
            <wp:extent cx="5731510" cy="4805680"/>
            <wp:effectExtent l="0" t="0" r="2540" b="0"/>
            <wp:docPr id="2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6D3AC39-A658-A942-8C55-A5942579F3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B6D3AC39-A658-A942-8C55-A5942579F3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EE095" w14:textId="77777777" w:rsidR="00415D23" w:rsidRPr="00415D23" w:rsidRDefault="00415D23" w:rsidP="00415D23">
      <w:r w:rsidRPr="00415D23">
        <w:rPr>
          <w:b/>
          <w:bCs/>
        </w:rPr>
        <w:t>Figure S2: Validation of precise single-nucleotide edits at rs79724577 in new clone.</w:t>
      </w:r>
    </w:p>
    <w:p w14:paraId="6F4A9EF9" w14:textId="77777777" w:rsidR="00415D23" w:rsidRPr="00415D23" w:rsidRDefault="00415D23" w:rsidP="00415D23">
      <w:r w:rsidRPr="00415D23">
        <w:t>Long-read validation of rs79724577 (hg38 chr17: 45,386,127). Read pileups across a 77-bp window confirm the A allele in the parental clone and homozygous C in the edited clone.</w:t>
      </w:r>
    </w:p>
    <w:p w14:paraId="542CC3B1" w14:textId="4C63D1A7" w:rsidR="00415D23" w:rsidRDefault="00415D23">
      <w:r>
        <w:br w:type="page"/>
      </w:r>
    </w:p>
    <w:p w14:paraId="2C6EE39D" w14:textId="03959107" w:rsidR="00415D23" w:rsidRDefault="00052429">
      <w:r>
        <w:rPr>
          <w:noProof/>
        </w:rPr>
        <w:lastRenderedPageBreak/>
        <w:drawing>
          <wp:inline distT="0" distB="0" distL="0" distR="0" wp14:anchorId="1BE95F4F" wp14:editId="6423DB85">
            <wp:extent cx="5731510" cy="1743075"/>
            <wp:effectExtent l="0" t="0" r="2540" b="952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887A788-83B5-7306-DEB9-6DAA3F265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887A788-83B5-7306-DEB9-6DAA3F2659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B5D1E" w14:textId="77777777" w:rsidR="00052429" w:rsidRDefault="00052429"/>
    <w:p w14:paraId="49740347" w14:textId="77777777" w:rsidR="00052429" w:rsidRPr="00052429" w:rsidRDefault="00052429" w:rsidP="00052429">
      <w:r w:rsidRPr="00052429">
        <w:rPr>
          <w:b/>
          <w:bCs/>
        </w:rPr>
        <w:t>Figure S3: Three-way intersection analysis confirms similar genes in rs79724577 (A&gt;C) new clone cohort.</w:t>
      </w:r>
    </w:p>
    <w:p w14:paraId="02AE898C" w14:textId="77777777" w:rsidR="00052429" w:rsidRPr="00052429" w:rsidRDefault="00052429" w:rsidP="00052429">
      <w:r w:rsidRPr="00052429">
        <w:t>(A) rs79724577 attribution. Venn diagram of DEGs derived from cross-background validation for rs79724577 (A&gt;C): rs79724577 C|C; rs77692262 A|A (new clone) vs wild type (WT-anchored), rs77692262 G|G; rs79724577 A|A vs rs77692262 G|G in the rs79724577 C|C background, and rs77692262 G|G; rs79724577 A|A vs rs79724577 C|C in the rs77692262 G|G background (reciprocal double edit). The stringent three-way overlap identifies a core set of 20 DEGs, representing the most reproducible, variant-attributable transcriptional changes. Peripheral sectors correspond to background- or context-dependent DEGs (e.g., 733, 446). Numbers denote gene counts per region; areas are illustrative. DEGs were defined at adjusted p-value (FDR) ≤ 0.05 and |</w:t>
      </w:r>
      <w:proofErr w:type="spellStart"/>
      <w:r w:rsidRPr="00052429">
        <w:t>log₂FC</w:t>
      </w:r>
      <w:proofErr w:type="spellEnd"/>
      <w:r w:rsidRPr="00052429">
        <w:t>| ≥ 1.</w:t>
      </w:r>
    </w:p>
    <w:p w14:paraId="7CDF6FA9" w14:textId="77777777" w:rsidR="00052429" w:rsidRPr="00052429" w:rsidRDefault="00052429" w:rsidP="00052429">
      <w:r w:rsidRPr="00052429">
        <w:t xml:space="preserve">(B) rs77692262 attribution. Venn diagram showing overlap of differentially expressed genes (DEGs) from three pairwise contrasts: rs77692262 G|G; rs79724577 A|A vs wild type (WT-anchored), rs79724577 C|C; rs77692262 A|A (new clone) vs rs77692262 G|G in the rs79724577 C|C background, and rs79724577 C|C; rs77692262 A|A (new clone) vs rs79724577 C|C in the rs77692262 G|G background (reciprocal orientation). The three-way intersection yields two shared DEGs, while </w:t>
      </w:r>
      <w:proofErr w:type="gramStart"/>
      <w:r w:rsidRPr="00052429">
        <w:t>the majority of</w:t>
      </w:r>
      <w:proofErr w:type="gramEnd"/>
      <w:r w:rsidRPr="00052429">
        <w:t xml:space="preserve"> genes (e.g., 1,393) are unique to individual comparisons, highlighting the strong influence of genetic background on transcriptional output.</w:t>
      </w:r>
    </w:p>
    <w:p w14:paraId="2D95C304" w14:textId="77777777" w:rsidR="00052429" w:rsidRDefault="00052429"/>
    <w:sectPr w:rsidR="0005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13D1"/>
    <w:multiLevelType w:val="hybridMultilevel"/>
    <w:tmpl w:val="92E6EA46"/>
    <w:lvl w:ilvl="0" w:tplc="8BD8524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2D"/>
    <w:rsid w:val="00052429"/>
    <w:rsid w:val="001C498A"/>
    <w:rsid w:val="00262A4A"/>
    <w:rsid w:val="00415D23"/>
    <w:rsid w:val="0066640D"/>
    <w:rsid w:val="007160CF"/>
    <w:rsid w:val="00843E43"/>
    <w:rsid w:val="00867F59"/>
    <w:rsid w:val="008850AC"/>
    <w:rsid w:val="008B732D"/>
    <w:rsid w:val="00D50154"/>
    <w:rsid w:val="00E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3FE4"/>
  <w15:chartTrackingRefBased/>
  <w15:docId w15:val="{7A8F08CE-8CD8-40C6-90CF-7DB4AFA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0AC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88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850AC"/>
  </w:style>
  <w:style w:type="character" w:customStyle="1" w:styleId="scxw246295650">
    <w:name w:val="scxw246295650"/>
    <w:basedOn w:val="DefaultParagraphFont"/>
    <w:rsid w:val="008850AC"/>
  </w:style>
  <w:style w:type="character" w:customStyle="1" w:styleId="eop">
    <w:name w:val="eop"/>
    <w:basedOn w:val="DefaultParagraphFont"/>
    <w:rsid w:val="0088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justin.osullivan@auckland.ac.n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O'Sullivan</dc:creator>
  <cp:keywords/>
  <dc:description/>
  <cp:lastModifiedBy>Justin O'Sullivan</cp:lastModifiedBy>
  <cp:revision>4</cp:revision>
  <dcterms:created xsi:type="dcterms:W3CDTF">2026-01-12T03:01:00Z</dcterms:created>
  <dcterms:modified xsi:type="dcterms:W3CDTF">2026-01-12T03:02:00Z</dcterms:modified>
</cp:coreProperties>
</file>