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1AC9">
      <w:pPr>
        <w:rPr>
          <w:rFonts w:hint="default" w:ascii="Times New Roman" w:hAnsi="Times New Roman" w:eastAsia="宋体" w:cs="Times New Roman"/>
          <w:b/>
          <w:bCs/>
          <w:sz w:val="20"/>
          <w:szCs w:val="20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 xml:space="preserve">1. Comparison of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 xml:space="preserve">ntibiotic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lassifications between WHO AWaRe and Guangxi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 xml:space="preserve"> of China l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 xml:space="preserve">ocal 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20"/>
          <w:szCs w:val="20"/>
        </w:rPr>
        <w:t>olicy</w:t>
      </w:r>
    </w:p>
    <w:tbl>
      <w:tblPr>
        <w:tblStyle w:val="2"/>
        <w:tblW w:w="0" w:type="dxa"/>
        <w:tblInd w:w="0" w:type="dxa"/>
        <w:tblBorders>
          <w:top w:val="single" w:color="000000" w:themeColor="text1" w:sz="2" w:space="0"/>
          <w:left w:val="none" w:color="auto" w:sz="0" w:space="0"/>
          <w:bottom w:val="single" w:color="000000" w:themeColor="text1" w:sz="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3224"/>
        <w:gridCol w:w="4019"/>
      </w:tblGrid>
      <w:tr w14:paraId="1121A275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140AA7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Feature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456B1E0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WHO AWaRe (2021)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190FD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Guangxi of China Provincial Catalogue (2023)</w:t>
            </w:r>
          </w:p>
        </w:tc>
      </w:tr>
      <w:tr w14:paraId="3E7028DA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BF8E7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Primary Focus</w:t>
            </w:r>
          </w:p>
        </w:tc>
        <w:tc>
          <w:tcPr>
            <w:tcW w:w="0" w:type="auto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871E7F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Ecological Impact: Resistance potential &amp; Clinical importance.</w:t>
            </w:r>
          </w:p>
        </w:tc>
        <w:tc>
          <w:tcPr>
            <w:tcW w:w="0" w:type="auto"/>
            <w:tcBorders>
              <w:top w:val="single" w:color="000000" w:themeColor="text1" w:sz="4" w:space="0"/>
              <w:tl2br w:val="nil"/>
              <w:tr2bl w:val="nil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392B3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Administrative Control: Prescribing authority, cost, &amp; safety.</w:t>
            </w:r>
          </w:p>
        </w:tc>
      </w:tr>
      <w:tr w14:paraId="089A00DD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096C5A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Tier 1 (Base)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219696F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Access: Promote usage (&gt;60% goal).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1A98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Non-restricted: Open to all doctors.</w:t>
            </w:r>
          </w:p>
        </w:tc>
      </w:tr>
      <w:tr w14:paraId="1424673A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8CAD26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Tier 2 (Focus)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374627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Watch: Key targets for stewardship.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2D58F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Restricted: Attending physicians only.</w:t>
            </w:r>
          </w:p>
        </w:tc>
      </w:tr>
      <w:tr w14:paraId="11017A30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5FB10E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Tier 3 (Top)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42A6891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Reserve: Last-resort options only.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0184F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Special Grade: Senior physicians + Consultation required.</w:t>
            </w:r>
          </w:p>
        </w:tc>
      </w:tr>
      <w:tr w14:paraId="58CD3825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78C4065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Key Divergence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086B23F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Carbapenems &amp; Glycopeptides are classified as "Watch".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5AF5B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Carbapenems &amp; Glycopeptides are elevated to "Special Grade".</w:t>
            </w:r>
          </w:p>
        </w:tc>
      </w:tr>
      <w:tr w14:paraId="466F3446">
        <w:tblPrEx>
          <w:tblBorders>
            <w:top w:val="single" w:color="000000" w:themeColor="text1" w:sz="2" w:space="0"/>
            <w:left w:val="none" w:color="auto" w:sz="0" w:space="0"/>
            <w:bottom w:val="single" w:color="000000" w:themeColor="text1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1D23AF8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Implication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</w:tcPr>
          <w:p w14:paraId="521232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Focuses on reducing "Reserve" agents (e.g., Tigecycline).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bottom"/>
          </w:tcPr>
          <w:p w14:paraId="4CC20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Focuses on controlling a broader range of critical drugs (including Carbapenems).</w:t>
            </w:r>
          </w:p>
        </w:tc>
      </w:tr>
    </w:tbl>
    <w:p w14:paraId="3D447042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64BE"/>
    <w:rsid w:val="437A498C"/>
    <w:rsid w:val="51D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762</Characters>
  <Lines>0</Lines>
  <Paragraphs>0</Paragraphs>
  <TotalTime>0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2026-01-18T05:54:00Z</dcterms:created>
  <dc:creator>yoyo</dc:creator>
  <cp:lastModifiedBy>月想明</cp:lastModifiedBy>
  <dcterms:modified xsi:type="dcterms:W3CDTF">2026-01-29T02:14:44Z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eyJoZGlkIjoiYjkyZmNhZmMwYTRkMzdjNDc0ZDBiODA4ZTNmNjg2YzYiLCJ1c2VySWQiOiIyNzE3MjIxNjAifQ==</vt:lpwstr>
  </property>
  <property fmtid="{D5CDD505-2E9C-101B-9397-08002B2CF9AE}" pid="4" name="ICV">
    <vt:lpwstr>5E474FBFCD0A4293A1F1068F20352464_12</vt:lpwstr>
  </property>
</Properties>
</file>