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41DF4" w14:textId="16DB6674" w:rsidR="00CF7E25" w:rsidRPr="00CF7E25" w:rsidRDefault="00CF7E25" w:rsidP="00CF7E25">
      <w:pPr>
        <w:keepNext/>
        <w:jc w:val="center"/>
      </w:pPr>
      <w:r w:rsidRPr="00CF7E25">
        <w:t>Supplementary Material For</w:t>
      </w:r>
      <w:r>
        <w:t>:</w:t>
      </w:r>
    </w:p>
    <w:p w14:paraId="5F1CC9B9" w14:textId="31D03A94" w:rsidR="00756BE0" w:rsidRDefault="00EB53AA" w:rsidP="00CF7E25">
      <w:pPr>
        <w:keepNext/>
        <w:jc w:val="center"/>
        <w:rPr>
          <w:b/>
          <w:bCs/>
        </w:rPr>
      </w:pPr>
      <w:r w:rsidRPr="00EB53AA">
        <w:rPr>
          <w:b/>
          <w:bCs/>
        </w:rPr>
        <w:t>Temporary land carbon storage can avoid slow-responding climate changes</w:t>
      </w:r>
    </w:p>
    <w:p w14:paraId="7B91727F" w14:textId="77777777" w:rsidR="006319ED" w:rsidRDefault="006319ED" w:rsidP="00CF7E25">
      <w:pPr>
        <w:keepNext/>
        <w:jc w:val="center"/>
        <w:rPr>
          <w:b/>
          <w:bCs/>
        </w:rPr>
      </w:pPr>
    </w:p>
    <w:p w14:paraId="28BCC2A3" w14:textId="77777777" w:rsidR="006319ED" w:rsidRDefault="006319ED" w:rsidP="00CF7E25">
      <w:pPr>
        <w:keepNext/>
        <w:jc w:val="center"/>
        <w:rPr>
          <w:b/>
          <w:bCs/>
        </w:rPr>
      </w:pPr>
    </w:p>
    <w:p w14:paraId="59C460E5" w14:textId="77777777" w:rsidR="00D42845" w:rsidRPr="00A97CB6" w:rsidRDefault="00D42845" w:rsidP="00D42845">
      <w:pPr>
        <w:spacing w:after="0" w:line="240" w:lineRule="auto"/>
        <w:rPr>
          <w:vertAlign w:val="superscript"/>
          <w:lang w:val="en-CA"/>
        </w:rPr>
      </w:pPr>
      <w:r w:rsidRPr="00A97CB6">
        <w:rPr>
          <w:lang w:val="en-CA"/>
        </w:rPr>
        <w:t>Mitchell Dickau</w:t>
      </w:r>
      <w:r w:rsidRPr="00A97CB6">
        <w:rPr>
          <w:vertAlign w:val="superscript"/>
          <w:lang w:val="en-CA"/>
        </w:rPr>
        <w:t>1</w:t>
      </w:r>
      <w:r w:rsidRPr="00A97CB6">
        <w:rPr>
          <w:lang w:val="en-CA"/>
        </w:rPr>
        <w:t xml:space="preserve"> and H. Damon Matthews</w:t>
      </w:r>
      <w:r w:rsidRPr="00A97CB6">
        <w:rPr>
          <w:vertAlign w:val="superscript"/>
          <w:lang w:val="en-CA"/>
        </w:rPr>
        <w:t>1</w:t>
      </w:r>
    </w:p>
    <w:p w14:paraId="5DC6203C" w14:textId="77777777" w:rsidR="00D42845" w:rsidRDefault="00D42845" w:rsidP="00D42845">
      <w:pPr>
        <w:spacing w:after="0" w:line="240" w:lineRule="auto"/>
        <w:rPr>
          <w:lang w:val="en-CA"/>
        </w:rPr>
      </w:pPr>
    </w:p>
    <w:p w14:paraId="11F75146" w14:textId="77777777" w:rsidR="006319ED" w:rsidRPr="00A97CB6" w:rsidRDefault="006319ED" w:rsidP="00D42845">
      <w:pPr>
        <w:spacing w:after="0" w:line="240" w:lineRule="auto"/>
        <w:rPr>
          <w:lang w:val="en-CA"/>
        </w:rPr>
      </w:pPr>
    </w:p>
    <w:p w14:paraId="28649369" w14:textId="2ED496B2" w:rsidR="00F80A52" w:rsidRDefault="00D42845" w:rsidP="00D42845">
      <w:pPr>
        <w:spacing w:after="0" w:line="240" w:lineRule="auto"/>
        <w:rPr>
          <w:lang w:val="en-CA"/>
        </w:rPr>
      </w:pPr>
      <w:r w:rsidRPr="00A97CB6">
        <w:rPr>
          <w:vertAlign w:val="superscript"/>
          <w:lang w:val="en-CA"/>
        </w:rPr>
        <w:t>1</w:t>
      </w:r>
      <w:r w:rsidRPr="00A97CB6">
        <w:rPr>
          <w:lang w:val="en-CA"/>
        </w:rPr>
        <w:t>Department of Geography, Planning and Environment, Concordia University, Montréal, Quebec, Canada</w:t>
      </w:r>
    </w:p>
    <w:p w14:paraId="10B641C3" w14:textId="77777777" w:rsidR="00005B53" w:rsidRDefault="00005B53" w:rsidP="00D42845">
      <w:pPr>
        <w:spacing w:after="0" w:line="240" w:lineRule="auto"/>
        <w:rPr>
          <w:lang w:val="en-CA"/>
        </w:rPr>
      </w:pPr>
    </w:p>
    <w:p w14:paraId="6096C165" w14:textId="6C37CBEB" w:rsidR="00005B53" w:rsidRDefault="00EC550B" w:rsidP="00D42845">
      <w:pPr>
        <w:spacing w:after="0" w:line="240" w:lineRule="auto"/>
        <w:rPr>
          <w:lang w:val="en-CA"/>
        </w:rPr>
      </w:pPr>
      <w:r>
        <w:t>* Corresponding author at: Mitchell.dickau@mail.concordia.ca</w:t>
      </w:r>
    </w:p>
    <w:p w14:paraId="56902876" w14:textId="77777777" w:rsidR="00F80A52" w:rsidRDefault="00F80A52" w:rsidP="00D42845">
      <w:pPr>
        <w:spacing w:after="0" w:line="240" w:lineRule="auto"/>
        <w:rPr>
          <w:lang w:val="en-CA"/>
        </w:rPr>
      </w:pPr>
    </w:p>
    <w:p w14:paraId="076F3FA9" w14:textId="77777777" w:rsidR="006319ED" w:rsidRDefault="006319ED" w:rsidP="00D42845">
      <w:pPr>
        <w:spacing w:after="0" w:line="240" w:lineRule="auto"/>
        <w:rPr>
          <w:lang w:val="en-CA"/>
        </w:rPr>
      </w:pPr>
    </w:p>
    <w:p w14:paraId="15B26234" w14:textId="77777777" w:rsidR="006319ED" w:rsidRDefault="006319ED" w:rsidP="00D42845">
      <w:pPr>
        <w:spacing w:after="0" w:line="240" w:lineRule="auto"/>
        <w:rPr>
          <w:lang w:val="en-CA"/>
        </w:rPr>
      </w:pPr>
    </w:p>
    <w:p w14:paraId="656728C8" w14:textId="77777777" w:rsidR="00F80A52" w:rsidRDefault="00F80A52" w:rsidP="00D42845">
      <w:pPr>
        <w:spacing w:after="0" w:line="240" w:lineRule="auto"/>
      </w:pPr>
      <w:r>
        <w:t>This file includes:</w:t>
      </w:r>
    </w:p>
    <w:p w14:paraId="3A2C812B" w14:textId="13C51567" w:rsidR="00F80A52" w:rsidRDefault="00F80A52" w:rsidP="00ED0A4A">
      <w:pPr>
        <w:spacing w:after="0" w:line="240" w:lineRule="auto"/>
        <w:ind w:left="720"/>
      </w:pPr>
      <w:r>
        <w:t xml:space="preserve">Supplementary Figures: 1 to </w:t>
      </w:r>
      <w:r w:rsidR="006907E6">
        <w:t>5</w:t>
      </w:r>
    </w:p>
    <w:p w14:paraId="0137F346" w14:textId="173764F5" w:rsidR="00EB5CB0" w:rsidRDefault="00EB5CB0">
      <w:pPr>
        <w:spacing w:line="278" w:lineRule="auto"/>
      </w:pPr>
      <w:r>
        <w:br w:type="page"/>
      </w:r>
    </w:p>
    <w:p w14:paraId="3C0A70EC" w14:textId="285F1D54" w:rsidR="00AC6F24" w:rsidRPr="00EA33F7" w:rsidRDefault="00AC6F24" w:rsidP="00EB5CB0">
      <w:pPr>
        <w:spacing w:after="0" w:line="240" w:lineRule="auto"/>
        <w:rPr>
          <w:b/>
          <w:bCs/>
          <w:lang w:val="en-CA"/>
        </w:rPr>
      </w:pPr>
      <w:r>
        <w:rPr>
          <w:b/>
          <w:bCs/>
          <w:lang w:val="en-CA"/>
        </w:rPr>
        <w:lastRenderedPageBreak/>
        <w:t>SUPPLEMENTARY FIGURES 1</w:t>
      </w:r>
      <w:r w:rsidR="002046C2">
        <w:rPr>
          <w:b/>
          <w:bCs/>
          <w:lang w:val="en-CA"/>
        </w:rPr>
        <w:t xml:space="preserve"> to 6</w:t>
      </w:r>
      <w:r>
        <w:rPr>
          <w:b/>
          <w:bCs/>
          <w:lang w:val="en-CA"/>
        </w:rPr>
        <w:t>:</w:t>
      </w:r>
    </w:p>
    <w:p w14:paraId="2B3250BA" w14:textId="77777777" w:rsidR="00156396" w:rsidRDefault="00156396" w:rsidP="00756BE0">
      <w:pPr>
        <w:keepNext/>
      </w:pPr>
    </w:p>
    <w:p w14:paraId="75CAA874" w14:textId="771324F7" w:rsidR="000E7EC8" w:rsidRDefault="002046C2" w:rsidP="007C499C">
      <w:pPr>
        <w:pStyle w:val="Caption"/>
      </w:pPr>
      <w:r>
        <w:rPr>
          <w:noProof/>
          <w14:ligatures w14:val="standardContextual"/>
        </w:rPr>
        <w:drawing>
          <wp:inline distT="0" distB="0" distL="0" distR="0" wp14:anchorId="10740734" wp14:editId="63F4E0C7">
            <wp:extent cx="5943600" cy="2477770"/>
            <wp:effectExtent l="0" t="0" r="0" b="0"/>
            <wp:docPr id="1827463840" name="Picture 2" descr="A group of images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63840" name="Picture 2" descr="A group of images of the worl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477770"/>
                    </a:xfrm>
                    <a:prstGeom prst="rect">
                      <a:avLst/>
                    </a:prstGeom>
                  </pic:spPr>
                </pic:pic>
              </a:graphicData>
            </a:graphic>
          </wp:inline>
        </w:drawing>
      </w:r>
    </w:p>
    <w:p w14:paraId="5F43FDD8" w14:textId="3DCDFEBB" w:rsidR="00DC64B7" w:rsidRPr="00DC6344" w:rsidRDefault="00756BE0" w:rsidP="007C499C">
      <w:pPr>
        <w:pStyle w:val="Caption"/>
      </w:pPr>
      <w:r>
        <w:t xml:space="preserve">SM Figure </w:t>
      </w:r>
      <w:r>
        <w:fldChar w:fldCharType="begin"/>
      </w:r>
      <w:r>
        <w:instrText xml:space="preserve"> SEQ SM_Figure \* ARABIC </w:instrText>
      </w:r>
      <w:r>
        <w:fldChar w:fldCharType="separate"/>
      </w:r>
      <w:r w:rsidR="00323BED">
        <w:rPr>
          <w:noProof/>
        </w:rPr>
        <w:t>1</w:t>
      </w:r>
      <w:r>
        <w:fldChar w:fldCharType="end"/>
      </w:r>
      <w:r w:rsidR="006C5585">
        <w:t xml:space="preserve"> – </w:t>
      </w:r>
      <w:r w:rsidR="00BB578C">
        <w:rPr>
          <w:b/>
          <w:bCs/>
        </w:rPr>
        <w:t>A</w:t>
      </w:r>
      <w:r w:rsidR="002046C2">
        <w:rPr>
          <w:b/>
          <w:bCs/>
        </w:rPr>
        <w:t>verage difference in</w:t>
      </w:r>
      <w:r w:rsidR="00043037">
        <w:rPr>
          <w:b/>
          <w:bCs/>
        </w:rPr>
        <w:t xml:space="preserve"> </w:t>
      </w:r>
      <w:r w:rsidR="005F6149">
        <w:rPr>
          <w:b/>
          <w:bCs/>
        </w:rPr>
        <w:t xml:space="preserve">surface air temperature between storage SSPs and baseline SSPs </w:t>
      </w:r>
      <w:r w:rsidR="002046C2">
        <w:rPr>
          <w:b/>
          <w:bCs/>
        </w:rPr>
        <w:t>between</w:t>
      </w:r>
      <w:r w:rsidR="00544DE8">
        <w:rPr>
          <w:b/>
          <w:bCs/>
        </w:rPr>
        <w:t xml:space="preserve"> 2100 to 2120.</w:t>
      </w:r>
      <w:r w:rsidR="00DC6344">
        <w:rPr>
          <w:b/>
          <w:bCs/>
        </w:rPr>
        <w:t xml:space="preserve"> </w:t>
      </w:r>
      <w:r w:rsidR="00017725">
        <w:t xml:space="preserve">Shown is the 20-year mean difference in surface air temperature </w:t>
      </w:r>
      <w:r w:rsidR="00326DCA">
        <w:t>(SAT)</w:t>
      </w:r>
      <w:r w:rsidR="00017725">
        <w:t xml:space="preserve"> between storage and baseline SSPs </w:t>
      </w:r>
      <w:r w:rsidR="00EA2BDE">
        <w:t>(i.e., storage</w:t>
      </w:r>
      <w:r w:rsidR="00326DCA">
        <w:t xml:space="preserve"> </w:t>
      </w:r>
      <w:r w:rsidR="00EA2BDE">
        <w:t xml:space="preserve">SAT subtracted by </w:t>
      </w:r>
      <w:r w:rsidR="00326DCA">
        <w:t xml:space="preserve">baseline SAT) </w:t>
      </w:r>
      <w:r w:rsidR="00017725">
        <w:t>for the period 2100–2120, corresponding to the two decades following the re-emission of all temporarily stored carbon. Columns indicate baseline SSPs (listed above), and rows indicate storage pathways</w:t>
      </w:r>
      <w:r w:rsidR="000705A4">
        <w:t xml:space="preserve"> (listed to the left)</w:t>
      </w:r>
      <w:r w:rsidR="00017725">
        <w:t xml:space="preserve">. In general, storage SSPs remain cooler at high latitudes and exhibit equal or slightly warmer </w:t>
      </w:r>
      <w:r w:rsidR="00326DCA">
        <w:t>temperature</w:t>
      </w:r>
      <w:r w:rsidR="00017725">
        <w:t xml:space="preserve"> in equatorial and mid-latitude regions relative to their baselines. This regional warming pattern strengthens with increasing magnitude of temporary carbon storage.</w:t>
      </w:r>
    </w:p>
    <w:p w14:paraId="3FD3314F" w14:textId="617B6F5C" w:rsidR="006D4A6F" w:rsidRDefault="00831CEC" w:rsidP="006D4A6F">
      <w:pPr>
        <w:keepNext/>
      </w:pPr>
      <w:r>
        <w:rPr>
          <w:noProof/>
          <w14:ligatures w14:val="standardContextual"/>
        </w:rPr>
        <w:lastRenderedPageBreak/>
        <w:drawing>
          <wp:inline distT="0" distB="0" distL="0" distR="0" wp14:anchorId="576BFFC7" wp14:editId="23C22CAA">
            <wp:extent cx="5943600" cy="4638675"/>
            <wp:effectExtent l="0" t="0" r="0" b="0"/>
            <wp:docPr id="1444866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66397" name="Picture 1444866397"/>
                    <pic:cNvPicPr/>
                  </pic:nvPicPr>
                  <pic:blipFill>
                    <a:blip r:embed="rId10"/>
                    <a:stretch>
                      <a:fillRect/>
                    </a:stretch>
                  </pic:blipFill>
                  <pic:spPr>
                    <a:xfrm>
                      <a:off x="0" y="0"/>
                      <a:ext cx="5943600" cy="4638675"/>
                    </a:xfrm>
                    <a:prstGeom prst="rect">
                      <a:avLst/>
                    </a:prstGeom>
                  </pic:spPr>
                </pic:pic>
              </a:graphicData>
            </a:graphic>
          </wp:inline>
        </w:drawing>
      </w:r>
    </w:p>
    <w:p w14:paraId="1AF3237A" w14:textId="0309E9B3" w:rsidR="006D4A6F" w:rsidRDefault="006D4A6F" w:rsidP="006D4A6F">
      <w:pPr>
        <w:pStyle w:val="Caption"/>
      </w:pPr>
      <w:r>
        <w:t xml:space="preserve">SM Figure </w:t>
      </w:r>
      <w:r>
        <w:fldChar w:fldCharType="begin"/>
      </w:r>
      <w:r>
        <w:instrText xml:space="preserve"> SEQ SM_Figure \* ARABIC </w:instrText>
      </w:r>
      <w:r>
        <w:fldChar w:fldCharType="separate"/>
      </w:r>
      <w:r w:rsidR="00323BED">
        <w:rPr>
          <w:noProof/>
        </w:rPr>
        <w:t>2</w:t>
      </w:r>
      <w:r>
        <w:fldChar w:fldCharType="end"/>
      </w:r>
      <w:r w:rsidR="00B0008B">
        <w:t xml:space="preserve"> – </w:t>
      </w:r>
      <w:r w:rsidR="00B0008B" w:rsidRPr="00A97CB6">
        <w:rPr>
          <w:b/>
          <w:bCs/>
          <w:lang w:val="en-CA"/>
        </w:rPr>
        <w:t>CO₂ emissions and temperature responses in baseline and storage SSPs</w:t>
      </w:r>
      <w:r w:rsidR="00B0008B">
        <w:rPr>
          <w:b/>
          <w:bCs/>
          <w:lang w:val="en-CA"/>
        </w:rPr>
        <w:t xml:space="preserve"> up until 2300</w:t>
      </w:r>
      <w:r w:rsidR="00B0008B" w:rsidRPr="00A97CB6">
        <w:rPr>
          <w:b/>
          <w:bCs/>
          <w:lang w:val="en-CA"/>
        </w:rPr>
        <w:t>.</w:t>
      </w:r>
      <w:r w:rsidR="00B0008B" w:rsidRPr="00A97CB6">
        <w:rPr>
          <w:lang w:val="en-CA"/>
        </w:rPr>
        <w:t xml:space="preserve"> (A) Annual anthropogenic CO₂ emissions from fossil fuels and land-use change. (B) Cumulative CO₂ emissions from 2015 to </w:t>
      </w:r>
      <w:r w:rsidR="00B0008B">
        <w:rPr>
          <w:lang w:val="en-CA"/>
        </w:rPr>
        <w:t>2300</w:t>
      </w:r>
      <w:r w:rsidR="00B0008B" w:rsidRPr="00A97CB6">
        <w:rPr>
          <w:lang w:val="en-CA"/>
        </w:rPr>
        <w:t>. (C) Global mean surface air temperature anomaly relative to a 1850-1900 preindustrial baseline. (D) Temperature difference between storage SSPs and their corresponding baseline SSPs. Colours indicate SSP ensembles, with solid lines showing baseline simulations and dashed/dotted lines showing the six storage pathways applied to each SSP.</w:t>
      </w:r>
    </w:p>
    <w:p w14:paraId="21198ECD" w14:textId="15BC8988" w:rsidR="006D4A6F" w:rsidRDefault="00C10976" w:rsidP="006D4A6F">
      <w:pPr>
        <w:keepNext/>
        <w:spacing w:after="0" w:line="240" w:lineRule="auto"/>
      </w:pPr>
      <w:r>
        <w:rPr>
          <w:noProof/>
          <w14:ligatures w14:val="standardContextual"/>
        </w:rPr>
        <w:lastRenderedPageBreak/>
        <w:drawing>
          <wp:inline distT="0" distB="0" distL="0" distR="0" wp14:anchorId="7CF4F467" wp14:editId="2F8DEED5">
            <wp:extent cx="5943600" cy="2903220"/>
            <wp:effectExtent l="0" t="0" r="0" b="5080"/>
            <wp:docPr id="13398157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15795" name="Picture 1339815795"/>
                    <pic:cNvPicPr/>
                  </pic:nvPicPr>
                  <pic:blipFill>
                    <a:blip r:embed="rId11"/>
                    <a:stretch>
                      <a:fillRect/>
                    </a:stretch>
                  </pic:blipFill>
                  <pic:spPr>
                    <a:xfrm>
                      <a:off x="0" y="0"/>
                      <a:ext cx="5943600" cy="2903220"/>
                    </a:xfrm>
                    <a:prstGeom prst="rect">
                      <a:avLst/>
                    </a:prstGeom>
                  </pic:spPr>
                </pic:pic>
              </a:graphicData>
            </a:graphic>
          </wp:inline>
        </w:drawing>
      </w:r>
    </w:p>
    <w:p w14:paraId="09CE1848" w14:textId="0E351590" w:rsidR="006D4A6F" w:rsidRDefault="006D4A6F" w:rsidP="006D4A6F">
      <w:pPr>
        <w:pStyle w:val="Caption"/>
      </w:pPr>
      <w:r>
        <w:t xml:space="preserve">SM Figure </w:t>
      </w:r>
      <w:r>
        <w:fldChar w:fldCharType="begin"/>
      </w:r>
      <w:r>
        <w:instrText xml:space="preserve"> SEQ SM_Figure \* ARABIC </w:instrText>
      </w:r>
      <w:r>
        <w:fldChar w:fldCharType="separate"/>
      </w:r>
      <w:r w:rsidR="00323BED">
        <w:rPr>
          <w:noProof/>
        </w:rPr>
        <w:t>3</w:t>
      </w:r>
      <w:r>
        <w:fldChar w:fldCharType="end"/>
      </w:r>
      <w:r w:rsidR="00BA79B6">
        <w:t xml:space="preserve"> – </w:t>
      </w:r>
      <w:r w:rsidR="00BA79B6" w:rsidRPr="00A97CB6">
        <w:rPr>
          <w:b/>
          <w:bCs/>
          <w:lang w:val="en-CA"/>
        </w:rPr>
        <w:t xml:space="preserve">Storage-years in storage pathways and their relationship to degree-years of avoided warming in </w:t>
      </w:r>
      <w:r w:rsidR="00BA79B6" w:rsidRPr="00BA79B6">
        <w:rPr>
          <w:b/>
          <w:bCs/>
          <w:lang w:val="en-CA"/>
        </w:rPr>
        <w:t>storage</w:t>
      </w:r>
      <w:r w:rsidR="00BA79B6" w:rsidRPr="00A97CB6">
        <w:rPr>
          <w:lang w:val="en-CA"/>
        </w:rPr>
        <w:t xml:space="preserve"> </w:t>
      </w:r>
      <w:r w:rsidR="00BA79B6" w:rsidRPr="00A97CB6">
        <w:rPr>
          <w:b/>
          <w:bCs/>
          <w:lang w:val="en-CA"/>
        </w:rPr>
        <w:t>SSPs up until 2</w:t>
      </w:r>
      <w:r w:rsidR="00606818">
        <w:rPr>
          <w:b/>
          <w:bCs/>
          <w:lang w:val="en-CA"/>
        </w:rPr>
        <w:t>3</w:t>
      </w:r>
      <w:r w:rsidR="00BA79B6" w:rsidRPr="00A97CB6">
        <w:rPr>
          <w:b/>
          <w:bCs/>
          <w:lang w:val="en-CA"/>
        </w:rPr>
        <w:t>00</w:t>
      </w:r>
      <w:r w:rsidR="00BA79B6" w:rsidRPr="00A97CB6">
        <w:rPr>
          <w:lang w:val="en-CA"/>
        </w:rPr>
        <w:t>.</w:t>
      </w:r>
      <w:r w:rsidR="00BA79B6" w:rsidRPr="00A97CB6">
        <w:rPr>
          <w:b/>
          <w:bCs/>
          <w:lang w:val="en-CA"/>
        </w:rPr>
        <w:t xml:space="preserve"> </w:t>
      </w:r>
      <w:r w:rsidR="00BA79B6" w:rsidRPr="00A97CB6">
        <w:rPr>
          <w:lang w:val="en-CA"/>
        </w:rPr>
        <w:t>(A) Storage-years of the six storage pathways applied to each SSP baseline. (B) The quasi-linear relationship between degree-years of avoided warming and storage-years of temporary carbon storage across all 48 storage SSPs.</w:t>
      </w:r>
    </w:p>
    <w:p w14:paraId="0CBD61C0" w14:textId="123B1C5B" w:rsidR="006D4A6F" w:rsidRDefault="00C10976" w:rsidP="00326DCA">
      <w:pPr>
        <w:keepNext/>
        <w:keepLines/>
        <w:spacing w:after="0" w:line="240" w:lineRule="auto"/>
      </w:pPr>
      <w:r>
        <w:rPr>
          <w:noProof/>
          <w14:ligatures w14:val="standardContextual"/>
        </w:rPr>
        <w:lastRenderedPageBreak/>
        <w:drawing>
          <wp:inline distT="0" distB="0" distL="0" distR="0" wp14:anchorId="00BB7EB8" wp14:editId="483D53FD">
            <wp:extent cx="5943600" cy="3479165"/>
            <wp:effectExtent l="0" t="0" r="0" b="635"/>
            <wp:docPr id="15417927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92791" name="Picture 1541792791"/>
                    <pic:cNvPicPr/>
                  </pic:nvPicPr>
                  <pic:blipFill>
                    <a:blip r:embed="rId12"/>
                    <a:stretch>
                      <a:fillRect/>
                    </a:stretch>
                  </pic:blipFill>
                  <pic:spPr>
                    <a:xfrm>
                      <a:off x="0" y="0"/>
                      <a:ext cx="5943600" cy="3479165"/>
                    </a:xfrm>
                    <a:prstGeom prst="rect">
                      <a:avLst/>
                    </a:prstGeom>
                  </pic:spPr>
                </pic:pic>
              </a:graphicData>
            </a:graphic>
          </wp:inline>
        </w:drawing>
      </w:r>
    </w:p>
    <w:p w14:paraId="585BBE9E" w14:textId="6C386D1F" w:rsidR="006D4A6F" w:rsidRDefault="006D4A6F" w:rsidP="00326DCA">
      <w:pPr>
        <w:pStyle w:val="Caption"/>
        <w:keepNext/>
        <w:keepLines/>
      </w:pPr>
      <w:r>
        <w:t xml:space="preserve">SM Figure </w:t>
      </w:r>
      <w:r>
        <w:fldChar w:fldCharType="begin"/>
      </w:r>
      <w:r>
        <w:instrText xml:space="preserve"> SEQ SM_Figure \* ARABIC </w:instrText>
      </w:r>
      <w:r>
        <w:fldChar w:fldCharType="separate"/>
      </w:r>
      <w:r w:rsidR="00323BED">
        <w:rPr>
          <w:noProof/>
        </w:rPr>
        <w:t>4</w:t>
      </w:r>
      <w:r>
        <w:fldChar w:fldCharType="end"/>
      </w:r>
      <w:r>
        <w:t xml:space="preserve"> –</w:t>
      </w:r>
      <w:r w:rsidR="00126049">
        <w:t xml:space="preserve"> </w:t>
      </w:r>
      <w:r w:rsidR="00126049" w:rsidRPr="00A97CB6">
        <w:rPr>
          <w:b/>
          <w:bCs/>
          <w:lang w:val="en-CA"/>
        </w:rPr>
        <w:t xml:space="preserve">Differences in slow-responding climate variables between </w:t>
      </w:r>
      <w:r w:rsidR="00126049" w:rsidRPr="00062CF0">
        <w:rPr>
          <w:b/>
          <w:bCs/>
          <w:lang w:val="en-CA"/>
        </w:rPr>
        <w:t>storage</w:t>
      </w:r>
      <w:r w:rsidR="00126049" w:rsidRPr="00A97CB6">
        <w:rPr>
          <w:lang w:val="en-CA"/>
        </w:rPr>
        <w:t xml:space="preserve"> </w:t>
      </w:r>
      <w:r w:rsidR="00126049" w:rsidRPr="00A97CB6">
        <w:rPr>
          <w:b/>
          <w:bCs/>
          <w:lang w:val="en-CA"/>
        </w:rPr>
        <w:t xml:space="preserve">and baseline SSPs for each of the six </w:t>
      </w:r>
      <w:r w:rsidR="00126049" w:rsidRPr="00732674">
        <w:rPr>
          <w:b/>
          <w:bCs/>
          <w:lang w:val="en-CA"/>
        </w:rPr>
        <w:t>storage</w:t>
      </w:r>
      <w:r w:rsidR="00126049" w:rsidRPr="00A97CB6">
        <w:rPr>
          <w:lang w:val="en-CA"/>
        </w:rPr>
        <w:t xml:space="preserve"> </w:t>
      </w:r>
      <w:r w:rsidR="00126049" w:rsidRPr="00A97CB6">
        <w:rPr>
          <w:b/>
          <w:bCs/>
          <w:lang w:val="en-CA"/>
        </w:rPr>
        <w:t xml:space="preserve">pathways to </w:t>
      </w:r>
      <w:r w:rsidR="00126049">
        <w:rPr>
          <w:b/>
          <w:bCs/>
          <w:lang w:val="en-CA"/>
        </w:rPr>
        <w:t>23</w:t>
      </w:r>
      <w:r w:rsidR="00126049" w:rsidRPr="00A97CB6">
        <w:rPr>
          <w:b/>
          <w:bCs/>
          <w:lang w:val="en-CA"/>
        </w:rPr>
        <w:t>00</w:t>
      </w:r>
      <w:r w:rsidR="00126049" w:rsidRPr="00A97CB6">
        <w:rPr>
          <w:lang w:val="en-CA"/>
        </w:rPr>
        <w:t>. Each subplot shows the difference between storage SSPs and baseline SSPs for a single slow-responding variable under one storage pathway. Rows correspond to climate variables (listed on the left), and columns correspond to storage pathways (listed above).</w:t>
      </w:r>
      <w:r w:rsidR="004863FC">
        <w:rPr>
          <w:lang w:val="en-CA"/>
        </w:rPr>
        <w:t xml:space="preserve"> </w:t>
      </w:r>
      <w:r w:rsidR="00C46E0F">
        <w:rPr>
          <w:lang w:val="en-CA"/>
        </w:rPr>
        <w:t>Aside from</w:t>
      </w:r>
      <w:r w:rsidR="004863FC">
        <w:rPr>
          <w:lang w:val="en-CA"/>
        </w:rPr>
        <w:t xml:space="preserve"> meridional overturning (a.k.a. AMOC),</w:t>
      </w:r>
      <w:r w:rsidR="00C46E0F">
        <w:rPr>
          <w:lang w:val="en-CA"/>
        </w:rPr>
        <w:t xml:space="preserve"> </w:t>
      </w:r>
      <w:r w:rsidR="004863FC">
        <w:rPr>
          <w:lang w:val="en-CA"/>
        </w:rPr>
        <w:t>a</w:t>
      </w:r>
      <w:r w:rsidR="00126049" w:rsidRPr="00A97CB6">
        <w:rPr>
          <w:lang w:val="en-CA"/>
        </w:rPr>
        <w:t>ll variables show avoided change from temporary carbon storage up to 2</w:t>
      </w:r>
      <w:r w:rsidR="00FA1709">
        <w:rPr>
          <w:lang w:val="en-CA"/>
        </w:rPr>
        <w:t>3</w:t>
      </w:r>
      <w:r w:rsidR="00126049" w:rsidRPr="00A97CB6">
        <w:rPr>
          <w:lang w:val="en-CA"/>
        </w:rPr>
        <w:t xml:space="preserve">00, with the magnitude of avoided change increasing under storage pathways with greater storage. </w:t>
      </w:r>
      <w:r w:rsidR="00725908">
        <w:rPr>
          <w:lang w:val="en-CA"/>
        </w:rPr>
        <w:t xml:space="preserve">The AMOC response to temporary carbon storage by 2300 is </w:t>
      </w:r>
      <w:r w:rsidR="00335795">
        <w:rPr>
          <w:lang w:val="en-CA"/>
        </w:rPr>
        <w:t>more variable. T</w:t>
      </w:r>
      <w:r w:rsidR="0000766A">
        <w:rPr>
          <w:lang w:val="en-CA"/>
        </w:rPr>
        <w:t xml:space="preserve">here is </w:t>
      </w:r>
      <w:r w:rsidR="00795B7B">
        <w:rPr>
          <w:lang w:val="en-CA"/>
        </w:rPr>
        <w:t xml:space="preserve">almost no </w:t>
      </w:r>
      <w:r w:rsidR="00335795">
        <w:rPr>
          <w:lang w:val="en-CA"/>
        </w:rPr>
        <w:t>effect in</w:t>
      </w:r>
      <w:r w:rsidR="00795B7B">
        <w:rPr>
          <w:lang w:val="en-CA"/>
        </w:rPr>
        <w:t xml:space="preserve"> </w:t>
      </w:r>
      <w:r w:rsidR="004F4A9B">
        <w:rPr>
          <w:lang w:val="en-CA"/>
        </w:rPr>
        <w:t>stabilization</w:t>
      </w:r>
      <w:r w:rsidR="0000766A">
        <w:rPr>
          <w:lang w:val="en-CA"/>
        </w:rPr>
        <w:t xml:space="preserve"> SSPs </w:t>
      </w:r>
      <w:r w:rsidR="009173E7" w:rsidRPr="00A97CB6">
        <w:rPr>
          <w:lang w:val="en-CA"/>
        </w:rPr>
        <w:t xml:space="preserve">– </w:t>
      </w:r>
      <w:r w:rsidR="00E90B6A">
        <w:rPr>
          <w:lang w:val="en-CA"/>
        </w:rPr>
        <w:t xml:space="preserve">i.e. </w:t>
      </w:r>
      <w:r w:rsidR="009173E7" w:rsidRPr="00A97CB6">
        <w:rPr>
          <w:lang w:val="en-CA"/>
        </w:rPr>
        <w:t>SSP2-4.5, SSP4-6.0, SSP3-7.0, SSP5-8.5</w:t>
      </w:r>
      <w:r w:rsidR="009173E7">
        <w:rPr>
          <w:lang w:val="en-CA"/>
        </w:rPr>
        <w:t xml:space="preserve"> – and </w:t>
      </w:r>
      <w:r w:rsidR="00025CED">
        <w:rPr>
          <w:lang w:val="en-CA"/>
        </w:rPr>
        <w:t xml:space="preserve">both positive and negative responses in peak-and-decline SSPs </w:t>
      </w:r>
      <w:r w:rsidR="00E90B6A">
        <w:rPr>
          <w:lang w:val="en-CA"/>
        </w:rPr>
        <w:t xml:space="preserve">– i.e. </w:t>
      </w:r>
      <w:r w:rsidR="00E90B6A" w:rsidRPr="00A97CB6">
        <w:rPr>
          <w:lang w:val="en-CA"/>
        </w:rPr>
        <w:t>SSP1-1.9, SSP1-2.6, SSP4-3.4, SSP5-3.4</w:t>
      </w:r>
      <w:r w:rsidR="00E90B6A">
        <w:rPr>
          <w:lang w:val="en-CA"/>
        </w:rPr>
        <w:t xml:space="preserve">. </w:t>
      </w:r>
      <w:r w:rsidR="009173E7">
        <w:rPr>
          <w:lang w:val="en-CA"/>
        </w:rPr>
        <w:t xml:space="preserve"> </w:t>
      </w:r>
      <w:r w:rsidR="00126049" w:rsidRPr="00A97CB6">
        <w:rPr>
          <w:lang w:val="en-CA"/>
        </w:rPr>
        <w:t>Coloured lines in each subplot indicate the storage SSPs.</w:t>
      </w:r>
    </w:p>
    <w:p w14:paraId="5E89F799" w14:textId="6CF5FA71" w:rsidR="006D4A6F" w:rsidRDefault="00D02F30" w:rsidP="006D4A6F">
      <w:pPr>
        <w:keepNext/>
        <w:spacing w:after="0" w:line="240" w:lineRule="auto"/>
      </w:pPr>
      <w:r>
        <w:rPr>
          <w:noProof/>
          <w14:ligatures w14:val="standardContextual"/>
        </w:rPr>
        <w:lastRenderedPageBreak/>
        <w:drawing>
          <wp:inline distT="0" distB="0" distL="0" distR="0" wp14:anchorId="3395C214" wp14:editId="2C7C0FE2">
            <wp:extent cx="5943600" cy="5059045"/>
            <wp:effectExtent l="0" t="0" r="0" b="0"/>
            <wp:docPr id="1110929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92954" name="Picture 111092954"/>
                    <pic:cNvPicPr/>
                  </pic:nvPicPr>
                  <pic:blipFill>
                    <a:blip r:embed="rId13"/>
                    <a:stretch>
                      <a:fillRect/>
                    </a:stretch>
                  </pic:blipFill>
                  <pic:spPr>
                    <a:xfrm>
                      <a:off x="0" y="0"/>
                      <a:ext cx="5943600" cy="5059045"/>
                    </a:xfrm>
                    <a:prstGeom prst="rect">
                      <a:avLst/>
                    </a:prstGeom>
                  </pic:spPr>
                </pic:pic>
              </a:graphicData>
            </a:graphic>
          </wp:inline>
        </w:drawing>
      </w:r>
    </w:p>
    <w:p w14:paraId="4F0D70B8" w14:textId="386D676C" w:rsidR="00DC64B7" w:rsidRDefault="006D4A6F" w:rsidP="006D4A6F">
      <w:pPr>
        <w:pStyle w:val="Caption"/>
      </w:pPr>
      <w:r>
        <w:t xml:space="preserve">SM Figure </w:t>
      </w:r>
      <w:r>
        <w:fldChar w:fldCharType="begin"/>
      </w:r>
      <w:r>
        <w:instrText xml:space="preserve"> SEQ SM_Figure \* ARABIC </w:instrText>
      </w:r>
      <w:r>
        <w:fldChar w:fldCharType="separate"/>
      </w:r>
      <w:r w:rsidR="00323BED">
        <w:rPr>
          <w:noProof/>
        </w:rPr>
        <w:t>5</w:t>
      </w:r>
      <w:r>
        <w:fldChar w:fldCharType="end"/>
      </w:r>
      <w:r w:rsidR="00476C81">
        <w:t xml:space="preserve"> – </w:t>
      </w:r>
      <w:r w:rsidR="00476C81" w:rsidRPr="00A97CB6">
        <w:rPr>
          <w:b/>
          <w:bCs/>
          <w:lang w:val="en-CA"/>
        </w:rPr>
        <w:t>Relationship between storage-years and avoided change of slow-responding variables in storage SSPs relative to their baseline SSPs to 2</w:t>
      </w:r>
      <w:r w:rsidR="00476C81">
        <w:rPr>
          <w:b/>
          <w:bCs/>
          <w:lang w:val="en-CA"/>
        </w:rPr>
        <w:t>3</w:t>
      </w:r>
      <w:r w:rsidR="00476C81" w:rsidRPr="00A97CB6">
        <w:rPr>
          <w:b/>
          <w:bCs/>
          <w:lang w:val="en-CA"/>
        </w:rPr>
        <w:t xml:space="preserve">00. </w:t>
      </w:r>
      <w:r w:rsidR="00476C81" w:rsidRPr="00A97CB6">
        <w:rPr>
          <w:lang w:val="en-CA"/>
        </w:rPr>
        <w:t>Figure 4) shows the relationship between storage-years of temporary carbon storage and avoided change in: (A) permafrost carbon, (B) thermosteric sea level rise, (C) AMOC, (D) average ocean temperature, and (E) total ocean carbon. Non-linear dashed/dotted lines represent SSP ensembles (</w:t>
      </w:r>
      <w:r w:rsidR="00476C81" w:rsidRPr="00791FB3">
        <w:rPr>
          <w:lang w:val="en-CA"/>
        </w:rPr>
        <w:t>colours</w:t>
      </w:r>
      <w:r w:rsidR="00476C81" w:rsidRPr="00A97CB6">
        <w:rPr>
          <w:lang w:val="en-CA"/>
        </w:rPr>
        <w:t>) and storage pathways (line types), with coloured dots marking 2</w:t>
      </w:r>
      <w:r w:rsidR="00476C81">
        <w:rPr>
          <w:lang w:val="en-CA"/>
        </w:rPr>
        <w:t>3</w:t>
      </w:r>
      <w:r w:rsidR="00476C81" w:rsidRPr="00A97CB6">
        <w:rPr>
          <w:lang w:val="en-CA"/>
        </w:rPr>
        <w:t>00 values for each storage SSP. Solid lines indicate linear relationships between storage-years and avoided change. In panels (B), (D), and (E), these linear fits are shown in red, with R² values displayed on the left. Linear correlations in panels (B), (D), and (E) are calculated across all storage SSPs, whereas correlations in panels (A) and (C) are calculated within each SSP ensemble, with solid lines and R² colours corresponding to each SSP ensemble.</w:t>
      </w:r>
    </w:p>
    <w:p w14:paraId="51AA0F7F" w14:textId="77777777" w:rsidR="00DC64B7" w:rsidRPr="007464E5" w:rsidRDefault="00DC64B7" w:rsidP="00DC64B7">
      <w:pPr>
        <w:spacing w:after="0" w:line="240" w:lineRule="auto"/>
      </w:pPr>
    </w:p>
    <w:p w14:paraId="54BB5035" w14:textId="77777777" w:rsidR="002035CB" w:rsidRDefault="002035CB"/>
    <w:p w14:paraId="5EA41953" w14:textId="77777777" w:rsidR="00ED4DDF" w:rsidRDefault="00ED4DDF" w:rsidP="00ED4DDF"/>
    <w:p w14:paraId="531A2A33" w14:textId="0C050A55" w:rsidR="00ED4DDF" w:rsidRPr="00ED4DDF" w:rsidRDefault="00ED4DDF" w:rsidP="00323BED">
      <w:pPr>
        <w:pStyle w:val="Caption"/>
      </w:pPr>
    </w:p>
    <w:sectPr w:rsidR="00ED4DDF" w:rsidRPr="00ED4DDF" w:rsidSect="00DC64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B0BD5"/>
    <w:multiLevelType w:val="hybridMultilevel"/>
    <w:tmpl w:val="FBC2D27E"/>
    <w:lvl w:ilvl="0" w:tplc="743A5AF0">
      <w:start w:val="13"/>
      <w:numFmt w:val="bullet"/>
      <w:lvlText w:val="-"/>
      <w:lvlJc w:val="left"/>
      <w:pPr>
        <w:ind w:left="1080" w:hanging="360"/>
      </w:pPr>
      <w:rPr>
        <w:rFonts w:ascii="Aptos" w:eastAsiaTheme="minorEastAsia" w:hAnsi="Aptos"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406866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4B7"/>
    <w:rsid w:val="00005B53"/>
    <w:rsid w:val="0000766A"/>
    <w:rsid w:val="00017725"/>
    <w:rsid w:val="00025CED"/>
    <w:rsid w:val="00043037"/>
    <w:rsid w:val="00047DE7"/>
    <w:rsid w:val="00050A9C"/>
    <w:rsid w:val="00061820"/>
    <w:rsid w:val="00062CF0"/>
    <w:rsid w:val="000705A4"/>
    <w:rsid w:val="00071E2D"/>
    <w:rsid w:val="000A2703"/>
    <w:rsid w:val="000A2C97"/>
    <w:rsid w:val="000B12CB"/>
    <w:rsid w:val="000C3070"/>
    <w:rsid w:val="000E7EC8"/>
    <w:rsid w:val="000F68B4"/>
    <w:rsid w:val="00126049"/>
    <w:rsid w:val="001413F5"/>
    <w:rsid w:val="00156396"/>
    <w:rsid w:val="00176CD4"/>
    <w:rsid w:val="001914AA"/>
    <w:rsid w:val="00195175"/>
    <w:rsid w:val="001A1AAF"/>
    <w:rsid w:val="001A2F85"/>
    <w:rsid w:val="001E0088"/>
    <w:rsid w:val="00200D1A"/>
    <w:rsid w:val="002035CB"/>
    <w:rsid w:val="002046C2"/>
    <w:rsid w:val="002160A6"/>
    <w:rsid w:val="00225C09"/>
    <w:rsid w:val="002271B2"/>
    <w:rsid w:val="00230D2A"/>
    <w:rsid w:val="00231D44"/>
    <w:rsid w:val="002527D7"/>
    <w:rsid w:val="002701C2"/>
    <w:rsid w:val="00271E81"/>
    <w:rsid w:val="00285486"/>
    <w:rsid w:val="002A5B1F"/>
    <w:rsid w:val="002A6654"/>
    <w:rsid w:val="003223F0"/>
    <w:rsid w:val="00323BED"/>
    <w:rsid w:val="00326DCA"/>
    <w:rsid w:val="00335795"/>
    <w:rsid w:val="00335C22"/>
    <w:rsid w:val="00361955"/>
    <w:rsid w:val="00390B25"/>
    <w:rsid w:val="00404C8E"/>
    <w:rsid w:val="00410199"/>
    <w:rsid w:val="004203BA"/>
    <w:rsid w:val="00426A5D"/>
    <w:rsid w:val="00430CD5"/>
    <w:rsid w:val="004379D9"/>
    <w:rsid w:val="00442DEF"/>
    <w:rsid w:val="00474E5D"/>
    <w:rsid w:val="00476C81"/>
    <w:rsid w:val="004863FC"/>
    <w:rsid w:val="004F4A9B"/>
    <w:rsid w:val="00520ED9"/>
    <w:rsid w:val="00533068"/>
    <w:rsid w:val="005375B4"/>
    <w:rsid w:val="00544DE8"/>
    <w:rsid w:val="005640B0"/>
    <w:rsid w:val="00592E95"/>
    <w:rsid w:val="005A4AFF"/>
    <w:rsid w:val="005D2EBA"/>
    <w:rsid w:val="005E2392"/>
    <w:rsid w:val="005F6149"/>
    <w:rsid w:val="005F70F2"/>
    <w:rsid w:val="00606818"/>
    <w:rsid w:val="006319ED"/>
    <w:rsid w:val="0064727B"/>
    <w:rsid w:val="00663B9F"/>
    <w:rsid w:val="006859FB"/>
    <w:rsid w:val="00687D82"/>
    <w:rsid w:val="006907E6"/>
    <w:rsid w:val="006A5BE0"/>
    <w:rsid w:val="006B081A"/>
    <w:rsid w:val="006B790B"/>
    <w:rsid w:val="006C2B55"/>
    <w:rsid w:val="006C5585"/>
    <w:rsid w:val="006D4A6F"/>
    <w:rsid w:val="00724364"/>
    <w:rsid w:val="00725908"/>
    <w:rsid w:val="00736C65"/>
    <w:rsid w:val="00756BE0"/>
    <w:rsid w:val="00771101"/>
    <w:rsid w:val="007732BC"/>
    <w:rsid w:val="00785026"/>
    <w:rsid w:val="00795B7B"/>
    <w:rsid w:val="007B5BE9"/>
    <w:rsid w:val="007B69C8"/>
    <w:rsid w:val="007C499C"/>
    <w:rsid w:val="007E48A2"/>
    <w:rsid w:val="007F2061"/>
    <w:rsid w:val="00800B28"/>
    <w:rsid w:val="0080576E"/>
    <w:rsid w:val="00810B6F"/>
    <w:rsid w:val="00831A46"/>
    <w:rsid w:val="00831CEC"/>
    <w:rsid w:val="00835671"/>
    <w:rsid w:val="008C22D5"/>
    <w:rsid w:val="008D5D3C"/>
    <w:rsid w:val="008E5AF1"/>
    <w:rsid w:val="009070B9"/>
    <w:rsid w:val="009173E7"/>
    <w:rsid w:val="00951303"/>
    <w:rsid w:val="00965886"/>
    <w:rsid w:val="00967F4A"/>
    <w:rsid w:val="009943FE"/>
    <w:rsid w:val="00997659"/>
    <w:rsid w:val="009A50D7"/>
    <w:rsid w:val="009B57B7"/>
    <w:rsid w:val="009C1070"/>
    <w:rsid w:val="009D1063"/>
    <w:rsid w:val="009F76C9"/>
    <w:rsid w:val="00A05DC3"/>
    <w:rsid w:val="00A06D9B"/>
    <w:rsid w:val="00A075E7"/>
    <w:rsid w:val="00A71367"/>
    <w:rsid w:val="00A878CB"/>
    <w:rsid w:val="00AA6868"/>
    <w:rsid w:val="00AB7C9D"/>
    <w:rsid w:val="00AC4D30"/>
    <w:rsid w:val="00AC6F24"/>
    <w:rsid w:val="00AE1A5C"/>
    <w:rsid w:val="00B0008B"/>
    <w:rsid w:val="00B205D7"/>
    <w:rsid w:val="00B3224B"/>
    <w:rsid w:val="00B510CE"/>
    <w:rsid w:val="00B616AB"/>
    <w:rsid w:val="00B75A1C"/>
    <w:rsid w:val="00B82BA3"/>
    <w:rsid w:val="00B94F01"/>
    <w:rsid w:val="00BA79B6"/>
    <w:rsid w:val="00BB578C"/>
    <w:rsid w:val="00BC622B"/>
    <w:rsid w:val="00BD1FFD"/>
    <w:rsid w:val="00BF2DE0"/>
    <w:rsid w:val="00BF5E33"/>
    <w:rsid w:val="00C04143"/>
    <w:rsid w:val="00C07319"/>
    <w:rsid w:val="00C10976"/>
    <w:rsid w:val="00C41C5B"/>
    <w:rsid w:val="00C43FE1"/>
    <w:rsid w:val="00C46E0F"/>
    <w:rsid w:val="00C52106"/>
    <w:rsid w:val="00C6013F"/>
    <w:rsid w:val="00C60CDA"/>
    <w:rsid w:val="00C7595D"/>
    <w:rsid w:val="00CF3A5B"/>
    <w:rsid w:val="00CF7E25"/>
    <w:rsid w:val="00D02F30"/>
    <w:rsid w:val="00D03FD3"/>
    <w:rsid w:val="00D12A49"/>
    <w:rsid w:val="00D13C23"/>
    <w:rsid w:val="00D30EE7"/>
    <w:rsid w:val="00D31B1A"/>
    <w:rsid w:val="00D42845"/>
    <w:rsid w:val="00D62CD9"/>
    <w:rsid w:val="00D64C97"/>
    <w:rsid w:val="00D767AD"/>
    <w:rsid w:val="00D777A1"/>
    <w:rsid w:val="00D87E22"/>
    <w:rsid w:val="00D94A46"/>
    <w:rsid w:val="00DB2D2A"/>
    <w:rsid w:val="00DC6344"/>
    <w:rsid w:val="00DC64B7"/>
    <w:rsid w:val="00DD3190"/>
    <w:rsid w:val="00DE4B4A"/>
    <w:rsid w:val="00E11860"/>
    <w:rsid w:val="00E13611"/>
    <w:rsid w:val="00E301C9"/>
    <w:rsid w:val="00E401EC"/>
    <w:rsid w:val="00E564E2"/>
    <w:rsid w:val="00E90B6A"/>
    <w:rsid w:val="00EA2BDE"/>
    <w:rsid w:val="00EA33F7"/>
    <w:rsid w:val="00EA51A6"/>
    <w:rsid w:val="00EB3480"/>
    <w:rsid w:val="00EB53AA"/>
    <w:rsid w:val="00EB5CB0"/>
    <w:rsid w:val="00EB72CE"/>
    <w:rsid w:val="00EB735E"/>
    <w:rsid w:val="00EC550B"/>
    <w:rsid w:val="00ED0A4A"/>
    <w:rsid w:val="00ED31F2"/>
    <w:rsid w:val="00ED4DDF"/>
    <w:rsid w:val="00EE1E57"/>
    <w:rsid w:val="00F00A3A"/>
    <w:rsid w:val="00F03902"/>
    <w:rsid w:val="00F26BAB"/>
    <w:rsid w:val="00F30F2B"/>
    <w:rsid w:val="00F364AE"/>
    <w:rsid w:val="00F724E2"/>
    <w:rsid w:val="00F76BE6"/>
    <w:rsid w:val="00F80A52"/>
    <w:rsid w:val="00FA1709"/>
    <w:rsid w:val="00FC7F00"/>
    <w:rsid w:val="00FE0590"/>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3EE03F7"/>
  <w15:chartTrackingRefBased/>
  <w15:docId w15:val="{0E4B8E5D-6F67-104A-9CC0-6880D7FEC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4B7"/>
    <w:pPr>
      <w:spacing w:line="279" w:lineRule="auto"/>
    </w:pPr>
    <w:rPr>
      <w:rFonts w:eastAsiaTheme="minorEastAsia"/>
      <w:kern w:val="0"/>
      <w:lang w:val="en-US" w:eastAsia="ja-JP"/>
      <w14:ligatures w14:val="none"/>
    </w:rPr>
  </w:style>
  <w:style w:type="paragraph" w:styleId="Heading1">
    <w:name w:val="heading 1"/>
    <w:basedOn w:val="Normal"/>
    <w:next w:val="Normal"/>
    <w:link w:val="Heading1Char"/>
    <w:uiPriority w:val="9"/>
    <w:qFormat/>
    <w:rsid w:val="00DC64B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CA" w:eastAsia="en-US"/>
      <w14:ligatures w14:val="standardContextual"/>
    </w:rPr>
  </w:style>
  <w:style w:type="paragraph" w:styleId="Heading2">
    <w:name w:val="heading 2"/>
    <w:basedOn w:val="Normal"/>
    <w:next w:val="Normal"/>
    <w:link w:val="Heading2Char"/>
    <w:uiPriority w:val="9"/>
    <w:semiHidden/>
    <w:unhideWhenUsed/>
    <w:qFormat/>
    <w:rsid w:val="00DC64B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CA" w:eastAsia="en-US"/>
      <w14:ligatures w14:val="standardContextual"/>
    </w:rPr>
  </w:style>
  <w:style w:type="paragraph" w:styleId="Heading3">
    <w:name w:val="heading 3"/>
    <w:basedOn w:val="Normal"/>
    <w:next w:val="Normal"/>
    <w:link w:val="Heading3Char"/>
    <w:uiPriority w:val="9"/>
    <w:semiHidden/>
    <w:unhideWhenUsed/>
    <w:qFormat/>
    <w:rsid w:val="00DC64B7"/>
    <w:pPr>
      <w:keepNext/>
      <w:keepLines/>
      <w:spacing w:before="160" w:after="80" w:line="278" w:lineRule="auto"/>
      <w:outlineLvl w:val="2"/>
    </w:pPr>
    <w:rPr>
      <w:rFonts w:eastAsiaTheme="majorEastAsia" w:cstheme="majorBidi"/>
      <w:color w:val="0F4761" w:themeColor="accent1" w:themeShade="BF"/>
      <w:kern w:val="2"/>
      <w:sz w:val="28"/>
      <w:szCs w:val="28"/>
      <w:lang w:val="en-CA" w:eastAsia="en-US"/>
      <w14:ligatures w14:val="standardContextual"/>
    </w:rPr>
  </w:style>
  <w:style w:type="paragraph" w:styleId="Heading4">
    <w:name w:val="heading 4"/>
    <w:basedOn w:val="Normal"/>
    <w:next w:val="Normal"/>
    <w:link w:val="Heading4Char"/>
    <w:uiPriority w:val="9"/>
    <w:semiHidden/>
    <w:unhideWhenUsed/>
    <w:qFormat/>
    <w:rsid w:val="00DC64B7"/>
    <w:pPr>
      <w:keepNext/>
      <w:keepLines/>
      <w:spacing w:before="80" w:after="40" w:line="278" w:lineRule="auto"/>
      <w:outlineLvl w:val="3"/>
    </w:pPr>
    <w:rPr>
      <w:rFonts w:eastAsiaTheme="majorEastAsia" w:cstheme="majorBidi"/>
      <w:i/>
      <w:iCs/>
      <w:color w:val="0F4761" w:themeColor="accent1" w:themeShade="BF"/>
      <w:kern w:val="2"/>
      <w:lang w:val="en-CA" w:eastAsia="en-US"/>
      <w14:ligatures w14:val="standardContextual"/>
    </w:rPr>
  </w:style>
  <w:style w:type="paragraph" w:styleId="Heading5">
    <w:name w:val="heading 5"/>
    <w:basedOn w:val="Normal"/>
    <w:next w:val="Normal"/>
    <w:link w:val="Heading5Char"/>
    <w:uiPriority w:val="9"/>
    <w:semiHidden/>
    <w:unhideWhenUsed/>
    <w:qFormat/>
    <w:rsid w:val="00DC64B7"/>
    <w:pPr>
      <w:keepNext/>
      <w:keepLines/>
      <w:spacing w:before="80" w:after="40" w:line="278" w:lineRule="auto"/>
      <w:outlineLvl w:val="4"/>
    </w:pPr>
    <w:rPr>
      <w:rFonts w:eastAsiaTheme="majorEastAsia" w:cstheme="majorBidi"/>
      <w:color w:val="0F4761" w:themeColor="accent1" w:themeShade="BF"/>
      <w:kern w:val="2"/>
      <w:lang w:val="en-CA" w:eastAsia="en-US"/>
      <w14:ligatures w14:val="standardContextual"/>
    </w:rPr>
  </w:style>
  <w:style w:type="paragraph" w:styleId="Heading6">
    <w:name w:val="heading 6"/>
    <w:basedOn w:val="Normal"/>
    <w:next w:val="Normal"/>
    <w:link w:val="Heading6Char"/>
    <w:uiPriority w:val="9"/>
    <w:semiHidden/>
    <w:unhideWhenUsed/>
    <w:qFormat/>
    <w:rsid w:val="00DC64B7"/>
    <w:pPr>
      <w:keepNext/>
      <w:keepLines/>
      <w:spacing w:before="40" w:after="0" w:line="278" w:lineRule="auto"/>
      <w:outlineLvl w:val="5"/>
    </w:pPr>
    <w:rPr>
      <w:rFonts w:eastAsiaTheme="majorEastAsia" w:cstheme="majorBidi"/>
      <w:i/>
      <w:iCs/>
      <w:color w:val="595959" w:themeColor="text1" w:themeTint="A6"/>
      <w:kern w:val="2"/>
      <w:lang w:val="en-CA" w:eastAsia="en-US"/>
      <w14:ligatures w14:val="standardContextual"/>
    </w:rPr>
  </w:style>
  <w:style w:type="paragraph" w:styleId="Heading7">
    <w:name w:val="heading 7"/>
    <w:basedOn w:val="Normal"/>
    <w:next w:val="Normal"/>
    <w:link w:val="Heading7Char"/>
    <w:uiPriority w:val="9"/>
    <w:semiHidden/>
    <w:unhideWhenUsed/>
    <w:qFormat/>
    <w:rsid w:val="00DC64B7"/>
    <w:pPr>
      <w:keepNext/>
      <w:keepLines/>
      <w:spacing w:before="40" w:after="0" w:line="278" w:lineRule="auto"/>
      <w:outlineLvl w:val="6"/>
    </w:pPr>
    <w:rPr>
      <w:rFonts w:eastAsiaTheme="majorEastAsia" w:cstheme="majorBidi"/>
      <w:color w:val="595959" w:themeColor="text1" w:themeTint="A6"/>
      <w:kern w:val="2"/>
      <w:lang w:val="en-CA" w:eastAsia="en-US"/>
      <w14:ligatures w14:val="standardContextual"/>
    </w:rPr>
  </w:style>
  <w:style w:type="paragraph" w:styleId="Heading8">
    <w:name w:val="heading 8"/>
    <w:basedOn w:val="Normal"/>
    <w:next w:val="Normal"/>
    <w:link w:val="Heading8Char"/>
    <w:uiPriority w:val="9"/>
    <w:semiHidden/>
    <w:unhideWhenUsed/>
    <w:qFormat/>
    <w:rsid w:val="00DC64B7"/>
    <w:pPr>
      <w:keepNext/>
      <w:keepLines/>
      <w:spacing w:after="0" w:line="278" w:lineRule="auto"/>
      <w:outlineLvl w:val="7"/>
    </w:pPr>
    <w:rPr>
      <w:rFonts w:eastAsiaTheme="majorEastAsia" w:cstheme="majorBidi"/>
      <w:i/>
      <w:iCs/>
      <w:color w:val="272727" w:themeColor="text1" w:themeTint="D8"/>
      <w:kern w:val="2"/>
      <w:lang w:val="en-CA" w:eastAsia="en-US"/>
      <w14:ligatures w14:val="standardContextual"/>
    </w:rPr>
  </w:style>
  <w:style w:type="paragraph" w:styleId="Heading9">
    <w:name w:val="heading 9"/>
    <w:basedOn w:val="Normal"/>
    <w:next w:val="Normal"/>
    <w:link w:val="Heading9Char"/>
    <w:uiPriority w:val="9"/>
    <w:semiHidden/>
    <w:unhideWhenUsed/>
    <w:qFormat/>
    <w:rsid w:val="00DC64B7"/>
    <w:pPr>
      <w:keepNext/>
      <w:keepLines/>
      <w:spacing w:after="0" w:line="278" w:lineRule="auto"/>
      <w:outlineLvl w:val="8"/>
    </w:pPr>
    <w:rPr>
      <w:rFonts w:eastAsiaTheme="majorEastAsia" w:cstheme="majorBidi"/>
      <w:color w:val="272727" w:themeColor="text1" w:themeTint="D8"/>
      <w:kern w:val="2"/>
      <w:lang w:val="en-CA"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64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64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64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64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64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64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64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64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64B7"/>
    <w:rPr>
      <w:rFonts w:eastAsiaTheme="majorEastAsia" w:cstheme="majorBidi"/>
      <w:color w:val="272727" w:themeColor="text1" w:themeTint="D8"/>
    </w:rPr>
  </w:style>
  <w:style w:type="paragraph" w:styleId="Title">
    <w:name w:val="Title"/>
    <w:basedOn w:val="Normal"/>
    <w:next w:val="Normal"/>
    <w:link w:val="TitleChar"/>
    <w:uiPriority w:val="10"/>
    <w:qFormat/>
    <w:rsid w:val="00DC64B7"/>
    <w:pPr>
      <w:spacing w:after="80" w:line="240" w:lineRule="auto"/>
      <w:contextualSpacing/>
    </w:pPr>
    <w:rPr>
      <w:rFonts w:asciiTheme="majorHAnsi" w:eastAsiaTheme="majorEastAsia" w:hAnsiTheme="majorHAnsi" w:cstheme="majorBidi"/>
      <w:spacing w:val="-10"/>
      <w:kern w:val="28"/>
      <w:sz w:val="56"/>
      <w:szCs w:val="56"/>
      <w:lang w:val="en-CA" w:eastAsia="en-US"/>
      <w14:ligatures w14:val="standardContextual"/>
    </w:rPr>
  </w:style>
  <w:style w:type="character" w:customStyle="1" w:styleId="TitleChar">
    <w:name w:val="Title Char"/>
    <w:basedOn w:val="DefaultParagraphFont"/>
    <w:link w:val="Title"/>
    <w:uiPriority w:val="10"/>
    <w:rsid w:val="00DC64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64B7"/>
    <w:pPr>
      <w:numPr>
        <w:ilvl w:val="1"/>
      </w:numPr>
      <w:spacing w:line="278" w:lineRule="auto"/>
    </w:pPr>
    <w:rPr>
      <w:rFonts w:eastAsiaTheme="majorEastAsia" w:cstheme="majorBidi"/>
      <w:color w:val="595959" w:themeColor="text1" w:themeTint="A6"/>
      <w:spacing w:val="15"/>
      <w:kern w:val="2"/>
      <w:sz w:val="28"/>
      <w:szCs w:val="28"/>
      <w:lang w:val="en-CA" w:eastAsia="en-US"/>
      <w14:ligatures w14:val="standardContextual"/>
    </w:rPr>
  </w:style>
  <w:style w:type="character" w:customStyle="1" w:styleId="SubtitleChar">
    <w:name w:val="Subtitle Char"/>
    <w:basedOn w:val="DefaultParagraphFont"/>
    <w:link w:val="Subtitle"/>
    <w:uiPriority w:val="11"/>
    <w:rsid w:val="00DC64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64B7"/>
    <w:pPr>
      <w:spacing w:before="160" w:line="278" w:lineRule="auto"/>
      <w:jc w:val="center"/>
    </w:pPr>
    <w:rPr>
      <w:rFonts w:eastAsiaTheme="minorHAnsi"/>
      <w:i/>
      <w:iCs/>
      <w:color w:val="404040" w:themeColor="text1" w:themeTint="BF"/>
      <w:kern w:val="2"/>
      <w:lang w:val="en-CA" w:eastAsia="en-US"/>
      <w14:ligatures w14:val="standardContextual"/>
    </w:rPr>
  </w:style>
  <w:style w:type="character" w:customStyle="1" w:styleId="QuoteChar">
    <w:name w:val="Quote Char"/>
    <w:basedOn w:val="DefaultParagraphFont"/>
    <w:link w:val="Quote"/>
    <w:uiPriority w:val="29"/>
    <w:rsid w:val="00DC64B7"/>
    <w:rPr>
      <w:i/>
      <w:iCs/>
      <w:color w:val="404040" w:themeColor="text1" w:themeTint="BF"/>
    </w:rPr>
  </w:style>
  <w:style w:type="paragraph" w:styleId="ListParagraph">
    <w:name w:val="List Paragraph"/>
    <w:basedOn w:val="Normal"/>
    <w:uiPriority w:val="34"/>
    <w:qFormat/>
    <w:rsid w:val="00DC64B7"/>
    <w:pPr>
      <w:spacing w:line="278" w:lineRule="auto"/>
      <w:ind w:left="720"/>
      <w:contextualSpacing/>
    </w:pPr>
    <w:rPr>
      <w:rFonts w:eastAsiaTheme="minorHAnsi"/>
      <w:kern w:val="2"/>
      <w:lang w:val="en-CA" w:eastAsia="en-US"/>
      <w14:ligatures w14:val="standardContextual"/>
    </w:rPr>
  </w:style>
  <w:style w:type="character" w:styleId="IntenseEmphasis">
    <w:name w:val="Intense Emphasis"/>
    <w:basedOn w:val="DefaultParagraphFont"/>
    <w:uiPriority w:val="21"/>
    <w:qFormat/>
    <w:rsid w:val="00DC64B7"/>
    <w:rPr>
      <w:i/>
      <w:iCs/>
      <w:color w:val="0F4761" w:themeColor="accent1" w:themeShade="BF"/>
    </w:rPr>
  </w:style>
  <w:style w:type="paragraph" w:styleId="IntenseQuote">
    <w:name w:val="Intense Quote"/>
    <w:basedOn w:val="Normal"/>
    <w:next w:val="Normal"/>
    <w:link w:val="IntenseQuoteChar"/>
    <w:uiPriority w:val="30"/>
    <w:qFormat/>
    <w:rsid w:val="00DC64B7"/>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kern w:val="2"/>
      <w:lang w:val="en-CA" w:eastAsia="en-US"/>
      <w14:ligatures w14:val="standardContextual"/>
    </w:rPr>
  </w:style>
  <w:style w:type="character" w:customStyle="1" w:styleId="IntenseQuoteChar">
    <w:name w:val="Intense Quote Char"/>
    <w:basedOn w:val="DefaultParagraphFont"/>
    <w:link w:val="IntenseQuote"/>
    <w:uiPriority w:val="30"/>
    <w:rsid w:val="00DC64B7"/>
    <w:rPr>
      <w:i/>
      <w:iCs/>
      <w:color w:val="0F4761" w:themeColor="accent1" w:themeShade="BF"/>
    </w:rPr>
  </w:style>
  <w:style w:type="character" w:styleId="IntenseReference">
    <w:name w:val="Intense Reference"/>
    <w:basedOn w:val="DefaultParagraphFont"/>
    <w:uiPriority w:val="32"/>
    <w:qFormat/>
    <w:rsid w:val="00DC64B7"/>
    <w:rPr>
      <w:b/>
      <w:bCs/>
      <w:smallCaps/>
      <w:color w:val="0F4761" w:themeColor="accent1" w:themeShade="BF"/>
      <w:spacing w:val="5"/>
    </w:rPr>
  </w:style>
  <w:style w:type="paragraph" w:styleId="Caption">
    <w:name w:val="caption"/>
    <w:basedOn w:val="Normal"/>
    <w:next w:val="Normal"/>
    <w:uiPriority w:val="35"/>
    <w:unhideWhenUsed/>
    <w:qFormat/>
    <w:rsid w:val="006D4A6F"/>
    <w:pPr>
      <w:spacing w:after="200" w:line="240" w:lineRule="auto"/>
    </w:pPr>
    <w:rPr>
      <w:i/>
      <w:iCs/>
      <w:color w:val="0E2841" w:themeColor="text2"/>
      <w:sz w:val="18"/>
      <w:szCs w:val="18"/>
    </w:rPr>
  </w:style>
  <w:style w:type="character" w:styleId="CommentReference">
    <w:name w:val="annotation reference"/>
    <w:basedOn w:val="DefaultParagraphFont"/>
    <w:uiPriority w:val="99"/>
    <w:semiHidden/>
    <w:unhideWhenUsed/>
    <w:rsid w:val="002160A6"/>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eastAsiaTheme="minorEastAsia"/>
      <w:kern w:val="0"/>
      <w:sz w:val="20"/>
      <w:szCs w:val="20"/>
      <w:lang w:val="en-US"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1A88C0C54AAE4392B104B22DA22A98" ma:contentTypeVersion="11" ma:contentTypeDescription="Create a new document." ma:contentTypeScope="" ma:versionID="dbb696b34ec4177a090da44f01a283bc">
  <xsd:schema xmlns:xsd="http://www.w3.org/2001/XMLSchema" xmlns:xs="http://www.w3.org/2001/XMLSchema" xmlns:p="http://schemas.microsoft.com/office/2006/metadata/properties" xmlns:ns2="78736b3b-0a98-4b81-8079-42f2a8a2d716" xmlns:ns3="04da8162-0d0c-4016-99a1-8b0c1fc0e44b" targetNamespace="http://schemas.microsoft.com/office/2006/metadata/properties" ma:root="true" ma:fieldsID="b1067d9f4c869fe22036e3eeed018afa" ns2:_="" ns3:_="">
    <xsd:import namespace="78736b3b-0a98-4b81-8079-42f2a8a2d716"/>
    <xsd:import namespace="04da8162-0d0c-4016-99a1-8b0c1fc0e44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736b3b-0a98-4b81-8079-42f2a8a2d716"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111843b-6948-4e45-a4d0-217e70d3d48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da8162-0d0c-4016-99a1-8b0c1fc0e44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fdcec54-681f-4538-861c-20d1ace20e91}" ma:internalName="TaxCatchAll" ma:showField="CatchAllData" ma:web="04da8162-0d0c-4016-99a1-8b0c1fc0e4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da8162-0d0c-4016-99a1-8b0c1fc0e44b" xsi:nil="true"/>
    <lcf76f155ced4ddcb4097134ff3c332f xmlns="78736b3b-0a98-4b81-8079-42f2a8a2d71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DF387B-BDDB-4B26-981E-139A2DCCE8BB}"/>
</file>

<file path=customXml/itemProps2.xml><?xml version="1.0" encoding="utf-8"?>
<ds:datastoreItem xmlns:ds="http://schemas.openxmlformats.org/officeDocument/2006/customXml" ds:itemID="{0F09A3C4-B58C-9F44-BA7B-9C6B62670543}">
  <ds:schemaRefs>
    <ds:schemaRef ds:uri="http://schemas.openxmlformats.org/officeDocument/2006/bibliography"/>
  </ds:schemaRefs>
</ds:datastoreItem>
</file>

<file path=customXml/itemProps3.xml><?xml version="1.0" encoding="utf-8"?>
<ds:datastoreItem xmlns:ds="http://schemas.openxmlformats.org/officeDocument/2006/customXml" ds:itemID="{420DAF02-FF3A-4D24-B2B0-8A7C0D0EF52D}">
  <ds:schemaRefs>
    <ds:schemaRef ds:uri="http://schemas.microsoft.com/office/2006/metadata/properties"/>
    <ds:schemaRef ds:uri="http://schemas.microsoft.com/office/infopath/2007/PartnerControls"/>
    <ds:schemaRef ds:uri="04da8162-0d0c-4016-99a1-8b0c1fc0e44b"/>
    <ds:schemaRef ds:uri="78736b3b-0a98-4b81-8079-42f2a8a2d716"/>
  </ds:schemaRefs>
</ds:datastoreItem>
</file>

<file path=customXml/itemProps4.xml><?xml version="1.0" encoding="utf-8"?>
<ds:datastoreItem xmlns:ds="http://schemas.openxmlformats.org/officeDocument/2006/customXml" ds:itemID="{FC6DF077-51F8-4568-95B7-86068CF5C0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1320</TotalTime>
  <Pages>6</Pages>
  <Words>577</Words>
  <Characters>3415</Characters>
  <Application>Microsoft Office Word</Application>
  <DocSecurity>0</DocSecurity>
  <Lines>61</Lines>
  <Paragraphs>13</Paragraphs>
  <ScaleCrop>false</ScaleCrop>
  <Company/>
  <LinksUpToDate>false</LinksUpToDate>
  <CharactersWithSpaces>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Dickau</dc:creator>
  <cp:keywords/>
  <dc:description/>
  <cp:lastModifiedBy>Mitchell Dickau</cp:lastModifiedBy>
  <cp:revision>183</cp:revision>
  <dcterms:created xsi:type="dcterms:W3CDTF">2025-09-09T17:48:00Z</dcterms:created>
  <dcterms:modified xsi:type="dcterms:W3CDTF">2026-01-28T20:37:00Z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0x010100D21A88C0C54AAE4392B104B22DA22A98</vt:lpwstr>
  </property>
  <property fmtid="{D5CDD505-2E9C-101B-9397-08002B2CF9AE}" pid="3" name="MediaServiceImageTags">
    <vt:lpwstr/>
  </property>
</Properties>
</file>