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</w:rPr>
      </w:pPr>
      <w:r>
        <w:rPr>
          <w:rStyle w:val="5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Table 1. Baseline Characteristics of the Study Population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811"/>
        <w:gridCol w:w="805"/>
        <w:gridCol w:w="723"/>
        <w:gridCol w:w="781"/>
        <w:gridCol w:w="910"/>
        <w:gridCol w:w="931"/>
        <w:gridCol w:w="716"/>
        <w:gridCol w:w="757"/>
        <w:gridCol w:w="733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ead)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ead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Variable Category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ead)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ead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ead)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ead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Level / Description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-head)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ead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Total (N=5134)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Hypoxemia Group (n=967)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Non-Hypoxemia Group (n=4167)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 (Hypoxemia vs Non-Hypoxemia)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Training Set (n=4108)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Validation Set (n=1026)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 (Training vs Internal)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External Validation Set (n=272)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tcBorders>
              <w:top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Demographic</w:t>
            </w:r>
          </w:p>
        </w:tc>
        <w:tc>
          <w:tcPr>
            <w:tcW w:w="846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Age (years)</w:t>
            </w:r>
          </w:p>
        </w:tc>
        <w:tc>
          <w:tcPr>
            <w:tcW w:w="845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 [64.00, 71.00]</w:t>
            </w:r>
          </w:p>
        </w:tc>
        <w:tc>
          <w:tcPr>
            <w:tcW w:w="812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 [65.00, 73.00]</w:t>
            </w:r>
          </w:p>
        </w:tc>
        <w:tc>
          <w:tcPr>
            <w:tcW w:w="955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 [64.00, 71.00]</w:t>
            </w:r>
          </w:p>
        </w:tc>
        <w:tc>
          <w:tcPr>
            <w:tcW w:w="683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740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 [64.00, 71.00]</w:t>
            </w:r>
          </w:p>
        </w:tc>
        <w:tc>
          <w:tcPr>
            <w:tcW w:w="786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 [64.00, 71.00]</w:t>
            </w:r>
          </w:p>
        </w:tc>
        <w:tc>
          <w:tcPr>
            <w:tcW w:w="683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786" w:type="dxa"/>
            <w:tcBorders>
              <w:top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 [63.00, 71.00]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2338 (45.5%)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453 (46.8%)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1885 (45.2%)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1881 (45.8%)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 (44.5%)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 (50.4%)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2796 (54.5%)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514 (53.2%)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2282 (54.8%)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2227 (54.2%)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569 (55.5%)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 (49.6%)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Comorbidities</w:t>
            </w: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Smoking history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 (29.6%)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 (32.8%)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 (28.9%)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1218 (29.6%)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 (29.5%)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0.941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 (19.5%)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3613 (70.4%)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 (67.2%)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2963 (71.1%)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2890 (70.4%)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723 (70.5%)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 (80.5%)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Alcohol drinking history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651 (12.7%)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 (13.8%)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518 (12.4%)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531 (12.9%)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 (11.7%)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0.290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 (8.8%)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4483 (87.3%)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834 (86.2%)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3649 (87.6%)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3577 (87.1%)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906 (88.3%)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 (91.2%)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Heart disease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 (5.0%)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 (8.1%)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 (4.3%)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 (5.0%)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 (5.1%)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0.918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 (15.8%)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4877 (95.0%)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889 (91.9%)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3988 (95.7%)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3903 (95.0%)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974 (94.9%)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 (84.2%)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COPD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 (0.5%)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 (1.1%)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 (0.4%)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 (0.6%)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 (0.4%)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(2.2%)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 (99.5%)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956 (98.9%)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4151 (99.6%)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4085 (99.4%)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1022 (99.6%)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 (97.8%)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1273 (24.8%)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 (36.6%)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919 (22.1%)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987 (24.0%)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 (27.9%)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 (36.0%)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3861 (75.2%)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613 (63.4%)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3248 (77.9%)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3121 (76.0%)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740 (72.1%)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 (64.0%)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Asthma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 (0.4%)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(0.6%)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 (0.3%)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 (0.3%)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(0.6%)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 (1.1%)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5114 (99.6%)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961 (99.4%)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4153 (99.7%)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4094 (99.7%)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1020 (99.4%)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 (98.9%)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Diabetes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579 (11.3%)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 (14.5%)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439 (10.5%)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458 (11.1%)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 (11.8%)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 (18.4%)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4555 (88.7%)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827 (85.5%)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3728 (89.5%)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3650 (88.9%)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905 (88.2%)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 (81.6%)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Renal insufficiency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 (1.6%)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 (2.7%)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 (1.3%)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 (1.5%)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 (2.0%)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 (2.9%)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5053 (98.4%)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941 (97.3%)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4112 (98.7%)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4048 (98.5%)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1005 (98.0%)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 (97.1%)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Preoperative Status</w:t>
            </w: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Pleural effusion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 (0.6%)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 (0.5%)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 (0.6%)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 (0.6%)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 (0.3%)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 (99.4%)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962 (99.5%)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4143 (99.4%)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4082 (99.4%)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 (99.7%)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 (99.6%)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Pulmonary infection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 (1.3%)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 (1.3%)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 (1.2%)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0.809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 (1.3%)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 (1.2%)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0.757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5069 (98.7%)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954 (98.7%)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4115 (98.8%)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4055 (98.7%)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1014 (98.8%)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 (99.6%)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Pulmonary bulla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 (1.1%)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 (1.3%)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 (1.1%)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 (1.2%)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 (0.7%)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 (2.6%)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5076 (98.9%)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954 (98.7%)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4122 (98.9%)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4057 (98.8%)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1019 (99.3%)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 (97.4%)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Laboratory Values</w:t>
            </w: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ALB (g/L)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34.98 [34.02, 40.91]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34.75 [33.94, 40.72]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39.01 [34.04, 40.94]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34.97 [34.02, 40.93]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39.02 [34.01, 40.87]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138.00 [129.00, 149.00]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HGB (g/L)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134.00 [122.00, 145.00]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118.00 [112.00, 138.50]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135.00 [126.00, 145.50]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134.00 [122.00, 145.00]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133.00 [122.00, 144.00]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41.86 [39.74, 44.23]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D-Dimer (mg/L)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 [0.40, 0.80]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0.70 [0.41, 0.80]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 [0.40, 0.79]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 [0.40, 0.80]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 [0.40, 0.79]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0.35 [0.29, 0.46]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PaO₂ (mmHg)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91.05 [83.73, 98.90]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86.50 [77.70, 97.00]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91.80 [85.20, 99.30]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91.20 [83.90, 99.30]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90.30 [83.45, 98.00]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0.052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87.60 [80.07, 95.32]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PaCO₂ (mmHg)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39.90 [38.30, 41.50]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40.00 [38.40, 41.60]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39.90 [38.30, 41.50]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39.90 [38.30, 41.50]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39.90 [38.20, 41.60]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0.877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39.55 [37.40, 41.30]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BMI (kg/m²)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24.22 [22.15, 26.22]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25.56 [23.44, 27.72]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23.88 [21.97, 25.81]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24.22 [22.15, 26.22]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24.22 [22.16, 26.12]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0.921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24.09 [22.30, 26.29]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Surgical Classification</w:t>
            </w: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ASA Grade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16 (0.3%)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 (0.1%)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15 (0.4%)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15 (0.4%)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 (0.1%)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0.413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4112 (80.1%)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699 (72.3%)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3413 (81.9%)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3284 (79.9%)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828 (80.7%)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222 (81.6%)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1006 (19.6%)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 (27.6%)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739 (17.7%)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809 (19.7%)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 (19.2%)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 (18.0%)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Surgical type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Emergency operation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 (0.8%)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 (1.0%)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 (0.7%)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 (0.9%)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 (0.5%)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0.210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Elective surgery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5093 (99.2%)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957 (99.0%)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4136 (99.3%)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4072 (99.1%)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1021 (99.5%)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 (99.6%)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Intraoperative Details</w:t>
            </w: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Blood loss (mL)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20.00 [20.00, 50.00]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20.00 [20.00, 50.00]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20.00 [20.00, 50.00]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20.00 [20.00, 50.00]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20.00 [20.00, 50.00]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0.984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80.00 [60.00, 125.00]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Infusion volume (mL)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1200.00 [1100.00, 1600.00]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1205.00 [1103.00, 1650.00]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1200.00 [1100.00, 1600.00]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1200.00 [1100.00, 1600.00]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1200.00 [1100.00, 1600.00]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1200.00 [1128.75, 1601.25]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Surgical time (hours)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1.33 [0.92, 1.83]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1.33 [0.92, 1.83]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1.33 [0.92, 1.83]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1.33 [0.92, 1.83]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1.33 [0.92, 1.78]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1.50 [0.94, 2.00]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Anesthesia time (hours)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1.78 [1.33, 2.33]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1.75 [1.33, 2.33]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1.78 [1.33, 2.33]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1.78 [1.33, 2.33]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1.75 [1.33, 2.25]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1.92 [1.38, 2.50]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Blood transfusion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 (0.8%)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 (1.1%)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 (0.7%)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 (0.8%)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 (0.8%)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0.934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 (1.5%)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5095 (99.2%)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956 (98.9%)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4139 (99.3%)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4077 (99.2%)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1018 (99.2%)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 (98.5%)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Surgical level‡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II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9 (0.2%)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3 (0.3%)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6 (0.1%)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0.192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8 (0.2%)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 (0.1%)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0.688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III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272 (5.3%)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43 (4.4%)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229 (5.5%)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213 (5.2%)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59 (5.8%)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11 (4.0%)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V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4853 (94.5%)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921 (95.2%)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3932 (94.4%)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3887 (94.6%)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966 (94.2%)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 (95.6%)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Operative method‡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OT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 (0.9%)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 (1.0%)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 (0.8%)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 (0.9%)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 (0.8%)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VATS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5090 (99.1%)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957 (99.0%)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4133 (99.2%)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4072 (99.1%)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1018 (99.2%)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 (99.6%)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Surgical site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Right lung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2705 (52.7%)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 (19.1%)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2520 (60.5%)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2150 (52.3%)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555 (54.1%)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0.757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 (49.6%)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Left lung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2308 (45.0%)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732 (75.7%)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1576 (37.8%)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1863 (45.4%)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 (43.4%)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 (47.1%)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sophagus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 (0.2%)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(0.6%)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(0.1%)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 (0.2%)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 (0.2%)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IV (Multiple)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 (1.7%)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 (3.7%)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 (1.3%)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 (1.7%)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 (1.9%)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 (0.4%)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Mediastinum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 (0.4%)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 (0.8%)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 (0.3%)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 (0.4%)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 (0.5%)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 (2.6%)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Cut level</w:t>
            </w: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4732 (92.2%)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890 (92.0%)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3842 (92.2%)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3794 (92.4%)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938 (91.4%)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 (66.2%)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74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 (0.9%)</w:t>
            </w:r>
          </w:p>
        </w:tc>
        <w:tc>
          <w:tcPr>
            <w:tcW w:w="81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 (0.6%)</w:t>
            </w:r>
          </w:p>
        </w:tc>
        <w:tc>
          <w:tcPr>
            <w:tcW w:w="955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 (1.0%)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 (0.8%)</w:t>
            </w: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 (1.4%)</w:t>
            </w:r>
          </w:p>
        </w:tc>
        <w:tc>
          <w:tcPr>
            <w:tcW w:w="683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 (3.7%)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1" w:type="dxa"/>
            <w:tcBorders>
              <w:bottom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III</w:t>
            </w:r>
          </w:p>
        </w:tc>
        <w:tc>
          <w:tcPr>
            <w:tcW w:w="749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 (6.9%)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 (7.3%)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 (6.8%)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 (6.8%)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 (7.2%)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color="auto" w:sz="4" w:space="0"/>
            </w:tcBorders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 (30.1%)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Style w:val="5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Table Notes: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Data are presented as </w:t>
      </w:r>
      <w:r>
        <w:rPr>
          <w:rStyle w:val="5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median [interquartile range]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 for continuous variables and </w:t>
      </w:r>
      <w:r>
        <w:rPr>
          <w:rStyle w:val="5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n (%)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 for categorical variables.</w:t>
      </w: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0"/>
          <w:szCs w:val="20"/>
          <w:u w:val="none"/>
        </w:rPr>
        <w:t xml:space="preserve">M ± SD, mean ± standard 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0"/>
          <w:szCs w:val="20"/>
          <w:u w:val="none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0"/>
          <w:szCs w:val="20"/>
          <w:u w:val="none"/>
        </w:rPr>
        <w:t>deviation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Categories with very low frequency (e.g., ASA III, Surgical Level 0, etc.) are included for completeness. Some variable names (Surgical_type, Operative_method) appear to measure similar concepts (OT vs. VATS); consider clarifying or merging in the manuscript text based on actual definitions.</w:t>
      </w:r>
      <w:r>
        <w:rPr>
          <w:rStyle w:val="5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Abbreviations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: ALB, albumin; HGB, hemoglobin; BMI, body mass index; COPD, chronic obstructive pulmonary disease; ASA, American Society of Anesthesiologists; VATS, video-assisted thoracic surgery.</w:t>
      </w:r>
    </w:p>
    <w:p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41905"/>
    <w:rsid w:val="16A5386C"/>
    <w:rsid w:val="16D4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2025-12-20T17:19:00Z</dcterms:created>
  <dc:creator>小扬的王同学</dc:creator>
  <cp:lastModifiedBy>小扬的王同学</cp:lastModifiedBy>
  <dcterms:modified xsi:type="dcterms:W3CDTF">2025-12-20T17:51:07Z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