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DC89" w14:textId="2D0AAD4C" w:rsidR="009F1B3D" w:rsidRDefault="009F1B3D" w:rsidP="009F1B3D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2410"/>
        <w:gridCol w:w="4111"/>
        <w:gridCol w:w="3316"/>
      </w:tblGrid>
      <w:tr w:rsidR="009F1B3D" w14:paraId="63EF49CA" w14:textId="77777777" w:rsidTr="009F1B3D">
        <w:tc>
          <w:tcPr>
            <w:tcW w:w="2268" w:type="dxa"/>
            <w:vAlign w:val="center"/>
          </w:tcPr>
          <w:p w14:paraId="2CA05554" w14:textId="2A41C79E" w:rsidR="009F1B3D" w:rsidRDefault="009F1B3D" w:rsidP="009F1B3D">
            <w:pPr>
              <w:rPr>
                <w:lang w:val="en-US"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1843" w:type="dxa"/>
            <w:vAlign w:val="center"/>
          </w:tcPr>
          <w:p w14:paraId="1DF63E07" w14:textId="3893C13B" w:rsidR="009F1B3D" w:rsidRDefault="009F1B3D" w:rsidP="009F1B3D">
            <w:pPr>
              <w:rPr>
                <w:lang w:val="en-US"/>
              </w:rPr>
            </w:pPr>
            <w:r>
              <w:rPr>
                <w:b/>
                <w:bCs/>
              </w:rPr>
              <w:t>Base-case value</w:t>
            </w:r>
          </w:p>
        </w:tc>
        <w:tc>
          <w:tcPr>
            <w:tcW w:w="2410" w:type="dxa"/>
            <w:vAlign w:val="center"/>
          </w:tcPr>
          <w:p w14:paraId="0AB6431A" w14:textId="1768BD31" w:rsidR="009F1B3D" w:rsidRDefault="009F1B3D" w:rsidP="009F1B3D">
            <w:pPr>
              <w:rPr>
                <w:lang w:val="en-US"/>
              </w:rPr>
            </w:pPr>
            <w:r>
              <w:rPr>
                <w:b/>
                <w:bCs/>
              </w:rPr>
              <w:t>Tested range (±20%)</w:t>
            </w:r>
          </w:p>
        </w:tc>
        <w:tc>
          <w:tcPr>
            <w:tcW w:w="4111" w:type="dxa"/>
            <w:vAlign w:val="center"/>
          </w:tcPr>
          <w:p w14:paraId="0D38E489" w14:textId="282EC297" w:rsidR="009F1B3D" w:rsidRDefault="009F1B3D" w:rsidP="009F1B3D">
            <w:pPr>
              <w:rPr>
                <w:lang w:val="en-US"/>
              </w:rPr>
            </w:pPr>
            <w:r>
              <w:rPr>
                <w:b/>
                <w:bCs/>
              </w:rPr>
              <w:t>Threshold for ILR to be cost-effective</w:t>
            </w:r>
          </w:p>
        </w:tc>
        <w:tc>
          <w:tcPr>
            <w:tcW w:w="3316" w:type="dxa"/>
            <w:vAlign w:val="center"/>
          </w:tcPr>
          <w:p w14:paraId="5AA41610" w14:textId="24EBE0C4" w:rsidR="009F1B3D" w:rsidRDefault="009F1B3D" w:rsidP="009F1B3D">
            <w:pPr>
              <w:rPr>
                <w:lang w:val="en-US"/>
              </w:rPr>
            </w:pPr>
            <w:r>
              <w:rPr>
                <w:b/>
                <w:bCs/>
              </w:rPr>
              <w:t>Policy implication</w:t>
            </w:r>
          </w:p>
        </w:tc>
      </w:tr>
      <w:tr w:rsidR="009F1B3D" w:rsidRPr="009F1B3D" w14:paraId="40C1F08A" w14:textId="77777777" w:rsidTr="009F1B3D">
        <w:tc>
          <w:tcPr>
            <w:tcW w:w="2268" w:type="dxa"/>
            <w:vAlign w:val="center"/>
          </w:tcPr>
          <w:p w14:paraId="6DEEAC63" w14:textId="081A84BE" w:rsidR="009F1B3D" w:rsidRPr="009F1B3D" w:rsidRDefault="009F1B3D" w:rsidP="009F1B3D">
            <w:pPr>
              <w:rPr>
                <w:lang w:val="en-US"/>
              </w:rPr>
            </w:pPr>
            <w:r w:rsidRPr="009F1B3D">
              <w:rPr>
                <w:rStyle w:val="Strong"/>
                <w:b w:val="0"/>
                <w:bCs w:val="0"/>
              </w:rPr>
              <w:t>ILR surgical tariff (SE821L, per procedure)</w:t>
            </w:r>
          </w:p>
        </w:tc>
        <w:tc>
          <w:tcPr>
            <w:tcW w:w="1843" w:type="dxa"/>
            <w:vAlign w:val="center"/>
          </w:tcPr>
          <w:p w14:paraId="78584247" w14:textId="7C630FB6" w:rsidR="009F1B3D" w:rsidRPr="009F1B3D" w:rsidRDefault="009F1B3D" w:rsidP="009F1B3D">
            <w:pPr>
              <w:rPr>
                <w:lang w:val="en-US"/>
              </w:rPr>
            </w:pPr>
            <w:r w:rsidRPr="009F1B3D">
              <w:t>S$24,700</w:t>
            </w:r>
          </w:p>
        </w:tc>
        <w:tc>
          <w:tcPr>
            <w:tcW w:w="2410" w:type="dxa"/>
            <w:vAlign w:val="center"/>
          </w:tcPr>
          <w:p w14:paraId="6CF3A8C8" w14:textId="7F5EBD23" w:rsidR="009F1B3D" w:rsidRPr="009F1B3D" w:rsidRDefault="009F1B3D" w:rsidP="009F1B3D">
            <w:pPr>
              <w:rPr>
                <w:lang w:val="en-US"/>
              </w:rPr>
            </w:pPr>
            <w:r w:rsidRPr="009F1B3D">
              <w:t>S$20,000–29,500</w:t>
            </w:r>
          </w:p>
        </w:tc>
        <w:tc>
          <w:tcPr>
            <w:tcW w:w="4111" w:type="dxa"/>
            <w:vAlign w:val="center"/>
          </w:tcPr>
          <w:p w14:paraId="5A9EFEC2" w14:textId="708AEA03" w:rsidR="009F1B3D" w:rsidRPr="009F1B3D" w:rsidRDefault="009F1B3D" w:rsidP="009F1B3D">
            <w:pPr>
              <w:rPr>
                <w:lang w:val="en-US"/>
              </w:rPr>
            </w:pPr>
            <w:r w:rsidRPr="009F1B3D">
              <w:t xml:space="preserve">ILR requires an operative tariff of </w:t>
            </w:r>
            <w:r w:rsidRPr="009F1B3D">
              <w:rPr>
                <w:rStyle w:val="Strong"/>
                <w:b w:val="0"/>
                <w:bCs w:val="0"/>
              </w:rPr>
              <w:t>≈S$13,000–16,000</w:t>
            </w:r>
            <w:r w:rsidRPr="009F1B3D">
              <w:t xml:space="preserve"> to reach WTP </w:t>
            </w:r>
            <w:r w:rsidRPr="009F1B3D">
              <w:rPr>
                <w:rStyle w:val="Strong"/>
                <w:b w:val="0"/>
                <w:bCs w:val="0"/>
              </w:rPr>
              <w:t>S$50,000–75,000/QALY</w:t>
            </w:r>
            <w:r w:rsidRPr="009F1B3D">
              <w:t xml:space="preserve"> (i.e. ≥35–45% reduction from current lower-bound tariff)</w:t>
            </w:r>
          </w:p>
        </w:tc>
        <w:tc>
          <w:tcPr>
            <w:tcW w:w="3316" w:type="dxa"/>
            <w:vAlign w:val="center"/>
          </w:tcPr>
          <w:p w14:paraId="20A04D4B" w14:textId="1C407080" w:rsidR="009F1B3D" w:rsidRPr="009F1B3D" w:rsidRDefault="009F1B3D" w:rsidP="009F1B3D">
            <w:pPr>
              <w:rPr>
                <w:lang w:val="en-US"/>
              </w:rPr>
            </w:pPr>
            <w:r w:rsidRPr="009F1B3D">
              <w:t>Under current MOH fee benchmarks, ILR remains far above acceptable WTP bands even if tariffs are trimmed within realistic bounds.</w:t>
            </w:r>
          </w:p>
        </w:tc>
      </w:tr>
      <w:tr w:rsidR="009F1B3D" w:rsidRPr="009F1B3D" w14:paraId="2626795F" w14:textId="77777777" w:rsidTr="009F1B3D">
        <w:tc>
          <w:tcPr>
            <w:tcW w:w="2268" w:type="dxa"/>
            <w:vAlign w:val="center"/>
          </w:tcPr>
          <w:p w14:paraId="6B35C41C" w14:textId="6F289844" w:rsidR="009F1B3D" w:rsidRPr="009F1B3D" w:rsidRDefault="009F1B3D" w:rsidP="009F1B3D">
            <w:pPr>
              <w:rPr>
                <w:lang w:val="en-US"/>
              </w:rPr>
            </w:pPr>
            <w:r w:rsidRPr="009F1B3D">
              <w:rPr>
                <w:rStyle w:val="Strong"/>
                <w:b w:val="0"/>
                <w:bCs w:val="0"/>
              </w:rPr>
              <w:t>Baseline 10-year BCRL incidence after ALND</w:t>
            </w:r>
          </w:p>
        </w:tc>
        <w:tc>
          <w:tcPr>
            <w:tcW w:w="1843" w:type="dxa"/>
            <w:vAlign w:val="center"/>
          </w:tcPr>
          <w:p w14:paraId="08B1482F" w14:textId="03666AA2" w:rsidR="009F1B3D" w:rsidRPr="009F1B3D" w:rsidRDefault="009F1B3D" w:rsidP="009F1B3D">
            <w:pPr>
              <w:rPr>
                <w:lang w:val="en-US"/>
              </w:rPr>
            </w:pPr>
            <w:r w:rsidRPr="009F1B3D">
              <w:t>0.30</w:t>
            </w:r>
          </w:p>
        </w:tc>
        <w:tc>
          <w:tcPr>
            <w:tcW w:w="2410" w:type="dxa"/>
            <w:vAlign w:val="center"/>
          </w:tcPr>
          <w:p w14:paraId="142AD6AB" w14:textId="0B157B22" w:rsidR="009F1B3D" w:rsidRPr="009F1B3D" w:rsidRDefault="009F1B3D" w:rsidP="009F1B3D">
            <w:pPr>
              <w:rPr>
                <w:lang w:val="en-US"/>
              </w:rPr>
            </w:pPr>
            <w:r w:rsidRPr="009F1B3D">
              <w:t>0.24–0.36</w:t>
            </w:r>
          </w:p>
        </w:tc>
        <w:tc>
          <w:tcPr>
            <w:tcW w:w="4111" w:type="dxa"/>
            <w:vAlign w:val="center"/>
          </w:tcPr>
          <w:p w14:paraId="4A7A1C50" w14:textId="52217642" w:rsidR="009F1B3D" w:rsidRPr="009F1B3D" w:rsidRDefault="009F1B3D" w:rsidP="009F1B3D">
            <w:pPr>
              <w:rPr>
                <w:lang w:val="en-US"/>
              </w:rPr>
            </w:pPr>
            <w:r w:rsidRPr="009F1B3D">
              <w:t xml:space="preserve">ILR only approaches cost-effectiveness when baseline incidence is </w:t>
            </w:r>
            <w:r w:rsidRPr="009F1B3D">
              <w:rPr>
                <w:rStyle w:val="Strong"/>
                <w:b w:val="0"/>
                <w:bCs w:val="0"/>
              </w:rPr>
              <w:t>≥0.5–0.7</w:t>
            </w:r>
            <w:r w:rsidRPr="009F1B3D">
              <w:t>, depending on the WTP threshold (≈0.52 at S$50k/QALY; ≈0.71 at S$75k/QALY)</w:t>
            </w:r>
          </w:p>
        </w:tc>
        <w:tc>
          <w:tcPr>
            <w:tcW w:w="3316" w:type="dxa"/>
            <w:vAlign w:val="center"/>
          </w:tcPr>
          <w:p w14:paraId="499CF9C3" w14:textId="68C29093" w:rsidR="009F1B3D" w:rsidRPr="009F1B3D" w:rsidRDefault="009F1B3D" w:rsidP="009F1B3D">
            <w:pPr>
              <w:rPr>
                <w:lang w:val="en-US"/>
              </w:rPr>
            </w:pPr>
            <w:r w:rsidRPr="009F1B3D">
              <w:t>Real-world Singapore incidence (≈30%) is already at the upper end of international estimates; further “inflating” risk to rescue ILR is not clinically defensible.</w:t>
            </w:r>
          </w:p>
        </w:tc>
      </w:tr>
      <w:tr w:rsidR="009F1B3D" w:rsidRPr="009F1B3D" w14:paraId="04BE4AD1" w14:textId="77777777" w:rsidTr="009F1B3D">
        <w:tc>
          <w:tcPr>
            <w:tcW w:w="2268" w:type="dxa"/>
            <w:vAlign w:val="center"/>
          </w:tcPr>
          <w:p w14:paraId="2D0AE896" w14:textId="0B314600" w:rsidR="009F1B3D" w:rsidRPr="009F1B3D" w:rsidRDefault="009F1B3D" w:rsidP="009F1B3D">
            <w:pPr>
              <w:rPr>
                <w:lang w:val="en-US"/>
              </w:rPr>
            </w:pPr>
            <w:r w:rsidRPr="009F1B3D">
              <w:rPr>
                <w:rStyle w:val="Strong"/>
                <w:b w:val="0"/>
                <w:bCs w:val="0"/>
              </w:rPr>
              <w:t>Annual utility decrement for established BCRL</w:t>
            </w:r>
          </w:p>
        </w:tc>
        <w:tc>
          <w:tcPr>
            <w:tcW w:w="1843" w:type="dxa"/>
            <w:vAlign w:val="center"/>
          </w:tcPr>
          <w:p w14:paraId="16898961" w14:textId="7C57255E" w:rsidR="009F1B3D" w:rsidRPr="009F1B3D" w:rsidRDefault="009F1B3D" w:rsidP="009F1B3D">
            <w:pPr>
              <w:rPr>
                <w:lang w:val="en-US"/>
              </w:rPr>
            </w:pPr>
            <w:r w:rsidRPr="009F1B3D">
              <w:t>0.08</w:t>
            </w:r>
          </w:p>
        </w:tc>
        <w:tc>
          <w:tcPr>
            <w:tcW w:w="2410" w:type="dxa"/>
            <w:vAlign w:val="center"/>
          </w:tcPr>
          <w:p w14:paraId="3567FB45" w14:textId="36419045" w:rsidR="009F1B3D" w:rsidRPr="009F1B3D" w:rsidRDefault="009F1B3D" w:rsidP="009F1B3D">
            <w:pPr>
              <w:rPr>
                <w:lang w:val="en-US"/>
              </w:rPr>
            </w:pPr>
            <w:r w:rsidRPr="009F1B3D">
              <w:t>0.06–0.10</w:t>
            </w:r>
          </w:p>
        </w:tc>
        <w:tc>
          <w:tcPr>
            <w:tcW w:w="4111" w:type="dxa"/>
            <w:vAlign w:val="center"/>
          </w:tcPr>
          <w:p w14:paraId="711F6646" w14:textId="0C486A21" w:rsidR="009F1B3D" w:rsidRPr="009F1B3D" w:rsidRDefault="009F1B3D" w:rsidP="009F1B3D">
            <w:pPr>
              <w:rPr>
                <w:lang w:val="en-US"/>
              </w:rPr>
            </w:pPr>
            <w:r w:rsidRPr="009F1B3D">
              <w:t xml:space="preserve">Even at the upper end of published disutility (≈0.10–0.12 per year), ILR’s ICER remains well above </w:t>
            </w:r>
            <w:r w:rsidRPr="009F1B3D">
              <w:rPr>
                <w:rStyle w:val="Strong"/>
                <w:b w:val="0"/>
                <w:bCs w:val="0"/>
              </w:rPr>
              <w:t>S$75,000/QALY</w:t>
            </w:r>
          </w:p>
        </w:tc>
        <w:tc>
          <w:tcPr>
            <w:tcW w:w="3316" w:type="dxa"/>
            <w:vAlign w:val="center"/>
          </w:tcPr>
          <w:p w14:paraId="5CA36DF5" w14:textId="511C3D44" w:rsidR="009F1B3D" w:rsidRPr="009F1B3D" w:rsidRDefault="009F1B3D" w:rsidP="009F1B3D">
            <w:pPr>
              <w:rPr>
                <w:lang w:val="en-US"/>
              </w:rPr>
            </w:pPr>
            <w:r w:rsidRPr="009F1B3D">
              <w:t>Existing QoL data do not support the extreme disutility needed to make ILR cost-effective.</w:t>
            </w:r>
          </w:p>
        </w:tc>
      </w:tr>
      <w:tr w:rsidR="009F1B3D" w:rsidRPr="009F1B3D" w14:paraId="0D46E24E" w14:textId="77777777" w:rsidTr="009F1B3D">
        <w:tc>
          <w:tcPr>
            <w:tcW w:w="2268" w:type="dxa"/>
            <w:vAlign w:val="center"/>
          </w:tcPr>
          <w:p w14:paraId="1348DC3E" w14:textId="43674C45" w:rsidR="009F1B3D" w:rsidRPr="009F1B3D" w:rsidRDefault="009F1B3D" w:rsidP="009F1B3D">
            <w:pPr>
              <w:rPr>
                <w:lang w:val="en-US"/>
              </w:rPr>
            </w:pPr>
            <w:r w:rsidRPr="009F1B3D">
              <w:rPr>
                <w:rStyle w:val="Strong"/>
                <w:b w:val="0"/>
                <w:bCs w:val="0"/>
              </w:rPr>
              <w:t>LVA utilisation in surveillance arm</w:t>
            </w:r>
          </w:p>
        </w:tc>
        <w:tc>
          <w:tcPr>
            <w:tcW w:w="1843" w:type="dxa"/>
            <w:vAlign w:val="center"/>
          </w:tcPr>
          <w:p w14:paraId="6D35DF5B" w14:textId="6CE5C27D" w:rsidR="009F1B3D" w:rsidRPr="009F1B3D" w:rsidRDefault="009F1B3D" w:rsidP="009F1B3D">
            <w:pPr>
              <w:rPr>
                <w:lang w:val="en-US"/>
              </w:rPr>
            </w:pPr>
            <w:r w:rsidRPr="009F1B3D">
              <w:t>25% of BCRL cases</w:t>
            </w:r>
          </w:p>
        </w:tc>
        <w:tc>
          <w:tcPr>
            <w:tcW w:w="2410" w:type="dxa"/>
            <w:vAlign w:val="center"/>
          </w:tcPr>
          <w:p w14:paraId="46C6A609" w14:textId="456323EE" w:rsidR="009F1B3D" w:rsidRPr="009F1B3D" w:rsidRDefault="009F1B3D" w:rsidP="009F1B3D">
            <w:pPr>
              <w:rPr>
                <w:lang w:val="en-US"/>
              </w:rPr>
            </w:pPr>
            <w:r w:rsidRPr="009F1B3D">
              <w:t>20–30%</w:t>
            </w:r>
          </w:p>
        </w:tc>
        <w:tc>
          <w:tcPr>
            <w:tcW w:w="4111" w:type="dxa"/>
            <w:vAlign w:val="center"/>
          </w:tcPr>
          <w:p w14:paraId="4DDC8A66" w14:textId="0766384E" w:rsidR="009F1B3D" w:rsidRPr="009F1B3D" w:rsidRDefault="009F1B3D" w:rsidP="009F1B3D">
            <w:pPr>
              <w:rPr>
                <w:lang w:val="en-US"/>
              </w:rPr>
            </w:pPr>
            <w:r w:rsidRPr="009F1B3D">
              <w:t xml:space="preserve">Varying LVA uptake within this range changes ILR ICER by </w:t>
            </w:r>
            <w:r w:rsidRPr="009F1B3D">
              <w:rPr>
                <w:rStyle w:val="Strong"/>
                <w:b w:val="0"/>
                <w:bCs w:val="0"/>
              </w:rPr>
              <w:t>&lt;S$10,000/QALY</w:t>
            </w:r>
            <w:r w:rsidRPr="009F1B3D">
              <w:t xml:space="preserve"> and never brings it below </w:t>
            </w:r>
            <w:r w:rsidRPr="009F1B3D">
              <w:rPr>
                <w:rStyle w:val="Strong"/>
                <w:b w:val="0"/>
                <w:bCs w:val="0"/>
              </w:rPr>
              <w:t>S$100,000/QALY</w:t>
            </w:r>
          </w:p>
        </w:tc>
        <w:tc>
          <w:tcPr>
            <w:tcW w:w="3316" w:type="dxa"/>
            <w:vAlign w:val="center"/>
          </w:tcPr>
          <w:p w14:paraId="20B650CF" w14:textId="778ACFD1" w:rsidR="009F1B3D" w:rsidRPr="009F1B3D" w:rsidRDefault="009F1B3D" w:rsidP="009F1B3D">
            <w:pPr>
              <w:rPr>
                <w:lang w:val="en-US"/>
              </w:rPr>
            </w:pPr>
            <w:r w:rsidRPr="009F1B3D">
              <w:t>Reasonable variation in downstream surgical rescue (LVA) does not rescue ILR economically.</w:t>
            </w:r>
          </w:p>
        </w:tc>
      </w:tr>
    </w:tbl>
    <w:p w14:paraId="4CD8DD39" w14:textId="6B7A4A9C" w:rsidR="00575343" w:rsidRPr="00575343" w:rsidRDefault="00575343" w:rsidP="00D50F61">
      <w:r w:rsidRPr="00575343">
        <w:t>ILR = immediate lymphatic reconstruction; BCRL = breast cancer–related lymphoedema; WTP = willingness to pay.</w:t>
      </w:r>
    </w:p>
    <w:p w14:paraId="7D47175D" w14:textId="786AFF5D" w:rsidR="008A47EC" w:rsidRPr="008A47EC" w:rsidRDefault="00CA27E4" w:rsidP="008A47EC">
      <w:r w:rsidRPr="003035AE">
        <w:rPr>
          <w:rFonts w:ascii="Arial" w:hAnsi="Arial" w:cs="Arial"/>
          <w:b/>
          <w:bCs/>
        </w:rPr>
        <w:t>Table 1.</w:t>
      </w:r>
      <w:r>
        <w:rPr>
          <w:rFonts w:ascii="Arial" w:hAnsi="Arial" w:cs="Arial"/>
        </w:rPr>
        <w:t xml:space="preserve"> </w:t>
      </w:r>
      <w:r w:rsidR="00575343" w:rsidRPr="00575343">
        <w:rPr>
          <w:rFonts w:ascii="Arial" w:hAnsi="Arial" w:cs="Arial"/>
        </w:rPr>
        <w:t>Policy-relevant parameters and thresholds at which immediate lymphatic reconstruction (ILR) becomes cost-effective relative to structured surveillance.</w:t>
      </w:r>
      <w:r w:rsidR="008A47EC">
        <w:rPr>
          <w:rFonts w:ascii="Arial" w:hAnsi="Arial" w:cs="Arial"/>
        </w:rPr>
        <w:t xml:space="preserve"> </w:t>
      </w:r>
      <w:r w:rsidR="008A47EC" w:rsidRPr="008A47EC">
        <w:t>All values reflect a 10-year discounted horizon. Thresholds assume willingness-to-pay of S$50,000–S$75,000/QALY.</w:t>
      </w:r>
      <w:r w:rsidR="008A47EC">
        <w:t xml:space="preserve"> </w:t>
      </w:r>
      <w:r w:rsidR="008A47EC" w:rsidRPr="008A47EC">
        <w:t>ILR remains above these thresholds under all plausible parameter ranges evaluated.</w:t>
      </w:r>
      <w:r w:rsidR="008A47EC">
        <w:t xml:space="preserve"> </w:t>
      </w:r>
      <w:r w:rsidR="008A47EC" w:rsidRPr="008A47EC">
        <w:t xml:space="preserve">Abbreviations: BCRL, breast cancer–related lymphoedema; LVA, </w:t>
      </w:r>
      <w:proofErr w:type="spellStart"/>
      <w:r w:rsidR="008A47EC" w:rsidRPr="008A47EC">
        <w:t>lymphovenous</w:t>
      </w:r>
      <w:proofErr w:type="spellEnd"/>
      <w:r w:rsidR="008A47EC" w:rsidRPr="008A47EC">
        <w:t xml:space="preserve"> anastomosis; WTP, willingness to pay; QALY, quality-adjusted life-year.</w:t>
      </w:r>
    </w:p>
    <w:p w14:paraId="2FDF2A23" w14:textId="2B583E7A" w:rsidR="00CF5BB8" w:rsidRDefault="00CF5BB8" w:rsidP="00CF5BB8">
      <w:pPr>
        <w:rPr>
          <w:rFonts w:ascii="Arial" w:hAnsi="Arial" w:cs="Arial"/>
        </w:rPr>
      </w:pPr>
    </w:p>
    <w:sectPr w:rsidR="00CF5BB8" w:rsidSect="00C16B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60"/>
    <w:rsid w:val="000B17B1"/>
    <w:rsid w:val="000D61F0"/>
    <w:rsid w:val="00103589"/>
    <w:rsid w:val="00126309"/>
    <w:rsid w:val="00156D63"/>
    <w:rsid w:val="00187118"/>
    <w:rsid w:val="001A01FC"/>
    <w:rsid w:val="001E4E83"/>
    <w:rsid w:val="00255266"/>
    <w:rsid w:val="00287480"/>
    <w:rsid w:val="003035AE"/>
    <w:rsid w:val="00313319"/>
    <w:rsid w:val="00336C3E"/>
    <w:rsid w:val="0039599E"/>
    <w:rsid w:val="003F02A5"/>
    <w:rsid w:val="004727DB"/>
    <w:rsid w:val="00487FE3"/>
    <w:rsid w:val="004C6221"/>
    <w:rsid w:val="00506582"/>
    <w:rsid w:val="00545EDD"/>
    <w:rsid w:val="00550F84"/>
    <w:rsid w:val="005531B5"/>
    <w:rsid w:val="00575343"/>
    <w:rsid w:val="005C5316"/>
    <w:rsid w:val="005D45EE"/>
    <w:rsid w:val="005F2721"/>
    <w:rsid w:val="005F349E"/>
    <w:rsid w:val="00634BF1"/>
    <w:rsid w:val="00664108"/>
    <w:rsid w:val="0067694B"/>
    <w:rsid w:val="006811F5"/>
    <w:rsid w:val="006A064F"/>
    <w:rsid w:val="0071042F"/>
    <w:rsid w:val="00724FCA"/>
    <w:rsid w:val="007705ED"/>
    <w:rsid w:val="007844EF"/>
    <w:rsid w:val="007857B2"/>
    <w:rsid w:val="007E1148"/>
    <w:rsid w:val="00824E17"/>
    <w:rsid w:val="00884113"/>
    <w:rsid w:val="008A47EC"/>
    <w:rsid w:val="008C60B2"/>
    <w:rsid w:val="008D12D4"/>
    <w:rsid w:val="008F63E0"/>
    <w:rsid w:val="009F1B3D"/>
    <w:rsid w:val="00A44987"/>
    <w:rsid w:val="00AD26C2"/>
    <w:rsid w:val="00B06ECA"/>
    <w:rsid w:val="00B13355"/>
    <w:rsid w:val="00B324FE"/>
    <w:rsid w:val="00B77896"/>
    <w:rsid w:val="00B96AE2"/>
    <w:rsid w:val="00BA6ECD"/>
    <w:rsid w:val="00BD1859"/>
    <w:rsid w:val="00BD22B0"/>
    <w:rsid w:val="00C07DDC"/>
    <w:rsid w:val="00C16B60"/>
    <w:rsid w:val="00C27B62"/>
    <w:rsid w:val="00C458B0"/>
    <w:rsid w:val="00C65D5A"/>
    <w:rsid w:val="00C91EA9"/>
    <w:rsid w:val="00C93843"/>
    <w:rsid w:val="00CA27E4"/>
    <w:rsid w:val="00CF5BB8"/>
    <w:rsid w:val="00D50F61"/>
    <w:rsid w:val="00D85132"/>
    <w:rsid w:val="00D92836"/>
    <w:rsid w:val="00E16574"/>
    <w:rsid w:val="00E433FB"/>
    <w:rsid w:val="00E45D8F"/>
    <w:rsid w:val="00EE6DD6"/>
    <w:rsid w:val="00F66DD5"/>
    <w:rsid w:val="00F939FF"/>
    <w:rsid w:val="00F93B7E"/>
    <w:rsid w:val="00FA394C"/>
    <w:rsid w:val="00FB192F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28875"/>
  <w15:chartTrackingRefBased/>
  <w15:docId w15:val="{F510A7A0-73CB-4467-BE00-CED274BA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6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B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3035A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30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1E4E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Strong">
    <w:name w:val="Strong"/>
    <w:basedOn w:val="DefaultParagraphFont"/>
    <w:uiPriority w:val="22"/>
    <w:qFormat/>
    <w:rsid w:val="001E4E83"/>
    <w:rPr>
      <w:b/>
      <w:bCs/>
    </w:rPr>
  </w:style>
  <w:style w:type="table" w:styleId="GridTable2">
    <w:name w:val="Grid Table 2"/>
    <w:basedOn w:val="TableNormal"/>
    <w:uiPriority w:val="47"/>
    <w:rsid w:val="001E4E8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4727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91EA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1732</Characters>
  <Application>Microsoft Office Word</Application>
  <DocSecurity>0</DocSecurity>
  <Lines>19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2026-01-28T13:48:00Z</dcterms:created>
  <dcterms:modified xsi:type="dcterms:W3CDTF">2026-01-28T13:48:00Z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dad93f40-ff9a-4588-a43f-033e0652f974</vt:lpwstr>
  </property>
</Properties>
</file>