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8BE69" w14:textId="35A93E16" w:rsidR="00837CB1" w:rsidRPr="00837CB1" w:rsidRDefault="00837CB1" w:rsidP="00837CB1">
      <w:pPr>
        <w:rPr>
          <w:b/>
          <w:bCs/>
        </w:rPr>
      </w:pPr>
      <w:r w:rsidRPr="00837CB1">
        <w:rPr>
          <w:b/>
          <w:bCs/>
        </w:rPr>
        <w:t>Evaluation of the diffusion time dependence of the IVIM effect based on realistic capillary flow simulations</w:t>
      </w:r>
      <w:r>
        <w:rPr>
          <w:b/>
          <w:bCs/>
        </w:rPr>
        <w:t xml:space="preserve"> – SUP</w:t>
      </w:r>
      <w:r w:rsidR="00AE06E3">
        <w:rPr>
          <w:b/>
          <w:bCs/>
        </w:rPr>
        <w:t>P</w:t>
      </w:r>
      <w:r>
        <w:rPr>
          <w:b/>
          <w:bCs/>
        </w:rPr>
        <w:t>LEMENTARY FILE</w:t>
      </w:r>
    </w:p>
    <w:p w14:paraId="311DA606" w14:textId="77777777" w:rsidR="00837CB1" w:rsidRPr="00837CB1" w:rsidRDefault="00837CB1" w:rsidP="00837CB1">
      <w:pPr>
        <w:rPr>
          <w:lang w:val="it-IT"/>
        </w:rPr>
      </w:pPr>
      <w:r w:rsidRPr="00837CB1">
        <w:rPr>
          <w:lang w:val="it-IT"/>
        </w:rPr>
        <w:t>Franciszek Hennel</w:t>
      </w:r>
      <w:r w:rsidRPr="00837CB1">
        <w:rPr>
          <w:vertAlign w:val="superscript"/>
          <w:lang w:val="it-IT"/>
        </w:rPr>
        <w:t>1</w:t>
      </w:r>
      <w:r w:rsidRPr="00837CB1">
        <w:rPr>
          <w:lang w:val="it-IT"/>
        </w:rPr>
        <w:t xml:space="preserve">, Manuel </w:t>
      </w:r>
      <w:r w:rsidRPr="00837CB1">
        <w:rPr>
          <w:lang w:val="es-ES"/>
        </w:rPr>
        <w:t>Fernández López</w:t>
      </w:r>
      <w:r w:rsidRPr="00837CB1">
        <w:rPr>
          <w:vertAlign w:val="superscript"/>
          <w:lang w:val="it-IT"/>
        </w:rPr>
        <w:t xml:space="preserve"> 2</w:t>
      </w:r>
      <w:r w:rsidRPr="00837CB1">
        <w:rPr>
          <w:lang w:val="it-IT"/>
        </w:rPr>
        <w:t>, Franca Schmid</w:t>
      </w:r>
      <w:r w:rsidRPr="00837CB1">
        <w:rPr>
          <w:vertAlign w:val="superscript"/>
          <w:lang w:val="it-IT"/>
        </w:rPr>
        <w:t>2</w:t>
      </w:r>
      <w:r w:rsidRPr="00837CB1">
        <w:rPr>
          <w:lang w:val="it-IT"/>
        </w:rPr>
        <w:t xml:space="preserve"> </w:t>
      </w:r>
    </w:p>
    <w:p w14:paraId="5A254FAA" w14:textId="77777777" w:rsidR="00837CB1" w:rsidRPr="0088712A" w:rsidRDefault="00837CB1">
      <w:pPr>
        <w:rPr>
          <w:lang w:val="it-IT"/>
        </w:rPr>
      </w:pPr>
    </w:p>
    <w:p w14:paraId="6AFD38E4" w14:textId="77777777" w:rsidR="00837CB1" w:rsidRPr="0088712A" w:rsidRDefault="00837CB1">
      <w:pPr>
        <w:rPr>
          <w:lang w:val="it-IT"/>
        </w:rPr>
      </w:pPr>
    </w:p>
    <w:p w14:paraId="3EFFF670" w14:textId="50929E2B" w:rsidR="007C5D60" w:rsidRDefault="007E3700">
      <w:r>
        <w:t xml:space="preserve">This file </w:t>
      </w:r>
      <w:r w:rsidR="00837CB1">
        <w:t>contains</w:t>
      </w:r>
      <w:r>
        <w:t xml:space="preserve"> Figures 1, 2 and 3-8 reproduced for the network MVN1.</w:t>
      </w:r>
      <w:r w:rsidR="0088712A">
        <w:t xml:space="preserve"> Additionally, Figure 9 contains a comparison of the time-dependent pseudodiffusion for different vessel sizes of MVN2.</w:t>
      </w:r>
    </w:p>
    <w:p w14:paraId="0B69391D" w14:textId="64E91FA7" w:rsidR="007E3700" w:rsidRDefault="007E3700"/>
    <w:p w14:paraId="5E703A95" w14:textId="2F167C08" w:rsidR="007E3700" w:rsidRDefault="007E3700">
      <w:r w:rsidRPr="007E3700">
        <w:rPr>
          <w:noProof/>
        </w:rPr>
        <w:drawing>
          <wp:inline distT="0" distB="0" distL="0" distR="0" wp14:anchorId="0CA114ED" wp14:editId="4E2373D0">
            <wp:extent cx="5731510" cy="303720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CCE44" w14:textId="4CB6CF4F" w:rsidR="007E3700" w:rsidRDefault="007E3700">
      <w:r w:rsidRPr="00982775">
        <w:rPr>
          <w:b/>
          <w:bCs/>
        </w:rPr>
        <w:t xml:space="preserve">Figure </w:t>
      </w:r>
      <w:r w:rsidR="003B216C" w:rsidRPr="00982775">
        <w:rPr>
          <w:b/>
          <w:bCs/>
        </w:rPr>
        <w:t>S</w:t>
      </w:r>
      <w:r w:rsidRPr="00982775">
        <w:rPr>
          <w:b/>
          <w:bCs/>
        </w:rPr>
        <w:t>1.</w:t>
      </w:r>
      <w:r w:rsidR="003A37A9" w:rsidRPr="003A37A9">
        <w:t xml:space="preserve"> </w:t>
      </w:r>
      <w:r w:rsidR="003A37A9" w:rsidRPr="00D06B1B">
        <w:t xml:space="preserve">Trajectories of randomly selected 20% of capillary blood spins traced by the flow simulation </w:t>
      </w:r>
      <w:r w:rsidR="003A37A9">
        <w:t xml:space="preserve">in MVN1 </w:t>
      </w:r>
      <w:r w:rsidR="003A37A9" w:rsidRPr="00D06B1B">
        <w:t>– the full sample (A), and its central part (B). Blue, red and green lines in (A) show the directions of the eigenvectors of the pseudo-diffusion tensor at zero frequency (see figure 2 for further details). Coordinates are in mm. The z-axis points down the cortex; x and y are in the pial plane with an arbitrary orientation.</w:t>
      </w:r>
    </w:p>
    <w:p w14:paraId="1B371231" w14:textId="6FB6AB78" w:rsidR="007E3700" w:rsidRDefault="007E3700">
      <w:r w:rsidRPr="007E3700">
        <w:rPr>
          <w:noProof/>
        </w:rPr>
        <w:lastRenderedPageBreak/>
        <w:drawing>
          <wp:inline distT="0" distB="0" distL="0" distR="0" wp14:anchorId="7F9595F5" wp14:editId="256D5DDD">
            <wp:extent cx="5731510" cy="45427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4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D16AD" w14:textId="69D5CD9B" w:rsidR="007E3700" w:rsidRDefault="007E3700">
      <w:r w:rsidRPr="00DC133C">
        <w:rPr>
          <w:b/>
          <w:bCs/>
        </w:rPr>
        <w:t xml:space="preserve">Figure </w:t>
      </w:r>
      <w:r w:rsidR="003B216C" w:rsidRPr="00DC133C">
        <w:rPr>
          <w:b/>
          <w:bCs/>
        </w:rPr>
        <w:t>S</w:t>
      </w:r>
      <w:r w:rsidRPr="00DC133C">
        <w:rPr>
          <w:b/>
          <w:bCs/>
        </w:rPr>
        <w:t>2</w:t>
      </w:r>
      <w:r>
        <w:t>.</w:t>
      </w:r>
      <w:r w:rsidR="003A37A9">
        <w:t xml:space="preserve"> </w:t>
      </w:r>
      <w:r w:rsidR="003A37A9" w:rsidRPr="00D06B1B">
        <w:t>Root mean square velocity</w:t>
      </w:r>
      <w:r w:rsidR="003A37A9">
        <w:t xml:space="preserve"> of all spins included in the analysis as a function of time</w:t>
      </w:r>
      <w:r w:rsidR="003A37A9" w:rsidRPr="00D06B1B">
        <w:t xml:space="preserve"> before and after randomization by random cyclic shifts of spin velocity time courses</w:t>
      </w:r>
      <w:r w:rsidR="003A37A9">
        <w:t xml:space="preserve"> in MVN1</w:t>
      </w:r>
      <w:r w:rsidR="003A37A9" w:rsidRPr="00D06B1B">
        <w:t>.</w:t>
      </w:r>
      <w:r w:rsidR="003A37A9">
        <w:t xml:space="preserve"> Randomization makes the flow system stationary (with a constant </w:t>
      </w:r>
      <w:proofErr w:type="spellStart"/>
      <w:r w:rsidR="003A37A9">
        <w:t>v</w:t>
      </w:r>
      <w:r w:rsidR="003A37A9" w:rsidRPr="001316A5">
        <w:rPr>
          <w:vertAlign w:val="subscript"/>
        </w:rPr>
        <w:t>rms</w:t>
      </w:r>
      <w:proofErr w:type="spellEnd"/>
      <w:r w:rsidR="003A37A9">
        <w:t>), which is required for the Gaussian phase approximation.</w:t>
      </w:r>
    </w:p>
    <w:p w14:paraId="65E4ADDD" w14:textId="6CC9C90C" w:rsidR="007E3700" w:rsidRDefault="007E3700">
      <w:r w:rsidRPr="007E3700">
        <w:rPr>
          <w:noProof/>
        </w:rPr>
        <w:drawing>
          <wp:inline distT="0" distB="0" distL="0" distR="0" wp14:anchorId="1EEAA97D" wp14:editId="0993239C">
            <wp:extent cx="5731510" cy="2676525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2C61A" w14:textId="224CF436" w:rsidR="007E3700" w:rsidRDefault="007E3700">
      <w:r w:rsidRPr="00DC133C">
        <w:rPr>
          <w:b/>
          <w:bCs/>
        </w:rPr>
        <w:t xml:space="preserve">Fig. </w:t>
      </w:r>
      <w:r w:rsidR="003B216C" w:rsidRPr="00DC133C">
        <w:rPr>
          <w:b/>
          <w:bCs/>
        </w:rPr>
        <w:t>S</w:t>
      </w:r>
      <w:r w:rsidRPr="00DC133C">
        <w:rPr>
          <w:b/>
          <w:bCs/>
        </w:rPr>
        <w:t>4</w:t>
      </w:r>
      <w:r w:rsidR="003A37A9">
        <w:t xml:space="preserve">. </w:t>
      </w:r>
      <w:r w:rsidR="003A37A9" w:rsidRPr="00D06B1B">
        <w:t>Velocity autocorrelation functions (A) and corresponding spectral densities (B), i.e., diagonal elements of the frequency-dependent pseudo-diffusion tensor D(f)</w:t>
      </w:r>
      <w:r w:rsidR="003A37A9">
        <w:t xml:space="preserve"> obtained in MVN1</w:t>
      </w:r>
      <w:r w:rsidR="003A37A9" w:rsidRPr="00D06B1B">
        <w:t xml:space="preserve">.  The </w:t>
      </w:r>
      <w:proofErr w:type="spellStart"/>
      <w:proofErr w:type="gramStart"/>
      <w:r w:rsidR="003A37A9" w:rsidRPr="00D06B1B">
        <w:t>x,y</w:t>
      </w:r>
      <w:proofErr w:type="gramEnd"/>
      <w:r w:rsidR="003A37A9" w:rsidRPr="00D06B1B">
        <w:t>,z</w:t>
      </w:r>
      <w:proofErr w:type="spellEnd"/>
      <w:r w:rsidR="003A37A9" w:rsidRPr="00D06B1B">
        <w:t xml:space="preserve"> coordinates follow the directions of the eigenvectors of D(0) and are shown in Fig. </w:t>
      </w:r>
      <w:r w:rsidR="003A37A9">
        <w:t>S</w:t>
      </w:r>
      <w:r w:rsidR="003A37A9" w:rsidRPr="00D06B1B">
        <w:t>1.</w:t>
      </w:r>
    </w:p>
    <w:p w14:paraId="6331DDF7" w14:textId="0B1D49DD" w:rsidR="007E3700" w:rsidRDefault="007E3700"/>
    <w:p w14:paraId="7DA763CC" w14:textId="19AC7203" w:rsidR="007E3700" w:rsidRDefault="007E3700"/>
    <w:p w14:paraId="079E9BF5" w14:textId="3C2E8A8C" w:rsidR="007E3700" w:rsidRDefault="007E3700">
      <w:r w:rsidRPr="007E3700">
        <w:rPr>
          <w:noProof/>
        </w:rPr>
        <w:drawing>
          <wp:inline distT="0" distB="0" distL="0" distR="0" wp14:anchorId="7CD1400E" wp14:editId="77100220">
            <wp:extent cx="5731510" cy="4300855"/>
            <wp:effectExtent l="0" t="0" r="254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5FFB0" w14:textId="783456A5" w:rsidR="007E3700" w:rsidRDefault="007E3700">
      <w:r w:rsidRPr="00DC133C">
        <w:rPr>
          <w:b/>
          <w:bCs/>
        </w:rPr>
        <w:t xml:space="preserve">Fig. </w:t>
      </w:r>
      <w:r w:rsidR="003B216C" w:rsidRPr="00DC133C">
        <w:rPr>
          <w:b/>
          <w:bCs/>
        </w:rPr>
        <w:t>S</w:t>
      </w:r>
      <w:r w:rsidRPr="00DC133C">
        <w:rPr>
          <w:b/>
          <w:bCs/>
        </w:rPr>
        <w:t>5</w:t>
      </w:r>
      <w:r w:rsidR="003A37A9">
        <w:t xml:space="preserve">. </w:t>
      </w:r>
      <w:r w:rsidR="003A37A9" w:rsidRPr="00D06B1B">
        <w:t xml:space="preserve">Dependence of the apparent pseudo-diffusion </w:t>
      </w:r>
      <w:r w:rsidR="003A37A9">
        <w:t>coefficient</w:t>
      </w:r>
      <w:r w:rsidR="003A37A9" w:rsidRPr="00D06B1B">
        <w:t xml:space="preserve"> on diffusion time for the sequences represented in Fig. 3 obtained from the simulated flow spectral density </w:t>
      </w:r>
      <w:r w:rsidR="003A37A9">
        <w:t xml:space="preserve">in MVN1 </w:t>
      </w:r>
      <w:r w:rsidR="003A37A9" w:rsidRPr="00D06B1B">
        <w:t>using Gaussian phase approximation. The continuous line represents the Kennan model fitted to the PGSE case.</w:t>
      </w:r>
      <w:r w:rsidR="003A37A9">
        <w:t xml:space="preserve"> Note that 1</w:t>
      </w:r>
      <w:r w:rsidR="003A37A9" w:rsidRPr="00966FD4">
        <w:rPr>
          <w:rFonts w:ascii="Symbol" w:hAnsi="Symbol"/>
        </w:rPr>
        <w:t>m</w:t>
      </w:r>
      <w:r w:rsidR="003A37A9">
        <w:t>m</w:t>
      </w:r>
      <w:r w:rsidR="003A37A9" w:rsidRPr="00966FD4">
        <w:rPr>
          <w:vertAlign w:val="superscript"/>
        </w:rPr>
        <w:t>2</w:t>
      </w:r>
      <w:r w:rsidR="003A37A9">
        <w:t>/</w:t>
      </w:r>
      <w:proofErr w:type="spellStart"/>
      <w:r w:rsidR="003A37A9">
        <w:t>ms</w:t>
      </w:r>
      <w:proofErr w:type="spellEnd"/>
      <w:r w:rsidR="003A37A9">
        <w:t xml:space="preserve"> equals 10</w:t>
      </w:r>
      <w:r w:rsidR="003A37A9" w:rsidRPr="00966FD4">
        <w:rPr>
          <w:vertAlign w:val="superscript"/>
        </w:rPr>
        <w:t>-3</w:t>
      </w:r>
      <w:r w:rsidR="003A37A9">
        <w:t xml:space="preserve"> mm</w:t>
      </w:r>
      <w:r w:rsidR="003A37A9" w:rsidRPr="00966FD4">
        <w:rPr>
          <w:vertAlign w:val="superscript"/>
        </w:rPr>
        <w:t>2</w:t>
      </w:r>
      <w:r w:rsidR="003A37A9">
        <w:t>/s.</w:t>
      </w:r>
    </w:p>
    <w:p w14:paraId="37BC4910" w14:textId="137DCAFB" w:rsidR="007E3700" w:rsidRDefault="007E3700"/>
    <w:p w14:paraId="5BE0A997" w14:textId="7F1C3296" w:rsidR="007E3700" w:rsidRDefault="007E3700">
      <w:r w:rsidRPr="007E3700">
        <w:rPr>
          <w:noProof/>
        </w:rPr>
        <w:lastRenderedPageBreak/>
        <w:drawing>
          <wp:inline distT="0" distB="0" distL="0" distR="0" wp14:anchorId="3175EB69" wp14:editId="361FDADD">
            <wp:extent cx="5731510" cy="4639945"/>
            <wp:effectExtent l="0" t="0" r="254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9C0D0" w14:textId="5B473AED" w:rsidR="003A37A9" w:rsidRPr="00D06B1B" w:rsidRDefault="007E3700" w:rsidP="003A37A9">
      <w:pPr>
        <w:spacing w:line="360" w:lineRule="auto"/>
      </w:pPr>
      <w:r w:rsidRPr="00982775">
        <w:rPr>
          <w:b/>
          <w:bCs/>
        </w:rPr>
        <w:t xml:space="preserve">Fig. </w:t>
      </w:r>
      <w:r w:rsidR="003B216C" w:rsidRPr="00982775">
        <w:rPr>
          <w:b/>
          <w:bCs/>
        </w:rPr>
        <w:t>S</w:t>
      </w:r>
      <w:r w:rsidRPr="00982775">
        <w:rPr>
          <w:b/>
          <w:bCs/>
        </w:rPr>
        <w:t>6</w:t>
      </w:r>
      <w:r w:rsidR="003A37A9">
        <w:t xml:space="preserve">. </w:t>
      </w:r>
      <w:r w:rsidR="003A37A9" w:rsidRPr="00D06B1B">
        <w:t>Logarithmic signal attenuation vs. b-value for the PGSE sequence calculated using the strict formula (Eq. 1, circles)</w:t>
      </w:r>
      <w:r w:rsidR="003A37A9">
        <w:t xml:space="preserve"> for MVN1</w:t>
      </w:r>
      <w:r w:rsidR="003A37A9" w:rsidRPr="00D06B1B">
        <w:t xml:space="preserve">. Colors correspond to diffusion times in the manner defined in Fig. 3. The dashed lines show the prediction of the Gaussian phase approximation. </w:t>
      </w:r>
      <w:r w:rsidR="003A37A9">
        <w:t>Note that 1ms/</w:t>
      </w:r>
      <w:r w:rsidR="003A37A9" w:rsidRPr="006B500A">
        <w:rPr>
          <w:rFonts w:ascii="Symbol" w:hAnsi="Symbol"/>
        </w:rPr>
        <w:t>m</w:t>
      </w:r>
      <w:r w:rsidR="003A37A9">
        <w:t>m</w:t>
      </w:r>
      <w:r w:rsidR="003A37A9" w:rsidRPr="006B500A">
        <w:rPr>
          <w:vertAlign w:val="superscript"/>
        </w:rPr>
        <w:t>2</w:t>
      </w:r>
      <w:r w:rsidR="003A37A9">
        <w:t xml:space="preserve"> equals 10</w:t>
      </w:r>
      <w:r w:rsidR="003A37A9" w:rsidRPr="006B500A">
        <w:rPr>
          <w:vertAlign w:val="superscript"/>
        </w:rPr>
        <w:t>3</w:t>
      </w:r>
      <w:r w:rsidR="003A37A9">
        <w:t xml:space="preserve"> s/mm</w:t>
      </w:r>
      <w:r w:rsidR="003A37A9" w:rsidRPr="006B500A">
        <w:rPr>
          <w:vertAlign w:val="superscript"/>
        </w:rPr>
        <w:t>2</w:t>
      </w:r>
      <w:r w:rsidR="003A37A9">
        <w:t>.</w:t>
      </w:r>
    </w:p>
    <w:p w14:paraId="77CDB0AE" w14:textId="58E6B06C" w:rsidR="007E3700" w:rsidRDefault="007E3700"/>
    <w:p w14:paraId="148F092C" w14:textId="4E5F9029" w:rsidR="007E3700" w:rsidRDefault="007E3700"/>
    <w:p w14:paraId="432A510E" w14:textId="49746FF6" w:rsidR="007E3700" w:rsidRDefault="007E3700"/>
    <w:p w14:paraId="12F7FD19" w14:textId="00FF9419" w:rsidR="007E3700" w:rsidRDefault="007E3700">
      <w:r w:rsidRPr="007E3700">
        <w:rPr>
          <w:noProof/>
        </w:rPr>
        <w:lastRenderedPageBreak/>
        <w:drawing>
          <wp:inline distT="0" distB="0" distL="0" distR="0" wp14:anchorId="314CFBF3" wp14:editId="321F9764">
            <wp:extent cx="5731510" cy="4817110"/>
            <wp:effectExtent l="0" t="0" r="254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1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14278" w14:textId="180975F6" w:rsidR="007E3700" w:rsidRDefault="007E3700">
      <w:r w:rsidRPr="00982775">
        <w:rPr>
          <w:b/>
          <w:bCs/>
        </w:rPr>
        <w:t xml:space="preserve">Fig. </w:t>
      </w:r>
      <w:r w:rsidR="003B216C" w:rsidRPr="00982775">
        <w:rPr>
          <w:b/>
          <w:bCs/>
        </w:rPr>
        <w:t>S</w:t>
      </w:r>
      <w:r w:rsidRPr="00982775">
        <w:rPr>
          <w:b/>
          <w:bCs/>
        </w:rPr>
        <w:t>7</w:t>
      </w:r>
      <w:r w:rsidR="003A37A9" w:rsidRPr="00982775">
        <w:rPr>
          <w:b/>
          <w:bCs/>
        </w:rPr>
        <w:t>.</w:t>
      </w:r>
      <w:r w:rsidR="003A37A9">
        <w:t xml:space="preserve"> </w:t>
      </w:r>
      <w:r w:rsidR="003A37A9" w:rsidRPr="00D06B1B">
        <w:t>Displacement propagator (probability density of a given random displacement) at different diffusion times for the spins included in the simulation</w:t>
      </w:r>
      <w:r w:rsidR="003A37A9">
        <w:t xml:space="preserve"> in MVN1</w:t>
      </w:r>
      <w:r w:rsidR="003A37A9" w:rsidRPr="00D06B1B">
        <w:t xml:space="preserve">. Kurtosis values are listed in the legend. High positive K numbers explain the discrepancy of strict and GPA-predicted attenuations in Fig. </w:t>
      </w:r>
      <w:r w:rsidR="003A37A9">
        <w:t>S</w:t>
      </w:r>
      <w:r w:rsidR="003A37A9">
        <w:t>6</w:t>
      </w:r>
      <w:r w:rsidR="003A37A9" w:rsidRPr="00D06B1B">
        <w:t>.</w:t>
      </w:r>
    </w:p>
    <w:p w14:paraId="70B5F641" w14:textId="3CBA1973" w:rsidR="007E3700" w:rsidRDefault="007E3700">
      <w:r w:rsidRPr="007E3700">
        <w:rPr>
          <w:noProof/>
        </w:rPr>
        <w:lastRenderedPageBreak/>
        <w:drawing>
          <wp:inline distT="0" distB="0" distL="0" distR="0" wp14:anchorId="4FB2CC65" wp14:editId="34625DED">
            <wp:extent cx="5731510" cy="462915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F2E23" w14:textId="7F03D5B9" w:rsidR="007E3700" w:rsidRDefault="007E3700">
      <w:r w:rsidRPr="00982775">
        <w:rPr>
          <w:b/>
          <w:bCs/>
        </w:rPr>
        <w:t xml:space="preserve">Fig. </w:t>
      </w:r>
      <w:r w:rsidR="003B216C" w:rsidRPr="00982775">
        <w:rPr>
          <w:b/>
          <w:bCs/>
        </w:rPr>
        <w:t>S</w:t>
      </w:r>
      <w:r w:rsidRPr="00982775">
        <w:rPr>
          <w:b/>
          <w:bCs/>
        </w:rPr>
        <w:t>8</w:t>
      </w:r>
      <w:r w:rsidR="003A37A9" w:rsidRPr="00982775">
        <w:rPr>
          <w:b/>
          <w:bCs/>
        </w:rPr>
        <w:t>.</w:t>
      </w:r>
      <w:r w:rsidR="003A37A9">
        <w:t xml:space="preserve"> </w:t>
      </w:r>
      <w:r w:rsidR="00DC133C" w:rsidRPr="00D06B1B">
        <w:t xml:space="preserve">PGSE signal attenuations for all b-values and diffusion times </w:t>
      </w:r>
      <w:r w:rsidR="00DC133C">
        <w:t xml:space="preserve">in MVN1 </w:t>
      </w:r>
      <w:r w:rsidR="00DC133C" w:rsidRPr="00D06B1B">
        <w:t>plotted against the flow-encoding factor</w:t>
      </w:r>
      <w:r w:rsidR="00DC133C" w:rsidRPr="00127E36">
        <w:rPr>
          <w:i/>
          <w:iCs/>
        </w:rPr>
        <w:t xml:space="preserve"> c</w:t>
      </w:r>
      <w:r w:rsidR="00DC133C" w:rsidRPr="00D06B1B">
        <w:t xml:space="preserve"> using the color scheme of Fig. 3. The continuous black line shows the fit of </w:t>
      </w:r>
      <w:proofErr w:type="spellStart"/>
      <w:r w:rsidR="00DC133C" w:rsidRPr="00D06B1B">
        <w:t>Ahlgren’s</w:t>
      </w:r>
      <w:proofErr w:type="spellEnd"/>
      <w:r w:rsidR="00DC133C" w:rsidRPr="00D06B1B">
        <w:t xml:space="preserve"> ballistic model to the shortest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</m:oMath>
      <w:r w:rsidR="00DC133C" w:rsidRPr="00D06B1B">
        <w:t xml:space="preserve"> points (where the ballistic assumption is most adequate). The dashed line shows the </w:t>
      </w:r>
      <w:proofErr w:type="spellStart"/>
      <w:r w:rsidR="00DC133C" w:rsidRPr="00D06B1B">
        <w:t>sinc</w:t>
      </w:r>
      <w:proofErr w:type="spellEnd"/>
      <w:r w:rsidR="00DC133C" w:rsidRPr="00D06B1B">
        <w:t xml:space="preserve"> model for the same average velocity.</w:t>
      </w:r>
    </w:p>
    <w:p w14:paraId="51681986" w14:textId="40E815BD" w:rsidR="0088712A" w:rsidRDefault="0088712A"/>
    <w:p w14:paraId="2296B79F" w14:textId="7DC7C10F" w:rsidR="0088712A" w:rsidRDefault="0088712A">
      <w:r w:rsidRPr="0088712A">
        <w:rPr>
          <w:noProof/>
        </w:rPr>
        <w:lastRenderedPageBreak/>
        <w:drawing>
          <wp:inline distT="0" distB="0" distL="0" distR="0" wp14:anchorId="35A93B57" wp14:editId="61A122FA">
            <wp:extent cx="5731510" cy="461708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66065" w14:textId="2E935FD3" w:rsidR="0088712A" w:rsidRPr="007E3700" w:rsidRDefault="0088712A">
      <w:r>
        <w:t xml:space="preserve">Figure 9: Comparison of the diffusion time dependence of the IVIM </w:t>
      </w:r>
      <w:r w:rsidR="00CA49D2">
        <w:t>pseudo-</w:t>
      </w:r>
      <w:r>
        <w:t>diffusion coefficient for the network MVN2 with different vessel diameter corrections</w:t>
      </w:r>
      <w:r w:rsidR="001F35D0">
        <w:t xml:space="preserve">. The 100% case is a repetition of the simulation shown for PGSE in Fig. 5 of the main paper; </w:t>
      </w:r>
      <w:r w:rsidR="00CA49D2">
        <w:t xml:space="preserve">the </w:t>
      </w:r>
      <w:r w:rsidR="001F35D0">
        <w:t>105</w:t>
      </w:r>
      <w:proofErr w:type="gramStart"/>
      <w:r w:rsidR="001F35D0">
        <w:t>%  and</w:t>
      </w:r>
      <w:proofErr w:type="gramEnd"/>
      <w:r w:rsidR="001F35D0">
        <w:t xml:space="preserve"> 110% cases represent simulations with correspondingly increased vessel sizes. The continuous curves show the fits of the Kennan model, the parameters of which (correlation time TC, and </w:t>
      </w:r>
      <w:proofErr w:type="spellStart"/>
      <w:r w:rsidR="001F35D0">
        <w:t>r.m.s</w:t>
      </w:r>
      <w:proofErr w:type="spellEnd"/>
      <w:r w:rsidR="001F35D0">
        <w:t xml:space="preserve"> velocity v) are listed in the legend. It appears that the increase of the vessel size leads to an increase of velocity and a reduction of the correlation time.</w:t>
      </w:r>
    </w:p>
    <w:sectPr w:rsidR="0088712A" w:rsidRPr="007E3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44C"/>
    <w:rsid w:val="001C2A38"/>
    <w:rsid w:val="001F35D0"/>
    <w:rsid w:val="002E077D"/>
    <w:rsid w:val="003A37A9"/>
    <w:rsid w:val="003B216C"/>
    <w:rsid w:val="0051424B"/>
    <w:rsid w:val="007C5D60"/>
    <w:rsid w:val="007E3700"/>
    <w:rsid w:val="00837CB1"/>
    <w:rsid w:val="0088712A"/>
    <w:rsid w:val="00982775"/>
    <w:rsid w:val="009D544C"/>
    <w:rsid w:val="00AE06E3"/>
    <w:rsid w:val="00CA49D2"/>
    <w:rsid w:val="00D521A6"/>
    <w:rsid w:val="00DC133C"/>
    <w:rsid w:val="00FB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C2C3A"/>
  <w15:chartTrackingRefBased/>
  <w15:docId w15:val="{E1FF4812-B1A1-4F37-81B9-62783FE0E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871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71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71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71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71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0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Hennel, Franciszek</dc:creator>
  <cp:keywords/>
  <dc:description/>
  <cp:lastModifiedBy>Hennel, Franciszek</cp:lastModifiedBy>
  <cp:revision>3</cp:revision>
  <dcterms:created xsi:type="dcterms:W3CDTF">2025-09-18T09:03:00Z</dcterms:created>
  <dcterms:modified xsi:type="dcterms:W3CDTF">2025-09-18T09:04:00Z</dcterms:modified>
</cp:coreProperties>
</file>