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74908" w14:textId="77777777" w:rsidR="0095500F" w:rsidRDefault="0095500F" w:rsidP="0095500F">
      <w:pPr>
        <w:pStyle w:val="Rubrik2"/>
        <w:tabs>
          <w:tab w:val="left" w:pos="425"/>
          <w:tab w:val="left" w:pos="1759"/>
          <w:tab w:val="left" w:pos="3663"/>
        </w:tabs>
        <w:rPr>
          <w:rFonts w:ascii="Times New Roman" w:hAnsi="Times New Roman" w:cs="Times New Roman"/>
          <w:b/>
          <w:bCs/>
          <w:sz w:val="24"/>
          <w:szCs w:val="24"/>
          <w:lang w:val="en-GB"/>
        </w:rPr>
      </w:pPr>
      <w:r w:rsidRPr="00341318">
        <w:rPr>
          <w:rFonts w:ascii="Times New Roman" w:hAnsi="Times New Roman" w:cs="Times New Roman"/>
          <w:b/>
          <w:bCs/>
          <w:sz w:val="24"/>
          <w:szCs w:val="24"/>
          <w:lang w:val="en-GB"/>
        </w:rPr>
        <w:t>Supplementary material</w:t>
      </w:r>
    </w:p>
    <w:p w14:paraId="6F198049" w14:textId="77777777" w:rsidR="0095500F" w:rsidRPr="00AE7A6B" w:rsidRDefault="0095500F" w:rsidP="0095500F">
      <w:pPr>
        <w:rPr>
          <w:lang w:val="en-GB"/>
        </w:rPr>
      </w:pPr>
    </w:p>
    <w:p w14:paraId="405B5C31" w14:textId="77777777" w:rsidR="0095500F" w:rsidRPr="00AE7A6B" w:rsidRDefault="0095500F" w:rsidP="0095500F">
      <w:pPr>
        <w:pStyle w:val="SupplementHeading"/>
        <w:rPr>
          <w:rFonts w:ascii="Times New Roman" w:hAnsi="Times New Roman" w:cs="Times New Roman"/>
          <w:color w:val="000000" w:themeColor="text1"/>
          <w:sz w:val="24"/>
          <w:szCs w:val="24"/>
        </w:rPr>
      </w:pPr>
      <w:r w:rsidRPr="00AE7A6B">
        <w:rPr>
          <w:rFonts w:ascii="Times New Roman" w:hAnsi="Times New Roman" w:cs="Times New Roman"/>
          <w:color w:val="000000" w:themeColor="text1"/>
          <w:sz w:val="24"/>
          <w:szCs w:val="24"/>
        </w:rPr>
        <w:t>1. Registry coding and policy changes</w:t>
      </w:r>
    </w:p>
    <w:p w14:paraId="0BEC9E65" w14:textId="189A3CB1" w:rsidR="0095500F" w:rsidRPr="00C7778F" w:rsidRDefault="0095500F" w:rsidP="0095500F">
      <w:pPr>
        <w:spacing w:line="480" w:lineRule="auto"/>
        <w:jc w:val="both"/>
        <w:rPr>
          <w:color w:val="000000" w:themeColor="text1"/>
          <w:lang w:val="en-GB"/>
        </w:rPr>
      </w:pPr>
      <w:r w:rsidRPr="00C7778F">
        <w:rPr>
          <w:color w:val="000000" w:themeColor="text1"/>
          <w:lang w:val="en-GB"/>
        </w:rPr>
        <w:t xml:space="preserve">Full details of code definitions and updates are available at </w:t>
      </w:r>
      <w:hyperlink r:id="rId5" w:history="1">
        <w:r w:rsidRPr="00AE7A6B">
          <w:rPr>
            <w:rStyle w:val="Hyperlnk"/>
            <w:color w:val="000000" w:themeColor="text1"/>
            <w:lang w:val="en-GB"/>
          </w:rPr>
          <w:t>https://husk.tlv.se/</w:t>
        </w:r>
      </w:hyperlink>
      <w:r w:rsidRPr="00C7778F">
        <w:rPr>
          <w:color w:val="000000" w:themeColor="text1"/>
          <w:lang w:val="en-GB"/>
        </w:rPr>
        <w:t xml:space="preserve"> (in Swedish). During the observation period, the Swedish </w:t>
      </w:r>
      <w:r w:rsidR="003636A4" w:rsidRPr="00F623C6">
        <w:rPr>
          <w:lang w:val="en-GB"/>
        </w:rPr>
        <w:t>National Dental Health Register</w:t>
      </w:r>
      <w:r w:rsidR="003636A4" w:rsidRPr="00590268">
        <w:rPr>
          <w:lang w:val="en-GB"/>
        </w:rPr>
        <w:t xml:space="preserve"> </w:t>
      </w:r>
      <w:r w:rsidRPr="00C7778F">
        <w:rPr>
          <w:color w:val="000000" w:themeColor="text1"/>
          <w:lang w:val="en-GB"/>
        </w:rPr>
        <w:t>underwent updates that may influence data interpretation and coding consistency. The study harmonized codes across years to ensure comparability.</w:t>
      </w:r>
    </w:p>
    <w:p w14:paraId="0F852CF6" w14:textId="77777777" w:rsidR="0095500F" w:rsidRPr="00C7778F" w:rsidRDefault="0095500F" w:rsidP="0095500F">
      <w:pPr>
        <w:pStyle w:val="Liststycke"/>
        <w:numPr>
          <w:ilvl w:val="0"/>
          <w:numId w:val="1"/>
        </w:numPr>
        <w:spacing w:line="480" w:lineRule="auto"/>
        <w:jc w:val="both"/>
        <w:rPr>
          <w:color w:val="000000" w:themeColor="text1"/>
          <w:lang w:val="en-GB"/>
        </w:rPr>
      </w:pPr>
      <w:r w:rsidRPr="00AE7A6B">
        <w:rPr>
          <w:b/>
          <w:bCs/>
          <w:color w:val="000000" w:themeColor="text1"/>
          <w:lang w:val="en-GB"/>
        </w:rPr>
        <w:t>2014:</w:t>
      </w:r>
      <w:r w:rsidRPr="00C7778F">
        <w:rPr>
          <w:color w:val="000000" w:themeColor="text1"/>
          <w:lang w:val="en-GB"/>
        </w:rPr>
        <w:t xml:space="preserve"> Insurance coverage for implants in the position of the first molars was introduced; coding and reimbursement rules were updated accordingly.</w:t>
      </w:r>
    </w:p>
    <w:p w14:paraId="031A898D" w14:textId="77777777" w:rsidR="0095500F" w:rsidRPr="00C7778F" w:rsidRDefault="0095500F" w:rsidP="0095500F">
      <w:pPr>
        <w:pStyle w:val="Liststycke"/>
        <w:numPr>
          <w:ilvl w:val="0"/>
          <w:numId w:val="1"/>
        </w:numPr>
        <w:spacing w:line="480" w:lineRule="auto"/>
        <w:jc w:val="both"/>
        <w:rPr>
          <w:color w:val="000000" w:themeColor="text1"/>
          <w:lang w:val="en-GB"/>
        </w:rPr>
      </w:pPr>
      <w:r w:rsidRPr="00AE7A6B">
        <w:rPr>
          <w:b/>
          <w:bCs/>
          <w:color w:val="000000" w:themeColor="text1"/>
          <w:lang w:val="en-GB"/>
        </w:rPr>
        <w:t>2017:</w:t>
      </w:r>
      <w:r w:rsidRPr="00C7778F">
        <w:rPr>
          <w:color w:val="000000" w:themeColor="text1"/>
          <w:lang w:val="en-GB"/>
        </w:rPr>
        <w:t xml:space="preserve"> The upper age limit for free dental care was extended from 19 to 23 years, temporarily excluding individuals aged 19–23 from the register.</w:t>
      </w:r>
    </w:p>
    <w:p w14:paraId="2C1B91D5" w14:textId="77777777" w:rsidR="0095500F" w:rsidRPr="00C7778F" w:rsidRDefault="0095500F" w:rsidP="0095500F">
      <w:pPr>
        <w:pStyle w:val="Liststycke"/>
        <w:numPr>
          <w:ilvl w:val="0"/>
          <w:numId w:val="1"/>
        </w:numPr>
        <w:spacing w:line="480" w:lineRule="auto"/>
        <w:jc w:val="both"/>
        <w:rPr>
          <w:color w:val="000000" w:themeColor="text1"/>
          <w:lang w:val="en-GB"/>
        </w:rPr>
      </w:pPr>
      <w:r w:rsidRPr="00AE7A6B">
        <w:rPr>
          <w:b/>
          <w:bCs/>
          <w:color w:val="000000" w:themeColor="text1"/>
          <w:lang w:val="en-GB"/>
        </w:rPr>
        <w:t>Additional refinements:</w:t>
      </w:r>
      <w:r w:rsidRPr="00C7778F">
        <w:rPr>
          <w:color w:val="000000" w:themeColor="text1"/>
          <w:lang w:val="en-GB"/>
        </w:rPr>
        <w:t xml:space="preserve"> Selected codes were discontinued or introduced and treatment categories adjusted to align with evolving clinical practice and reimbursement policies.</w:t>
      </w:r>
    </w:p>
    <w:p w14:paraId="38B66748" w14:textId="20815100" w:rsidR="0095500F" w:rsidRPr="00C7778F" w:rsidRDefault="0095500F" w:rsidP="0095500F">
      <w:pPr>
        <w:spacing w:line="480" w:lineRule="auto"/>
        <w:jc w:val="both"/>
        <w:rPr>
          <w:color w:val="000000" w:themeColor="text1"/>
          <w:lang w:val="en-GB"/>
        </w:rPr>
      </w:pPr>
      <w:r w:rsidRPr="00C7778F">
        <w:rPr>
          <w:color w:val="000000" w:themeColor="text1"/>
          <w:lang w:val="en-GB"/>
        </w:rPr>
        <w:t>All changes were documented and accounted for during data cleaning. Analyses were restricted to codes consistently available throughout the study period.</w:t>
      </w:r>
    </w:p>
    <w:p w14:paraId="48A509E6" w14:textId="77777777" w:rsidR="0095500F" w:rsidRPr="00AE7A6B" w:rsidRDefault="0095500F" w:rsidP="0095500F">
      <w:pPr>
        <w:spacing w:line="480" w:lineRule="auto"/>
        <w:jc w:val="both"/>
        <w:rPr>
          <w:b/>
          <w:bCs/>
          <w:color w:val="000000" w:themeColor="text1"/>
          <w:lang w:val="en-GB"/>
        </w:rPr>
      </w:pPr>
    </w:p>
    <w:p w14:paraId="7E79A719" w14:textId="22FAA876" w:rsidR="0095500F" w:rsidRPr="00AE7A6B" w:rsidRDefault="0095500F" w:rsidP="0095500F">
      <w:pPr>
        <w:pStyle w:val="SupplementHeading"/>
        <w:rPr>
          <w:rFonts w:ascii="Times New Roman" w:hAnsi="Times New Roman" w:cs="Times New Roman"/>
          <w:color w:val="000000" w:themeColor="text1"/>
          <w:sz w:val="24"/>
          <w:szCs w:val="24"/>
        </w:rPr>
      </w:pPr>
      <w:r w:rsidRPr="00AE7A6B">
        <w:rPr>
          <w:rFonts w:ascii="Times New Roman" w:hAnsi="Times New Roman" w:cs="Times New Roman"/>
          <w:color w:val="000000" w:themeColor="text1"/>
          <w:sz w:val="24"/>
          <w:szCs w:val="24"/>
        </w:rPr>
        <w:t xml:space="preserve">2. Coding transparency and </w:t>
      </w:r>
      <w:r w:rsidR="004A2494">
        <w:rPr>
          <w:rFonts w:ascii="Times New Roman" w:hAnsi="Times New Roman" w:cs="Times New Roman"/>
          <w:color w:val="000000" w:themeColor="text1"/>
          <w:sz w:val="24"/>
          <w:szCs w:val="24"/>
        </w:rPr>
        <w:t xml:space="preserve">National </w:t>
      </w:r>
      <w:r w:rsidR="000B7678">
        <w:rPr>
          <w:rFonts w:ascii="Times New Roman" w:hAnsi="Times New Roman" w:cs="Times New Roman"/>
          <w:color w:val="000000" w:themeColor="text1"/>
          <w:sz w:val="24"/>
          <w:szCs w:val="24"/>
        </w:rPr>
        <w:t>Dental Health Register</w:t>
      </w:r>
      <w:r w:rsidRPr="00AE7A6B">
        <w:rPr>
          <w:rFonts w:ascii="Times New Roman" w:hAnsi="Times New Roman" w:cs="Times New Roman"/>
          <w:color w:val="000000" w:themeColor="text1"/>
          <w:sz w:val="24"/>
          <w:szCs w:val="24"/>
        </w:rPr>
        <w:t xml:space="preserve"> code list (Supplementary Table S1)</w:t>
      </w:r>
    </w:p>
    <w:p w14:paraId="1C0C7587" w14:textId="77777777" w:rsidR="0095500F" w:rsidRPr="00AE7A6B" w:rsidRDefault="0095500F" w:rsidP="0095500F">
      <w:pPr>
        <w:spacing w:line="480" w:lineRule="auto"/>
        <w:jc w:val="both"/>
        <w:rPr>
          <w:color w:val="000000" w:themeColor="text1"/>
          <w:lang w:val="en-GB"/>
        </w:rPr>
      </w:pPr>
      <w:r w:rsidRPr="00AE7A6B">
        <w:rPr>
          <w:color w:val="000000" w:themeColor="text1"/>
          <w:lang w:val="en-GB"/>
        </w:rPr>
        <w:t>A complete list of diagnostic and treatment codes used in this study (including those for external cervical root resorption (ECRR), implant placement, implant removal, prosthetic restorations, bone augmentation, and proxy indicators for implant failure) is provided below as Supplementary Table S1. The table also notes any code changes and their effective dates when relevant.</w:t>
      </w:r>
    </w:p>
    <w:p w14:paraId="250570DF" w14:textId="77777777" w:rsidR="0095500F" w:rsidRPr="00397D5D" w:rsidRDefault="0095500F" w:rsidP="0095500F">
      <w:pPr>
        <w:spacing w:line="480" w:lineRule="auto"/>
        <w:jc w:val="both"/>
        <w:rPr>
          <w:color w:val="000000" w:themeColor="text1"/>
          <w:lang w:val="en-GB"/>
        </w:rPr>
      </w:pPr>
      <w:r w:rsidRPr="00397D5D">
        <w:rPr>
          <w:color w:val="000000" w:themeColor="text1"/>
          <w:lang w:val="en-GB"/>
        </w:rPr>
        <w:t>Table S1. Complete list of diagnostic and treatment codes with descriptions and notes</w:t>
      </w:r>
    </w:p>
    <w:tbl>
      <w:tblPr>
        <w:tblW w:w="0" w:type="auto"/>
        <w:tblLook w:val="04A0" w:firstRow="1" w:lastRow="0" w:firstColumn="1" w:lastColumn="0" w:noHBand="0" w:noVBand="1"/>
      </w:tblPr>
      <w:tblGrid>
        <w:gridCol w:w="2552"/>
        <w:gridCol w:w="1768"/>
        <w:gridCol w:w="2160"/>
        <w:gridCol w:w="2160"/>
      </w:tblGrid>
      <w:tr w:rsidR="0095500F" w:rsidRPr="00C7778F" w14:paraId="49E65331" w14:textId="77777777" w:rsidTr="004629CB">
        <w:trPr>
          <w:trHeight w:val="454"/>
        </w:trPr>
        <w:tc>
          <w:tcPr>
            <w:tcW w:w="2552" w:type="dxa"/>
            <w:tcBorders>
              <w:top w:val="single" w:sz="4" w:space="0" w:color="auto"/>
              <w:bottom w:val="single" w:sz="8" w:space="0" w:color="auto"/>
            </w:tcBorders>
            <w:vAlign w:val="center"/>
          </w:tcPr>
          <w:p w14:paraId="5CC7D0A9" w14:textId="77777777" w:rsidR="0095500F" w:rsidRPr="00AE7A6B" w:rsidRDefault="0095500F" w:rsidP="004629CB">
            <w:pPr>
              <w:rPr>
                <w:b/>
                <w:bCs/>
                <w:color w:val="000000" w:themeColor="text1"/>
                <w:sz w:val="20"/>
                <w:szCs w:val="20"/>
                <w:lang w:val="en-GB"/>
              </w:rPr>
            </w:pPr>
            <w:r w:rsidRPr="00AE7A6B">
              <w:rPr>
                <w:b/>
                <w:bCs/>
                <w:color w:val="000000" w:themeColor="text1"/>
                <w:sz w:val="20"/>
                <w:szCs w:val="20"/>
                <w:lang w:val="en-GB"/>
              </w:rPr>
              <w:t>Category</w:t>
            </w:r>
          </w:p>
        </w:tc>
        <w:tc>
          <w:tcPr>
            <w:tcW w:w="1768" w:type="dxa"/>
            <w:tcBorders>
              <w:top w:val="single" w:sz="4" w:space="0" w:color="auto"/>
              <w:bottom w:val="single" w:sz="8" w:space="0" w:color="auto"/>
            </w:tcBorders>
            <w:vAlign w:val="center"/>
          </w:tcPr>
          <w:p w14:paraId="789CBF54" w14:textId="151B1E8A" w:rsidR="0095500F" w:rsidRPr="00AE7A6B" w:rsidRDefault="0095500F" w:rsidP="004629CB">
            <w:pPr>
              <w:jc w:val="center"/>
              <w:rPr>
                <w:b/>
                <w:bCs/>
                <w:color w:val="000000" w:themeColor="text1"/>
                <w:sz w:val="20"/>
                <w:szCs w:val="20"/>
                <w:lang w:val="en-GB"/>
              </w:rPr>
            </w:pPr>
            <w:r w:rsidRPr="00AE7A6B">
              <w:rPr>
                <w:b/>
                <w:bCs/>
                <w:color w:val="000000" w:themeColor="text1"/>
                <w:sz w:val="20"/>
                <w:szCs w:val="20"/>
                <w:lang w:val="en-GB"/>
              </w:rPr>
              <w:t>Code</w:t>
            </w:r>
          </w:p>
        </w:tc>
        <w:tc>
          <w:tcPr>
            <w:tcW w:w="2160" w:type="dxa"/>
            <w:tcBorders>
              <w:top w:val="single" w:sz="4" w:space="0" w:color="auto"/>
              <w:bottom w:val="single" w:sz="8" w:space="0" w:color="auto"/>
            </w:tcBorders>
            <w:vAlign w:val="center"/>
          </w:tcPr>
          <w:p w14:paraId="3064F4D9" w14:textId="30557B29" w:rsidR="0095500F" w:rsidRPr="00AE7A6B" w:rsidRDefault="0095500F" w:rsidP="004629CB">
            <w:pPr>
              <w:rPr>
                <w:b/>
                <w:bCs/>
                <w:color w:val="000000" w:themeColor="text1"/>
                <w:sz w:val="20"/>
                <w:szCs w:val="20"/>
                <w:lang w:val="en-GB"/>
              </w:rPr>
            </w:pPr>
            <w:r w:rsidRPr="00AE7A6B">
              <w:rPr>
                <w:b/>
                <w:bCs/>
                <w:color w:val="000000" w:themeColor="text1"/>
                <w:sz w:val="20"/>
                <w:szCs w:val="20"/>
                <w:lang w:val="en-GB"/>
              </w:rPr>
              <w:t>Description</w:t>
            </w:r>
          </w:p>
        </w:tc>
        <w:tc>
          <w:tcPr>
            <w:tcW w:w="2160" w:type="dxa"/>
            <w:tcBorders>
              <w:top w:val="single" w:sz="4" w:space="0" w:color="auto"/>
              <w:bottom w:val="single" w:sz="8" w:space="0" w:color="auto"/>
            </w:tcBorders>
            <w:vAlign w:val="center"/>
          </w:tcPr>
          <w:p w14:paraId="2C120213" w14:textId="77777777" w:rsidR="0095500F" w:rsidRPr="00AE7A6B" w:rsidRDefault="0095500F" w:rsidP="004629CB">
            <w:pPr>
              <w:rPr>
                <w:b/>
                <w:bCs/>
                <w:color w:val="000000" w:themeColor="text1"/>
                <w:sz w:val="20"/>
                <w:szCs w:val="20"/>
                <w:lang w:val="en-GB"/>
              </w:rPr>
            </w:pPr>
            <w:r w:rsidRPr="00AE7A6B">
              <w:rPr>
                <w:b/>
                <w:bCs/>
                <w:color w:val="000000" w:themeColor="text1"/>
                <w:sz w:val="20"/>
                <w:szCs w:val="20"/>
                <w:lang w:val="en-GB"/>
              </w:rPr>
              <w:t>Notes</w:t>
            </w:r>
          </w:p>
        </w:tc>
      </w:tr>
      <w:tr w:rsidR="0095500F" w:rsidRPr="00F97366" w14:paraId="3679E9C1" w14:textId="77777777" w:rsidTr="004629CB">
        <w:trPr>
          <w:trHeight w:val="1644"/>
        </w:trPr>
        <w:tc>
          <w:tcPr>
            <w:tcW w:w="2552" w:type="dxa"/>
            <w:tcBorders>
              <w:top w:val="single" w:sz="8" w:space="0" w:color="auto"/>
              <w:bottom w:val="single" w:sz="4" w:space="0" w:color="auto"/>
            </w:tcBorders>
          </w:tcPr>
          <w:p w14:paraId="241252CC" w14:textId="77777777" w:rsidR="0095500F" w:rsidRPr="00AE7A6B" w:rsidRDefault="0095500F" w:rsidP="004629CB">
            <w:pPr>
              <w:rPr>
                <w:i/>
                <w:iCs/>
                <w:color w:val="000000" w:themeColor="text1"/>
                <w:sz w:val="20"/>
                <w:szCs w:val="20"/>
                <w:lang w:val="en-GB"/>
              </w:rPr>
            </w:pPr>
            <w:r w:rsidRPr="00AE7A6B">
              <w:rPr>
                <w:i/>
                <w:iCs/>
                <w:color w:val="000000" w:themeColor="text1"/>
                <w:sz w:val="20"/>
                <w:szCs w:val="20"/>
                <w:lang w:val="en-GB"/>
              </w:rPr>
              <w:lastRenderedPageBreak/>
              <w:t>Diagnosis</w:t>
            </w:r>
          </w:p>
        </w:tc>
        <w:tc>
          <w:tcPr>
            <w:tcW w:w="1768" w:type="dxa"/>
            <w:tcBorders>
              <w:top w:val="single" w:sz="8" w:space="0" w:color="auto"/>
              <w:bottom w:val="single" w:sz="4" w:space="0" w:color="auto"/>
            </w:tcBorders>
            <w:vAlign w:val="center"/>
          </w:tcPr>
          <w:p w14:paraId="6DFF2756" w14:textId="77777777" w:rsidR="0095500F" w:rsidRPr="00AE7A6B" w:rsidRDefault="0095500F" w:rsidP="004629CB">
            <w:pPr>
              <w:jc w:val="center"/>
              <w:rPr>
                <w:color w:val="000000" w:themeColor="text1"/>
                <w:sz w:val="20"/>
                <w:szCs w:val="20"/>
                <w:lang w:val="en-GB"/>
              </w:rPr>
            </w:pPr>
            <w:r w:rsidRPr="00AE7A6B">
              <w:rPr>
                <w:color w:val="000000" w:themeColor="text1"/>
                <w:sz w:val="20"/>
                <w:szCs w:val="20"/>
                <w:lang w:val="en-GB"/>
              </w:rPr>
              <w:t>4074</w:t>
            </w:r>
          </w:p>
        </w:tc>
        <w:tc>
          <w:tcPr>
            <w:tcW w:w="2160" w:type="dxa"/>
            <w:tcBorders>
              <w:top w:val="single" w:sz="8" w:space="0" w:color="auto"/>
              <w:bottom w:val="single" w:sz="4" w:space="0" w:color="auto"/>
            </w:tcBorders>
            <w:vAlign w:val="center"/>
          </w:tcPr>
          <w:p w14:paraId="7094F62A" w14:textId="77777777" w:rsidR="0095500F" w:rsidRPr="00AE7A6B" w:rsidRDefault="0095500F" w:rsidP="004629CB">
            <w:pPr>
              <w:rPr>
                <w:color w:val="000000" w:themeColor="text1"/>
                <w:sz w:val="20"/>
                <w:szCs w:val="20"/>
                <w:lang w:val="en-GB"/>
              </w:rPr>
            </w:pPr>
            <w:r w:rsidRPr="00AE7A6B">
              <w:rPr>
                <w:color w:val="000000" w:themeColor="text1"/>
                <w:sz w:val="20"/>
                <w:szCs w:val="20"/>
                <w:lang w:val="en-GB"/>
              </w:rPr>
              <w:t>Cavity due to external resorption</w:t>
            </w:r>
          </w:p>
        </w:tc>
        <w:tc>
          <w:tcPr>
            <w:tcW w:w="2160" w:type="dxa"/>
            <w:tcBorders>
              <w:top w:val="single" w:sz="8" w:space="0" w:color="auto"/>
              <w:bottom w:val="single" w:sz="4" w:space="0" w:color="auto"/>
            </w:tcBorders>
            <w:vAlign w:val="center"/>
          </w:tcPr>
          <w:p w14:paraId="1DB4A711" w14:textId="77777777" w:rsidR="0095500F" w:rsidRPr="00AE7A6B" w:rsidRDefault="0095500F" w:rsidP="004629CB">
            <w:pPr>
              <w:rPr>
                <w:color w:val="000000" w:themeColor="text1"/>
                <w:sz w:val="20"/>
                <w:szCs w:val="20"/>
                <w:lang w:val="en-GB"/>
              </w:rPr>
            </w:pPr>
            <w:r w:rsidRPr="00AE7A6B">
              <w:rPr>
                <w:color w:val="000000" w:themeColor="text1"/>
                <w:sz w:val="20"/>
                <w:szCs w:val="20"/>
                <w:lang w:val="en-GB"/>
              </w:rPr>
              <w:t>Permits only filling therapies or surgical procedures for fillings/extractions; implies ECRR since other external resorptions do not match the permitted treatments.</w:t>
            </w:r>
          </w:p>
        </w:tc>
      </w:tr>
      <w:tr w:rsidR="0095500F" w:rsidRPr="00F97366" w14:paraId="428A1CA0" w14:textId="77777777" w:rsidTr="004629CB">
        <w:trPr>
          <w:trHeight w:val="1644"/>
        </w:trPr>
        <w:tc>
          <w:tcPr>
            <w:tcW w:w="2552" w:type="dxa"/>
            <w:tcBorders>
              <w:top w:val="single" w:sz="4" w:space="0" w:color="auto"/>
            </w:tcBorders>
          </w:tcPr>
          <w:p w14:paraId="7E095BE3" w14:textId="77777777" w:rsidR="0095500F" w:rsidRPr="00AE7A6B" w:rsidRDefault="0095500F" w:rsidP="004629CB">
            <w:pPr>
              <w:rPr>
                <w:i/>
                <w:iCs/>
                <w:color w:val="000000" w:themeColor="text1"/>
                <w:sz w:val="20"/>
                <w:szCs w:val="20"/>
                <w:lang w:val="en-GB"/>
              </w:rPr>
            </w:pPr>
            <w:r w:rsidRPr="00AE7A6B">
              <w:rPr>
                <w:i/>
                <w:iCs/>
                <w:color w:val="000000" w:themeColor="text1"/>
                <w:sz w:val="20"/>
                <w:szCs w:val="20"/>
                <w:lang w:val="en-GB"/>
              </w:rPr>
              <w:t>Implant placement</w:t>
            </w:r>
          </w:p>
        </w:tc>
        <w:tc>
          <w:tcPr>
            <w:tcW w:w="1768" w:type="dxa"/>
            <w:tcBorders>
              <w:top w:val="single" w:sz="4" w:space="0" w:color="auto"/>
            </w:tcBorders>
            <w:vAlign w:val="center"/>
          </w:tcPr>
          <w:p w14:paraId="48171E4F" w14:textId="77777777" w:rsidR="0095500F" w:rsidRPr="00AE7A6B" w:rsidRDefault="0095500F" w:rsidP="004629CB">
            <w:pPr>
              <w:jc w:val="center"/>
              <w:rPr>
                <w:color w:val="000000" w:themeColor="text1"/>
                <w:sz w:val="20"/>
                <w:szCs w:val="20"/>
                <w:lang w:val="en-GB"/>
              </w:rPr>
            </w:pPr>
            <w:r w:rsidRPr="00AE7A6B">
              <w:rPr>
                <w:color w:val="000000" w:themeColor="text1"/>
                <w:sz w:val="20"/>
                <w:szCs w:val="20"/>
                <w:lang w:val="en-GB"/>
              </w:rPr>
              <w:t>420</w:t>
            </w:r>
          </w:p>
        </w:tc>
        <w:tc>
          <w:tcPr>
            <w:tcW w:w="2160" w:type="dxa"/>
            <w:tcBorders>
              <w:top w:val="single" w:sz="4" w:space="0" w:color="auto"/>
            </w:tcBorders>
            <w:vAlign w:val="center"/>
          </w:tcPr>
          <w:p w14:paraId="39F28681" w14:textId="77777777" w:rsidR="0095500F" w:rsidRPr="00AE7A6B" w:rsidRDefault="0095500F" w:rsidP="004629CB">
            <w:pPr>
              <w:rPr>
                <w:color w:val="000000" w:themeColor="text1"/>
                <w:sz w:val="20"/>
                <w:szCs w:val="20"/>
                <w:lang w:val="en-GB"/>
              </w:rPr>
            </w:pPr>
            <w:r w:rsidRPr="00AE7A6B">
              <w:rPr>
                <w:color w:val="000000" w:themeColor="text1"/>
                <w:sz w:val="20"/>
                <w:szCs w:val="20"/>
                <w:lang w:val="en-GB"/>
              </w:rPr>
              <w:t>Implant, per unit, additional procedure</w:t>
            </w:r>
          </w:p>
        </w:tc>
        <w:tc>
          <w:tcPr>
            <w:tcW w:w="2160" w:type="dxa"/>
            <w:tcBorders>
              <w:top w:val="single" w:sz="4" w:space="0" w:color="auto"/>
            </w:tcBorders>
            <w:vAlign w:val="center"/>
          </w:tcPr>
          <w:p w14:paraId="281ED97B" w14:textId="77777777" w:rsidR="0095500F" w:rsidRPr="00AE7A6B" w:rsidRDefault="0095500F" w:rsidP="004629CB">
            <w:pPr>
              <w:rPr>
                <w:color w:val="000000" w:themeColor="text1"/>
                <w:sz w:val="20"/>
                <w:szCs w:val="20"/>
                <w:lang w:val="en-GB"/>
              </w:rPr>
            </w:pPr>
          </w:p>
        </w:tc>
      </w:tr>
      <w:tr w:rsidR="0095500F" w:rsidRPr="00F97366" w14:paraId="17308F43" w14:textId="77777777" w:rsidTr="004629CB">
        <w:trPr>
          <w:trHeight w:val="1644"/>
        </w:trPr>
        <w:tc>
          <w:tcPr>
            <w:tcW w:w="2552" w:type="dxa"/>
          </w:tcPr>
          <w:p w14:paraId="4778F0E7" w14:textId="77777777" w:rsidR="0095500F" w:rsidRPr="00AE7A6B" w:rsidRDefault="0095500F" w:rsidP="004629CB">
            <w:pPr>
              <w:rPr>
                <w:color w:val="000000" w:themeColor="text1"/>
                <w:sz w:val="20"/>
                <w:szCs w:val="20"/>
                <w:lang w:val="en-GB"/>
              </w:rPr>
            </w:pPr>
          </w:p>
        </w:tc>
        <w:tc>
          <w:tcPr>
            <w:tcW w:w="1768" w:type="dxa"/>
            <w:vAlign w:val="center"/>
          </w:tcPr>
          <w:p w14:paraId="05BEB267" w14:textId="77777777" w:rsidR="0095500F" w:rsidRPr="00AE7A6B" w:rsidRDefault="0095500F" w:rsidP="004629CB">
            <w:pPr>
              <w:jc w:val="center"/>
              <w:rPr>
                <w:color w:val="000000" w:themeColor="text1"/>
                <w:sz w:val="20"/>
                <w:szCs w:val="20"/>
                <w:lang w:val="en-GB"/>
              </w:rPr>
            </w:pPr>
            <w:r w:rsidRPr="00AE7A6B">
              <w:rPr>
                <w:color w:val="000000" w:themeColor="text1"/>
                <w:sz w:val="20"/>
                <w:szCs w:val="20"/>
                <w:lang w:val="en-GB"/>
              </w:rPr>
              <w:t>421</w:t>
            </w:r>
          </w:p>
        </w:tc>
        <w:tc>
          <w:tcPr>
            <w:tcW w:w="2160" w:type="dxa"/>
            <w:vAlign w:val="center"/>
          </w:tcPr>
          <w:p w14:paraId="7FCEBCC8" w14:textId="77777777" w:rsidR="0095500F" w:rsidRPr="00AE7A6B" w:rsidRDefault="0095500F" w:rsidP="004629CB">
            <w:pPr>
              <w:rPr>
                <w:color w:val="000000" w:themeColor="text1"/>
                <w:sz w:val="20"/>
                <w:szCs w:val="20"/>
                <w:lang w:val="en-GB"/>
              </w:rPr>
            </w:pPr>
            <w:r w:rsidRPr="00AE7A6B">
              <w:rPr>
                <w:color w:val="000000" w:themeColor="text1"/>
                <w:sz w:val="20"/>
                <w:szCs w:val="20"/>
                <w:lang w:val="en-GB"/>
              </w:rPr>
              <w:t>Surgery concerning a jawbone-anchored implant, one implant</w:t>
            </w:r>
          </w:p>
        </w:tc>
        <w:tc>
          <w:tcPr>
            <w:tcW w:w="2160" w:type="dxa"/>
            <w:vAlign w:val="center"/>
          </w:tcPr>
          <w:p w14:paraId="392D3AAB" w14:textId="77777777" w:rsidR="0095500F" w:rsidRPr="00AE7A6B" w:rsidRDefault="0095500F" w:rsidP="004629CB">
            <w:pPr>
              <w:rPr>
                <w:color w:val="000000" w:themeColor="text1"/>
                <w:sz w:val="20"/>
                <w:szCs w:val="20"/>
                <w:lang w:val="en-GB"/>
              </w:rPr>
            </w:pPr>
            <w:r w:rsidRPr="00AE7A6B">
              <w:rPr>
                <w:color w:val="000000" w:themeColor="text1"/>
                <w:sz w:val="20"/>
                <w:szCs w:val="20"/>
                <w:lang w:val="en-GB"/>
              </w:rPr>
              <w:t>Introduction of implant codes for first molars in 2014.</w:t>
            </w:r>
          </w:p>
        </w:tc>
      </w:tr>
      <w:tr w:rsidR="0095500F" w:rsidRPr="00F97366" w14:paraId="04DDAFA2" w14:textId="77777777" w:rsidTr="004629CB">
        <w:trPr>
          <w:trHeight w:val="1644"/>
        </w:trPr>
        <w:tc>
          <w:tcPr>
            <w:tcW w:w="2552" w:type="dxa"/>
            <w:tcBorders>
              <w:bottom w:val="single" w:sz="4" w:space="0" w:color="auto"/>
            </w:tcBorders>
          </w:tcPr>
          <w:p w14:paraId="3CF4A859" w14:textId="77777777" w:rsidR="0095500F" w:rsidRPr="00AE7A6B" w:rsidRDefault="0095500F" w:rsidP="004629CB">
            <w:pPr>
              <w:rPr>
                <w:color w:val="000000" w:themeColor="text1"/>
                <w:sz w:val="20"/>
                <w:szCs w:val="20"/>
                <w:lang w:val="en-GB"/>
              </w:rPr>
            </w:pPr>
          </w:p>
        </w:tc>
        <w:tc>
          <w:tcPr>
            <w:tcW w:w="1768" w:type="dxa"/>
            <w:tcBorders>
              <w:bottom w:val="single" w:sz="4" w:space="0" w:color="auto"/>
            </w:tcBorders>
            <w:vAlign w:val="center"/>
          </w:tcPr>
          <w:p w14:paraId="10EB4237" w14:textId="77777777" w:rsidR="0095500F" w:rsidRPr="00AE7A6B" w:rsidRDefault="0095500F" w:rsidP="004629CB">
            <w:pPr>
              <w:jc w:val="center"/>
              <w:rPr>
                <w:color w:val="000000" w:themeColor="text1"/>
                <w:sz w:val="20"/>
                <w:szCs w:val="20"/>
                <w:lang w:val="en-GB"/>
              </w:rPr>
            </w:pPr>
            <w:r w:rsidRPr="00AE7A6B">
              <w:rPr>
                <w:color w:val="000000" w:themeColor="text1"/>
                <w:sz w:val="20"/>
                <w:szCs w:val="20"/>
                <w:lang w:val="en-GB"/>
              </w:rPr>
              <w:t>925</w:t>
            </w:r>
          </w:p>
        </w:tc>
        <w:tc>
          <w:tcPr>
            <w:tcW w:w="2160" w:type="dxa"/>
            <w:tcBorders>
              <w:bottom w:val="single" w:sz="4" w:space="0" w:color="auto"/>
            </w:tcBorders>
            <w:vAlign w:val="center"/>
          </w:tcPr>
          <w:p w14:paraId="2C57F054" w14:textId="77777777" w:rsidR="0095500F" w:rsidRPr="00AE7A6B" w:rsidRDefault="0095500F" w:rsidP="004629CB">
            <w:pPr>
              <w:rPr>
                <w:color w:val="000000" w:themeColor="text1"/>
                <w:sz w:val="20"/>
                <w:szCs w:val="20"/>
                <w:lang w:val="en-GB"/>
              </w:rPr>
            </w:pPr>
            <w:r w:rsidRPr="00AE7A6B">
              <w:rPr>
                <w:color w:val="000000" w:themeColor="text1"/>
                <w:sz w:val="20"/>
                <w:szCs w:val="20"/>
                <w:lang w:val="en-GB"/>
              </w:rPr>
              <w:t>Replacement procedure: implant in a single-tooth gap instead of a tooth-supported bridge, surgical part / implant surgery</w:t>
            </w:r>
          </w:p>
        </w:tc>
        <w:tc>
          <w:tcPr>
            <w:tcW w:w="2160" w:type="dxa"/>
            <w:tcBorders>
              <w:bottom w:val="single" w:sz="4" w:space="0" w:color="auto"/>
            </w:tcBorders>
            <w:vAlign w:val="center"/>
          </w:tcPr>
          <w:p w14:paraId="44AB90C5" w14:textId="77777777" w:rsidR="0095500F" w:rsidRPr="00AE7A6B" w:rsidRDefault="0095500F" w:rsidP="004629CB">
            <w:pPr>
              <w:rPr>
                <w:color w:val="000000" w:themeColor="text1"/>
                <w:sz w:val="20"/>
                <w:szCs w:val="20"/>
                <w:lang w:val="en-GB"/>
              </w:rPr>
            </w:pPr>
            <w:r w:rsidRPr="00AE7A6B">
              <w:rPr>
                <w:color w:val="000000" w:themeColor="text1"/>
                <w:sz w:val="20"/>
                <w:szCs w:val="20"/>
                <w:lang w:val="en-GB"/>
              </w:rPr>
              <w:t>Introduction of implant codes for first molars in 2014.</w:t>
            </w:r>
          </w:p>
        </w:tc>
      </w:tr>
      <w:tr w:rsidR="0095500F" w:rsidRPr="00F97366" w14:paraId="254A8102" w14:textId="77777777" w:rsidTr="004629CB">
        <w:trPr>
          <w:trHeight w:val="1644"/>
        </w:trPr>
        <w:tc>
          <w:tcPr>
            <w:tcW w:w="2552" w:type="dxa"/>
            <w:tcBorders>
              <w:top w:val="single" w:sz="4" w:space="0" w:color="auto"/>
            </w:tcBorders>
          </w:tcPr>
          <w:p w14:paraId="47A79A11" w14:textId="77777777" w:rsidR="0095500F" w:rsidRPr="00AE7A6B" w:rsidRDefault="0095500F" w:rsidP="004629CB">
            <w:pPr>
              <w:rPr>
                <w:i/>
                <w:iCs/>
                <w:color w:val="000000" w:themeColor="text1"/>
                <w:sz w:val="20"/>
                <w:szCs w:val="20"/>
                <w:lang w:val="en-GB"/>
              </w:rPr>
            </w:pPr>
            <w:r w:rsidRPr="00AE7A6B">
              <w:rPr>
                <w:i/>
                <w:iCs/>
                <w:color w:val="000000" w:themeColor="text1"/>
                <w:sz w:val="20"/>
                <w:szCs w:val="20"/>
                <w:lang w:val="en-GB"/>
              </w:rPr>
              <w:t>Implant removal</w:t>
            </w:r>
          </w:p>
        </w:tc>
        <w:tc>
          <w:tcPr>
            <w:tcW w:w="1768" w:type="dxa"/>
            <w:tcBorders>
              <w:top w:val="single" w:sz="4" w:space="0" w:color="auto"/>
            </w:tcBorders>
            <w:vAlign w:val="center"/>
          </w:tcPr>
          <w:p w14:paraId="03CE4B35" w14:textId="77777777" w:rsidR="0095500F" w:rsidRPr="00AE7A6B" w:rsidRDefault="0095500F" w:rsidP="004629CB">
            <w:pPr>
              <w:jc w:val="center"/>
              <w:rPr>
                <w:color w:val="000000" w:themeColor="text1"/>
                <w:sz w:val="20"/>
                <w:szCs w:val="20"/>
                <w:lang w:val="en-GB"/>
              </w:rPr>
            </w:pPr>
            <w:r w:rsidRPr="00AE7A6B">
              <w:rPr>
                <w:color w:val="000000" w:themeColor="text1"/>
                <w:sz w:val="20"/>
                <w:szCs w:val="20"/>
                <w:lang w:val="en-GB"/>
              </w:rPr>
              <w:t>429</w:t>
            </w:r>
          </w:p>
        </w:tc>
        <w:tc>
          <w:tcPr>
            <w:tcW w:w="2160" w:type="dxa"/>
            <w:tcBorders>
              <w:top w:val="single" w:sz="4" w:space="0" w:color="auto"/>
            </w:tcBorders>
            <w:vAlign w:val="center"/>
          </w:tcPr>
          <w:p w14:paraId="1C27D93E" w14:textId="77777777" w:rsidR="0095500F" w:rsidRPr="00AE7A6B" w:rsidRDefault="0095500F" w:rsidP="004629CB">
            <w:pPr>
              <w:rPr>
                <w:color w:val="000000" w:themeColor="text1"/>
                <w:sz w:val="20"/>
                <w:szCs w:val="20"/>
                <w:lang w:val="en-GB"/>
              </w:rPr>
            </w:pPr>
            <w:r w:rsidRPr="00AE7A6B">
              <w:rPr>
                <w:color w:val="000000" w:themeColor="text1"/>
                <w:sz w:val="20"/>
                <w:szCs w:val="20"/>
                <w:lang w:val="en-GB"/>
              </w:rPr>
              <w:t>Surgical removal of an implant</w:t>
            </w:r>
          </w:p>
        </w:tc>
        <w:tc>
          <w:tcPr>
            <w:tcW w:w="2160" w:type="dxa"/>
            <w:tcBorders>
              <w:top w:val="single" w:sz="4" w:space="0" w:color="auto"/>
            </w:tcBorders>
            <w:vAlign w:val="center"/>
          </w:tcPr>
          <w:p w14:paraId="3FC5E0B6" w14:textId="77777777" w:rsidR="0095500F" w:rsidRPr="00AE7A6B" w:rsidRDefault="0095500F" w:rsidP="004629CB">
            <w:pPr>
              <w:rPr>
                <w:color w:val="000000" w:themeColor="text1"/>
                <w:sz w:val="20"/>
                <w:szCs w:val="20"/>
                <w:lang w:val="en-GB"/>
              </w:rPr>
            </w:pPr>
          </w:p>
        </w:tc>
      </w:tr>
      <w:tr w:rsidR="0095500F" w:rsidRPr="00C7778F" w14:paraId="3C69FF83" w14:textId="77777777" w:rsidTr="004629CB">
        <w:trPr>
          <w:trHeight w:val="1644"/>
        </w:trPr>
        <w:tc>
          <w:tcPr>
            <w:tcW w:w="2552" w:type="dxa"/>
          </w:tcPr>
          <w:p w14:paraId="3643E9DE" w14:textId="77777777" w:rsidR="0095500F" w:rsidRPr="00AE7A6B" w:rsidRDefault="0095500F" w:rsidP="004629CB">
            <w:pPr>
              <w:rPr>
                <w:color w:val="000000" w:themeColor="text1"/>
                <w:sz w:val="20"/>
                <w:szCs w:val="20"/>
                <w:lang w:val="en-GB"/>
              </w:rPr>
            </w:pPr>
          </w:p>
        </w:tc>
        <w:tc>
          <w:tcPr>
            <w:tcW w:w="1768" w:type="dxa"/>
            <w:vAlign w:val="center"/>
          </w:tcPr>
          <w:p w14:paraId="666FAFB4" w14:textId="77777777" w:rsidR="0095500F" w:rsidRPr="00AE7A6B" w:rsidRDefault="0095500F" w:rsidP="004629CB">
            <w:pPr>
              <w:jc w:val="center"/>
              <w:rPr>
                <w:color w:val="000000" w:themeColor="text1"/>
                <w:sz w:val="20"/>
                <w:szCs w:val="20"/>
                <w:lang w:val="en-GB"/>
              </w:rPr>
            </w:pPr>
            <w:r w:rsidRPr="00AE7A6B">
              <w:rPr>
                <w:color w:val="000000" w:themeColor="text1"/>
                <w:sz w:val="20"/>
                <w:szCs w:val="20"/>
                <w:lang w:val="en-GB"/>
              </w:rPr>
              <w:t>435</w:t>
            </w:r>
          </w:p>
        </w:tc>
        <w:tc>
          <w:tcPr>
            <w:tcW w:w="2160" w:type="dxa"/>
            <w:vAlign w:val="center"/>
          </w:tcPr>
          <w:p w14:paraId="65B48639" w14:textId="77777777" w:rsidR="0095500F" w:rsidRPr="00AE7A6B" w:rsidRDefault="0095500F" w:rsidP="004629CB">
            <w:pPr>
              <w:rPr>
                <w:color w:val="000000" w:themeColor="text1"/>
                <w:sz w:val="20"/>
                <w:szCs w:val="20"/>
                <w:lang w:val="en-GB"/>
              </w:rPr>
            </w:pPr>
            <w:r w:rsidRPr="00AE7A6B">
              <w:rPr>
                <w:color w:val="000000" w:themeColor="text1"/>
                <w:sz w:val="20"/>
                <w:szCs w:val="20"/>
                <w:lang w:val="en-GB"/>
              </w:rPr>
              <w:t>Removal of an implant</w:t>
            </w:r>
          </w:p>
        </w:tc>
        <w:tc>
          <w:tcPr>
            <w:tcW w:w="2160" w:type="dxa"/>
            <w:vAlign w:val="center"/>
          </w:tcPr>
          <w:p w14:paraId="598E1FE2" w14:textId="77777777" w:rsidR="0095500F" w:rsidRPr="00AE7A6B" w:rsidRDefault="0095500F" w:rsidP="004629CB">
            <w:pPr>
              <w:rPr>
                <w:color w:val="000000" w:themeColor="text1"/>
                <w:sz w:val="20"/>
                <w:szCs w:val="20"/>
                <w:lang w:val="en-GB"/>
              </w:rPr>
            </w:pPr>
            <w:r w:rsidRPr="00AE7A6B">
              <w:rPr>
                <w:color w:val="000000" w:themeColor="text1"/>
                <w:sz w:val="20"/>
                <w:szCs w:val="20"/>
                <w:lang w:val="en-GB"/>
              </w:rPr>
              <w:t>Discontinued in 2022.</w:t>
            </w:r>
          </w:p>
        </w:tc>
      </w:tr>
      <w:tr w:rsidR="0095500F" w:rsidRPr="00F97366" w14:paraId="20EE336A" w14:textId="77777777" w:rsidTr="004629CB">
        <w:trPr>
          <w:trHeight w:val="1644"/>
        </w:trPr>
        <w:tc>
          <w:tcPr>
            <w:tcW w:w="2552" w:type="dxa"/>
          </w:tcPr>
          <w:p w14:paraId="497C1955" w14:textId="77777777" w:rsidR="0095500F" w:rsidRPr="00AE7A6B" w:rsidRDefault="0095500F" w:rsidP="004629CB">
            <w:pPr>
              <w:rPr>
                <w:color w:val="000000" w:themeColor="text1"/>
                <w:sz w:val="20"/>
                <w:szCs w:val="20"/>
                <w:lang w:val="en-GB"/>
              </w:rPr>
            </w:pPr>
          </w:p>
        </w:tc>
        <w:tc>
          <w:tcPr>
            <w:tcW w:w="1768" w:type="dxa"/>
            <w:vAlign w:val="center"/>
          </w:tcPr>
          <w:p w14:paraId="38E4BC6D" w14:textId="77777777" w:rsidR="0095500F" w:rsidRPr="00AE7A6B" w:rsidRDefault="0095500F" w:rsidP="004629CB">
            <w:pPr>
              <w:jc w:val="center"/>
              <w:rPr>
                <w:color w:val="000000" w:themeColor="text1"/>
                <w:sz w:val="20"/>
                <w:szCs w:val="20"/>
                <w:lang w:val="en-GB"/>
              </w:rPr>
            </w:pPr>
            <w:r w:rsidRPr="00AE7A6B">
              <w:rPr>
                <w:color w:val="000000" w:themeColor="text1"/>
                <w:sz w:val="20"/>
                <w:szCs w:val="20"/>
                <w:lang w:val="en-GB"/>
              </w:rPr>
              <w:t>436</w:t>
            </w:r>
          </w:p>
        </w:tc>
        <w:tc>
          <w:tcPr>
            <w:tcW w:w="2160" w:type="dxa"/>
            <w:vAlign w:val="center"/>
          </w:tcPr>
          <w:p w14:paraId="3A1D86AD" w14:textId="77777777" w:rsidR="0095500F" w:rsidRPr="00AE7A6B" w:rsidRDefault="0095500F" w:rsidP="004629CB">
            <w:pPr>
              <w:rPr>
                <w:color w:val="000000" w:themeColor="text1"/>
                <w:sz w:val="20"/>
                <w:szCs w:val="20"/>
                <w:lang w:val="en-GB"/>
              </w:rPr>
            </w:pPr>
            <w:r w:rsidRPr="00AE7A6B">
              <w:rPr>
                <w:color w:val="000000" w:themeColor="text1"/>
                <w:sz w:val="20"/>
                <w:szCs w:val="20"/>
                <w:lang w:val="en-GB"/>
              </w:rPr>
              <w:t>Removal of an implant</w:t>
            </w:r>
          </w:p>
        </w:tc>
        <w:tc>
          <w:tcPr>
            <w:tcW w:w="2160" w:type="dxa"/>
            <w:vAlign w:val="center"/>
          </w:tcPr>
          <w:p w14:paraId="19C475F7" w14:textId="77777777" w:rsidR="0095500F" w:rsidRPr="00AE7A6B" w:rsidRDefault="0095500F" w:rsidP="004629CB">
            <w:pPr>
              <w:rPr>
                <w:color w:val="000000" w:themeColor="text1"/>
                <w:sz w:val="20"/>
                <w:szCs w:val="20"/>
                <w:lang w:val="en-GB"/>
              </w:rPr>
            </w:pPr>
            <w:r w:rsidRPr="00AE7A6B">
              <w:rPr>
                <w:color w:val="000000" w:themeColor="text1"/>
                <w:sz w:val="20"/>
                <w:szCs w:val="20"/>
                <w:lang w:val="en-GB"/>
              </w:rPr>
              <w:t>Prior to 2022, recorded as “easy implant removal.”</w:t>
            </w:r>
          </w:p>
        </w:tc>
      </w:tr>
      <w:tr w:rsidR="0095500F" w:rsidRPr="00F97366" w14:paraId="48EB79D2" w14:textId="77777777" w:rsidTr="004629CB">
        <w:trPr>
          <w:trHeight w:val="1644"/>
        </w:trPr>
        <w:tc>
          <w:tcPr>
            <w:tcW w:w="2552" w:type="dxa"/>
            <w:tcBorders>
              <w:bottom w:val="single" w:sz="4" w:space="0" w:color="auto"/>
            </w:tcBorders>
          </w:tcPr>
          <w:p w14:paraId="6D372333" w14:textId="77777777" w:rsidR="0095500F" w:rsidRPr="00AE7A6B" w:rsidRDefault="0095500F" w:rsidP="004629CB">
            <w:pPr>
              <w:rPr>
                <w:color w:val="000000" w:themeColor="text1"/>
                <w:sz w:val="20"/>
                <w:szCs w:val="20"/>
                <w:lang w:val="en-GB"/>
              </w:rPr>
            </w:pPr>
          </w:p>
        </w:tc>
        <w:tc>
          <w:tcPr>
            <w:tcW w:w="1768" w:type="dxa"/>
            <w:tcBorders>
              <w:bottom w:val="single" w:sz="4" w:space="0" w:color="auto"/>
            </w:tcBorders>
            <w:vAlign w:val="center"/>
          </w:tcPr>
          <w:p w14:paraId="774E567B" w14:textId="77777777" w:rsidR="0095500F" w:rsidRPr="00AE7A6B" w:rsidRDefault="0095500F" w:rsidP="004629CB">
            <w:pPr>
              <w:jc w:val="center"/>
              <w:rPr>
                <w:color w:val="000000" w:themeColor="text1"/>
                <w:sz w:val="20"/>
                <w:szCs w:val="20"/>
                <w:lang w:val="en-GB"/>
              </w:rPr>
            </w:pPr>
            <w:r w:rsidRPr="00AE7A6B">
              <w:rPr>
                <w:color w:val="000000" w:themeColor="text1"/>
                <w:sz w:val="20"/>
                <w:szCs w:val="20"/>
                <w:lang w:val="en-GB"/>
              </w:rPr>
              <w:t>404</w:t>
            </w:r>
          </w:p>
        </w:tc>
        <w:tc>
          <w:tcPr>
            <w:tcW w:w="2160" w:type="dxa"/>
            <w:tcBorders>
              <w:bottom w:val="single" w:sz="4" w:space="0" w:color="auto"/>
            </w:tcBorders>
            <w:vAlign w:val="center"/>
          </w:tcPr>
          <w:p w14:paraId="1358AFBC" w14:textId="77777777" w:rsidR="0095500F" w:rsidRPr="00AE7A6B" w:rsidRDefault="0095500F" w:rsidP="004629CB">
            <w:pPr>
              <w:rPr>
                <w:color w:val="000000" w:themeColor="text1"/>
                <w:sz w:val="20"/>
                <w:szCs w:val="20"/>
                <w:lang w:val="en-GB"/>
              </w:rPr>
            </w:pPr>
            <w:r w:rsidRPr="00AE7A6B">
              <w:rPr>
                <w:color w:val="000000" w:themeColor="text1"/>
                <w:sz w:val="20"/>
                <w:szCs w:val="20"/>
                <w:lang w:val="en-GB"/>
              </w:rPr>
              <w:t>Surgical removal of multiple teeth or other tissue in the same quadrant</w:t>
            </w:r>
          </w:p>
        </w:tc>
        <w:tc>
          <w:tcPr>
            <w:tcW w:w="2160" w:type="dxa"/>
            <w:tcBorders>
              <w:bottom w:val="single" w:sz="4" w:space="0" w:color="auto"/>
            </w:tcBorders>
            <w:vAlign w:val="center"/>
          </w:tcPr>
          <w:p w14:paraId="4C5A8D4C" w14:textId="77777777" w:rsidR="0095500F" w:rsidRPr="00AE7A6B" w:rsidRDefault="0095500F" w:rsidP="004629CB">
            <w:pPr>
              <w:rPr>
                <w:color w:val="000000" w:themeColor="text1"/>
                <w:sz w:val="20"/>
                <w:szCs w:val="20"/>
                <w:lang w:val="en-GB"/>
              </w:rPr>
            </w:pPr>
            <w:r w:rsidRPr="00AE7A6B">
              <w:rPr>
                <w:color w:val="000000" w:themeColor="text1"/>
                <w:sz w:val="20"/>
                <w:szCs w:val="20"/>
                <w:lang w:val="en-GB"/>
              </w:rPr>
              <w:t>Two cases (one per group) were considered true implant extractions.</w:t>
            </w:r>
          </w:p>
        </w:tc>
      </w:tr>
      <w:tr w:rsidR="0095500F" w:rsidRPr="00F97366" w14:paraId="397BB421" w14:textId="77777777" w:rsidTr="004629CB">
        <w:trPr>
          <w:trHeight w:val="1984"/>
        </w:trPr>
        <w:tc>
          <w:tcPr>
            <w:tcW w:w="2552" w:type="dxa"/>
            <w:tcBorders>
              <w:top w:val="single" w:sz="4" w:space="0" w:color="auto"/>
            </w:tcBorders>
          </w:tcPr>
          <w:p w14:paraId="0CAD45A2" w14:textId="77777777" w:rsidR="0095500F" w:rsidRPr="00AE7A6B" w:rsidRDefault="0095500F" w:rsidP="004629CB">
            <w:pPr>
              <w:rPr>
                <w:i/>
                <w:iCs/>
                <w:color w:val="000000" w:themeColor="text1"/>
                <w:sz w:val="20"/>
                <w:szCs w:val="20"/>
                <w:lang w:val="en-GB"/>
              </w:rPr>
            </w:pPr>
            <w:r w:rsidRPr="00AE7A6B">
              <w:rPr>
                <w:i/>
                <w:iCs/>
                <w:color w:val="000000" w:themeColor="text1"/>
                <w:sz w:val="20"/>
                <w:szCs w:val="20"/>
                <w:lang w:val="en-GB"/>
              </w:rPr>
              <w:lastRenderedPageBreak/>
              <w:t>Prosthetic restorations</w:t>
            </w:r>
          </w:p>
        </w:tc>
        <w:tc>
          <w:tcPr>
            <w:tcW w:w="1768" w:type="dxa"/>
            <w:tcBorders>
              <w:top w:val="single" w:sz="4" w:space="0" w:color="auto"/>
            </w:tcBorders>
            <w:vAlign w:val="center"/>
          </w:tcPr>
          <w:p w14:paraId="6E55113E" w14:textId="77777777" w:rsidR="0095500F" w:rsidRPr="00AE7A6B" w:rsidRDefault="0095500F" w:rsidP="004629CB">
            <w:pPr>
              <w:jc w:val="center"/>
              <w:rPr>
                <w:color w:val="000000" w:themeColor="text1"/>
                <w:sz w:val="20"/>
                <w:szCs w:val="20"/>
                <w:lang w:val="en-GB"/>
              </w:rPr>
            </w:pPr>
            <w:r w:rsidRPr="00AE7A6B">
              <w:rPr>
                <w:color w:val="000000" w:themeColor="text1"/>
                <w:sz w:val="20"/>
                <w:szCs w:val="20"/>
                <w:lang w:val="en-GB"/>
              </w:rPr>
              <w:t>850</w:t>
            </w:r>
          </w:p>
        </w:tc>
        <w:tc>
          <w:tcPr>
            <w:tcW w:w="2160" w:type="dxa"/>
            <w:tcBorders>
              <w:top w:val="single" w:sz="4" w:space="0" w:color="auto"/>
            </w:tcBorders>
            <w:vAlign w:val="center"/>
          </w:tcPr>
          <w:p w14:paraId="50837CF8" w14:textId="77777777" w:rsidR="0095500F" w:rsidRPr="00AE7A6B" w:rsidRDefault="0095500F" w:rsidP="004629CB">
            <w:pPr>
              <w:rPr>
                <w:color w:val="000000" w:themeColor="text1"/>
                <w:sz w:val="20"/>
                <w:szCs w:val="20"/>
                <w:lang w:val="en-GB"/>
              </w:rPr>
            </w:pPr>
            <w:r w:rsidRPr="00AE7A6B">
              <w:rPr>
                <w:color w:val="000000" w:themeColor="text1"/>
                <w:sz w:val="20"/>
                <w:szCs w:val="20"/>
                <w:lang w:val="en-GB"/>
              </w:rPr>
              <w:t>Implant-supported crown, one per jaw</w:t>
            </w:r>
          </w:p>
        </w:tc>
        <w:tc>
          <w:tcPr>
            <w:tcW w:w="2160" w:type="dxa"/>
            <w:tcBorders>
              <w:top w:val="single" w:sz="4" w:space="0" w:color="auto"/>
            </w:tcBorders>
            <w:vAlign w:val="center"/>
          </w:tcPr>
          <w:p w14:paraId="5F5E2343" w14:textId="77777777" w:rsidR="0095500F" w:rsidRPr="00AE7A6B" w:rsidRDefault="0095500F" w:rsidP="004629CB">
            <w:pPr>
              <w:rPr>
                <w:color w:val="000000" w:themeColor="text1"/>
                <w:sz w:val="20"/>
                <w:szCs w:val="20"/>
                <w:lang w:val="en-GB"/>
              </w:rPr>
            </w:pPr>
          </w:p>
        </w:tc>
      </w:tr>
      <w:tr w:rsidR="0095500F" w:rsidRPr="00F97366" w14:paraId="2F096E70" w14:textId="77777777" w:rsidTr="004629CB">
        <w:trPr>
          <w:trHeight w:val="1984"/>
        </w:trPr>
        <w:tc>
          <w:tcPr>
            <w:tcW w:w="2552" w:type="dxa"/>
          </w:tcPr>
          <w:p w14:paraId="59BA3A51" w14:textId="77777777" w:rsidR="0095500F" w:rsidRPr="00AE7A6B" w:rsidRDefault="0095500F" w:rsidP="004629CB">
            <w:pPr>
              <w:rPr>
                <w:color w:val="000000" w:themeColor="text1"/>
                <w:sz w:val="20"/>
                <w:szCs w:val="20"/>
                <w:lang w:val="en-GB"/>
              </w:rPr>
            </w:pPr>
          </w:p>
        </w:tc>
        <w:tc>
          <w:tcPr>
            <w:tcW w:w="1768" w:type="dxa"/>
            <w:vAlign w:val="center"/>
          </w:tcPr>
          <w:p w14:paraId="585C1795" w14:textId="77777777" w:rsidR="0095500F" w:rsidRPr="00AE7A6B" w:rsidRDefault="0095500F" w:rsidP="004629CB">
            <w:pPr>
              <w:jc w:val="center"/>
              <w:rPr>
                <w:color w:val="000000" w:themeColor="text1"/>
                <w:sz w:val="20"/>
                <w:szCs w:val="20"/>
                <w:lang w:val="en-GB"/>
              </w:rPr>
            </w:pPr>
            <w:r w:rsidRPr="00AE7A6B">
              <w:rPr>
                <w:color w:val="000000" w:themeColor="text1"/>
                <w:sz w:val="20"/>
                <w:szCs w:val="20"/>
                <w:lang w:val="en-GB"/>
              </w:rPr>
              <w:t>852</w:t>
            </w:r>
          </w:p>
        </w:tc>
        <w:tc>
          <w:tcPr>
            <w:tcW w:w="2160" w:type="dxa"/>
            <w:vAlign w:val="center"/>
          </w:tcPr>
          <w:p w14:paraId="60018705" w14:textId="77777777" w:rsidR="0095500F" w:rsidRPr="00AE7A6B" w:rsidRDefault="0095500F" w:rsidP="004629CB">
            <w:pPr>
              <w:rPr>
                <w:color w:val="000000" w:themeColor="text1"/>
                <w:sz w:val="20"/>
                <w:szCs w:val="20"/>
                <w:lang w:val="en-GB"/>
              </w:rPr>
            </w:pPr>
            <w:r w:rsidRPr="00AE7A6B">
              <w:rPr>
                <w:color w:val="000000" w:themeColor="text1"/>
                <w:sz w:val="20"/>
                <w:szCs w:val="20"/>
                <w:lang w:val="en-GB"/>
              </w:rPr>
              <w:t>Implant-supported crown, several in same jaw</w:t>
            </w:r>
          </w:p>
        </w:tc>
        <w:tc>
          <w:tcPr>
            <w:tcW w:w="2160" w:type="dxa"/>
            <w:vAlign w:val="center"/>
          </w:tcPr>
          <w:p w14:paraId="35A5A721" w14:textId="77777777" w:rsidR="0095500F" w:rsidRPr="00AE7A6B" w:rsidRDefault="0095500F" w:rsidP="004629CB">
            <w:pPr>
              <w:rPr>
                <w:color w:val="000000" w:themeColor="text1"/>
                <w:sz w:val="20"/>
                <w:szCs w:val="20"/>
                <w:lang w:val="en-GB"/>
              </w:rPr>
            </w:pPr>
            <w:r w:rsidRPr="00AE7A6B">
              <w:rPr>
                <w:color w:val="000000" w:themeColor="text1"/>
                <w:sz w:val="20"/>
                <w:szCs w:val="20"/>
                <w:lang w:val="en-GB"/>
              </w:rPr>
              <w:t>Used when placed simultaneously with others, whether single or part of a bridge.</w:t>
            </w:r>
          </w:p>
        </w:tc>
      </w:tr>
      <w:tr w:rsidR="0095500F" w:rsidRPr="00F97366" w14:paraId="47BD61C0" w14:textId="77777777" w:rsidTr="004629CB">
        <w:trPr>
          <w:trHeight w:val="1984"/>
        </w:trPr>
        <w:tc>
          <w:tcPr>
            <w:tcW w:w="2552" w:type="dxa"/>
          </w:tcPr>
          <w:p w14:paraId="17DE832D" w14:textId="77777777" w:rsidR="0095500F" w:rsidRPr="00AE7A6B" w:rsidRDefault="0095500F" w:rsidP="004629CB">
            <w:pPr>
              <w:rPr>
                <w:color w:val="000000" w:themeColor="text1"/>
                <w:sz w:val="20"/>
                <w:szCs w:val="20"/>
                <w:lang w:val="en-GB"/>
              </w:rPr>
            </w:pPr>
          </w:p>
        </w:tc>
        <w:tc>
          <w:tcPr>
            <w:tcW w:w="1768" w:type="dxa"/>
            <w:vAlign w:val="center"/>
          </w:tcPr>
          <w:p w14:paraId="4E5B0992" w14:textId="77777777" w:rsidR="0095500F" w:rsidRPr="00AE7A6B" w:rsidRDefault="0095500F" w:rsidP="004629CB">
            <w:pPr>
              <w:jc w:val="center"/>
              <w:rPr>
                <w:color w:val="000000" w:themeColor="text1"/>
                <w:sz w:val="20"/>
                <w:szCs w:val="20"/>
                <w:lang w:val="en-GB"/>
              </w:rPr>
            </w:pPr>
            <w:r w:rsidRPr="00AE7A6B">
              <w:rPr>
                <w:color w:val="000000" w:themeColor="text1"/>
                <w:sz w:val="20"/>
                <w:szCs w:val="20"/>
                <w:lang w:val="en-GB"/>
              </w:rPr>
              <w:t>890</w:t>
            </w:r>
          </w:p>
        </w:tc>
        <w:tc>
          <w:tcPr>
            <w:tcW w:w="2160" w:type="dxa"/>
            <w:vAlign w:val="center"/>
          </w:tcPr>
          <w:p w14:paraId="158B1709" w14:textId="77777777" w:rsidR="0095500F" w:rsidRPr="00AE7A6B" w:rsidRDefault="0095500F" w:rsidP="004629CB">
            <w:pPr>
              <w:rPr>
                <w:color w:val="000000" w:themeColor="text1"/>
                <w:sz w:val="20"/>
                <w:szCs w:val="20"/>
                <w:lang w:val="en-GB"/>
              </w:rPr>
            </w:pPr>
            <w:r w:rsidRPr="00AE7A6B">
              <w:rPr>
                <w:color w:val="000000" w:themeColor="text1"/>
                <w:sz w:val="20"/>
                <w:szCs w:val="20"/>
                <w:lang w:val="en-GB"/>
              </w:rPr>
              <w:t>Implant-supported crown on an existing implant</w:t>
            </w:r>
          </w:p>
        </w:tc>
        <w:tc>
          <w:tcPr>
            <w:tcW w:w="2160" w:type="dxa"/>
            <w:vAlign w:val="center"/>
          </w:tcPr>
          <w:p w14:paraId="13FF6474" w14:textId="77777777" w:rsidR="0095500F" w:rsidRPr="00AE7A6B" w:rsidRDefault="0095500F" w:rsidP="004629CB">
            <w:pPr>
              <w:rPr>
                <w:color w:val="000000" w:themeColor="text1"/>
                <w:sz w:val="20"/>
                <w:szCs w:val="20"/>
                <w:lang w:val="en-GB"/>
              </w:rPr>
            </w:pPr>
          </w:p>
        </w:tc>
      </w:tr>
      <w:tr w:rsidR="0095500F" w:rsidRPr="00F97366" w14:paraId="16B9531B" w14:textId="77777777" w:rsidTr="004629CB">
        <w:trPr>
          <w:trHeight w:val="1984"/>
        </w:trPr>
        <w:tc>
          <w:tcPr>
            <w:tcW w:w="2552" w:type="dxa"/>
          </w:tcPr>
          <w:p w14:paraId="475BD1A6" w14:textId="77777777" w:rsidR="0095500F" w:rsidRPr="00AE7A6B" w:rsidRDefault="0095500F" w:rsidP="004629CB">
            <w:pPr>
              <w:rPr>
                <w:color w:val="000000" w:themeColor="text1"/>
                <w:sz w:val="20"/>
                <w:szCs w:val="20"/>
                <w:lang w:val="en-GB"/>
              </w:rPr>
            </w:pPr>
          </w:p>
        </w:tc>
        <w:tc>
          <w:tcPr>
            <w:tcW w:w="1768" w:type="dxa"/>
            <w:vAlign w:val="center"/>
          </w:tcPr>
          <w:p w14:paraId="2886B169" w14:textId="77777777" w:rsidR="0095500F" w:rsidRPr="00AE7A6B" w:rsidRDefault="0095500F" w:rsidP="004629CB">
            <w:pPr>
              <w:jc w:val="center"/>
              <w:rPr>
                <w:color w:val="000000" w:themeColor="text1"/>
                <w:sz w:val="20"/>
                <w:szCs w:val="20"/>
                <w:lang w:val="en-GB"/>
              </w:rPr>
            </w:pPr>
            <w:r w:rsidRPr="00AE7A6B">
              <w:rPr>
                <w:color w:val="000000" w:themeColor="text1"/>
                <w:sz w:val="20"/>
                <w:szCs w:val="20"/>
                <w:lang w:val="en-GB"/>
              </w:rPr>
              <w:t>926</w:t>
            </w:r>
          </w:p>
        </w:tc>
        <w:tc>
          <w:tcPr>
            <w:tcW w:w="2160" w:type="dxa"/>
            <w:vAlign w:val="center"/>
          </w:tcPr>
          <w:p w14:paraId="5250D665" w14:textId="77777777" w:rsidR="0095500F" w:rsidRPr="00AE7A6B" w:rsidRDefault="0095500F" w:rsidP="004629CB">
            <w:pPr>
              <w:rPr>
                <w:color w:val="000000" w:themeColor="text1"/>
                <w:sz w:val="20"/>
                <w:szCs w:val="20"/>
                <w:lang w:val="en-GB"/>
              </w:rPr>
            </w:pPr>
            <w:r w:rsidRPr="00AE7A6B">
              <w:rPr>
                <w:color w:val="000000" w:themeColor="text1"/>
                <w:sz w:val="20"/>
                <w:szCs w:val="20"/>
                <w:lang w:val="en-GB"/>
              </w:rPr>
              <w:t>Replacement procedure: implant-supported crown (single-tooth gap instead of a tooth-supported bridge), prosthetic component</w:t>
            </w:r>
          </w:p>
        </w:tc>
        <w:tc>
          <w:tcPr>
            <w:tcW w:w="2160" w:type="dxa"/>
            <w:vAlign w:val="center"/>
          </w:tcPr>
          <w:p w14:paraId="023DC4F3" w14:textId="77777777" w:rsidR="0095500F" w:rsidRPr="00AE7A6B" w:rsidRDefault="0095500F" w:rsidP="004629CB">
            <w:pPr>
              <w:rPr>
                <w:color w:val="000000" w:themeColor="text1"/>
                <w:sz w:val="20"/>
                <w:szCs w:val="20"/>
                <w:lang w:val="en-GB"/>
              </w:rPr>
            </w:pPr>
          </w:p>
        </w:tc>
      </w:tr>
      <w:tr w:rsidR="0095500F" w:rsidRPr="00F97366" w14:paraId="1CD94340" w14:textId="77777777" w:rsidTr="004629CB">
        <w:trPr>
          <w:trHeight w:val="1984"/>
        </w:trPr>
        <w:tc>
          <w:tcPr>
            <w:tcW w:w="2552" w:type="dxa"/>
            <w:tcBorders>
              <w:bottom w:val="single" w:sz="4" w:space="0" w:color="auto"/>
            </w:tcBorders>
          </w:tcPr>
          <w:p w14:paraId="5EB5E875" w14:textId="77777777" w:rsidR="0095500F" w:rsidRPr="00AE7A6B" w:rsidRDefault="0095500F" w:rsidP="004629CB">
            <w:pPr>
              <w:rPr>
                <w:color w:val="000000" w:themeColor="text1"/>
                <w:sz w:val="20"/>
                <w:szCs w:val="20"/>
                <w:lang w:val="en-GB"/>
              </w:rPr>
            </w:pPr>
          </w:p>
        </w:tc>
        <w:tc>
          <w:tcPr>
            <w:tcW w:w="1768" w:type="dxa"/>
            <w:tcBorders>
              <w:bottom w:val="single" w:sz="4" w:space="0" w:color="auto"/>
            </w:tcBorders>
            <w:vAlign w:val="center"/>
          </w:tcPr>
          <w:p w14:paraId="03A3C373" w14:textId="77777777" w:rsidR="0095500F" w:rsidRPr="00AE7A6B" w:rsidRDefault="0095500F" w:rsidP="004629CB">
            <w:pPr>
              <w:jc w:val="center"/>
              <w:rPr>
                <w:color w:val="000000" w:themeColor="text1"/>
                <w:sz w:val="20"/>
                <w:szCs w:val="20"/>
                <w:lang w:val="en-GB"/>
              </w:rPr>
            </w:pPr>
            <w:r w:rsidRPr="00AE7A6B">
              <w:rPr>
                <w:color w:val="000000" w:themeColor="text1"/>
                <w:sz w:val="20"/>
                <w:szCs w:val="20"/>
                <w:lang w:val="en-GB"/>
              </w:rPr>
              <w:t>929</w:t>
            </w:r>
          </w:p>
        </w:tc>
        <w:tc>
          <w:tcPr>
            <w:tcW w:w="2160" w:type="dxa"/>
            <w:tcBorders>
              <w:bottom w:val="single" w:sz="4" w:space="0" w:color="auto"/>
            </w:tcBorders>
            <w:vAlign w:val="center"/>
          </w:tcPr>
          <w:p w14:paraId="3C8DB851" w14:textId="77777777" w:rsidR="0095500F" w:rsidRPr="00AE7A6B" w:rsidRDefault="0095500F" w:rsidP="004629CB">
            <w:pPr>
              <w:rPr>
                <w:color w:val="000000" w:themeColor="text1"/>
                <w:sz w:val="20"/>
                <w:szCs w:val="20"/>
                <w:lang w:val="en-GB"/>
              </w:rPr>
            </w:pPr>
            <w:r w:rsidRPr="00AE7A6B">
              <w:rPr>
                <w:color w:val="000000" w:themeColor="text1"/>
                <w:sz w:val="20"/>
                <w:szCs w:val="20"/>
                <w:lang w:val="en-GB"/>
              </w:rPr>
              <w:t>Replacement procedure: implant treatment in a single-tooth gap when tooth-supported crowns (800/801) were performed within three years on abutment teeth; includes prosthetic component</w:t>
            </w:r>
          </w:p>
        </w:tc>
        <w:tc>
          <w:tcPr>
            <w:tcW w:w="2160" w:type="dxa"/>
            <w:tcBorders>
              <w:bottom w:val="single" w:sz="4" w:space="0" w:color="auto"/>
            </w:tcBorders>
            <w:vAlign w:val="center"/>
          </w:tcPr>
          <w:p w14:paraId="23E4D557" w14:textId="77777777" w:rsidR="0095500F" w:rsidRPr="00AE7A6B" w:rsidRDefault="0095500F" w:rsidP="004629CB">
            <w:pPr>
              <w:rPr>
                <w:color w:val="000000" w:themeColor="text1"/>
                <w:sz w:val="20"/>
                <w:szCs w:val="20"/>
                <w:lang w:val="en-GB"/>
              </w:rPr>
            </w:pPr>
          </w:p>
        </w:tc>
      </w:tr>
      <w:tr w:rsidR="0095500F" w:rsidRPr="00F97366" w14:paraId="11DBDC0B" w14:textId="77777777" w:rsidTr="004629CB">
        <w:trPr>
          <w:trHeight w:val="1644"/>
        </w:trPr>
        <w:tc>
          <w:tcPr>
            <w:tcW w:w="2552" w:type="dxa"/>
            <w:tcBorders>
              <w:top w:val="single" w:sz="4" w:space="0" w:color="auto"/>
            </w:tcBorders>
          </w:tcPr>
          <w:p w14:paraId="55F59D27" w14:textId="77777777" w:rsidR="0095500F" w:rsidRPr="00AE7A6B" w:rsidRDefault="0095500F" w:rsidP="004629CB">
            <w:pPr>
              <w:rPr>
                <w:i/>
                <w:iCs/>
                <w:color w:val="000000" w:themeColor="text1"/>
                <w:sz w:val="20"/>
                <w:szCs w:val="20"/>
                <w:lang w:val="en-GB"/>
              </w:rPr>
            </w:pPr>
            <w:r w:rsidRPr="00AE7A6B">
              <w:rPr>
                <w:i/>
                <w:iCs/>
                <w:color w:val="000000" w:themeColor="text1"/>
                <w:sz w:val="20"/>
                <w:szCs w:val="20"/>
                <w:lang w:val="en-GB"/>
              </w:rPr>
              <w:t>Proxy indicators</w:t>
            </w:r>
          </w:p>
        </w:tc>
        <w:tc>
          <w:tcPr>
            <w:tcW w:w="1768" w:type="dxa"/>
            <w:tcBorders>
              <w:top w:val="single" w:sz="4" w:space="0" w:color="auto"/>
            </w:tcBorders>
            <w:vAlign w:val="center"/>
          </w:tcPr>
          <w:p w14:paraId="4A9AD621" w14:textId="77777777" w:rsidR="0095500F" w:rsidRPr="00AE7A6B" w:rsidRDefault="0095500F" w:rsidP="004629CB">
            <w:pPr>
              <w:jc w:val="center"/>
              <w:rPr>
                <w:color w:val="000000" w:themeColor="text1"/>
                <w:sz w:val="20"/>
                <w:szCs w:val="20"/>
                <w:lang w:val="en-GB"/>
              </w:rPr>
            </w:pPr>
            <w:r w:rsidRPr="00AE7A6B">
              <w:rPr>
                <w:color w:val="000000" w:themeColor="text1"/>
                <w:sz w:val="20"/>
                <w:szCs w:val="20"/>
                <w:lang w:val="en-GB"/>
              </w:rPr>
              <w:t>420/421/925</w:t>
            </w:r>
          </w:p>
        </w:tc>
        <w:tc>
          <w:tcPr>
            <w:tcW w:w="2160" w:type="dxa"/>
            <w:tcBorders>
              <w:top w:val="single" w:sz="4" w:space="0" w:color="auto"/>
            </w:tcBorders>
            <w:vAlign w:val="center"/>
          </w:tcPr>
          <w:p w14:paraId="31159E95" w14:textId="77777777" w:rsidR="0095500F" w:rsidRPr="00AE7A6B" w:rsidRDefault="0095500F" w:rsidP="004629CB">
            <w:pPr>
              <w:rPr>
                <w:color w:val="000000" w:themeColor="text1"/>
                <w:sz w:val="20"/>
                <w:szCs w:val="20"/>
                <w:lang w:val="en-GB"/>
              </w:rPr>
            </w:pPr>
            <w:r w:rsidRPr="00AE7A6B">
              <w:rPr>
                <w:color w:val="000000" w:themeColor="text1"/>
                <w:sz w:val="20"/>
                <w:szCs w:val="20"/>
                <w:lang w:val="en-GB"/>
              </w:rPr>
              <w:t>See implant placement codes</w:t>
            </w:r>
          </w:p>
        </w:tc>
        <w:tc>
          <w:tcPr>
            <w:tcW w:w="2160" w:type="dxa"/>
            <w:tcBorders>
              <w:top w:val="single" w:sz="4" w:space="0" w:color="auto"/>
            </w:tcBorders>
            <w:vAlign w:val="center"/>
          </w:tcPr>
          <w:p w14:paraId="257197DE" w14:textId="77777777" w:rsidR="0095500F" w:rsidRPr="00AE7A6B" w:rsidRDefault="0095500F" w:rsidP="004629CB">
            <w:pPr>
              <w:rPr>
                <w:color w:val="000000" w:themeColor="text1"/>
                <w:sz w:val="20"/>
                <w:szCs w:val="20"/>
                <w:lang w:val="en-GB"/>
              </w:rPr>
            </w:pPr>
            <w:r w:rsidRPr="00AE7A6B">
              <w:rPr>
                <w:color w:val="000000" w:themeColor="text1"/>
                <w:sz w:val="20"/>
                <w:szCs w:val="20"/>
                <w:lang w:val="en-GB"/>
              </w:rPr>
              <w:t>Used as a proxy for implant extraction only when an implant had been previously placed.</w:t>
            </w:r>
          </w:p>
        </w:tc>
      </w:tr>
      <w:tr w:rsidR="0095500F" w:rsidRPr="00F97366" w14:paraId="1C3303A6" w14:textId="77777777" w:rsidTr="004629CB">
        <w:trPr>
          <w:trHeight w:val="1644"/>
        </w:trPr>
        <w:tc>
          <w:tcPr>
            <w:tcW w:w="2552" w:type="dxa"/>
          </w:tcPr>
          <w:p w14:paraId="3A9554E8" w14:textId="77777777" w:rsidR="0095500F" w:rsidRPr="00AE7A6B" w:rsidRDefault="0095500F" w:rsidP="004629CB">
            <w:pPr>
              <w:rPr>
                <w:color w:val="000000" w:themeColor="text1"/>
                <w:sz w:val="20"/>
                <w:szCs w:val="20"/>
                <w:lang w:val="en-GB"/>
              </w:rPr>
            </w:pPr>
          </w:p>
        </w:tc>
        <w:tc>
          <w:tcPr>
            <w:tcW w:w="1768" w:type="dxa"/>
            <w:vAlign w:val="center"/>
          </w:tcPr>
          <w:p w14:paraId="0DE729FE" w14:textId="77777777" w:rsidR="0095500F" w:rsidRPr="00AE7A6B" w:rsidRDefault="0095500F" w:rsidP="004629CB">
            <w:pPr>
              <w:jc w:val="center"/>
              <w:rPr>
                <w:color w:val="000000" w:themeColor="text1"/>
                <w:sz w:val="20"/>
                <w:szCs w:val="20"/>
                <w:lang w:val="en-GB"/>
              </w:rPr>
            </w:pPr>
            <w:r w:rsidRPr="00AE7A6B">
              <w:rPr>
                <w:color w:val="000000" w:themeColor="text1"/>
                <w:sz w:val="20"/>
                <w:szCs w:val="20"/>
                <w:lang w:val="en-GB"/>
              </w:rPr>
              <w:t>804</w:t>
            </w:r>
          </w:p>
        </w:tc>
        <w:tc>
          <w:tcPr>
            <w:tcW w:w="2160" w:type="dxa"/>
            <w:vAlign w:val="center"/>
          </w:tcPr>
          <w:p w14:paraId="7842A35A" w14:textId="77777777" w:rsidR="0095500F" w:rsidRPr="00AE7A6B" w:rsidRDefault="0095500F" w:rsidP="004629CB">
            <w:pPr>
              <w:rPr>
                <w:color w:val="000000" w:themeColor="text1"/>
                <w:sz w:val="20"/>
                <w:szCs w:val="20"/>
                <w:lang w:val="en-GB"/>
              </w:rPr>
            </w:pPr>
            <w:r w:rsidRPr="00AE7A6B">
              <w:rPr>
                <w:color w:val="000000" w:themeColor="text1"/>
                <w:sz w:val="20"/>
                <w:szCs w:val="20"/>
                <w:lang w:val="en-GB"/>
              </w:rPr>
              <w:t>Pontic unit in tooth-supported prosthesis, per unit</w:t>
            </w:r>
          </w:p>
        </w:tc>
        <w:tc>
          <w:tcPr>
            <w:tcW w:w="2160" w:type="dxa"/>
            <w:vAlign w:val="center"/>
          </w:tcPr>
          <w:p w14:paraId="2F81A8BC" w14:textId="77777777" w:rsidR="0095500F" w:rsidRPr="00AE7A6B" w:rsidRDefault="0095500F" w:rsidP="004629CB">
            <w:pPr>
              <w:rPr>
                <w:color w:val="000000" w:themeColor="text1"/>
                <w:sz w:val="20"/>
                <w:szCs w:val="20"/>
                <w:lang w:val="en-GB"/>
              </w:rPr>
            </w:pPr>
            <w:r w:rsidRPr="00AE7A6B">
              <w:rPr>
                <w:color w:val="000000" w:themeColor="text1"/>
                <w:sz w:val="20"/>
                <w:szCs w:val="20"/>
                <w:lang w:val="en-GB"/>
              </w:rPr>
              <w:t xml:space="preserve">Not a proxy if used as interim prior to implant restoration (e.g., resin-bonded bridge). Considered a proxy if no other replacement was ever registered or if recorded following an </w:t>
            </w:r>
            <w:r w:rsidRPr="00AE7A6B">
              <w:rPr>
                <w:color w:val="000000" w:themeColor="text1"/>
                <w:sz w:val="20"/>
                <w:szCs w:val="20"/>
                <w:lang w:val="en-GB"/>
              </w:rPr>
              <w:lastRenderedPageBreak/>
              <w:t>implant-supported crown.</w:t>
            </w:r>
          </w:p>
        </w:tc>
      </w:tr>
      <w:tr w:rsidR="0095500F" w:rsidRPr="00F97366" w14:paraId="4C259265" w14:textId="77777777" w:rsidTr="004629CB">
        <w:trPr>
          <w:trHeight w:val="1644"/>
        </w:trPr>
        <w:tc>
          <w:tcPr>
            <w:tcW w:w="2552" w:type="dxa"/>
          </w:tcPr>
          <w:p w14:paraId="6C1FB87D" w14:textId="77777777" w:rsidR="0095500F" w:rsidRPr="00AE7A6B" w:rsidRDefault="0095500F" w:rsidP="004629CB">
            <w:pPr>
              <w:rPr>
                <w:color w:val="000000" w:themeColor="text1"/>
                <w:sz w:val="20"/>
                <w:szCs w:val="20"/>
                <w:lang w:val="en-GB"/>
              </w:rPr>
            </w:pPr>
          </w:p>
        </w:tc>
        <w:tc>
          <w:tcPr>
            <w:tcW w:w="1768" w:type="dxa"/>
            <w:vAlign w:val="center"/>
          </w:tcPr>
          <w:p w14:paraId="17F594AA" w14:textId="77777777" w:rsidR="0095500F" w:rsidRPr="00AE7A6B" w:rsidRDefault="0095500F" w:rsidP="004629CB">
            <w:pPr>
              <w:jc w:val="center"/>
              <w:rPr>
                <w:color w:val="000000" w:themeColor="text1"/>
                <w:sz w:val="20"/>
                <w:szCs w:val="20"/>
                <w:lang w:val="en-GB"/>
              </w:rPr>
            </w:pPr>
            <w:r w:rsidRPr="00AE7A6B">
              <w:rPr>
                <w:color w:val="000000" w:themeColor="text1"/>
                <w:sz w:val="20"/>
                <w:szCs w:val="20"/>
                <w:lang w:val="en-GB"/>
              </w:rPr>
              <w:t>853</w:t>
            </w:r>
          </w:p>
        </w:tc>
        <w:tc>
          <w:tcPr>
            <w:tcW w:w="2160" w:type="dxa"/>
            <w:vAlign w:val="center"/>
          </w:tcPr>
          <w:p w14:paraId="4354FDF9" w14:textId="77777777" w:rsidR="0095500F" w:rsidRPr="00AE7A6B" w:rsidRDefault="0095500F" w:rsidP="004629CB">
            <w:pPr>
              <w:rPr>
                <w:color w:val="000000" w:themeColor="text1"/>
                <w:sz w:val="20"/>
                <w:szCs w:val="20"/>
                <w:lang w:val="en-GB"/>
              </w:rPr>
            </w:pPr>
            <w:r w:rsidRPr="00AE7A6B">
              <w:rPr>
                <w:color w:val="000000" w:themeColor="text1"/>
                <w:sz w:val="20"/>
                <w:szCs w:val="20"/>
                <w:lang w:val="en-GB"/>
              </w:rPr>
              <w:t>Pontic unit in implant-supported prosthesis</w:t>
            </w:r>
          </w:p>
        </w:tc>
        <w:tc>
          <w:tcPr>
            <w:tcW w:w="2160" w:type="dxa"/>
            <w:vAlign w:val="center"/>
          </w:tcPr>
          <w:p w14:paraId="2EA0067C" w14:textId="77777777" w:rsidR="0095500F" w:rsidRPr="00AE7A6B" w:rsidRDefault="0095500F" w:rsidP="004629CB">
            <w:pPr>
              <w:rPr>
                <w:color w:val="000000" w:themeColor="text1"/>
                <w:sz w:val="20"/>
                <w:szCs w:val="20"/>
                <w:lang w:val="en-GB"/>
              </w:rPr>
            </w:pPr>
          </w:p>
        </w:tc>
      </w:tr>
      <w:tr w:rsidR="0095500F" w:rsidRPr="00C7778F" w14:paraId="28C25042" w14:textId="77777777" w:rsidTr="004629CB">
        <w:trPr>
          <w:trHeight w:val="1644"/>
        </w:trPr>
        <w:tc>
          <w:tcPr>
            <w:tcW w:w="2552" w:type="dxa"/>
          </w:tcPr>
          <w:p w14:paraId="586E143E" w14:textId="77777777" w:rsidR="0095500F" w:rsidRPr="00AE7A6B" w:rsidRDefault="0095500F" w:rsidP="004629CB">
            <w:pPr>
              <w:rPr>
                <w:color w:val="000000" w:themeColor="text1"/>
                <w:sz w:val="20"/>
                <w:szCs w:val="20"/>
                <w:lang w:val="en-GB"/>
              </w:rPr>
            </w:pPr>
          </w:p>
        </w:tc>
        <w:tc>
          <w:tcPr>
            <w:tcW w:w="1768" w:type="dxa"/>
            <w:vAlign w:val="center"/>
          </w:tcPr>
          <w:p w14:paraId="120B696A" w14:textId="77777777" w:rsidR="0095500F" w:rsidRPr="00AE7A6B" w:rsidRDefault="0095500F" w:rsidP="004629CB">
            <w:pPr>
              <w:jc w:val="center"/>
              <w:rPr>
                <w:color w:val="000000" w:themeColor="text1"/>
                <w:sz w:val="20"/>
                <w:szCs w:val="20"/>
                <w:lang w:val="en-GB"/>
              </w:rPr>
            </w:pPr>
            <w:r w:rsidRPr="00AE7A6B">
              <w:rPr>
                <w:color w:val="000000" w:themeColor="text1"/>
                <w:sz w:val="20"/>
                <w:szCs w:val="20"/>
                <w:lang w:val="en-GB"/>
              </w:rPr>
              <w:t>822–823</w:t>
            </w:r>
          </w:p>
        </w:tc>
        <w:tc>
          <w:tcPr>
            <w:tcW w:w="2160" w:type="dxa"/>
            <w:vAlign w:val="center"/>
          </w:tcPr>
          <w:p w14:paraId="5AD7C7A5" w14:textId="77777777" w:rsidR="0095500F" w:rsidRPr="00AE7A6B" w:rsidRDefault="0095500F" w:rsidP="004629CB">
            <w:pPr>
              <w:rPr>
                <w:color w:val="000000" w:themeColor="text1"/>
                <w:sz w:val="20"/>
                <w:szCs w:val="20"/>
                <w:lang w:val="en-GB"/>
              </w:rPr>
            </w:pPr>
            <w:r w:rsidRPr="00AE7A6B">
              <w:rPr>
                <w:color w:val="000000" w:themeColor="text1"/>
                <w:sz w:val="20"/>
                <w:szCs w:val="20"/>
                <w:lang w:val="en-GB"/>
              </w:rPr>
              <w:t>Partial denture without metal framework / temporary (822: 1–3 teeth; 823: ≥4 teeth)</w:t>
            </w:r>
          </w:p>
        </w:tc>
        <w:tc>
          <w:tcPr>
            <w:tcW w:w="2160" w:type="dxa"/>
            <w:vAlign w:val="center"/>
          </w:tcPr>
          <w:p w14:paraId="2312F15D" w14:textId="77777777" w:rsidR="0095500F" w:rsidRPr="00AE7A6B" w:rsidRDefault="0095500F" w:rsidP="004629CB">
            <w:pPr>
              <w:rPr>
                <w:color w:val="000000" w:themeColor="text1"/>
                <w:sz w:val="20"/>
                <w:szCs w:val="20"/>
                <w:lang w:val="en-GB"/>
              </w:rPr>
            </w:pPr>
            <w:r w:rsidRPr="00AE7A6B">
              <w:rPr>
                <w:color w:val="000000" w:themeColor="text1"/>
                <w:sz w:val="20"/>
                <w:szCs w:val="20"/>
                <w:lang w:val="en-GB"/>
              </w:rPr>
              <w:t>Same proxy criteria as code 804.</w:t>
            </w:r>
          </w:p>
        </w:tc>
      </w:tr>
      <w:tr w:rsidR="0095500F" w:rsidRPr="00C7778F" w14:paraId="47B24FF4" w14:textId="77777777" w:rsidTr="004629CB">
        <w:trPr>
          <w:trHeight w:val="1644"/>
        </w:trPr>
        <w:tc>
          <w:tcPr>
            <w:tcW w:w="2552" w:type="dxa"/>
          </w:tcPr>
          <w:p w14:paraId="418DB4CA" w14:textId="77777777" w:rsidR="0095500F" w:rsidRPr="00AE7A6B" w:rsidRDefault="0095500F" w:rsidP="004629CB">
            <w:pPr>
              <w:rPr>
                <w:color w:val="000000" w:themeColor="text1"/>
                <w:sz w:val="20"/>
                <w:szCs w:val="20"/>
                <w:lang w:val="en-GB"/>
              </w:rPr>
            </w:pPr>
          </w:p>
        </w:tc>
        <w:tc>
          <w:tcPr>
            <w:tcW w:w="1768" w:type="dxa"/>
            <w:vAlign w:val="center"/>
          </w:tcPr>
          <w:p w14:paraId="745D87CA" w14:textId="77777777" w:rsidR="0095500F" w:rsidRPr="00AE7A6B" w:rsidRDefault="0095500F" w:rsidP="004629CB">
            <w:pPr>
              <w:jc w:val="center"/>
              <w:rPr>
                <w:color w:val="000000" w:themeColor="text1"/>
                <w:sz w:val="20"/>
                <w:szCs w:val="20"/>
                <w:lang w:val="en-GB"/>
              </w:rPr>
            </w:pPr>
            <w:r w:rsidRPr="00AE7A6B">
              <w:rPr>
                <w:color w:val="000000" w:themeColor="text1"/>
                <w:sz w:val="20"/>
                <w:szCs w:val="20"/>
                <w:lang w:val="en-GB"/>
              </w:rPr>
              <w:t>824</w:t>
            </w:r>
          </w:p>
        </w:tc>
        <w:tc>
          <w:tcPr>
            <w:tcW w:w="2160" w:type="dxa"/>
            <w:vAlign w:val="center"/>
          </w:tcPr>
          <w:p w14:paraId="432F4B7D" w14:textId="77777777" w:rsidR="0095500F" w:rsidRPr="00AE7A6B" w:rsidRDefault="0095500F" w:rsidP="004629CB">
            <w:pPr>
              <w:rPr>
                <w:color w:val="000000" w:themeColor="text1"/>
                <w:sz w:val="20"/>
                <w:szCs w:val="20"/>
                <w:lang w:val="en-GB"/>
              </w:rPr>
            </w:pPr>
            <w:r w:rsidRPr="00AE7A6B">
              <w:rPr>
                <w:color w:val="000000" w:themeColor="text1"/>
                <w:sz w:val="20"/>
                <w:szCs w:val="20"/>
                <w:lang w:val="en-GB"/>
              </w:rPr>
              <w:t>Partial denture with a metal framework, anchored using metal retainers</w:t>
            </w:r>
          </w:p>
        </w:tc>
        <w:tc>
          <w:tcPr>
            <w:tcW w:w="2160" w:type="dxa"/>
            <w:vAlign w:val="center"/>
          </w:tcPr>
          <w:p w14:paraId="086FE509" w14:textId="77777777" w:rsidR="0095500F" w:rsidRPr="00AE7A6B" w:rsidRDefault="0095500F" w:rsidP="004629CB">
            <w:pPr>
              <w:rPr>
                <w:color w:val="000000" w:themeColor="text1"/>
                <w:sz w:val="20"/>
                <w:szCs w:val="20"/>
                <w:lang w:val="en-GB"/>
              </w:rPr>
            </w:pPr>
            <w:r w:rsidRPr="00AE7A6B">
              <w:rPr>
                <w:color w:val="000000" w:themeColor="text1"/>
                <w:sz w:val="20"/>
                <w:szCs w:val="20"/>
                <w:lang w:val="en-GB"/>
              </w:rPr>
              <w:t>Same proxy criteria as code 804.</w:t>
            </w:r>
          </w:p>
        </w:tc>
      </w:tr>
      <w:tr w:rsidR="0095500F" w:rsidRPr="00F97366" w14:paraId="529AE53E" w14:textId="77777777" w:rsidTr="004629CB">
        <w:trPr>
          <w:trHeight w:val="1644"/>
        </w:trPr>
        <w:tc>
          <w:tcPr>
            <w:tcW w:w="2552" w:type="dxa"/>
            <w:tcBorders>
              <w:bottom w:val="single" w:sz="4" w:space="0" w:color="auto"/>
            </w:tcBorders>
          </w:tcPr>
          <w:p w14:paraId="1EB21AA2" w14:textId="77777777" w:rsidR="0095500F" w:rsidRPr="00AE7A6B" w:rsidRDefault="0095500F" w:rsidP="004629CB">
            <w:pPr>
              <w:rPr>
                <w:color w:val="000000" w:themeColor="text1"/>
                <w:sz w:val="20"/>
                <w:szCs w:val="20"/>
                <w:lang w:val="en-GB"/>
              </w:rPr>
            </w:pPr>
          </w:p>
        </w:tc>
        <w:tc>
          <w:tcPr>
            <w:tcW w:w="1768" w:type="dxa"/>
            <w:tcBorders>
              <w:bottom w:val="single" w:sz="4" w:space="0" w:color="auto"/>
            </w:tcBorders>
            <w:vAlign w:val="center"/>
          </w:tcPr>
          <w:p w14:paraId="31B48E45" w14:textId="77777777" w:rsidR="0095500F" w:rsidRPr="00AE7A6B" w:rsidRDefault="0095500F" w:rsidP="004629CB">
            <w:pPr>
              <w:jc w:val="center"/>
              <w:rPr>
                <w:color w:val="000000" w:themeColor="text1"/>
                <w:sz w:val="20"/>
                <w:szCs w:val="20"/>
                <w:lang w:val="en-GB"/>
              </w:rPr>
            </w:pPr>
            <w:r w:rsidRPr="00AE7A6B">
              <w:rPr>
                <w:color w:val="000000" w:themeColor="text1"/>
                <w:sz w:val="20"/>
                <w:szCs w:val="20"/>
                <w:lang w:val="en-GB"/>
              </w:rPr>
              <w:t>827–829</w:t>
            </w:r>
          </w:p>
        </w:tc>
        <w:tc>
          <w:tcPr>
            <w:tcW w:w="2160" w:type="dxa"/>
            <w:tcBorders>
              <w:bottom w:val="single" w:sz="4" w:space="0" w:color="auto"/>
            </w:tcBorders>
            <w:vAlign w:val="center"/>
          </w:tcPr>
          <w:p w14:paraId="76C2C99A" w14:textId="77777777" w:rsidR="0095500F" w:rsidRPr="00AE7A6B" w:rsidRDefault="0095500F" w:rsidP="004629CB">
            <w:pPr>
              <w:rPr>
                <w:color w:val="000000" w:themeColor="text1"/>
                <w:sz w:val="20"/>
                <w:szCs w:val="20"/>
                <w:lang w:val="en-GB"/>
              </w:rPr>
            </w:pPr>
            <w:r w:rsidRPr="00AE7A6B">
              <w:rPr>
                <w:color w:val="000000" w:themeColor="text1"/>
                <w:sz w:val="20"/>
                <w:szCs w:val="20"/>
                <w:lang w:val="en-GB"/>
              </w:rPr>
              <w:t>Complete denture (827: lower; 828: upper; 829: immediate)</w:t>
            </w:r>
          </w:p>
        </w:tc>
        <w:tc>
          <w:tcPr>
            <w:tcW w:w="2160" w:type="dxa"/>
            <w:tcBorders>
              <w:bottom w:val="single" w:sz="4" w:space="0" w:color="auto"/>
            </w:tcBorders>
            <w:vAlign w:val="center"/>
          </w:tcPr>
          <w:p w14:paraId="29BCFF4D" w14:textId="77777777" w:rsidR="0095500F" w:rsidRPr="00AE7A6B" w:rsidRDefault="0095500F" w:rsidP="004629CB">
            <w:pPr>
              <w:rPr>
                <w:color w:val="000000" w:themeColor="text1"/>
                <w:sz w:val="20"/>
                <w:szCs w:val="20"/>
                <w:lang w:val="en-GB"/>
              </w:rPr>
            </w:pPr>
            <w:r w:rsidRPr="00AE7A6B">
              <w:rPr>
                <w:color w:val="000000" w:themeColor="text1"/>
                <w:sz w:val="20"/>
                <w:szCs w:val="20"/>
                <w:lang w:val="en-GB"/>
              </w:rPr>
              <w:t>Considered only when congruent with tooth position.</w:t>
            </w:r>
          </w:p>
        </w:tc>
      </w:tr>
      <w:tr w:rsidR="0095500F" w:rsidRPr="00F97366" w14:paraId="6E4CED7B" w14:textId="77777777" w:rsidTr="004629CB">
        <w:trPr>
          <w:trHeight w:val="1644"/>
        </w:trPr>
        <w:tc>
          <w:tcPr>
            <w:tcW w:w="2552" w:type="dxa"/>
            <w:tcBorders>
              <w:top w:val="single" w:sz="4" w:space="0" w:color="auto"/>
            </w:tcBorders>
          </w:tcPr>
          <w:p w14:paraId="1B59652D" w14:textId="77777777" w:rsidR="0095500F" w:rsidRPr="00AE7A6B" w:rsidRDefault="0095500F" w:rsidP="004629CB">
            <w:pPr>
              <w:rPr>
                <w:i/>
                <w:iCs/>
                <w:color w:val="000000" w:themeColor="text1"/>
                <w:sz w:val="20"/>
                <w:szCs w:val="20"/>
                <w:lang w:val="en-GB"/>
              </w:rPr>
            </w:pPr>
            <w:r w:rsidRPr="00AE7A6B">
              <w:rPr>
                <w:i/>
                <w:iCs/>
                <w:color w:val="000000" w:themeColor="text1"/>
                <w:sz w:val="20"/>
                <w:szCs w:val="20"/>
                <w:lang w:val="en-GB"/>
              </w:rPr>
              <w:t>Bone augmentation</w:t>
            </w:r>
          </w:p>
        </w:tc>
        <w:tc>
          <w:tcPr>
            <w:tcW w:w="1768" w:type="dxa"/>
            <w:tcBorders>
              <w:top w:val="single" w:sz="4" w:space="0" w:color="auto"/>
            </w:tcBorders>
            <w:vAlign w:val="center"/>
          </w:tcPr>
          <w:p w14:paraId="4F8B272B" w14:textId="77777777" w:rsidR="0095500F" w:rsidRPr="00AE7A6B" w:rsidRDefault="0095500F" w:rsidP="004629CB">
            <w:pPr>
              <w:jc w:val="center"/>
              <w:rPr>
                <w:color w:val="000000" w:themeColor="text1"/>
                <w:sz w:val="20"/>
                <w:szCs w:val="20"/>
                <w:lang w:val="en-GB"/>
              </w:rPr>
            </w:pPr>
            <w:r w:rsidRPr="00AE7A6B">
              <w:rPr>
                <w:color w:val="000000" w:themeColor="text1"/>
                <w:sz w:val="20"/>
                <w:szCs w:val="20"/>
                <w:lang w:val="en-GB"/>
              </w:rPr>
              <w:t>427</w:t>
            </w:r>
          </w:p>
        </w:tc>
        <w:tc>
          <w:tcPr>
            <w:tcW w:w="2160" w:type="dxa"/>
            <w:tcBorders>
              <w:top w:val="single" w:sz="4" w:space="0" w:color="auto"/>
            </w:tcBorders>
            <w:vAlign w:val="center"/>
          </w:tcPr>
          <w:p w14:paraId="286A82D3" w14:textId="77777777" w:rsidR="0095500F" w:rsidRPr="00AE7A6B" w:rsidRDefault="0095500F" w:rsidP="004629CB">
            <w:pPr>
              <w:rPr>
                <w:color w:val="000000" w:themeColor="text1"/>
                <w:sz w:val="20"/>
                <w:szCs w:val="20"/>
                <w:lang w:val="en-GB"/>
              </w:rPr>
            </w:pPr>
            <w:r w:rsidRPr="00AE7A6B">
              <w:rPr>
                <w:color w:val="000000" w:themeColor="text1"/>
                <w:sz w:val="20"/>
                <w:szCs w:val="20"/>
                <w:lang w:val="en-GB"/>
              </w:rPr>
              <w:t>Bone grafting using autologous bone in a single quadrant</w:t>
            </w:r>
          </w:p>
        </w:tc>
        <w:tc>
          <w:tcPr>
            <w:tcW w:w="2160" w:type="dxa"/>
            <w:tcBorders>
              <w:top w:val="single" w:sz="4" w:space="0" w:color="auto"/>
            </w:tcBorders>
            <w:vAlign w:val="center"/>
          </w:tcPr>
          <w:p w14:paraId="1929A934" w14:textId="77777777" w:rsidR="0095500F" w:rsidRPr="00AE7A6B" w:rsidRDefault="0095500F" w:rsidP="004629CB">
            <w:pPr>
              <w:rPr>
                <w:color w:val="000000" w:themeColor="text1"/>
                <w:sz w:val="20"/>
                <w:szCs w:val="20"/>
                <w:lang w:val="en-GB"/>
              </w:rPr>
            </w:pPr>
          </w:p>
        </w:tc>
      </w:tr>
      <w:tr w:rsidR="0095500F" w:rsidRPr="00F97366" w14:paraId="0AA1139B" w14:textId="77777777" w:rsidTr="004629CB">
        <w:trPr>
          <w:trHeight w:val="1644"/>
        </w:trPr>
        <w:tc>
          <w:tcPr>
            <w:tcW w:w="2552" w:type="dxa"/>
          </w:tcPr>
          <w:p w14:paraId="183F6D5D" w14:textId="77777777" w:rsidR="0095500F" w:rsidRPr="00AE7A6B" w:rsidRDefault="0095500F" w:rsidP="004629CB">
            <w:pPr>
              <w:rPr>
                <w:color w:val="000000" w:themeColor="text1"/>
                <w:sz w:val="20"/>
                <w:szCs w:val="20"/>
                <w:lang w:val="en-GB"/>
              </w:rPr>
            </w:pPr>
          </w:p>
        </w:tc>
        <w:tc>
          <w:tcPr>
            <w:tcW w:w="1768" w:type="dxa"/>
            <w:vAlign w:val="center"/>
          </w:tcPr>
          <w:p w14:paraId="54534EFE" w14:textId="77777777" w:rsidR="0095500F" w:rsidRPr="00AE7A6B" w:rsidRDefault="0095500F" w:rsidP="004629CB">
            <w:pPr>
              <w:jc w:val="center"/>
              <w:rPr>
                <w:color w:val="000000" w:themeColor="text1"/>
                <w:sz w:val="20"/>
                <w:szCs w:val="20"/>
                <w:lang w:val="en-GB"/>
              </w:rPr>
            </w:pPr>
            <w:r w:rsidRPr="00AE7A6B">
              <w:rPr>
                <w:color w:val="000000" w:themeColor="text1"/>
                <w:sz w:val="20"/>
                <w:szCs w:val="20"/>
                <w:lang w:val="en-GB"/>
              </w:rPr>
              <w:t>428</w:t>
            </w:r>
          </w:p>
        </w:tc>
        <w:tc>
          <w:tcPr>
            <w:tcW w:w="2160" w:type="dxa"/>
            <w:vAlign w:val="center"/>
          </w:tcPr>
          <w:p w14:paraId="1B0A47AF" w14:textId="77777777" w:rsidR="0095500F" w:rsidRPr="00AE7A6B" w:rsidRDefault="0095500F" w:rsidP="004629CB">
            <w:pPr>
              <w:rPr>
                <w:color w:val="000000" w:themeColor="text1"/>
                <w:sz w:val="20"/>
                <w:szCs w:val="20"/>
                <w:lang w:val="en-GB"/>
              </w:rPr>
            </w:pPr>
            <w:r w:rsidRPr="00AE7A6B">
              <w:rPr>
                <w:color w:val="000000" w:themeColor="text1"/>
                <w:sz w:val="20"/>
                <w:szCs w:val="20"/>
                <w:lang w:val="en-GB"/>
              </w:rPr>
              <w:t>Bone augmentation with bone substitute material in one quadrant</w:t>
            </w:r>
          </w:p>
        </w:tc>
        <w:tc>
          <w:tcPr>
            <w:tcW w:w="2160" w:type="dxa"/>
            <w:vAlign w:val="center"/>
          </w:tcPr>
          <w:p w14:paraId="746CBD24" w14:textId="77777777" w:rsidR="0095500F" w:rsidRPr="00AE7A6B" w:rsidRDefault="0095500F" w:rsidP="004629CB">
            <w:pPr>
              <w:rPr>
                <w:color w:val="000000" w:themeColor="text1"/>
                <w:sz w:val="20"/>
                <w:szCs w:val="20"/>
                <w:lang w:val="en-GB"/>
              </w:rPr>
            </w:pPr>
          </w:p>
        </w:tc>
      </w:tr>
      <w:tr w:rsidR="0095500F" w:rsidRPr="00F97366" w14:paraId="19814AC2" w14:textId="77777777" w:rsidTr="004629CB">
        <w:trPr>
          <w:trHeight w:val="1644"/>
        </w:trPr>
        <w:tc>
          <w:tcPr>
            <w:tcW w:w="2552" w:type="dxa"/>
          </w:tcPr>
          <w:p w14:paraId="6079C8CB" w14:textId="77777777" w:rsidR="0095500F" w:rsidRPr="00AE7A6B" w:rsidRDefault="0095500F" w:rsidP="004629CB">
            <w:pPr>
              <w:rPr>
                <w:color w:val="000000" w:themeColor="text1"/>
                <w:sz w:val="20"/>
                <w:szCs w:val="20"/>
                <w:lang w:val="en-GB"/>
              </w:rPr>
            </w:pPr>
          </w:p>
        </w:tc>
        <w:tc>
          <w:tcPr>
            <w:tcW w:w="1768" w:type="dxa"/>
            <w:vAlign w:val="center"/>
          </w:tcPr>
          <w:p w14:paraId="3B190962" w14:textId="77777777" w:rsidR="0095500F" w:rsidRPr="00AE7A6B" w:rsidRDefault="0095500F" w:rsidP="004629CB">
            <w:pPr>
              <w:jc w:val="center"/>
              <w:rPr>
                <w:color w:val="000000" w:themeColor="text1"/>
                <w:sz w:val="20"/>
                <w:szCs w:val="20"/>
                <w:lang w:val="en-GB"/>
              </w:rPr>
            </w:pPr>
            <w:r w:rsidRPr="00AE7A6B">
              <w:rPr>
                <w:color w:val="000000" w:themeColor="text1"/>
                <w:sz w:val="20"/>
                <w:szCs w:val="20"/>
                <w:lang w:val="en-GB"/>
              </w:rPr>
              <w:t>430–432</w:t>
            </w:r>
          </w:p>
        </w:tc>
        <w:tc>
          <w:tcPr>
            <w:tcW w:w="2160" w:type="dxa"/>
            <w:vAlign w:val="center"/>
          </w:tcPr>
          <w:p w14:paraId="4A89D52F" w14:textId="77777777" w:rsidR="0095500F" w:rsidRPr="00AE7A6B" w:rsidRDefault="0095500F" w:rsidP="004629CB">
            <w:pPr>
              <w:rPr>
                <w:color w:val="000000" w:themeColor="text1"/>
                <w:sz w:val="20"/>
                <w:szCs w:val="20"/>
                <w:lang w:val="en-GB"/>
              </w:rPr>
            </w:pPr>
            <w:r w:rsidRPr="00AE7A6B">
              <w:rPr>
                <w:color w:val="000000" w:themeColor="text1"/>
                <w:sz w:val="20"/>
                <w:szCs w:val="20"/>
                <w:lang w:val="en-GB"/>
              </w:rPr>
              <w:t>Bone augmentation (autologous or substitute) in conjunction with another procedure; additional procedure</w:t>
            </w:r>
          </w:p>
        </w:tc>
        <w:tc>
          <w:tcPr>
            <w:tcW w:w="2160" w:type="dxa"/>
            <w:vAlign w:val="center"/>
          </w:tcPr>
          <w:p w14:paraId="24C44B16" w14:textId="77777777" w:rsidR="0095500F" w:rsidRPr="00AE7A6B" w:rsidRDefault="0095500F" w:rsidP="004629CB">
            <w:pPr>
              <w:rPr>
                <w:color w:val="000000" w:themeColor="text1"/>
                <w:sz w:val="20"/>
                <w:szCs w:val="20"/>
                <w:lang w:val="en-GB"/>
              </w:rPr>
            </w:pPr>
          </w:p>
        </w:tc>
      </w:tr>
      <w:tr w:rsidR="0095500F" w:rsidRPr="00F97366" w14:paraId="32F5C6C1" w14:textId="77777777" w:rsidTr="004629CB">
        <w:trPr>
          <w:trHeight w:val="1644"/>
        </w:trPr>
        <w:tc>
          <w:tcPr>
            <w:tcW w:w="2552" w:type="dxa"/>
            <w:tcBorders>
              <w:bottom w:val="single" w:sz="8" w:space="0" w:color="auto"/>
            </w:tcBorders>
          </w:tcPr>
          <w:p w14:paraId="101DBE0F" w14:textId="77777777" w:rsidR="0095500F" w:rsidRPr="00AE7A6B" w:rsidRDefault="0095500F" w:rsidP="004629CB">
            <w:pPr>
              <w:rPr>
                <w:color w:val="000000" w:themeColor="text1"/>
                <w:sz w:val="20"/>
                <w:szCs w:val="20"/>
                <w:lang w:val="en-GB"/>
              </w:rPr>
            </w:pPr>
          </w:p>
        </w:tc>
        <w:tc>
          <w:tcPr>
            <w:tcW w:w="1768" w:type="dxa"/>
            <w:tcBorders>
              <w:bottom w:val="single" w:sz="8" w:space="0" w:color="auto"/>
            </w:tcBorders>
            <w:vAlign w:val="center"/>
          </w:tcPr>
          <w:p w14:paraId="60110729" w14:textId="77777777" w:rsidR="0095500F" w:rsidRPr="00AE7A6B" w:rsidRDefault="0095500F" w:rsidP="004629CB">
            <w:pPr>
              <w:jc w:val="center"/>
              <w:rPr>
                <w:color w:val="000000" w:themeColor="text1"/>
                <w:sz w:val="20"/>
                <w:szCs w:val="20"/>
                <w:lang w:val="en-GB"/>
              </w:rPr>
            </w:pPr>
            <w:r w:rsidRPr="00AE7A6B">
              <w:rPr>
                <w:color w:val="000000" w:themeColor="text1"/>
                <w:sz w:val="20"/>
                <w:szCs w:val="20"/>
                <w:lang w:val="en-GB"/>
              </w:rPr>
              <w:t>433</w:t>
            </w:r>
          </w:p>
        </w:tc>
        <w:tc>
          <w:tcPr>
            <w:tcW w:w="2160" w:type="dxa"/>
            <w:tcBorders>
              <w:bottom w:val="single" w:sz="8" w:space="0" w:color="auto"/>
            </w:tcBorders>
            <w:vAlign w:val="center"/>
          </w:tcPr>
          <w:p w14:paraId="084C9534" w14:textId="77777777" w:rsidR="0095500F" w:rsidRPr="00AE7A6B" w:rsidRDefault="0095500F" w:rsidP="004629CB">
            <w:pPr>
              <w:rPr>
                <w:color w:val="000000" w:themeColor="text1"/>
                <w:sz w:val="20"/>
                <w:szCs w:val="20"/>
                <w:lang w:val="en-GB"/>
              </w:rPr>
            </w:pPr>
            <w:r w:rsidRPr="00AE7A6B">
              <w:rPr>
                <w:color w:val="000000" w:themeColor="text1"/>
                <w:sz w:val="20"/>
                <w:szCs w:val="20"/>
                <w:lang w:val="en-GB"/>
              </w:rPr>
              <w:t>Sinus lift without autologous bone or bone substitute material in conjunction with implant placement, per quadrant; additional procedure</w:t>
            </w:r>
          </w:p>
        </w:tc>
        <w:tc>
          <w:tcPr>
            <w:tcW w:w="2160" w:type="dxa"/>
            <w:tcBorders>
              <w:bottom w:val="single" w:sz="8" w:space="0" w:color="auto"/>
            </w:tcBorders>
            <w:vAlign w:val="center"/>
          </w:tcPr>
          <w:p w14:paraId="7D048F2E" w14:textId="77777777" w:rsidR="0095500F" w:rsidRPr="00AE7A6B" w:rsidRDefault="0095500F" w:rsidP="004629CB">
            <w:pPr>
              <w:rPr>
                <w:color w:val="000000" w:themeColor="text1"/>
                <w:sz w:val="20"/>
                <w:szCs w:val="20"/>
                <w:lang w:val="en-GB"/>
              </w:rPr>
            </w:pPr>
          </w:p>
        </w:tc>
      </w:tr>
    </w:tbl>
    <w:p w14:paraId="19D6BB73" w14:textId="77777777" w:rsidR="0095500F" w:rsidRPr="00C7778F" w:rsidRDefault="0095500F" w:rsidP="0095500F">
      <w:pPr>
        <w:spacing w:line="480" w:lineRule="auto"/>
        <w:rPr>
          <w:color w:val="000000" w:themeColor="text1"/>
          <w:lang w:val="en-GB"/>
        </w:rPr>
      </w:pPr>
    </w:p>
    <w:p w14:paraId="5DE1DC61" w14:textId="77777777" w:rsidR="0095500F" w:rsidRPr="00AE7A6B" w:rsidRDefault="0095500F" w:rsidP="0095500F">
      <w:pPr>
        <w:pStyle w:val="SupplementHeading"/>
        <w:rPr>
          <w:rFonts w:ascii="Times New Roman" w:hAnsi="Times New Roman" w:cs="Times New Roman"/>
          <w:color w:val="000000" w:themeColor="text1"/>
          <w:sz w:val="24"/>
          <w:szCs w:val="24"/>
        </w:rPr>
      </w:pPr>
      <w:r w:rsidRPr="00AE7A6B">
        <w:rPr>
          <w:rFonts w:ascii="Times New Roman" w:hAnsi="Times New Roman" w:cs="Times New Roman"/>
          <w:color w:val="000000" w:themeColor="text1"/>
          <w:sz w:val="24"/>
          <w:szCs w:val="24"/>
        </w:rPr>
        <w:t>3. Supplementary analyses (methods)</w:t>
      </w:r>
    </w:p>
    <w:p w14:paraId="3CD05885" w14:textId="77777777" w:rsidR="0095500F" w:rsidRPr="00AE7A6B" w:rsidRDefault="0095500F" w:rsidP="0095500F">
      <w:pPr>
        <w:pStyle w:val="SupplementHeading"/>
        <w:ind w:left="284"/>
        <w:rPr>
          <w:rFonts w:ascii="Times New Roman" w:hAnsi="Times New Roman" w:cs="Times New Roman"/>
          <w:color w:val="000000" w:themeColor="text1"/>
          <w:sz w:val="24"/>
          <w:szCs w:val="24"/>
        </w:rPr>
      </w:pPr>
      <w:r w:rsidRPr="00AE7A6B">
        <w:rPr>
          <w:rFonts w:ascii="Times New Roman" w:hAnsi="Times New Roman" w:cs="Times New Roman"/>
          <w:color w:val="000000" w:themeColor="text1"/>
          <w:sz w:val="24"/>
          <w:szCs w:val="24"/>
        </w:rPr>
        <w:t>3.1 Baseline</w:t>
      </w:r>
    </w:p>
    <w:p w14:paraId="1FE0B3A5" w14:textId="77777777" w:rsidR="0095500F" w:rsidRPr="00AE7A6B" w:rsidRDefault="0095500F" w:rsidP="0095500F">
      <w:pPr>
        <w:spacing w:line="480" w:lineRule="auto"/>
        <w:jc w:val="both"/>
        <w:rPr>
          <w:color w:val="000000" w:themeColor="text1"/>
          <w:lang w:val="en-GB"/>
        </w:rPr>
      </w:pPr>
      <w:r w:rsidRPr="00AE7A6B">
        <w:rPr>
          <w:color w:val="000000" w:themeColor="text1"/>
          <w:lang w:val="en-GB"/>
        </w:rPr>
        <w:t>All analyses were performed in R (version 4.5.</w:t>
      </w:r>
      <w:r>
        <w:rPr>
          <w:color w:val="000000" w:themeColor="text1"/>
          <w:lang w:val="en-GB"/>
        </w:rPr>
        <w:t>0</w:t>
      </w:r>
      <w:r w:rsidRPr="00AE7A6B">
        <w:rPr>
          <w:color w:val="000000" w:themeColor="text1"/>
          <w:lang w:val="en-GB"/>
        </w:rPr>
        <w:t xml:space="preserve">). Data manipulation and visualization were conducted with the </w:t>
      </w:r>
      <w:proofErr w:type="spellStart"/>
      <w:r w:rsidRPr="00AE7A6B">
        <w:rPr>
          <w:i/>
          <w:iCs/>
          <w:color w:val="000000" w:themeColor="text1"/>
          <w:lang w:val="en-GB"/>
        </w:rPr>
        <w:t>tidyverse</w:t>
      </w:r>
      <w:proofErr w:type="spellEnd"/>
      <w:r w:rsidRPr="00AE7A6B">
        <w:rPr>
          <w:color w:val="000000" w:themeColor="text1"/>
          <w:lang w:val="en-GB"/>
        </w:rPr>
        <w:t xml:space="preserve"> suite. Baseline covariate balance between the ECRR and control groups was evaluated using standardized mean differences (SMD), with |SMD| &lt; 0.1 indicating adequate balance. Covariate balance was visualized in a Love plot generated with the </w:t>
      </w:r>
      <w:r w:rsidRPr="00AE7A6B">
        <w:rPr>
          <w:i/>
          <w:iCs/>
          <w:color w:val="000000" w:themeColor="text1"/>
          <w:lang w:val="en-GB"/>
        </w:rPr>
        <w:t xml:space="preserve">cobalt </w:t>
      </w:r>
      <w:r w:rsidRPr="00AE7A6B">
        <w:rPr>
          <w:color w:val="000000" w:themeColor="text1"/>
          <w:lang w:val="en-GB"/>
        </w:rPr>
        <w:t xml:space="preserve">and </w:t>
      </w:r>
      <w:r w:rsidRPr="00AE7A6B">
        <w:rPr>
          <w:i/>
          <w:iCs/>
          <w:color w:val="000000" w:themeColor="text1"/>
          <w:lang w:val="en-GB"/>
        </w:rPr>
        <w:t>ggplot2</w:t>
      </w:r>
      <w:r w:rsidRPr="00AE7A6B">
        <w:rPr>
          <w:color w:val="000000" w:themeColor="text1"/>
          <w:lang w:val="en-GB"/>
        </w:rPr>
        <w:t xml:space="preserve"> packages (Figure S1). To account for within-patient and within–matched-pair correlations, two complementary approaches were applied: generalized estimating equations (GEE) with robust standard errors clustered by patient (</w:t>
      </w:r>
      <w:r w:rsidRPr="00AE7A6B">
        <w:rPr>
          <w:i/>
          <w:iCs/>
          <w:color w:val="000000" w:themeColor="text1"/>
          <w:lang w:val="en-GB"/>
        </w:rPr>
        <w:t>gee</w:t>
      </w:r>
      <w:r w:rsidRPr="00AE7A6B">
        <w:rPr>
          <w:color w:val="000000" w:themeColor="text1"/>
          <w:lang w:val="en-GB"/>
        </w:rPr>
        <w:t xml:space="preserve"> package), and linear mixed-effects models with random intercepts for matched pairs and individual patients (</w:t>
      </w:r>
      <w:r w:rsidRPr="00AE7A6B">
        <w:rPr>
          <w:i/>
          <w:iCs/>
          <w:color w:val="000000" w:themeColor="text1"/>
          <w:lang w:val="en-GB"/>
        </w:rPr>
        <w:t>lme4</w:t>
      </w:r>
      <w:r w:rsidRPr="00AE7A6B">
        <w:rPr>
          <w:color w:val="000000" w:themeColor="text1"/>
          <w:lang w:val="en-GB"/>
        </w:rPr>
        <w:t xml:space="preserve"> package). Statistical significance was defined as two-sided </w:t>
      </w:r>
      <w:r w:rsidRPr="00AE7A6B">
        <w:rPr>
          <w:i/>
          <w:iCs/>
          <w:color w:val="000000" w:themeColor="text1"/>
          <w:lang w:val="en-GB"/>
        </w:rPr>
        <w:t>p</w:t>
      </w:r>
      <w:r w:rsidRPr="00AE7A6B">
        <w:rPr>
          <w:color w:val="000000" w:themeColor="text1"/>
          <w:lang w:val="en-GB"/>
        </w:rPr>
        <w:t xml:space="preserve"> &lt; 0.05.</w:t>
      </w:r>
    </w:p>
    <w:p w14:paraId="0A5885CE" w14:textId="77777777" w:rsidR="0095500F" w:rsidRPr="00AE7A6B" w:rsidRDefault="0095500F" w:rsidP="0095500F">
      <w:pPr>
        <w:pStyle w:val="SupplementHeading"/>
        <w:ind w:left="284"/>
        <w:rPr>
          <w:rFonts w:ascii="Times New Roman" w:hAnsi="Times New Roman" w:cs="Times New Roman"/>
          <w:color w:val="000000" w:themeColor="text1"/>
          <w:sz w:val="24"/>
          <w:szCs w:val="24"/>
        </w:rPr>
      </w:pPr>
      <w:r w:rsidRPr="00AE7A6B">
        <w:rPr>
          <w:rFonts w:ascii="Times New Roman" w:hAnsi="Times New Roman" w:cs="Times New Roman"/>
          <w:color w:val="000000" w:themeColor="text1"/>
          <w:sz w:val="24"/>
          <w:szCs w:val="24"/>
        </w:rPr>
        <w:t>3.2 Unloaded implants</w:t>
      </w:r>
    </w:p>
    <w:p w14:paraId="0111E08B" w14:textId="77777777" w:rsidR="0095500F" w:rsidRPr="00AE7A6B" w:rsidRDefault="0095500F" w:rsidP="0095500F">
      <w:pPr>
        <w:spacing w:line="480" w:lineRule="auto"/>
        <w:jc w:val="both"/>
        <w:rPr>
          <w:color w:val="000000" w:themeColor="text1"/>
          <w:lang w:val="en-GB"/>
        </w:rPr>
      </w:pPr>
      <w:r w:rsidRPr="00AE7A6B">
        <w:rPr>
          <w:color w:val="000000" w:themeColor="text1"/>
          <w:lang w:val="en-GB"/>
        </w:rPr>
        <w:t>Univariable conditional logistic regression (</w:t>
      </w:r>
      <w:proofErr w:type="gramStart"/>
      <w:r w:rsidRPr="00AE7A6B">
        <w:rPr>
          <w:i/>
          <w:iCs/>
          <w:color w:val="000000" w:themeColor="text1"/>
          <w:lang w:val="en-GB"/>
        </w:rPr>
        <w:t>survival</w:t>
      </w:r>
      <w:r w:rsidRPr="00AE7A6B">
        <w:rPr>
          <w:color w:val="000000" w:themeColor="text1"/>
          <w:lang w:val="en-GB"/>
        </w:rPr>
        <w:t>::</w:t>
      </w:r>
      <w:proofErr w:type="spellStart"/>
      <w:proofErr w:type="gramEnd"/>
      <w:r w:rsidRPr="00AE7A6B">
        <w:rPr>
          <w:i/>
          <w:iCs/>
          <w:color w:val="000000" w:themeColor="text1"/>
          <w:lang w:val="en-GB"/>
        </w:rPr>
        <w:t>clogit</w:t>
      </w:r>
      <w:proofErr w:type="spellEnd"/>
      <w:r w:rsidRPr="00AE7A6B">
        <w:rPr>
          <w:color w:val="000000" w:themeColor="text1"/>
          <w:lang w:val="en-GB"/>
        </w:rPr>
        <w:t>) was used to explore associations between baseline variables and the likelihood of having an unloaded implant. A multivariable model including study group and the number of remaining teeth was then fitted to compare ECRR versus control while addressing the imbalance in remaining teeth (selected based on borderline association in univariable analyses).</w:t>
      </w:r>
    </w:p>
    <w:p w14:paraId="25DFEA85" w14:textId="77777777" w:rsidR="0095500F" w:rsidRPr="00AE7A6B" w:rsidRDefault="0095500F" w:rsidP="0095500F">
      <w:pPr>
        <w:pStyle w:val="SupplementHeading"/>
        <w:ind w:left="284"/>
        <w:rPr>
          <w:rFonts w:ascii="Times New Roman" w:hAnsi="Times New Roman" w:cs="Times New Roman"/>
          <w:color w:val="000000" w:themeColor="text1"/>
          <w:sz w:val="24"/>
          <w:szCs w:val="24"/>
        </w:rPr>
      </w:pPr>
      <w:r w:rsidRPr="00AE7A6B">
        <w:rPr>
          <w:rFonts w:ascii="Times New Roman" w:hAnsi="Times New Roman" w:cs="Times New Roman"/>
          <w:color w:val="000000" w:themeColor="text1"/>
          <w:sz w:val="24"/>
          <w:szCs w:val="24"/>
        </w:rPr>
        <w:t>3.3 Implant survival</w:t>
      </w:r>
    </w:p>
    <w:p w14:paraId="1A34C8BC" w14:textId="77777777" w:rsidR="0095500F" w:rsidRPr="00AE7A6B" w:rsidRDefault="0095500F" w:rsidP="0095500F">
      <w:pPr>
        <w:spacing w:line="480" w:lineRule="auto"/>
        <w:jc w:val="both"/>
        <w:rPr>
          <w:color w:val="000000" w:themeColor="text1"/>
          <w:lang w:val="en-GB"/>
        </w:rPr>
      </w:pPr>
      <w:r w:rsidRPr="00AE7A6B">
        <w:rPr>
          <w:color w:val="000000" w:themeColor="text1"/>
          <w:lang w:val="en-GB"/>
        </w:rPr>
        <w:t>A stratified Cox proportional hazards regression compared implant extraction between groups, adjusting for baseline covariates that remained unbalanced (number of remaining teeth and number of intact teeth), with matched pairs as strata. The proportional hazards assumption was assessed using Schoenfeld residuals (</w:t>
      </w:r>
      <w:proofErr w:type="spellStart"/>
      <w:r w:rsidRPr="00AE7A6B">
        <w:rPr>
          <w:i/>
          <w:iCs/>
          <w:color w:val="000000" w:themeColor="text1"/>
          <w:lang w:val="en-GB"/>
        </w:rPr>
        <w:t>cox.zph</w:t>
      </w:r>
      <w:proofErr w:type="spellEnd"/>
      <w:r w:rsidRPr="00AE7A6B">
        <w:rPr>
          <w:color w:val="000000" w:themeColor="text1"/>
          <w:lang w:val="en-GB"/>
        </w:rPr>
        <w:t>), both numerically and visually.</w:t>
      </w:r>
      <w:r w:rsidRPr="00AE7A6B">
        <w:rPr>
          <w:color w:val="000000" w:themeColor="text1"/>
          <w:lang w:val="en-US"/>
        </w:rPr>
        <w:t xml:space="preserve"> Residuals were </w:t>
      </w:r>
      <w:r w:rsidRPr="00AE7A6B">
        <w:rPr>
          <w:color w:val="000000" w:themeColor="text1"/>
          <w:lang w:val="en-US"/>
        </w:rPr>
        <w:lastRenderedPageBreak/>
        <w:t>plotted over follow-up time to inspect for systematic deviations from zero.</w:t>
      </w:r>
      <w:r w:rsidRPr="00AE7A6B">
        <w:rPr>
          <w:color w:val="000000" w:themeColor="text1"/>
          <w:lang w:val="en-GB"/>
        </w:rPr>
        <w:t xml:space="preserve"> Restricted mean survival time (RMST) up to 3,653 days (~10 years) and restricted mean time lost (RMTL) were estimated with </w:t>
      </w:r>
      <w:r w:rsidRPr="00AE7A6B">
        <w:rPr>
          <w:i/>
          <w:iCs/>
          <w:color w:val="000000" w:themeColor="text1"/>
          <w:lang w:val="en-GB"/>
        </w:rPr>
        <w:t>survRM</w:t>
      </w:r>
      <w:proofErr w:type="gramStart"/>
      <w:r w:rsidRPr="00AE7A6B">
        <w:rPr>
          <w:i/>
          <w:iCs/>
          <w:color w:val="000000" w:themeColor="text1"/>
          <w:lang w:val="en-GB"/>
        </w:rPr>
        <w:t>2</w:t>
      </w:r>
      <w:r w:rsidRPr="00AE7A6B">
        <w:rPr>
          <w:color w:val="000000" w:themeColor="text1"/>
          <w:lang w:val="en-GB"/>
        </w:rPr>
        <w:t>::</w:t>
      </w:r>
      <w:proofErr w:type="gramEnd"/>
      <w:r w:rsidRPr="00AE7A6B">
        <w:rPr>
          <w:i/>
          <w:iCs/>
          <w:color w:val="000000" w:themeColor="text1"/>
          <w:lang w:val="en-GB"/>
        </w:rPr>
        <w:t>rmst2</w:t>
      </w:r>
      <w:r w:rsidRPr="00AE7A6B">
        <w:rPr>
          <w:color w:val="000000" w:themeColor="text1"/>
          <w:lang w:val="en-GB"/>
        </w:rPr>
        <w:t xml:space="preserve">. A pre-specified sensitivity analysis evaluated robustness to alternative implant failure definitions: the primary definition combined explicit implant removal with proxy indicators (e.g., subsequent implant placement, </w:t>
      </w:r>
      <w:proofErr w:type="spellStart"/>
      <w:r w:rsidRPr="00AE7A6B">
        <w:rPr>
          <w:color w:val="000000" w:themeColor="text1"/>
          <w:lang w:val="en-GB"/>
        </w:rPr>
        <w:t>pontics</w:t>
      </w:r>
      <w:proofErr w:type="spellEnd"/>
      <w:r w:rsidRPr="00AE7A6B">
        <w:rPr>
          <w:color w:val="000000" w:themeColor="text1"/>
          <w:lang w:val="en-GB"/>
        </w:rPr>
        <w:t>, or removable prostheses), whereas the strict definition considered only explicit removal. Kaplan–Meier (KM), RMST, and stratified Cox models were recalculated under both definitions.</w:t>
      </w:r>
    </w:p>
    <w:p w14:paraId="7605A029" w14:textId="77777777" w:rsidR="0095500F" w:rsidRPr="00AE7A6B" w:rsidRDefault="0095500F" w:rsidP="0095500F">
      <w:pPr>
        <w:pStyle w:val="SupplementHeading"/>
        <w:ind w:left="284"/>
        <w:rPr>
          <w:rFonts w:ascii="Times New Roman" w:hAnsi="Times New Roman" w:cs="Times New Roman"/>
          <w:color w:val="000000" w:themeColor="text1"/>
          <w:sz w:val="24"/>
          <w:szCs w:val="24"/>
        </w:rPr>
      </w:pPr>
      <w:r w:rsidRPr="00AE7A6B">
        <w:rPr>
          <w:rFonts w:ascii="Times New Roman" w:hAnsi="Times New Roman" w:cs="Times New Roman"/>
          <w:color w:val="000000" w:themeColor="text1"/>
          <w:sz w:val="24"/>
          <w:szCs w:val="24"/>
        </w:rPr>
        <w:t>3.4 Power and robustness to unmeasured confounding</w:t>
      </w:r>
    </w:p>
    <w:p w14:paraId="50DE2E81" w14:textId="77777777" w:rsidR="0095500F" w:rsidRPr="00AE7A6B" w:rsidRDefault="0095500F" w:rsidP="0095500F">
      <w:pPr>
        <w:spacing w:line="480" w:lineRule="auto"/>
        <w:jc w:val="both"/>
        <w:rPr>
          <w:color w:val="000000" w:themeColor="text1"/>
          <w:lang w:val="en-GB"/>
        </w:rPr>
      </w:pPr>
      <w:r w:rsidRPr="00AE7A6B">
        <w:rPr>
          <w:color w:val="000000" w:themeColor="text1"/>
          <w:lang w:val="en-GB"/>
        </w:rPr>
        <w:t xml:space="preserve">A post hoc power analysis was performed using the Schoenfeld approximation formula implemented in base R to determine the minimum detectable hazard ratio (HR). E-values were then calculated manually using the formula </w:t>
      </w:r>
      <w:r w:rsidRPr="00AE7A6B">
        <w:rPr>
          <w:i/>
          <w:iCs/>
          <w:color w:val="000000" w:themeColor="text1"/>
          <w:lang w:val="en-GB"/>
        </w:rPr>
        <w:t xml:space="preserve">E = HR + </w:t>
      </w:r>
      <w:proofErr w:type="gramStart"/>
      <w:r w:rsidRPr="00AE7A6B">
        <w:rPr>
          <w:i/>
          <w:iCs/>
          <w:color w:val="000000" w:themeColor="text1"/>
          <w:lang w:val="en-GB"/>
        </w:rPr>
        <w:t>√[</w:t>
      </w:r>
      <w:proofErr w:type="gramEnd"/>
      <w:r w:rsidRPr="00AE7A6B">
        <w:rPr>
          <w:i/>
          <w:iCs/>
          <w:color w:val="000000" w:themeColor="text1"/>
          <w:lang w:val="en-GB"/>
        </w:rPr>
        <w:t>HR × (HR − 1)]</w:t>
      </w:r>
      <w:r w:rsidRPr="00AE7A6B">
        <w:rPr>
          <w:color w:val="000000" w:themeColor="text1"/>
          <w:lang w:val="en-GB"/>
        </w:rPr>
        <w:t xml:space="preserve"> (with reciprocal transformation applied for protective effects) to assess the robustness of observed associations to potential unmeasured confounding.</w:t>
      </w:r>
    </w:p>
    <w:p w14:paraId="76AAF8C8" w14:textId="77777777" w:rsidR="0095500F" w:rsidRPr="00AE7A6B" w:rsidRDefault="0095500F" w:rsidP="0095500F">
      <w:pPr>
        <w:pStyle w:val="SupplementHeading"/>
        <w:ind w:left="284"/>
        <w:rPr>
          <w:rFonts w:ascii="Times New Roman" w:hAnsi="Times New Roman" w:cs="Times New Roman"/>
          <w:color w:val="000000" w:themeColor="text1"/>
          <w:sz w:val="24"/>
          <w:szCs w:val="24"/>
        </w:rPr>
      </w:pPr>
      <w:r w:rsidRPr="00AE7A6B">
        <w:rPr>
          <w:rFonts w:ascii="Times New Roman" w:hAnsi="Times New Roman" w:cs="Times New Roman"/>
          <w:color w:val="000000" w:themeColor="text1"/>
          <w:sz w:val="24"/>
          <w:szCs w:val="24"/>
        </w:rPr>
        <w:t>3.5 Multistate analyses</w:t>
      </w:r>
    </w:p>
    <w:p w14:paraId="1816FC68" w14:textId="77777777" w:rsidR="0095500F" w:rsidRDefault="0095500F" w:rsidP="0095500F">
      <w:pPr>
        <w:spacing w:line="480" w:lineRule="auto"/>
        <w:jc w:val="both"/>
        <w:rPr>
          <w:color w:val="000000" w:themeColor="text1"/>
          <w:lang w:val="en-GB"/>
        </w:rPr>
      </w:pPr>
      <w:r w:rsidRPr="00AE7A6B">
        <w:rPr>
          <w:color w:val="000000" w:themeColor="text1"/>
          <w:lang w:val="en-GB"/>
        </w:rPr>
        <w:t xml:space="preserve">A multistate transition framework was used to examine longitudinal dynamics across three clinical states: State 1 (implant placement), State 2 (healthy condition / implant-supported crown placed), and State 3 (implant extraction, terminal event). Transitions were derived from observed sequences; person-time accrued from entry into each state until extraction or censoring. </w:t>
      </w:r>
      <w:r w:rsidRPr="00C7778F">
        <w:rPr>
          <w:color w:val="000000" w:themeColor="text1"/>
          <w:lang w:val="en-GB"/>
        </w:rPr>
        <w:t>Kaplan–Meier</w:t>
      </w:r>
      <w:r w:rsidRPr="00AE7A6B">
        <w:rPr>
          <w:color w:val="000000" w:themeColor="text1"/>
          <w:lang w:val="en-GB"/>
        </w:rPr>
        <w:t xml:space="preserve"> estimators and log-rank tests were used for transition probabilities; Poisson methods yielded incidence rates (IR) and incidence rate ratios (IRR) with 95% </w:t>
      </w:r>
      <w:r w:rsidRPr="00AE7A6B">
        <w:rPr>
          <w:i/>
          <w:iCs/>
          <w:color w:val="000000" w:themeColor="text1"/>
          <w:lang w:val="en-GB"/>
        </w:rPr>
        <w:t>CI</w:t>
      </w:r>
      <w:r w:rsidRPr="00AE7A6B">
        <w:rPr>
          <w:color w:val="000000" w:themeColor="text1"/>
          <w:lang w:val="en-GB"/>
        </w:rPr>
        <w:t xml:space="preserve">; and Cox models estimated transition-specific hazard ratios. Kaplan–Meier curves with shaded 95% </w:t>
      </w:r>
      <w:r w:rsidRPr="00F97366">
        <w:rPr>
          <w:i/>
          <w:iCs/>
          <w:color w:val="000000" w:themeColor="text1"/>
          <w:lang w:val="en-GB"/>
        </w:rPr>
        <w:t>CI</w:t>
      </w:r>
      <w:r w:rsidRPr="00AE7A6B">
        <w:rPr>
          <w:color w:val="000000" w:themeColor="text1"/>
          <w:lang w:val="en-GB"/>
        </w:rPr>
        <w:t>, cumulative incidence, and survival tables were generated to depict survival dynamics (Figures S2–S3; Tables S2–S3).</w:t>
      </w:r>
    </w:p>
    <w:p w14:paraId="52492356" w14:textId="77777777" w:rsidR="001B6F1E" w:rsidRPr="00AE7A6B" w:rsidRDefault="001B6F1E" w:rsidP="0095500F">
      <w:pPr>
        <w:spacing w:line="480" w:lineRule="auto"/>
        <w:jc w:val="both"/>
        <w:rPr>
          <w:color w:val="000000" w:themeColor="text1"/>
          <w:lang w:val="en-GB"/>
        </w:rPr>
      </w:pPr>
    </w:p>
    <w:p w14:paraId="44DDDD0D" w14:textId="77777777" w:rsidR="0095500F" w:rsidRPr="00AE7A6B" w:rsidRDefault="0095500F" w:rsidP="0095500F">
      <w:pPr>
        <w:spacing w:line="480" w:lineRule="auto"/>
        <w:jc w:val="both"/>
        <w:rPr>
          <w:b/>
          <w:color w:val="000000" w:themeColor="text1"/>
          <w:lang w:val="en-GB"/>
        </w:rPr>
      </w:pPr>
      <w:r w:rsidRPr="00AE7A6B">
        <w:rPr>
          <w:b/>
          <w:color w:val="000000" w:themeColor="text1"/>
          <w:lang w:val="en-GB"/>
        </w:rPr>
        <w:t>4. Supplementary results</w:t>
      </w:r>
    </w:p>
    <w:p w14:paraId="0E760934" w14:textId="77777777" w:rsidR="0095500F" w:rsidRPr="00AE7A6B" w:rsidRDefault="0095500F" w:rsidP="0095500F">
      <w:pPr>
        <w:spacing w:line="480" w:lineRule="auto"/>
        <w:ind w:left="284"/>
        <w:jc w:val="both"/>
        <w:rPr>
          <w:b/>
          <w:color w:val="000000" w:themeColor="text1"/>
          <w:lang w:val="en-GB"/>
        </w:rPr>
      </w:pPr>
      <w:r w:rsidRPr="00AE7A6B">
        <w:rPr>
          <w:b/>
          <w:color w:val="000000" w:themeColor="text1"/>
          <w:lang w:val="en-GB"/>
        </w:rPr>
        <w:lastRenderedPageBreak/>
        <w:t>4.1 Baseline</w:t>
      </w:r>
    </w:p>
    <w:p w14:paraId="614BBC52" w14:textId="77777777" w:rsidR="0095500F" w:rsidRPr="00C7778F" w:rsidRDefault="0095500F" w:rsidP="0095500F">
      <w:pPr>
        <w:spacing w:line="480" w:lineRule="auto"/>
        <w:jc w:val="both"/>
        <w:rPr>
          <w:color w:val="000000" w:themeColor="text1"/>
          <w:lang w:val="en-GB"/>
        </w:rPr>
      </w:pPr>
      <w:r w:rsidRPr="00AE7A6B">
        <w:rPr>
          <w:color w:val="000000" w:themeColor="text1"/>
          <w:lang w:val="en-GB"/>
        </w:rPr>
        <w:t xml:space="preserve">Most baseline covariates achieved adequate balance (|SMD| &lt; 0.1). Residual imbalance persisted for the number of remaining and intact teeth (Figure S1), but the limited number of events and lack of association with outcomes did not justify post-matching adjustments. At the patient level, the ECRR group demonstrated significantly better baseline dental status, with a mean of 1.66 more intact teeth (95% </w:t>
      </w:r>
      <w:r w:rsidRPr="00AE7A6B">
        <w:rPr>
          <w:i/>
          <w:iCs/>
          <w:color w:val="000000" w:themeColor="text1"/>
          <w:lang w:val="en-GB"/>
        </w:rPr>
        <w:t>CI</w:t>
      </w:r>
      <w:r w:rsidRPr="00AE7A6B">
        <w:rPr>
          <w:color w:val="000000" w:themeColor="text1"/>
          <w:lang w:val="en-GB"/>
        </w:rPr>
        <w:t>: 0.88</w:t>
      </w:r>
      <w:r w:rsidRPr="00C7778F">
        <w:rPr>
          <w:color w:val="000000" w:themeColor="text1"/>
          <w:lang w:val="en-GB"/>
        </w:rPr>
        <w:t xml:space="preserve"> </w:t>
      </w:r>
      <w:r w:rsidRPr="00AE7A6B">
        <w:rPr>
          <w:color w:val="000000" w:themeColor="text1"/>
          <w:lang w:val="en-GB"/>
        </w:rPr>
        <w:t>–</w:t>
      </w:r>
      <w:r w:rsidRPr="00C7778F">
        <w:rPr>
          <w:color w:val="000000" w:themeColor="text1"/>
          <w:lang w:val="en-GB"/>
        </w:rPr>
        <w:t xml:space="preserve"> </w:t>
      </w:r>
      <w:r w:rsidRPr="00AE7A6B">
        <w:rPr>
          <w:color w:val="000000" w:themeColor="text1"/>
          <w:lang w:val="en-GB"/>
        </w:rPr>
        <w:t xml:space="preserve">2.43; </w:t>
      </w:r>
      <w:r w:rsidRPr="00AE7A6B">
        <w:rPr>
          <w:i/>
          <w:iCs/>
          <w:color w:val="000000" w:themeColor="text1"/>
          <w:lang w:val="en-GB"/>
        </w:rPr>
        <w:t>p</w:t>
      </w:r>
      <w:r w:rsidRPr="00AE7A6B">
        <w:rPr>
          <w:color w:val="000000" w:themeColor="text1"/>
          <w:lang w:val="en-GB"/>
        </w:rPr>
        <w:t xml:space="preserve"> = 3.29</w:t>
      </w:r>
      <w:r w:rsidRPr="00C7778F">
        <w:rPr>
          <w:color w:val="000000" w:themeColor="text1"/>
          <w:lang w:val="en-GB"/>
        </w:rPr>
        <w:t xml:space="preserve"> </w:t>
      </w:r>
      <w:r w:rsidRPr="00AE7A6B">
        <w:rPr>
          <w:color w:val="000000" w:themeColor="text1"/>
          <w:lang w:val="en-GB"/>
        </w:rPr>
        <w:t>×</w:t>
      </w:r>
      <w:r w:rsidRPr="00C7778F">
        <w:rPr>
          <w:color w:val="000000" w:themeColor="text1"/>
          <w:lang w:val="en-GB"/>
        </w:rPr>
        <w:t xml:space="preserve"> </w:t>
      </w:r>
      <w:r w:rsidRPr="00AE7A6B">
        <w:rPr>
          <w:color w:val="000000" w:themeColor="text1"/>
          <w:lang w:val="en-GB"/>
        </w:rPr>
        <w:t xml:space="preserve">10⁻⁵) and 1.87 more remaining teeth (95% </w:t>
      </w:r>
      <w:r w:rsidRPr="00AE7A6B">
        <w:rPr>
          <w:i/>
          <w:iCs/>
          <w:color w:val="000000" w:themeColor="text1"/>
          <w:lang w:val="en-GB"/>
        </w:rPr>
        <w:t>CI</w:t>
      </w:r>
      <w:r w:rsidRPr="00AE7A6B">
        <w:rPr>
          <w:color w:val="000000" w:themeColor="text1"/>
          <w:lang w:val="en-GB"/>
        </w:rPr>
        <w:t>: 1.43</w:t>
      </w:r>
      <w:r w:rsidRPr="00C7778F">
        <w:rPr>
          <w:color w:val="000000" w:themeColor="text1"/>
          <w:lang w:val="en-GB"/>
        </w:rPr>
        <w:t xml:space="preserve"> </w:t>
      </w:r>
      <w:r w:rsidRPr="00AE7A6B">
        <w:rPr>
          <w:color w:val="000000" w:themeColor="text1"/>
          <w:lang w:val="en-GB"/>
        </w:rPr>
        <w:t>–</w:t>
      </w:r>
      <w:r w:rsidRPr="00C7778F">
        <w:rPr>
          <w:color w:val="000000" w:themeColor="text1"/>
          <w:lang w:val="en-GB"/>
        </w:rPr>
        <w:t xml:space="preserve"> </w:t>
      </w:r>
      <w:r w:rsidRPr="00AE7A6B">
        <w:rPr>
          <w:color w:val="000000" w:themeColor="text1"/>
          <w:lang w:val="en-GB"/>
        </w:rPr>
        <w:t xml:space="preserve">2.32; </w:t>
      </w:r>
      <w:r w:rsidRPr="00AE7A6B">
        <w:rPr>
          <w:i/>
          <w:iCs/>
          <w:color w:val="000000" w:themeColor="text1"/>
          <w:lang w:val="en-GB"/>
        </w:rPr>
        <w:t xml:space="preserve">p </w:t>
      </w:r>
      <w:r w:rsidRPr="00AE7A6B">
        <w:rPr>
          <w:color w:val="000000" w:themeColor="text1"/>
          <w:lang w:val="en-GB"/>
        </w:rPr>
        <w:t>= 1.11</w:t>
      </w:r>
      <w:r w:rsidRPr="00C7778F">
        <w:rPr>
          <w:color w:val="000000" w:themeColor="text1"/>
          <w:lang w:val="en-GB"/>
        </w:rPr>
        <w:t xml:space="preserve"> </w:t>
      </w:r>
      <w:r w:rsidRPr="00AE7A6B">
        <w:rPr>
          <w:color w:val="000000" w:themeColor="text1"/>
          <w:lang w:val="en-GB"/>
        </w:rPr>
        <w:t>×</w:t>
      </w:r>
      <w:r w:rsidRPr="00C7778F">
        <w:rPr>
          <w:color w:val="000000" w:themeColor="text1"/>
          <w:lang w:val="en-GB"/>
        </w:rPr>
        <w:t xml:space="preserve"> </w:t>
      </w:r>
      <w:r w:rsidRPr="00AE7A6B">
        <w:rPr>
          <w:color w:val="000000" w:themeColor="text1"/>
          <w:lang w:val="en-GB"/>
        </w:rPr>
        <w:t xml:space="preserve">10⁻¹⁵) than controls; findings were consistent across paired t-tests, </w:t>
      </w:r>
      <w:r w:rsidRPr="00C7778F">
        <w:rPr>
          <w:color w:val="000000" w:themeColor="text1"/>
          <w:lang w:val="en-GB"/>
        </w:rPr>
        <w:t>generalized estimating equations</w:t>
      </w:r>
      <w:r w:rsidRPr="00AE7A6B">
        <w:rPr>
          <w:color w:val="000000" w:themeColor="text1"/>
          <w:lang w:val="en-GB"/>
        </w:rPr>
        <w:t>, and mixed-effects models</w:t>
      </w:r>
      <w:r w:rsidRPr="00C7778F">
        <w:rPr>
          <w:color w:val="000000" w:themeColor="text1"/>
          <w:lang w:val="en-GB"/>
        </w:rPr>
        <w:t xml:space="preserve">, confirming the robustness of this finding. </w:t>
      </w:r>
    </w:p>
    <w:p w14:paraId="31848AFA" w14:textId="77777777" w:rsidR="0095500F" w:rsidRPr="00AE7A6B" w:rsidRDefault="0095500F" w:rsidP="0095500F">
      <w:pPr>
        <w:spacing w:line="480" w:lineRule="auto"/>
        <w:ind w:left="284"/>
        <w:jc w:val="both"/>
        <w:rPr>
          <w:b/>
          <w:color w:val="000000" w:themeColor="text1"/>
          <w:lang w:val="en-GB"/>
        </w:rPr>
      </w:pPr>
      <w:r w:rsidRPr="00AE7A6B">
        <w:rPr>
          <w:b/>
          <w:color w:val="000000" w:themeColor="text1"/>
          <w:lang w:val="en-GB"/>
        </w:rPr>
        <w:t>4.2 Unloaded implants</w:t>
      </w:r>
    </w:p>
    <w:p w14:paraId="44D475F5" w14:textId="77777777" w:rsidR="0095500F" w:rsidRPr="00C7778F" w:rsidRDefault="0095500F" w:rsidP="0095500F">
      <w:pPr>
        <w:spacing w:line="480" w:lineRule="auto"/>
        <w:jc w:val="both"/>
        <w:rPr>
          <w:color w:val="000000" w:themeColor="text1"/>
          <w:lang w:val="en-GB"/>
        </w:rPr>
      </w:pPr>
      <w:r w:rsidRPr="00AE7A6B">
        <w:rPr>
          <w:color w:val="000000" w:themeColor="text1"/>
          <w:lang w:val="en-GB"/>
        </w:rPr>
        <w:t xml:space="preserve">In matched-pair analyses, the odds of implant failure showed a non-significant trend towards lower odds in the ECRR group (OR 0.72, 95% </w:t>
      </w:r>
      <w:r w:rsidRPr="00AE7A6B">
        <w:rPr>
          <w:i/>
          <w:iCs/>
          <w:color w:val="000000" w:themeColor="text1"/>
          <w:lang w:val="en-GB"/>
        </w:rPr>
        <w:t>CI</w:t>
      </w:r>
      <w:r w:rsidRPr="00C7778F">
        <w:rPr>
          <w:color w:val="000000" w:themeColor="text1"/>
          <w:lang w:val="en-GB"/>
        </w:rPr>
        <w:t>:</w:t>
      </w:r>
      <w:r w:rsidRPr="00AE7A6B">
        <w:rPr>
          <w:color w:val="000000" w:themeColor="text1"/>
          <w:lang w:val="en-GB"/>
        </w:rPr>
        <w:t xml:space="preserve"> 0.46</w:t>
      </w:r>
      <w:r w:rsidRPr="00C7778F">
        <w:rPr>
          <w:color w:val="000000" w:themeColor="text1"/>
          <w:lang w:val="en-GB"/>
        </w:rPr>
        <w:t xml:space="preserve"> </w:t>
      </w:r>
      <w:r w:rsidRPr="00AE7A6B">
        <w:rPr>
          <w:color w:val="000000" w:themeColor="text1"/>
          <w:lang w:val="en-GB"/>
        </w:rPr>
        <w:t>–</w:t>
      </w:r>
      <w:r w:rsidRPr="00C7778F">
        <w:rPr>
          <w:color w:val="000000" w:themeColor="text1"/>
          <w:lang w:val="en-GB"/>
        </w:rPr>
        <w:t xml:space="preserve"> </w:t>
      </w:r>
      <w:r w:rsidRPr="00AE7A6B">
        <w:rPr>
          <w:color w:val="000000" w:themeColor="text1"/>
          <w:lang w:val="en-GB"/>
        </w:rPr>
        <w:t xml:space="preserve">1.12; </w:t>
      </w:r>
      <w:r w:rsidRPr="00AE7A6B">
        <w:rPr>
          <w:i/>
          <w:iCs/>
          <w:color w:val="000000" w:themeColor="text1"/>
          <w:lang w:val="en-GB"/>
        </w:rPr>
        <w:t>p</w:t>
      </w:r>
      <w:r w:rsidRPr="00AE7A6B">
        <w:rPr>
          <w:color w:val="000000" w:themeColor="text1"/>
          <w:lang w:val="en-GB"/>
        </w:rPr>
        <w:t xml:space="preserve"> = 0.15). Age and number of intact teeth were not associated with the outcome (OR per year = 0.90, 95% </w:t>
      </w:r>
      <w:r w:rsidRPr="00AE7A6B">
        <w:rPr>
          <w:i/>
          <w:iCs/>
          <w:color w:val="000000" w:themeColor="text1"/>
          <w:lang w:val="en-GB"/>
        </w:rPr>
        <w:t>CI</w:t>
      </w:r>
      <w:r w:rsidRPr="00C7778F">
        <w:rPr>
          <w:color w:val="000000" w:themeColor="text1"/>
          <w:lang w:val="en-GB"/>
        </w:rPr>
        <w:t>:</w:t>
      </w:r>
      <w:r w:rsidRPr="00AE7A6B">
        <w:rPr>
          <w:color w:val="000000" w:themeColor="text1"/>
          <w:lang w:val="en-GB"/>
        </w:rPr>
        <w:t xml:space="preserve"> 0.68</w:t>
      </w:r>
      <w:r w:rsidRPr="00C7778F">
        <w:rPr>
          <w:color w:val="000000" w:themeColor="text1"/>
          <w:lang w:val="en-GB"/>
        </w:rPr>
        <w:t xml:space="preserve"> </w:t>
      </w:r>
      <w:r w:rsidRPr="00AE7A6B">
        <w:rPr>
          <w:color w:val="000000" w:themeColor="text1"/>
          <w:lang w:val="en-GB"/>
        </w:rPr>
        <w:t>–</w:t>
      </w:r>
      <w:r w:rsidRPr="00C7778F">
        <w:rPr>
          <w:color w:val="000000" w:themeColor="text1"/>
          <w:lang w:val="en-GB"/>
        </w:rPr>
        <w:t xml:space="preserve"> </w:t>
      </w:r>
      <w:r w:rsidRPr="00AE7A6B">
        <w:rPr>
          <w:color w:val="000000" w:themeColor="text1"/>
          <w:lang w:val="en-GB"/>
        </w:rPr>
        <w:t xml:space="preserve">1.19, </w:t>
      </w:r>
      <w:r w:rsidRPr="00AE7A6B">
        <w:rPr>
          <w:i/>
          <w:iCs/>
          <w:color w:val="000000" w:themeColor="text1"/>
          <w:lang w:val="en-GB"/>
        </w:rPr>
        <w:t xml:space="preserve">p </w:t>
      </w:r>
      <w:r w:rsidRPr="00AE7A6B">
        <w:rPr>
          <w:color w:val="000000" w:themeColor="text1"/>
          <w:lang w:val="en-GB"/>
        </w:rPr>
        <w:t xml:space="preserve">= 0.47; OR per tooth = 0.99, 95% </w:t>
      </w:r>
      <w:r w:rsidRPr="00AE7A6B">
        <w:rPr>
          <w:i/>
          <w:iCs/>
          <w:color w:val="000000" w:themeColor="text1"/>
          <w:lang w:val="en-GB"/>
        </w:rPr>
        <w:t>CI</w:t>
      </w:r>
      <w:r w:rsidRPr="00C7778F">
        <w:rPr>
          <w:color w:val="000000" w:themeColor="text1"/>
          <w:lang w:val="en-GB"/>
        </w:rPr>
        <w:t xml:space="preserve">: </w:t>
      </w:r>
      <w:r w:rsidRPr="00AE7A6B">
        <w:rPr>
          <w:color w:val="000000" w:themeColor="text1"/>
          <w:lang w:val="en-GB"/>
        </w:rPr>
        <w:t>0.94</w:t>
      </w:r>
      <w:r w:rsidRPr="00C7778F">
        <w:rPr>
          <w:color w:val="000000" w:themeColor="text1"/>
          <w:lang w:val="en-GB"/>
        </w:rPr>
        <w:t xml:space="preserve"> </w:t>
      </w:r>
      <w:r w:rsidRPr="00AE7A6B">
        <w:rPr>
          <w:color w:val="000000" w:themeColor="text1"/>
          <w:lang w:val="en-GB"/>
        </w:rPr>
        <w:t>–</w:t>
      </w:r>
      <w:r w:rsidRPr="00C7778F">
        <w:rPr>
          <w:color w:val="000000" w:themeColor="text1"/>
          <w:lang w:val="en-GB"/>
        </w:rPr>
        <w:t xml:space="preserve"> </w:t>
      </w:r>
      <w:r w:rsidRPr="00AE7A6B">
        <w:rPr>
          <w:color w:val="000000" w:themeColor="text1"/>
          <w:lang w:val="en-GB"/>
        </w:rPr>
        <w:t xml:space="preserve">1.05, </w:t>
      </w:r>
      <w:r w:rsidRPr="00AE7A6B">
        <w:rPr>
          <w:i/>
          <w:iCs/>
          <w:color w:val="000000" w:themeColor="text1"/>
          <w:lang w:val="en-GB"/>
        </w:rPr>
        <w:t>p</w:t>
      </w:r>
      <w:r w:rsidRPr="00AE7A6B">
        <w:rPr>
          <w:color w:val="000000" w:themeColor="text1"/>
          <w:lang w:val="en-GB"/>
        </w:rPr>
        <w:t xml:space="preserve"> = 0.82). A borderline trend was observed for number of remaining teeth (OR per tooth = 0.93, 95% </w:t>
      </w:r>
      <w:r w:rsidRPr="00AE7A6B">
        <w:rPr>
          <w:i/>
          <w:iCs/>
          <w:color w:val="000000" w:themeColor="text1"/>
          <w:lang w:val="en-GB"/>
        </w:rPr>
        <w:t>CI</w:t>
      </w:r>
      <w:r w:rsidRPr="00C7778F">
        <w:rPr>
          <w:color w:val="000000" w:themeColor="text1"/>
          <w:lang w:val="en-GB"/>
        </w:rPr>
        <w:t>:</w:t>
      </w:r>
      <w:r w:rsidRPr="00AE7A6B">
        <w:rPr>
          <w:color w:val="000000" w:themeColor="text1"/>
          <w:lang w:val="en-GB"/>
        </w:rPr>
        <w:t xml:space="preserve"> 0.86</w:t>
      </w:r>
      <w:r w:rsidRPr="00C7778F">
        <w:rPr>
          <w:color w:val="000000" w:themeColor="text1"/>
          <w:lang w:val="en-GB"/>
        </w:rPr>
        <w:t xml:space="preserve"> </w:t>
      </w:r>
      <w:r w:rsidRPr="00AE7A6B">
        <w:rPr>
          <w:color w:val="000000" w:themeColor="text1"/>
          <w:lang w:val="en-GB"/>
        </w:rPr>
        <w:t>–</w:t>
      </w:r>
      <w:r w:rsidRPr="00C7778F">
        <w:rPr>
          <w:color w:val="000000" w:themeColor="text1"/>
          <w:lang w:val="en-GB"/>
        </w:rPr>
        <w:t xml:space="preserve"> </w:t>
      </w:r>
      <w:r w:rsidRPr="00AE7A6B">
        <w:rPr>
          <w:color w:val="000000" w:themeColor="text1"/>
          <w:lang w:val="en-GB"/>
        </w:rPr>
        <w:t xml:space="preserve">1.01, </w:t>
      </w:r>
      <w:r w:rsidRPr="00AE7A6B">
        <w:rPr>
          <w:i/>
          <w:iCs/>
          <w:color w:val="000000" w:themeColor="text1"/>
          <w:lang w:val="en-GB"/>
        </w:rPr>
        <w:t>p</w:t>
      </w:r>
      <w:r w:rsidRPr="00AE7A6B">
        <w:rPr>
          <w:color w:val="000000" w:themeColor="text1"/>
          <w:lang w:val="en-GB"/>
        </w:rPr>
        <w:t xml:space="preserve"> = 0.068). In models adjusting for number of remaining teeth, no between-group difference was detected (OR 0.91, 95%</w:t>
      </w:r>
      <w:r w:rsidRPr="00AE7A6B">
        <w:rPr>
          <w:i/>
          <w:iCs/>
          <w:color w:val="000000" w:themeColor="text1"/>
          <w:lang w:val="en-GB"/>
        </w:rPr>
        <w:t xml:space="preserve"> CI</w:t>
      </w:r>
      <w:r w:rsidRPr="00C7778F">
        <w:rPr>
          <w:color w:val="000000" w:themeColor="text1"/>
          <w:lang w:val="en-GB"/>
        </w:rPr>
        <w:t>:</w:t>
      </w:r>
      <w:r w:rsidRPr="00AE7A6B">
        <w:rPr>
          <w:color w:val="000000" w:themeColor="text1"/>
          <w:lang w:val="en-GB"/>
        </w:rPr>
        <w:t xml:space="preserve"> 0.55–1.52).</w:t>
      </w:r>
      <w:r w:rsidRPr="00C7778F">
        <w:rPr>
          <w:color w:val="000000" w:themeColor="text1"/>
          <w:lang w:val="en-GB"/>
        </w:rPr>
        <w:t xml:space="preserve"> Analyses of sex, implant position, and bone type were not interpretable due to sparse events or lack of discordant pairs within strata. Overall, no variable reached statistical significance. </w:t>
      </w:r>
    </w:p>
    <w:p w14:paraId="25BE0961" w14:textId="77777777" w:rsidR="0095500F" w:rsidRDefault="0095500F" w:rsidP="0095500F">
      <w:pPr>
        <w:spacing w:line="480" w:lineRule="auto"/>
        <w:ind w:left="284"/>
        <w:jc w:val="both"/>
        <w:rPr>
          <w:b/>
          <w:color w:val="000000" w:themeColor="text1"/>
          <w:lang w:val="en-GB"/>
        </w:rPr>
      </w:pPr>
      <w:r w:rsidRPr="00C7778F">
        <w:rPr>
          <w:b/>
          <w:color w:val="000000" w:themeColor="text1"/>
          <w:lang w:val="en-GB"/>
        </w:rPr>
        <w:t>4.3 Implant survival</w:t>
      </w:r>
    </w:p>
    <w:p w14:paraId="067A8BC2" w14:textId="77777777" w:rsidR="0095500F" w:rsidRDefault="0095500F" w:rsidP="0095500F">
      <w:pPr>
        <w:spacing w:line="480" w:lineRule="auto"/>
        <w:jc w:val="both"/>
        <w:rPr>
          <w:color w:val="000000" w:themeColor="text1"/>
          <w:lang w:val="en-GB"/>
        </w:rPr>
      </w:pPr>
      <w:r w:rsidRPr="00C7778F">
        <w:rPr>
          <w:color w:val="000000" w:themeColor="text1"/>
          <w:lang w:val="en-GB"/>
        </w:rPr>
        <w:t xml:space="preserve">After adjusting for remaining and intact teeth, the hazard ratio for extraction comparing ECRR versus control was 0.65 (95% </w:t>
      </w:r>
      <w:r w:rsidRPr="00C7778F">
        <w:rPr>
          <w:i/>
          <w:iCs/>
          <w:color w:val="000000" w:themeColor="text1"/>
          <w:lang w:val="en-GB"/>
        </w:rPr>
        <w:t>CI</w:t>
      </w:r>
      <w:r w:rsidRPr="00C7778F">
        <w:rPr>
          <w:color w:val="000000" w:themeColor="text1"/>
          <w:lang w:val="en-GB"/>
        </w:rPr>
        <w:t xml:space="preserve">: 0.25 – 1.70). An alternative model estimated HR = 0.55 (95% </w:t>
      </w:r>
      <w:r w:rsidRPr="00C7778F">
        <w:rPr>
          <w:i/>
          <w:iCs/>
          <w:color w:val="000000" w:themeColor="text1"/>
          <w:lang w:val="en-GB"/>
        </w:rPr>
        <w:t>CI</w:t>
      </w:r>
      <w:r w:rsidRPr="00C7778F">
        <w:rPr>
          <w:color w:val="000000" w:themeColor="text1"/>
          <w:lang w:val="en-GB"/>
        </w:rPr>
        <w:t xml:space="preserve">: 0.27 – 1.11; </w:t>
      </w:r>
      <w:r w:rsidRPr="00C7778F">
        <w:rPr>
          <w:i/>
          <w:iCs/>
          <w:color w:val="000000" w:themeColor="text1"/>
          <w:lang w:val="en-GB"/>
        </w:rPr>
        <w:t>p</w:t>
      </w:r>
      <w:r w:rsidRPr="00C7778F">
        <w:rPr>
          <w:color w:val="000000" w:themeColor="text1"/>
          <w:lang w:val="en-GB"/>
        </w:rPr>
        <w:t xml:space="preserve"> = 0.09), consistent with RMST and Kaplan–Meier analyses. The proportional hazards assumption was not violated (global </w:t>
      </w:r>
      <w:r w:rsidRPr="00C7778F">
        <w:rPr>
          <w:i/>
          <w:iCs/>
          <w:color w:val="000000" w:themeColor="text1"/>
          <w:lang w:val="en-GB"/>
        </w:rPr>
        <w:t>p</w:t>
      </w:r>
      <w:r w:rsidRPr="00C7778F">
        <w:rPr>
          <w:color w:val="000000" w:themeColor="text1"/>
          <w:lang w:val="en-GB"/>
        </w:rPr>
        <w:t xml:space="preserve"> = 0.45). RMST up to 10 years was 9.85 years (ECRR) versus 9.74 years (control); the difference was 0.11 years (95% </w:t>
      </w:r>
      <w:r w:rsidRPr="00C7778F">
        <w:rPr>
          <w:i/>
          <w:iCs/>
          <w:color w:val="000000" w:themeColor="text1"/>
          <w:lang w:val="en-GB"/>
        </w:rPr>
        <w:t>CI</w:t>
      </w:r>
      <w:r w:rsidRPr="00C7778F">
        <w:rPr>
          <w:color w:val="000000" w:themeColor="text1"/>
          <w:lang w:val="en-GB"/>
        </w:rPr>
        <w:t xml:space="preserve">: −0.04 – 0.25; </w:t>
      </w:r>
      <w:r w:rsidRPr="00C7778F">
        <w:rPr>
          <w:i/>
          <w:iCs/>
          <w:color w:val="000000" w:themeColor="text1"/>
          <w:lang w:val="en-GB"/>
        </w:rPr>
        <w:t>p</w:t>
      </w:r>
      <w:r w:rsidRPr="00C7778F">
        <w:rPr>
          <w:color w:val="000000" w:themeColor="text1"/>
          <w:lang w:val="en-GB"/>
        </w:rPr>
        <w:t xml:space="preserve"> = </w:t>
      </w:r>
      <w:r w:rsidRPr="00C7778F">
        <w:rPr>
          <w:color w:val="000000" w:themeColor="text1"/>
          <w:lang w:val="en-GB"/>
        </w:rPr>
        <w:lastRenderedPageBreak/>
        <w:t>0.148). Sensitivity analyses using the strict failure definition yielded HR = 0.7</w:t>
      </w:r>
      <w:r>
        <w:rPr>
          <w:color w:val="000000" w:themeColor="text1"/>
          <w:lang w:val="en-GB"/>
        </w:rPr>
        <w:t>9</w:t>
      </w:r>
      <w:r w:rsidRPr="00C7778F">
        <w:rPr>
          <w:color w:val="000000" w:themeColor="text1"/>
          <w:lang w:val="en-GB"/>
        </w:rPr>
        <w:t xml:space="preserve"> (95% </w:t>
      </w:r>
      <w:r w:rsidRPr="00C7778F">
        <w:rPr>
          <w:i/>
          <w:iCs/>
          <w:color w:val="000000" w:themeColor="text1"/>
          <w:lang w:val="en-GB"/>
        </w:rPr>
        <w:t>CI</w:t>
      </w:r>
      <w:r w:rsidRPr="00C7778F">
        <w:rPr>
          <w:color w:val="000000" w:themeColor="text1"/>
          <w:lang w:val="en-GB"/>
        </w:rPr>
        <w:t>: 0.29 – 2.0</w:t>
      </w:r>
      <w:r>
        <w:rPr>
          <w:color w:val="000000" w:themeColor="text1"/>
          <w:lang w:val="en-GB"/>
        </w:rPr>
        <w:t>9</w:t>
      </w:r>
      <w:r w:rsidRPr="00C7778F">
        <w:rPr>
          <w:color w:val="000000" w:themeColor="text1"/>
          <w:lang w:val="en-GB"/>
        </w:rPr>
        <w:t xml:space="preserve">; </w:t>
      </w:r>
      <w:r w:rsidRPr="00C7778F">
        <w:rPr>
          <w:i/>
          <w:iCs/>
          <w:color w:val="000000" w:themeColor="text1"/>
          <w:lang w:val="en-GB"/>
        </w:rPr>
        <w:t>p</w:t>
      </w:r>
      <w:r w:rsidRPr="00C7778F">
        <w:rPr>
          <w:color w:val="000000" w:themeColor="text1"/>
          <w:lang w:val="en-GB"/>
        </w:rPr>
        <w:t xml:space="preserve"> = 0.618) and nearly identical RMST values (difference −0.43 days; 95% </w:t>
      </w:r>
      <w:r w:rsidRPr="00C7778F">
        <w:rPr>
          <w:i/>
          <w:iCs/>
          <w:color w:val="000000" w:themeColor="text1"/>
          <w:lang w:val="en-GB"/>
        </w:rPr>
        <w:t>CI</w:t>
      </w:r>
      <w:r w:rsidRPr="00C7778F">
        <w:rPr>
          <w:color w:val="000000" w:themeColor="text1"/>
          <w:lang w:val="en-GB"/>
        </w:rPr>
        <w:t xml:space="preserve">: −21.38 – 20.52; </w:t>
      </w:r>
      <w:r w:rsidRPr="00C7778F">
        <w:rPr>
          <w:i/>
          <w:iCs/>
          <w:color w:val="000000" w:themeColor="text1"/>
          <w:lang w:val="en-GB"/>
        </w:rPr>
        <w:t>p</w:t>
      </w:r>
      <w:r w:rsidRPr="00C7778F">
        <w:rPr>
          <w:color w:val="000000" w:themeColor="text1"/>
          <w:lang w:val="en-GB"/>
        </w:rPr>
        <w:t xml:space="preserve"> = 0.97). </w:t>
      </w:r>
    </w:p>
    <w:p w14:paraId="265049D3" w14:textId="77777777" w:rsidR="0095500F" w:rsidRPr="00B14742" w:rsidRDefault="0095500F" w:rsidP="0095500F">
      <w:pPr>
        <w:spacing w:line="480" w:lineRule="auto"/>
        <w:ind w:left="284"/>
        <w:jc w:val="both"/>
        <w:rPr>
          <w:b/>
          <w:color w:val="000000" w:themeColor="text1"/>
          <w:lang w:val="en-GB"/>
        </w:rPr>
      </w:pPr>
      <w:r>
        <w:rPr>
          <w:b/>
          <w:color w:val="000000" w:themeColor="text1"/>
          <w:lang w:val="en-GB"/>
        </w:rPr>
        <w:t xml:space="preserve">4.4 </w:t>
      </w:r>
      <w:r w:rsidRPr="009260C8">
        <w:rPr>
          <w:b/>
          <w:bCs/>
          <w:color w:val="000000" w:themeColor="text1"/>
          <w:lang w:val="en-GB"/>
        </w:rPr>
        <w:t>Power and robustness to unmeasured confounding</w:t>
      </w:r>
    </w:p>
    <w:p w14:paraId="712CEDE7" w14:textId="77777777" w:rsidR="0095500F" w:rsidRPr="00C7778F" w:rsidRDefault="0095500F" w:rsidP="0095500F">
      <w:pPr>
        <w:spacing w:line="480" w:lineRule="auto"/>
        <w:jc w:val="both"/>
        <w:rPr>
          <w:color w:val="000000" w:themeColor="text1"/>
          <w:lang w:val="en-GB"/>
        </w:rPr>
      </w:pPr>
      <w:r w:rsidRPr="00C7778F">
        <w:rPr>
          <w:color w:val="000000" w:themeColor="text1"/>
          <w:lang w:val="en-GB"/>
        </w:rPr>
        <w:t>The study had 80% power to detect HR ≥ 2.65, but only 21.3% for HR = 1.5 and 51.2% for HR = 2.0. E-values were 1.74 (unadjusted HR = 0.58) and 2.79 (adjusted HR = 0.65), indicating that moderately strong unmeasured confounding would be required to explain the observed associations</w:t>
      </w:r>
    </w:p>
    <w:p w14:paraId="63AFB758" w14:textId="77777777" w:rsidR="0095500F" w:rsidRPr="00C7778F" w:rsidRDefault="0095500F" w:rsidP="0095500F">
      <w:pPr>
        <w:spacing w:line="480" w:lineRule="auto"/>
        <w:ind w:left="284"/>
        <w:jc w:val="both"/>
        <w:rPr>
          <w:b/>
          <w:color w:val="000000" w:themeColor="text1"/>
          <w:lang w:val="en-GB"/>
        </w:rPr>
      </w:pPr>
      <w:r w:rsidRPr="00C7778F">
        <w:rPr>
          <w:b/>
          <w:color w:val="000000" w:themeColor="text1"/>
          <w:lang w:val="en-GB"/>
        </w:rPr>
        <w:t>4.</w:t>
      </w:r>
      <w:r>
        <w:rPr>
          <w:b/>
          <w:color w:val="000000" w:themeColor="text1"/>
          <w:lang w:val="en-GB"/>
        </w:rPr>
        <w:t>5</w:t>
      </w:r>
      <w:r w:rsidRPr="00C7778F">
        <w:rPr>
          <w:b/>
          <w:color w:val="000000" w:themeColor="text1"/>
          <w:lang w:val="en-GB"/>
        </w:rPr>
        <w:t xml:space="preserve"> Multistate analyses</w:t>
      </w:r>
    </w:p>
    <w:p w14:paraId="671991B2" w14:textId="77777777" w:rsidR="0095500F" w:rsidRDefault="0095500F" w:rsidP="0095500F">
      <w:pPr>
        <w:spacing w:line="480" w:lineRule="auto"/>
        <w:jc w:val="both"/>
        <w:rPr>
          <w:color w:val="000000" w:themeColor="text1"/>
          <w:lang w:val="en-GB"/>
        </w:rPr>
      </w:pPr>
      <w:r w:rsidRPr="00C7778F">
        <w:rPr>
          <w:color w:val="000000" w:themeColor="text1"/>
          <w:lang w:val="en-GB"/>
        </w:rPr>
        <w:t xml:space="preserve">Transitions are summarized in Supplementary Table S2. From State 1, the ECRR group had fewer direct transitions to extraction and a </w:t>
      </w:r>
      <w:r>
        <w:rPr>
          <w:color w:val="000000" w:themeColor="text1"/>
          <w:lang w:val="en-GB"/>
        </w:rPr>
        <w:t>very high</w:t>
      </w:r>
      <w:r w:rsidRPr="00C7778F">
        <w:rPr>
          <w:color w:val="000000" w:themeColor="text1"/>
          <w:lang w:val="en-GB"/>
        </w:rPr>
        <w:t xml:space="preserve"> proportion reaching State 2. Median time to State 2 was shorter for ECRR (119 days) than controls (129 days) (log-rank χ² = 5.5,</w:t>
      </w:r>
      <w:r w:rsidRPr="00AE7A6B">
        <w:rPr>
          <w:i/>
          <w:iCs/>
          <w:color w:val="000000" w:themeColor="text1"/>
          <w:lang w:val="en-GB"/>
        </w:rPr>
        <w:t xml:space="preserve"> p </w:t>
      </w:r>
      <w:r w:rsidRPr="00AE7A6B">
        <w:rPr>
          <w:color w:val="000000" w:themeColor="text1"/>
          <w:lang w:val="en-GB"/>
        </w:rPr>
        <w:t xml:space="preserve">= 0.02; Figure S2). For State 2 → 3, no significant difference was observed (log-rank χ² = 0.004, </w:t>
      </w:r>
      <w:r w:rsidRPr="00AE7A6B">
        <w:rPr>
          <w:i/>
          <w:iCs/>
          <w:color w:val="000000" w:themeColor="text1"/>
          <w:lang w:val="en-GB"/>
        </w:rPr>
        <w:t>p</w:t>
      </w:r>
      <w:r w:rsidRPr="00AE7A6B">
        <w:rPr>
          <w:color w:val="000000" w:themeColor="text1"/>
          <w:lang w:val="en-GB"/>
        </w:rPr>
        <w:t xml:space="preserve"> = 0.95; Figure S3). Extraction incidence was numerically lower in ECRR (IRR = 0.554, 95% </w:t>
      </w:r>
      <w:r w:rsidRPr="00AE7A6B">
        <w:rPr>
          <w:i/>
          <w:iCs/>
          <w:color w:val="000000" w:themeColor="text1"/>
          <w:lang w:val="en-GB"/>
        </w:rPr>
        <w:t>CI</w:t>
      </w:r>
      <w:r w:rsidRPr="00C7778F">
        <w:rPr>
          <w:color w:val="000000" w:themeColor="text1"/>
          <w:lang w:val="en-GB"/>
        </w:rPr>
        <w:t xml:space="preserve">: </w:t>
      </w:r>
      <w:r w:rsidRPr="00AE7A6B">
        <w:rPr>
          <w:color w:val="000000" w:themeColor="text1"/>
          <w:lang w:val="en-GB"/>
        </w:rPr>
        <w:t>0.248</w:t>
      </w:r>
      <w:r w:rsidRPr="00C7778F">
        <w:rPr>
          <w:color w:val="000000" w:themeColor="text1"/>
          <w:lang w:val="en-GB"/>
        </w:rPr>
        <w:t xml:space="preserve"> </w:t>
      </w:r>
      <w:r w:rsidRPr="00AE7A6B">
        <w:rPr>
          <w:color w:val="000000" w:themeColor="text1"/>
          <w:lang w:val="en-GB"/>
        </w:rPr>
        <w:t>–</w:t>
      </w:r>
      <w:r w:rsidRPr="00C7778F">
        <w:rPr>
          <w:color w:val="000000" w:themeColor="text1"/>
          <w:lang w:val="en-GB"/>
        </w:rPr>
        <w:t xml:space="preserve"> </w:t>
      </w:r>
      <w:r w:rsidRPr="00AE7A6B">
        <w:rPr>
          <w:color w:val="000000" w:themeColor="text1"/>
          <w:lang w:val="en-GB"/>
        </w:rPr>
        <w:t xml:space="preserve">1.179; </w:t>
      </w:r>
      <w:r w:rsidRPr="00AE7A6B">
        <w:rPr>
          <w:i/>
          <w:iCs/>
          <w:color w:val="000000" w:themeColor="text1"/>
          <w:lang w:val="en-GB"/>
        </w:rPr>
        <w:t>p</w:t>
      </w:r>
      <w:r w:rsidRPr="00AE7A6B">
        <w:rPr>
          <w:color w:val="000000" w:themeColor="text1"/>
          <w:lang w:val="en-GB"/>
        </w:rPr>
        <w:t xml:space="preserve"> ≈ 0.12). Kaplan–Meier estimates are provided in Supplementary Table S3.</w:t>
      </w:r>
    </w:p>
    <w:p w14:paraId="44C76511" w14:textId="77777777" w:rsidR="001B6F1E" w:rsidRPr="00AE7A6B" w:rsidRDefault="001B6F1E" w:rsidP="0095500F">
      <w:pPr>
        <w:spacing w:line="480" w:lineRule="auto"/>
        <w:jc w:val="both"/>
        <w:rPr>
          <w:color w:val="000000" w:themeColor="text1"/>
          <w:lang w:val="en-GB"/>
        </w:rPr>
      </w:pPr>
    </w:p>
    <w:p w14:paraId="688667E6" w14:textId="77777777" w:rsidR="00895531" w:rsidRDefault="00895531">
      <w:pPr>
        <w:spacing w:after="160" w:line="259" w:lineRule="auto"/>
        <w:rPr>
          <w:rFonts w:eastAsiaTheme="minorEastAsia"/>
          <w:b/>
          <w:lang w:val="en-US" w:eastAsia="en-US"/>
        </w:rPr>
      </w:pPr>
      <w:r>
        <w:br w:type="page"/>
      </w:r>
    </w:p>
    <w:p w14:paraId="5AF734A0" w14:textId="6EAFC787" w:rsidR="0095500F" w:rsidRPr="00AE7A6B" w:rsidRDefault="0095500F" w:rsidP="0095500F">
      <w:pPr>
        <w:pStyle w:val="SupplementHeading"/>
        <w:rPr>
          <w:rFonts w:ascii="Times New Roman" w:hAnsi="Times New Roman" w:cs="Times New Roman"/>
          <w:sz w:val="24"/>
          <w:szCs w:val="24"/>
        </w:rPr>
      </w:pPr>
      <w:r w:rsidRPr="00AE7A6B">
        <w:rPr>
          <w:rFonts w:ascii="Times New Roman" w:hAnsi="Times New Roman" w:cs="Times New Roman"/>
          <w:sz w:val="24"/>
          <w:szCs w:val="24"/>
        </w:rPr>
        <w:lastRenderedPageBreak/>
        <w:t>5. Supplementary Tables</w:t>
      </w:r>
    </w:p>
    <w:p w14:paraId="58AACB98" w14:textId="77777777" w:rsidR="0095500F" w:rsidRPr="00F97366" w:rsidRDefault="0095500F" w:rsidP="0095500F">
      <w:pPr>
        <w:pStyle w:val="SupplementBody"/>
        <w:rPr>
          <w:rFonts w:ascii="Times New Roman" w:hAnsi="Times New Roman" w:cs="Times New Roman"/>
          <w:color w:val="000000" w:themeColor="text1"/>
          <w:sz w:val="24"/>
          <w:szCs w:val="24"/>
        </w:rPr>
      </w:pPr>
      <w:r w:rsidRPr="00FD7A18">
        <w:rPr>
          <w:rFonts w:ascii="Times New Roman" w:hAnsi="Times New Roman" w:cs="Times New Roman"/>
          <w:b/>
          <w:bCs/>
          <w:color w:val="000000" w:themeColor="text1"/>
          <w:sz w:val="24"/>
          <w:szCs w:val="24"/>
        </w:rPr>
        <w:t>Supplementary Table S2</w:t>
      </w:r>
      <w:r w:rsidRPr="00F97366">
        <w:rPr>
          <w:rFonts w:ascii="Times New Roman" w:hAnsi="Times New Roman" w:cs="Times New Roman"/>
          <w:color w:val="000000" w:themeColor="text1"/>
          <w:sz w:val="24"/>
          <w:szCs w:val="24"/>
        </w:rPr>
        <w:t>. State transition patterns by study group (actual transitions only)</w:t>
      </w:r>
    </w:p>
    <w:tbl>
      <w:tblPr>
        <w:tblW w:w="9923" w:type="dxa"/>
        <w:tblLook w:val="04A0" w:firstRow="1" w:lastRow="0" w:firstColumn="1" w:lastColumn="0" w:noHBand="0" w:noVBand="1"/>
      </w:tblPr>
      <w:tblGrid>
        <w:gridCol w:w="1560"/>
        <w:gridCol w:w="1275"/>
        <w:gridCol w:w="1276"/>
        <w:gridCol w:w="1843"/>
        <w:gridCol w:w="1701"/>
        <w:gridCol w:w="2268"/>
      </w:tblGrid>
      <w:tr w:rsidR="0095500F" w:rsidRPr="00BC2DC0" w14:paraId="2E931C38" w14:textId="77777777" w:rsidTr="004629CB">
        <w:tc>
          <w:tcPr>
            <w:tcW w:w="1560" w:type="dxa"/>
            <w:tcBorders>
              <w:top w:val="single" w:sz="4" w:space="0" w:color="auto"/>
              <w:bottom w:val="single" w:sz="8" w:space="0" w:color="auto"/>
            </w:tcBorders>
          </w:tcPr>
          <w:p w14:paraId="2B516E85" w14:textId="77777777" w:rsidR="0095500F" w:rsidRPr="00BC2DC0" w:rsidRDefault="0095500F" w:rsidP="004629CB">
            <w:pPr>
              <w:rPr>
                <w:b/>
                <w:bCs/>
                <w:color w:val="000000" w:themeColor="text1"/>
                <w:sz w:val="20"/>
                <w:szCs w:val="20"/>
                <w:lang w:val="en-GB"/>
              </w:rPr>
            </w:pPr>
            <w:r w:rsidRPr="00BC2DC0">
              <w:rPr>
                <w:b/>
                <w:bCs/>
                <w:color w:val="000000" w:themeColor="text1"/>
                <w:sz w:val="20"/>
                <w:szCs w:val="20"/>
                <w:lang w:val="en-GB"/>
              </w:rPr>
              <w:t>From State → State / Status</w:t>
            </w:r>
          </w:p>
        </w:tc>
        <w:tc>
          <w:tcPr>
            <w:tcW w:w="1275" w:type="dxa"/>
            <w:tcBorders>
              <w:top w:val="single" w:sz="4" w:space="0" w:color="auto"/>
              <w:bottom w:val="single" w:sz="8" w:space="0" w:color="auto"/>
            </w:tcBorders>
          </w:tcPr>
          <w:p w14:paraId="6E09B829" w14:textId="77777777" w:rsidR="0095500F" w:rsidRPr="00BC2DC0" w:rsidRDefault="0095500F" w:rsidP="004629CB">
            <w:pPr>
              <w:jc w:val="center"/>
              <w:rPr>
                <w:b/>
                <w:bCs/>
                <w:color w:val="000000" w:themeColor="text1"/>
                <w:sz w:val="20"/>
                <w:szCs w:val="20"/>
                <w:lang w:val="en-GB"/>
              </w:rPr>
            </w:pPr>
            <w:r w:rsidRPr="00BC2DC0">
              <w:rPr>
                <w:b/>
                <w:bCs/>
                <w:color w:val="000000" w:themeColor="text1"/>
                <w:sz w:val="20"/>
                <w:szCs w:val="20"/>
                <w:lang w:val="en-GB"/>
              </w:rPr>
              <w:t>Control</w:t>
            </w:r>
          </w:p>
          <w:p w14:paraId="05EAE08E" w14:textId="77777777" w:rsidR="0095500F" w:rsidRPr="00BC2DC0" w:rsidRDefault="0095500F" w:rsidP="004629CB">
            <w:pPr>
              <w:jc w:val="center"/>
              <w:rPr>
                <w:b/>
                <w:bCs/>
                <w:color w:val="000000" w:themeColor="text1"/>
                <w:sz w:val="20"/>
                <w:szCs w:val="20"/>
                <w:lang w:val="en-GB"/>
              </w:rPr>
            </w:pPr>
            <w:r w:rsidRPr="00BC2DC0">
              <w:rPr>
                <w:b/>
                <w:bCs/>
                <w:color w:val="000000" w:themeColor="text1"/>
                <w:sz w:val="20"/>
                <w:szCs w:val="20"/>
                <w:lang w:val="en-GB"/>
              </w:rPr>
              <w:t>(n, %)</w:t>
            </w:r>
          </w:p>
        </w:tc>
        <w:tc>
          <w:tcPr>
            <w:tcW w:w="1276" w:type="dxa"/>
            <w:tcBorders>
              <w:top w:val="single" w:sz="4" w:space="0" w:color="auto"/>
              <w:bottom w:val="single" w:sz="8" w:space="0" w:color="auto"/>
            </w:tcBorders>
          </w:tcPr>
          <w:p w14:paraId="1EB54B2E" w14:textId="77777777" w:rsidR="0095500F" w:rsidRPr="00BC2DC0" w:rsidRDefault="0095500F" w:rsidP="004629CB">
            <w:pPr>
              <w:jc w:val="center"/>
              <w:rPr>
                <w:b/>
                <w:bCs/>
                <w:color w:val="000000" w:themeColor="text1"/>
                <w:sz w:val="20"/>
                <w:szCs w:val="20"/>
                <w:lang w:val="en-GB"/>
              </w:rPr>
            </w:pPr>
            <w:r w:rsidRPr="00BC2DC0">
              <w:rPr>
                <w:b/>
                <w:bCs/>
                <w:color w:val="000000" w:themeColor="text1"/>
                <w:sz w:val="20"/>
                <w:szCs w:val="20"/>
                <w:lang w:val="en-GB"/>
              </w:rPr>
              <w:t>ECRR</w:t>
            </w:r>
          </w:p>
          <w:p w14:paraId="2C11E1E7" w14:textId="77777777" w:rsidR="0095500F" w:rsidRPr="00BC2DC0" w:rsidRDefault="0095500F" w:rsidP="004629CB">
            <w:pPr>
              <w:jc w:val="center"/>
              <w:rPr>
                <w:b/>
                <w:bCs/>
                <w:color w:val="000000" w:themeColor="text1"/>
                <w:sz w:val="20"/>
                <w:szCs w:val="20"/>
                <w:lang w:val="en-GB"/>
              </w:rPr>
            </w:pPr>
            <w:r w:rsidRPr="00BC2DC0">
              <w:rPr>
                <w:b/>
                <w:bCs/>
                <w:color w:val="000000" w:themeColor="text1"/>
                <w:sz w:val="20"/>
                <w:szCs w:val="20"/>
                <w:lang w:val="en-GB"/>
              </w:rPr>
              <w:t>(n, %)</w:t>
            </w:r>
          </w:p>
        </w:tc>
        <w:tc>
          <w:tcPr>
            <w:tcW w:w="1843" w:type="dxa"/>
            <w:tcBorders>
              <w:top w:val="single" w:sz="4" w:space="0" w:color="auto"/>
              <w:bottom w:val="single" w:sz="8" w:space="0" w:color="auto"/>
            </w:tcBorders>
          </w:tcPr>
          <w:p w14:paraId="45142B9E" w14:textId="77777777" w:rsidR="0095500F" w:rsidRPr="00BC2DC0" w:rsidRDefault="0095500F" w:rsidP="004629CB">
            <w:pPr>
              <w:jc w:val="center"/>
              <w:rPr>
                <w:b/>
                <w:bCs/>
                <w:color w:val="000000" w:themeColor="text1"/>
                <w:sz w:val="20"/>
                <w:szCs w:val="20"/>
                <w:lang w:val="en-GB"/>
              </w:rPr>
            </w:pPr>
            <w:r w:rsidRPr="00BC2DC0">
              <w:rPr>
                <w:b/>
                <w:bCs/>
                <w:color w:val="000000" w:themeColor="text1"/>
                <w:sz w:val="20"/>
                <w:szCs w:val="20"/>
                <w:lang w:val="en-GB"/>
              </w:rPr>
              <w:t>Person-Years</w:t>
            </w:r>
          </w:p>
          <w:p w14:paraId="31DA17ED" w14:textId="77777777" w:rsidR="0095500F" w:rsidRPr="00BC2DC0" w:rsidRDefault="0095500F" w:rsidP="004629CB">
            <w:pPr>
              <w:jc w:val="center"/>
              <w:rPr>
                <w:b/>
                <w:bCs/>
                <w:color w:val="000000" w:themeColor="text1"/>
                <w:sz w:val="20"/>
                <w:szCs w:val="20"/>
                <w:lang w:val="en-GB"/>
              </w:rPr>
            </w:pPr>
            <w:r w:rsidRPr="00BC2DC0">
              <w:rPr>
                <w:b/>
                <w:bCs/>
                <w:color w:val="000000" w:themeColor="text1"/>
                <w:sz w:val="20"/>
                <w:szCs w:val="20"/>
                <w:lang w:val="en-GB"/>
              </w:rPr>
              <w:t>(Control / ECRR)</w:t>
            </w:r>
          </w:p>
        </w:tc>
        <w:tc>
          <w:tcPr>
            <w:tcW w:w="1701" w:type="dxa"/>
            <w:tcBorders>
              <w:top w:val="single" w:sz="4" w:space="0" w:color="auto"/>
              <w:bottom w:val="single" w:sz="8" w:space="0" w:color="auto"/>
            </w:tcBorders>
          </w:tcPr>
          <w:p w14:paraId="16D4BC89" w14:textId="77777777" w:rsidR="0095500F" w:rsidRPr="00BC2DC0" w:rsidRDefault="0095500F" w:rsidP="004629CB">
            <w:pPr>
              <w:jc w:val="center"/>
              <w:rPr>
                <w:b/>
                <w:bCs/>
                <w:color w:val="000000" w:themeColor="text1"/>
                <w:sz w:val="20"/>
                <w:szCs w:val="20"/>
                <w:lang w:val="en-GB"/>
              </w:rPr>
            </w:pPr>
            <w:r w:rsidRPr="00BC2DC0">
              <w:rPr>
                <w:b/>
                <w:bCs/>
                <w:color w:val="000000" w:themeColor="text1"/>
                <w:sz w:val="20"/>
                <w:szCs w:val="20"/>
                <w:lang w:val="en-GB"/>
              </w:rPr>
              <w:t>IR</w:t>
            </w:r>
          </w:p>
          <w:p w14:paraId="7A519AA6" w14:textId="77777777" w:rsidR="0095500F" w:rsidRPr="00BC2DC0" w:rsidRDefault="0095500F" w:rsidP="004629CB">
            <w:pPr>
              <w:jc w:val="center"/>
              <w:rPr>
                <w:b/>
                <w:bCs/>
                <w:color w:val="000000" w:themeColor="text1"/>
                <w:sz w:val="20"/>
                <w:szCs w:val="20"/>
                <w:lang w:val="en-GB"/>
              </w:rPr>
            </w:pPr>
            <w:r w:rsidRPr="00BC2DC0">
              <w:rPr>
                <w:b/>
                <w:bCs/>
                <w:color w:val="000000" w:themeColor="text1"/>
                <w:sz w:val="20"/>
                <w:szCs w:val="20"/>
                <w:lang w:val="en-GB"/>
              </w:rPr>
              <w:t>(per 1000 PY)</w:t>
            </w:r>
          </w:p>
        </w:tc>
        <w:tc>
          <w:tcPr>
            <w:tcW w:w="2268" w:type="dxa"/>
            <w:tcBorders>
              <w:top w:val="single" w:sz="4" w:space="0" w:color="auto"/>
              <w:bottom w:val="single" w:sz="8" w:space="0" w:color="auto"/>
            </w:tcBorders>
          </w:tcPr>
          <w:p w14:paraId="27A6CC11" w14:textId="77777777" w:rsidR="0095500F" w:rsidRPr="00BC2DC0" w:rsidRDefault="0095500F" w:rsidP="004629CB">
            <w:pPr>
              <w:jc w:val="center"/>
              <w:rPr>
                <w:b/>
                <w:bCs/>
                <w:color w:val="000000" w:themeColor="text1"/>
                <w:sz w:val="20"/>
                <w:szCs w:val="20"/>
                <w:lang w:val="en-GB"/>
              </w:rPr>
            </w:pPr>
            <w:r w:rsidRPr="00BC2DC0">
              <w:rPr>
                <w:b/>
                <w:bCs/>
                <w:color w:val="000000" w:themeColor="text1"/>
                <w:sz w:val="20"/>
                <w:szCs w:val="20"/>
                <w:lang w:val="en-GB"/>
              </w:rPr>
              <w:t>IRR</w:t>
            </w:r>
          </w:p>
          <w:p w14:paraId="44EF6218" w14:textId="77777777" w:rsidR="0095500F" w:rsidRPr="00BC2DC0" w:rsidRDefault="0095500F" w:rsidP="004629CB">
            <w:pPr>
              <w:jc w:val="center"/>
              <w:rPr>
                <w:b/>
                <w:bCs/>
                <w:color w:val="000000" w:themeColor="text1"/>
                <w:sz w:val="20"/>
                <w:szCs w:val="20"/>
                <w:lang w:val="en-GB"/>
              </w:rPr>
            </w:pPr>
            <w:r w:rsidRPr="00BC2DC0">
              <w:rPr>
                <w:b/>
                <w:bCs/>
                <w:color w:val="000000" w:themeColor="text1"/>
                <w:sz w:val="20"/>
                <w:szCs w:val="20"/>
                <w:lang w:val="en-GB"/>
              </w:rPr>
              <w:t>(ECRR vs Control)</w:t>
            </w:r>
          </w:p>
        </w:tc>
      </w:tr>
      <w:tr w:rsidR="0095500F" w:rsidRPr="00BC2DC0" w14:paraId="032F6304" w14:textId="77777777" w:rsidTr="004629CB">
        <w:trPr>
          <w:trHeight w:val="794"/>
        </w:trPr>
        <w:tc>
          <w:tcPr>
            <w:tcW w:w="1560" w:type="dxa"/>
            <w:tcBorders>
              <w:top w:val="single" w:sz="8" w:space="0" w:color="auto"/>
            </w:tcBorders>
          </w:tcPr>
          <w:p w14:paraId="5CAE6097" w14:textId="77777777" w:rsidR="0095500F" w:rsidRPr="00BC2DC0" w:rsidRDefault="0095500F" w:rsidP="004629CB">
            <w:pPr>
              <w:rPr>
                <w:color w:val="000000" w:themeColor="text1"/>
                <w:sz w:val="20"/>
                <w:szCs w:val="20"/>
                <w:lang w:val="en-GB"/>
              </w:rPr>
            </w:pPr>
            <w:r w:rsidRPr="00BC2DC0">
              <w:rPr>
                <w:color w:val="000000" w:themeColor="text1"/>
                <w:sz w:val="20"/>
                <w:szCs w:val="20"/>
                <w:lang w:val="en-GB"/>
              </w:rPr>
              <w:t>● → ○</w:t>
            </w:r>
          </w:p>
        </w:tc>
        <w:tc>
          <w:tcPr>
            <w:tcW w:w="1275" w:type="dxa"/>
            <w:tcBorders>
              <w:top w:val="single" w:sz="8" w:space="0" w:color="auto"/>
            </w:tcBorders>
          </w:tcPr>
          <w:p w14:paraId="28BC6F4D" w14:textId="77777777" w:rsidR="0095500F" w:rsidRPr="00BC2DC0" w:rsidRDefault="0095500F" w:rsidP="004629CB">
            <w:pPr>
              <w:jc w:val="center"/>
              <w:rPr>
                <w:color w:val="000000" w:themeColor="text1"/>
                <w:sz w:val="20"/>
                <w:szCs w:val="20"/>
                <w:lang w:val="en-GB"/>
              </w:rPr>
            </w:pPr>
            <w:r w:rsidRPr="00BC2DC0">
              <w:rPr>
                <w:color w:val="000000" w:themeColor="text1"/>
                <w:sz w:val="20"/>
                <w:szCs w:val="20"/>
                <w:lang w:val="en-GB"/>
              </w:rPr>
              <w:t>555 (91.7%)</w:t>
            </w:r>
          </w:p>
        </w:tc>
        <w:tc>
          <w:tcPr>
            <w:tcW w:w="1276" w:type="dxa"/>
            <w:tcBorders>
              <w:top w:val="single" w:sz="8" w:space="0" w:color="auto"/>
            </w:tcBorders>
          </w:tcPr>
          <w:p w14:paraId="6006ACC5" w14:textId="77777777" w:rsidR="0095500F" w:rsidRPr="00BC2DC0" w:rsidRDefault="0095500F" w:rsidP="004629CB">
            <w:pPr>
              <w:jc w:val="center"/>
              <w:rPr>
                <w:color w:val="000000" w:themeColor="text1"/>
                <w:sz w:val="20"/>
                <w:szCs w:val="20"/>
                <w:lang w:val="en-GB"/>
              </w:rPr>
            </w:pPr>
            <w:r w:rsidRPr="00BC2DC0">
              <w:rPr>
                <w:color w:val="000000" w:themeColor="text1"/>
                <w:sz w:val="20"/>
                <w:szCs w:val="20"/>
                <w:lang w:val="en-GB"/>
              </w:rPr>
              <w:t>568 (93.9%)</w:t>
            </w:r>
          </w:p>
        </w:tc>
        <w:tc>
          <w:tcPr>
            <w:tcW w:w="1843" w:type="dxa"/>
            <w:tcBorders>
              <w:top w:val="single" w:sz="8" w:space="0" w:color="auto"/>
            </w:tcBorders>
          </w:tcPr>
          <w:p w14:paraId="7B1EEC90" w14:textId="77777777" w:rsidR="0095500F" w:rsidRPr="00BC2DC0" w:rsidRDefault="0095500F" w:rsidP="004629CB">
            <w:pPr>
              <w:jc w:val="center"/>
              <w:rPr>
                <w:color w:val="000000" w:themeColor="text1"/>
                <w:sz w:val="20"/>
                <w:szCs w:val="20"/>
                <w:lang w:val="en-GB"/>
              </w:rPr>
            </w:pPr>
            <w:r w:rsidRPr="00BC2DC0">
              <w:rPr>
                <w:color w:val="000000" w:themeColor="text1"/>
                <w:sz w:val="20"/>
                <w:szCs w:val="20"/>
                <w:lang w:val="en-GB"/>
              </w:rPr>
              <w:t>583 / 500.4</w:t>
            </w:r>
          </w:p>
        </w:tc>
        <w:tc>
          <w:tcPr>
            <w:tcW w:w="1701" w:type="dxa"/>
            <w:tcBorders>
              <w:top w:val="single" w:sz="8" w:space="0" w:color="auto"/>
            </w:tcBorders>
          </w:tcPr>
          <w:p w14:paraId="6C6638D6" w14:textId="77777777" w:rsidR="0095500F" w:rsidRPr="00BC2DC0" w:rsidRDefault="0095500F" w:rsidP="004629CB">
            <w:pPr>
              <w:jc w:val="center"/>
              <w:rPr>
                <w:color w:val="000000" w:themeColor="text1"/>
                <w:sz w:val="20"/>
                <w:szCs w:val="20"/>
                <w:lang w:val="en-GB"/>
              </w:rPr>
            </w:pPr>
            <w:r w:rsidRPr="00BC2DC0">
              <w:rPr>
                <w:color w:val="000000" w:themeColor="text1"/>
                <w:sz w:val="20"/>
                <w:szCs w:val="20"/>
                <w:lang w:val="en-GB"/>
              </w:rPr>
              <w:t>–</w:t>
            </w:r>
          </w:p>
        </w:tc>
        <w:tc>
          <w:tcPr>
            <w:tcW w:w="2268" w:type="dxa"/>
            <w:tcBorders>
              <w:top w:val="single" w:sz="8" w:space="0" w:color="auto"/>
            </w:tcBorders>
          </w:tcPr>
          <w:p w14:paraId="289F5292" w14:textId="77777777" w:rsidR="0095500F" w:rsidRPr="00BC2DC0" w:rsidRDefault="0095500F" w:rsidP="004629CB">
            <w:pPr>
              <w:jc w:val="center"/>
              <w:rPr>
                <w:color w:val="000000" w:themeColor="text1"/>
                <w:sz w:val="20"/>
                <w:szCs w:val="20"/>
                <w:lang w:val="en-GB"/>
              </w:rPr>
            </w:pPr>
            <w:r w:rsidRPr="00BC2DC0">
              <w:rPr>
                <w:color w:val="000000" w:themeColor="text1"/>
                <w:sz w:val="20"/>
                <w:szCs w:val="20"/>
                <w:lang w:val="en-GB"/>
              </w:rPr>
              <w:t>–</w:t>
            </w:r>
          </w:p>
        </w:tc>
      </w:tr>
      <w:tr w:rsidR="0095500F" w:rsidRPr="00BC2DC0" w14:paraId="2B8C77E7" w14:textId="77777777" w:rsidTr="004629CB">
        <w:trPr>
          <w:trHeight w:val="794"/>
        </w:trPr>
        <w:tc>
          <w:tcPr>
            <w:tcW w:w="1560" w:type="dxa"/>
          </w:tcPr>
          <w:p w14:paraId="4BF637DD" w14:textId="77777777" w:rsidR="0095500F" w:rsidRPr="00BC2DC0" w:rsidRDefault="0095500F" w:rsidP="004629CB">
            <w:pPr>
              <w:rPr>
                <w:color w:val="000000" w:themeColor="text1"/>
                <w:sz w:val="20"/>
                <w:szCs w:val="20"/>
                <w:lang w:val="en-GB"/>
              </w:rPr>
            </w:pPr>
            <w:r w:rsidRPr="00BC2DC0">
              <w:rPr>
                <w:color w:val="000000" w:themeColor="text1"/>
                <w:sz w:val="20"/>
                <w:szCs w:val="20"/>
                <w:lang w:val="en-GB"/>
              </w:rPr>
              <w:t xml:space="preserve">● → </w:t>
            </w:r>
            <w:r w:rsidRPr="00BC2DC0">
              <w:rPr>
                <w:rFonts w:ascii="Segoe UI Symbol" w:hAnsi="Segoe UI Symbol" w:cs="Segoe UI Symbol"/>
                <w:color w:val="000000" w:themeColor="text1"/>
                <w:sz w:val="20"/>
                <w:szCs w:val="20"/>
                <w:lang w:val="en-GB"/>
              </w:rPr>
              <w:t>✖</w:t>
            </w:r>
          </w:p>
        </w:tc>
        <w:tc>
          <w:tcPr>
            <w:tcW w:w="1275" w:type="dxa"/>
          </w:tcPr>
          <w:p w14:paraId="3FCA07F5" w14:textId="77777777" w:rsidR="0095500F" w:rsidRPr="00BC2DC0" w:rsidRDefault="0095500F" w:rsidP="004629CB">
            <w:pPr>
              <w:jc w:val="center"/>
              <w:rPr>
                <w:color w:val="000000" w:themeColor="text1"/>
                <w:sz w:val="20"/>
                <w:szCs w:val="20"/>
                <w:lang w:val="en-GB"/>
              </w:rPr>
            </w:pPr>
            <w:r w:rsidRPr="00BC2DC0">
              <w:rPr>
                <w:color w:val="000000" w:themeColor="text1"/>
                <w:sz w:val="20"/>
                <w:szCs w:val="20"/>
                <w:lang w:val="en-GB"/>
              </w:rPr>
              <w:t>9 (1.5%)</w:t>
            </w:r>
          </w:p>
        </w:tc>
        <w:tc>
          <w:tcPr>
            <w:tcW w:w="1276" w:type="dxa"/>
          </w:tcPr>
          <w:p w14:paraId="44A01759" w14:textId="77777777" w:rsidR="0095500F" w:rsidRPr="00BC2DC0" w:rsidRDefault="0095500F" w:rsidP="004629CB">
            <w:pPr>
              <w:jc w:val="center"/>
              <w:rPr>
                <w:color w:val="000000" w:themeColor="text1"/>
                <w:sz w:val="20"/>
                <w:szCs w:val="20"/>
                <w:lang w:val="en-GB"/>
              </w:rPr>
            </w:pPr>
            <w:r w:rsidRPr="00BC2DC0">
              <w:rPr>
                <w:color w:val="000000" w:themeColor="text1"/>
                <w:sz w:val="20"/>
                <w:szCs w:val="20"/>
                <w:lang w:val="en-GB"/>
              </w:rPr>
              <w:t>3 (0.5%)</w:t>
            </w:r>
          </w:p>
        </w:tc>
        <w:tc>
          <w:tcPr>
            <w:tcW w:w="1843" w:type="dxa"/>
          </w:tcPr>
          <w:p w14:paraId="4CAC86E6" w14:textId="77777777" w:rsidR="0095500F" w:rsidRPr="00BC2DC0" w:rsidRDefault="0095500F" w:rsidP="004629CB">
            <w:pPr>
              <w:jc w:val="center"/>
              <w:rPr>
                <w:color w:val="000000" w:themeColor="text1"/>
                <w:sz w:val="20"/>
                <w:szCs w:val="20"/>
                <w:lang w:val="en-GB"/>
              </w:rPr>
            </w:pPr>
            <w:r w:rsidRPr="00BC2DC0">
              <w:rPr>
                <w:color w:val="000000" w:themeColor="text1"/>
                <w:sz w:val="20"/>
                <w:szCs w:val="20"/>
                <w:lang w:val="en-GB"/>
              </w:rPr>
              <w:t>583 / 500.4</w:t>
            </w:r>
          </w:p>
        </w:tc>
        <w:tc>
          <w:tcPr>
            <w:tcW w:w="1701" w:type="dxa"/>
          </w:tcPr>
          <w:p w14:paraId="11C01008" w14:textId="77777777" w:rsidR="0095500F" w:rsidRPr="00BC2DC0" w:rsidRDefault="0095500F" w:rsidP="004629CB">
            <w:pPr>
              <w:jc w:val="center"/>
              <w:rPr>
                <w:color w:val="000000" w:themeColor="text1"/>
                <w:sz w:val="20"/>
                <w:szCs w:val="20"/>
                <w:lang w:val="en-GB"/>
              </w:rPr>
            </w:pPr>
            <w:r w:rsidRPr="00BC2DC0">
              <w:rPr>
                <w:color w:val="000000" w:themeColor="text1"/>
                <w:sz w:val="20"/>
                <w:szCs w:val="20"/>
                <w:lang w:val="en-GB"/>
              </w:rPr>
              <w:t>15.44 / 6.00</w:t>
            </w:r>
          </w:p>
        </w:tc>
        <w:tc>
          <w:tcPr>
            <w:tcW w:w="2268" w:type="dxa"/>
          </w:tcPr>
          <w:p w14:paraId="1033BAA8" w14:textId="77777777" w:rsidR="0095500F" w:rsidRPr="00BC2DC0" w:rsidRDefault="0095500F" w:rsidP="004629CB">
            <w:pPr>
              <w:jc w:val="center"/>
              <w:rPr>
                <w:color w:val="000000" w:themeColor="text1"/>
                <w:sz w:val="20"/>
                <w:szCs w:val="20"/>
                <w:lang w:val="en-GB"/>
              </w:rPr>
            </w:pPr>
            <w:r w:rsidRPr="00BC2DC0">
              <w:rPr>
                <w:color w:val="000000" w:themeColor="text1"/>
                <w:sz w:val="20"/>
                <w:szCs w:val="20"/>
                <w:lang w:val="en-GB"/>
              </w:rPr>
              <w:t>0.388</w:t>
            </w:r>
          </w:p>
        </w:tc>
      </w:tr>
      <w:tr w:rsidR="0095500F" w:rsidRPr="00BC2DC0" w14:paraId="73345288" w14:textId="77777777" w:rsidTr="004629CB">
        <w:trPr>
          <w:trHeight w:val="794"/>
        </w:trPr>
        <w:tc>
          <w:tcPr>
            <w:tcW w:w="1560" w:type="dxa"/>
            <w:tcBorders>
              <w:bottom w:val="single" w:sz="4" w:space="0" w:color="auto"/>
            </w:tcBorders>
          </w:tcPr>
          <w:p w14:paraId="46E0AD96" w14:textId="77777777" w:rsidR="0095500F" w:rsidRPr="00BC2DC0" w:rsidRDefault="0095500F" w:rsidP="004629CB">
            <w:pPr>
              <w:rPr>
                <w:color w:val="000000" w:themeColor="text1"/>
                <w:sz w:val="20"/>
                <w:szCs w:val="20"/>
                <w:lang w:val="en-GB"/>
              </w:rPr>
            </w:pPr>
            <w:r w:rsidRPr="00BC2DC0">
              <w:rPr>
                <w:color w:val="000000" w:themeColor="text1"/>
                <w:sz w:val="20"/>
                <w:szCs w:val="20"/>
                <w:lang w:val="en-GB"/>
              </w:rPr>
              <w:t>● Stayed</w:t>
            </w:r>
          </w:p>
        </w:tc>
        <w:tc>
          <w:tcPr>
            <w:tcW w:w="1275" w:type="dxa"/>
            <w:tcBorders>
              <w:bottom w:val="single" w:sz="4" w:space="0" w:color="auto"/>
            </w:tcBorders>
          </w:tcPr>
          <w:p w14:paraId="34703713" w14:textId="77777777" w:rsidR="0095500F" w:rsidRPr="00BC2DC0" w:rsidRDefault="0095500F" w:rsidP="004629CB">
            <w:pPr>
              <w:jc w:val="center"/>
              <w:rPr>
                <w:color w:val="000000" w:themeColor="text1"/>
                <w:sz w:val="20"/>
                <w:szCs w:val="20"/>
                <w:lang w:val="en-GB"/>
              </w:rPr>
            </w:pPr>
            <w:r w:rsidRPr="00BC2DC0">
              <w:rPr>
                <w:color w:val="000000" w:themeColor="text1"/>
                <w:sz w:val="20"/>
                <w:szCs w:val="20"/>
                <w:lang w:val="en-GB"/>
              </w:rPr>
              <w:t>41 (6.8%)</w:t>
            </w:r>
          </w:p>
        </w:tc>
        <w:tc>
          <w:tcPr>
            <w:tcW w:w="1276" w:type="dxa"/>
            <w:tcBorders>
              <w:bottom w:val="single" w:sz="4" w:space="0" w:color="auto"/>
            </w:tcBorders>
          </w:tcPr>
          <w:p w14:paraId="4FFD96BD" w14:textId="77777777" w:rsidR="0095500F" w:rsidRPr="00BC2DC0" w:rsidRDefault="0095500F" w:rsidP="004629CB">
            <w:pPr>
              <w:jc w:val="center"/>
              <w:rPr>
                <w:color w:val="000000" w:themeColor="text1"/>
                <w:sz w:val="20"/>
                <w:szCs w:val="20"/>
                <w:lang w:val="en-GB"/>
              </w:rPr>
            </w:pPr>
            <w:r w:rsidRPr="00BC2DC0">
              <w:rPr>
                <w:color w:val="000000" w:themeColor="text1"/>
                <w:sz w:val="20"/>
                <w:szCs w:val="20"/>
                <w:lang w:val="en-GB"/>
              </w:rPr>
              <w:t>34 (5.6%)</w:t>
            </w:r>
          </w:p>
        </w:tc>
        <w:tc>
          <w:tcPr>
            <w:tcW w:w="1843" w:type="dxa"/>
            <w:tcBorders>
              <w:bottom w:val="single" w:sz="4" w:space="0" w:color="auto"/>
            </w:tcBorders>
          </w:tcPr>
          <w:p w14:paraId="4E8CAB66" w14:textId="77777777" w:rsidR="0095500F" w:rsidRPr="00BC2DC0" w:rsidRDefault="0095500F" w:rsidP="004629CB">
            <w:pPr>
              <w:jc w:val="center"/>
              <w:rPr>
                <w:color w:val="000000" w:themeColor="text1"/>
                <w:sz w:val="20"/>
                <w:szCs w:val="20"/>
                <w:lang w:val="en-GB"/>
              </w:rPr>
            </w:pPr>
            <w:r w:rsidRPr="00BC2DC0">
              <w:rPr>
                <w:color w:val="000000" w:themeColor="text1"/>
                <w:sz w:val="20"/>
                <w:szCs w:val="20"/>
                <w:lang w:val="en-GB"/>
              </w:rPr>
              <w:t>–</w:t>
            </w:r>
          </w:p>
        </w:tc>
        <w:tc>
          <w:tcPr>
            <w:tcW w:w="1701" w:type="dxa"/>
            <w:tcBorders>
              <w:bottom w:val="single" w:sz="4" w:space="0" w:color="auto"/>
            </w:tcBorders>
          </w:tcPr>
          <w:p w14:paraId="059840A0" w14:textId="77777777" w:rsidR="0095500F" w:rsidRPr="00BC2DC0" w:rsidRDefault="0095500F" w:rsidP="004629CB">
            <w:pPr>
              <w:jc w:val="center"/>
              <w:rPr>
                <w:color w:val="000000" w:themeColor="text1"/>
                <w:sz w:val="20"/>
                <w:szCs w:val="20"/>
                <w:lang w:val="en-GB"/>
              </w:rPr>
            </w:pPr>
            <w:r w:rsidRPr="00BC2DC0">
              <w:rPr>
                <w:color w:val="000000" w:themeColor="text1"/>
                <w:sz w:val="20"/>
                <w:szCs w:val="20"/>
                <w:lang w:val="en-GB"/>
              </w:rPr>
              <w:t>–</w:t>
            </w:r>
          </w:p>
        </w:tc>
        <w:tc>
          <w:tcPr>
            <w:tcW w:w="2268" w:type="dxa"/>
            <w:tcBorders>
              <w:bottom w:val="single" w:sz="4" w:space="0" w:color="auto"/>
            </w:tcBorders>
          </w:tcPr>
          <w:p w14:paraId="3CF3E210" w14:textId="77777777" w:rsidR="0095500F" w:rsidRPr="00BC2DC0" w:rsidRDefault="0095500F" w:rsidP="004629CB">
            <w:pPr>
              <w:jc w:val="center"/>
              <w:rPr>
                <w:color w:val="000000" w:themeColor="text1"/>
                <w:sz w:val="20"/>
                <w:szCs w:val="20"/>
                <w:lang w:val="en-GB"/>
              </w:rPr>
            </w:pPr>
            <w:r w:rsidRPr="00BC2DC0">
              <w:rPr>
                <w:color w:val="000000" w:themeColor="text1"/>
                <w:sz w:val="20"/>
                <w:szCs w:val="20"/>
                <w:lang w:val="en-GB"/>
              </w:rPr>
              <w:t>–</w:t>
            </w:r>
          </w:p>
        </w:tc>
      </w:tr>
      <w:tr w:rsidR="0095500F" w:rsidRPr="00BC2DC0" w14:paraId="63419235" w14:textId="77777777" w:rsidTr="004629CB">
        <w:trPr>
          <w:trHeight w:val="737"/>
        </w:trPr>
        <w:tc>
          <w:tcPr>
            <w:tcW w:w="1560" w:type="dxa"/>
            <w:tcBorders>
              <w:top w:val="single" w:sz="4" w:space="0" w:color="auto"/>
            </w:tcBorders>
          </w:tcPr>
          <w:p w14:paraId="394F19A0" w14:textId="77777777" w:rsidR="0095500F" w:rsidRPr="00BC2DC0" w:rsidRDefault="0095500F" w:rsidP="004629CB">
            <w:pPr>
              <w:rPr>
                <w:color w:val="000000" w:themeColor="text1"/>
                <w:sz w:val="20"/>
                <w:szCs w:val="20"/>
                <w:lang w:val="en-GB"/>
              </w:rPr>
            </w:pPr>
            <w:r w:rsidRPr="00BC2DC0">
              <w:rPr>
                <w:color w:val="000000" w:themeColor="text1"/>
                <w:sz w:val="20"/>
                <w:szCs w:val="20"/>
                <w:lang w:val="en-GB"/>
              </w:rPr>
              <w:t xml:space="preserve">○ → </w:t>
            </w:r>
            <w:r w:rsidRPr="00BC2DC0">
              <w:rPr>
                <w:rFonts w:ascii="Segoe UI Symbol" w:hAnsi="Segoe UI Symbol" w:cs="Segoe UI Symbol"/>
                <w:color w:val="000000" w:themeColor="text1"/>
                <w:sz w:val="20"/>
                <w:szCs w:val="20"/>
                <w:lang w:val="en-GB"/>
              </w:rPr>
              <w:t>✖</w:t>
            </w:r>
          </w:p>
        </w:tc>
        <w:tc>
          <w:tcPr>
            <w:tcW w:w="1275" w:type="dxa"/>
            <w:tcBorders>
              <w:top w:val="single" w:sz="4" w:space="0" w:color="auto"/>
            </w:tcBorders>
          </w:tcPr>
          <w:p w14:paraId="2A96F075" w14:textId="77777777" w:rsidR="0095500F" w:rsidRPr="00BC2DC0" w:rsidRDefault="0095500F" w:rsidP="004629CB">
            <w:pPr>
              <w:jc w:val="center"/>
              <w:rPr>
                <w:color w:val="000000" w:themeColor="text1"/>
                <w:sz w:val="20"/>
                <w:szCs w:val="20"/>
                <w:lang w:val="en-GB"/>
              </w:rPr>
            </w:pPr>
            <w:r w:rsidRPr="00BC2DC0">
              <w:rPr>
                <w:color w:val="000000" w:themeColor="text1"/>
                <w:sz w:val="20"/>
                <w:szCs w:val="20"/>
                <w:lang w:val="en-GB"/>
              </w:rPr>
              <w:t>12 (2.2%)</w:t>
            </w:r>
          </w:p>
        </w:tc>
        <w:tc>
          <w:tcPr>
            <w:tcW w:w="1276" w:type="dxa"/>
            <w:tcBorders>
              <w:top w:val="single" w:sz="4" w:space="0" w:color="auto"/>
            </w:tcBorders>
          </w:tcPr>
          <w:p w14:paraId="7B939077" w14:textId="77777777" w:rsidR="0095500F" w:rsidRPr="00BC2DC0" w:rsidRDefault="0095500F" w:rsidP="004629CB">
            <w:pPr>
              <w:jc w:val="center"/>
              <w:rPr>
                <w:color w:val="000000" w:themeColor="text1"/>
                <w:sz w:val="20"/>
                <w:szCs w:val="20"/>
                <w:lang w:val="en-GB"/>
              </w:rPr>
            </w:pPr>
            <w:r w:rsidRPr="00BC2DC0">
              <w:rPr>
                <w:color w:val="000000" w:themeColor="text1"/>
                <w:sz w:val="20"/>
                <w:szCs w:val="20"/>
                <w:lang w:val="en-GB"/>
              </w:rPr>
              <w:t>9 (1.6%)</w:t>
            </w:r>
          </w:p>
        </w:tc>
        <w:tc>
          <w:tcPr>
            <w:tcW w:w="1843" w:type="dxa"/>
            <w:tcBorders>
              <w:top w:val="single" w:sz="4" w:space="0" w:color="auto"/>
            </w:tcBorders>
          </w:tcPr>
          <w:p w14:paraId="671A2EDF" w14:textId="77777777" w:rsidR="0095500F" w:rsidRPr="00BC2DC0" w:rsidRDefault="0095500F" w:rsidP="004629CB">
            <w:pPr>
              <w:jc w:val="center"/>
              <w:rPr>
                <w:color w:val="000000" w:themeColor="text1"/>
                <w:sz w:val="20"/>
                <w:szCs w:val="20"/>
                <w:lang w:val="en-GB"/>
              </w:rPr>
            </w:pPr>
            <w:r w:rsidRPr="00BC2DC0">
              <w:rPr>
                <w:color w:val="000000" w:themeColor="text1"/>
                <w:sz w:val="20"/>
                <w:szCs w:val="20"/>
                <w:lang w:val="en-GB"/>
              </w:rPr>
              <w:t>3679.4 / 3896.3</w:t>
            </w:r>
          </w:p>
        </w:tc>
        <w:tc>
          <w:tcPr>
            <w:tcW w:w="1701" w:type="dxa"/>
            <w:tcBorders>
              <w:top w:val="single" w:sz="4" w:space="0" w:color="auto"/>
            </w:tcBorders>
          </w:tcPr>
          <w:p w14:paraId="728514C6" w14:textId="77777777" w:rsidR="0095500F" w:rsidRPr="00BC2DC0" w:rsidRDefault="0095500F" w:rsidP="004629CB">
            <w:pPr>
              <w:jc w:val="center"/>
              <w:rPr>
                <w:color w:val="000000" w:themeColor="text1"/>
                <w:sz w:val="20"/>
                <w:szCs w:val="20"/>
                <w:lang w:val="en-GB"/>
              </w:rPr>
            </w:pPr>
            <w:r w:rsidRPr="00BC2DC0">
              <w:rPr>
                <w:color w:val="000000" w:themeColor="text1"/>
                <w:sz w:val="20"/>
                <w:szCs w:val="20"/>
                <w:lang w:val="en-GB"/>
              </w:rPr>
              <w:t>3.26 / 2.31</w:t>
            </w:r>
          </w:p>
        </w:tc>
        <w:tc>
          <w:tcPr>
            <w:tcW w:w="2268" w:type="dxa"/>
            <w:tcBorders>
              <w:top w:val="single" w:sz="4" w:space="0" w:color="auto"/>
            </w:tcBorders>
          </w:tcPr>
          <w:p w14:paraId="767AE21E" w14:textId="77777777" w:rsidR="0095500F" w:rsidRPr="00BC2DC0" w:rsidRDefault="0095500F" w:rsidP="004629CB">
            <w:pPr>
              <w:jc w:val="center"/>
              <w:rPr>
                <w:color w:val="000000" w:themeColor="text1"/>
                <w:sz w:val="20"/>
                <w:szCs w:val="20"/>
                <w:lang w:val="en-GB"/>
              </w:rPr>
            </w:pPr>
            <w:r w:rsidRPr="00BC2DC0">
              <w:rPr>
                <w:color w:val="000000" w:themeColor="text1"/>
                <w:sz w:val="20"/>
                <w:szCs w:val="20"/>
                <w:lang w:val="en-GB"/>
              </w:rPr>
              <w:t>0.708</w:t>
            </w:r>
          </w:p>
        </w:tc>
      </w:tr>
      <w:tr w:rsidR="0095500F" w:rsidRPr="00BC2DC0" w14:paraId="75035DC4" w14:textId="77777777" w:rsidTr="004629CB">
        <w:trPr>
          <w:trHeight w:val="737"/>
        </w:trPr>
        <w:tc>
          <w:tcPr>
            <w:tcW w:w="1560" w:type="dxa"/>
            <w:tcBorders>
              <w:bottom w:val="single" w:sz="4" w:space="0" w:color="auto"/>
            </w:tcBorders>
          </w:tcPr>
          <w:p w14:paraId="6592D817" w14:textId="77777777" w:rsidR="0095500F" w:rsidRPr="00BC2DC0" w:rsidRDefault="0095500F" w:rsidP="004629CB">
            <w:pPr>
              <w:rPr>
                <w:color w:val="000000" w:themeColor="text1"/>
                <w:sz w:val="20"/>
                <w:szCs w:val="20"/>
                <w:lang w:val="en-GB"/>
              </w:rPr>
            </w:pPr>
            <w:r w:rsidRPr="00BC2DC0">
              <w:rPr>
                <w:color w:val="000000" w:themeColor="text1"/>
                <w:sz w:val="20"/>
                <w:szCs w:val="20"/>
                <w:lang w:val="en-GB"/>
              </w:rPr>
              <w:t>○ Stayed</w:t>
            </w:r>
          </w:p>
        </w:tc>
        <w:tc>
          <w:tcPr>
            <w:tcW w:w="1275" w:type="dxa"/>
            <w:tcBorders>
              <w:bottom w:val="single" w:sz="4" w:space="0" w:color="auto"/>
            </w:tcBorders>
          </w:tcPr>
          <w:p w14:paraId="4D78C638" w14:textId="77777777" w:rsidR="0095500F" w:rsidRPr="00BC2DC0" w:rsidRDefault="0095500F" w:rsidP="004629CB">
            <w:pPr>
              <w:jc w:val="center"/>
              <w:rPr>
                <w:color w:val="000000" w:themeColor="text1"/>
                <w:sz w:val="20"/>
                <w:szCs w:val="20"/>
                <w:lang w:val="en-GB"/>
              </w:rPr>
            </w:pPr>
            <w:r w:rsidRPr="00BC2DC0">
              <w:rPr>
                <w:color w:val="000000" w:themeColor="text1"/>
                <w:sz w:val="20"/>
                <w:szCs w:val="20"/>
                <w:lang w:val="en-GB"/>
              </w:rPr>
              <w:t>543 (97.8%)</w:t>
            </w:r>
          </w:p>
        </w:tc>
        <w:tc>
          <w:tcPr>
            <w:tcW w:w="1276" w:type="dxa"/>
            <w:tcBorders>
              <w:bottom w:val="single" w:sz="4" w:space="0" w:color="auto"/>
            </w:tcBorders>
          </w:tcPr>
          <w:p w14:paraId="2D592058" w14:textId="77777777" w:rsidR="0095500F" w:rsidRPr="00BC2DC0" w:rsidRDefault="0095500F" w:rsidP="004629CB">
            <w:pPr>
              <w:jc w:val="center"/>
              <w:rPr>
                <w:color w:val="000000" w:themeColor="text1"/>
                <w:sz w:val="20"/>
                <w:szCs w:val="20"/>
                <w:lang w:val="en-GB"/>
              </w:rPr>
            </w:pPr>
            <w:r w:rsidRPr="00BC2DC0">
              <w:rPr>
                <w:color w:val="000000" w:themeColor="text1"/>
                <w:sz w:val="20"/>
                <w:szCs w:val="20"/>
                <w:lang w:val="en-GB"/>
              </w:rPr>
              <w:t>559 (98.4%)</w:t>
            </w:r>
          </w:p>
        </w:tc>
        <w:tc>
          <w:tcPr>
            <w:tcW w:w="1843" w:type="dxa"/>
            <w:tcBorders>
              <w:bottom w:val="single" w:sz="4" w:space="0" w:color="auto"/>
            </w:tcBorders>
          </w:tcPr>
          <w:p w14:paraId="4F3AAD2E" w14:textId="77777777" w:rsidR="0095500F" w:rsidRPr="00BC2DC0" w:rsidRDefault="0095500F" w:rsidP="004629CB">
            <w:pPr>
              <w:jc w:val="center"/>
              <w:rPr>
                <w:color w:val="000000" w:themeColor="text1"/>
                <w:sz w:val="20"/>
                <w:szCs w:val="20"/>
                <w:lang w:val="en-GB"/>
              </w:rPr>
            </w:pPr>
            <w:r w:rsidRPr="00BC2DC0">
              <w:rPr>
                <w:color w:val="000000" w:themeColor="text1"/>
                <w:sz w:val="20"/>
                <w:szCs w:val="20"/>
                <w:lang w:val="en-GB"/>
              </w:rPr>
              <w:t>–</w:t>
            </w:r>
          </w:p>
        </w:tc>
        <w:tc>
          <w:tcPr>
            <w:tcW w:w="1701" w:type="dxa"/>
            <w:tcBorders>
              <w:bottom w:val="single" w:sz="4" w:space="0" w:color="auto"/>
            </w:tcBorders>
          </w:tcPr>
          <w:p w14:paraId="1912960E" w14:textId="77777777" w:rsidR="0095500F" w:rsidRPr="00BC2DC0" w:rsidRDefault="0095500F" w:rsidP="004629CB">
            <w:pPr>
              <w:jc w:val="center"/>
              <w:rPr>
                <w:color w:val="000000" w:themeColor="text1"/>
                <w:sz w:val="20"/>
                <w:szCs w:val="20"/>
                <w:lang w:val="en-GB"/>
              </w:rPr>
            </w:pPr>
            <w:r w:rsidRPr="00BC2DC0">
              <w:rPr>
                <w:color w:val="000000" w:themeColor="text1"/>
                <w:sz w:val="20"/>
                <w:szCs w:val="20"/>
                <w:lang w:val="en-GB"/>
              </w:rPr>
              <w:t>–</w:t>
            </w:r>
          </w:p>
        </w:tc>
        <w:tc>
          <w:tcPr>
            <w:tcW w:w="2268" w:type="dxa"/>
            <w:tcBorders>
              <w:bottom w:val="single" w:sz="4" w:space="0" w:color="auto"/>
            </w:tcBorders>
          </w:tcPr>
          <w:p w14:paraId="7913507A" w14:textId="77777777" w:rsidR="0095500F" w:rsidRPr="00BC2DC0" w:rsidRDefault="0095500F" w:rsidP="004629CB">
            <w:pPr>
              <w:jc w:val="center"/>
              <w:rPr>
                <w:color w:val="000000" w:themeColor="text1"/>
                <w:sz w:val="20"/>
                <w:szCs w:val="20"/>
                <w:lang w:val="en-GB"/>
              </w:rPr>
            </w:pPr>
            <w:r w:rsidRPr="00BC2DC0">
              <w:rPr>
                <w:color w:val="000000" w:themeColor="text1"/>
                <w:sz w:val="20"/>
                <w:szCs w:val="20"/>
                <w:lang w:val="en-GB"/>
              </w:rPr>
              <w:t>–</w:t>
            </w:r>
          </w:p>
        </w:tc>
      </w:tr>
      <w:tr w:rsidR="0095500F" w:rsidRPr="00BC2DC0" w14:paraId="7E4C1613" w14:textId="77777777" w:rsidTr="004629CB">
        <w:trPr>
          <w:trHeight w:val="737"/>
        </w:trPr>
        <w:tc>
          <w:tcPr>
            <w:tcW w:w="1560" w:type="dxa"/>
            <w:tcBorders>
              <w:top w:val="single" w:sz="4" w:space="0" w:color="auto"/>
              <w:bottom w:val="single" w:sz="4" w:space="0" w:color="auto"/>
            </w:tcBorders>
          </w:tcPr>
          <w:p w14:paraId="1D311560" w14:textId="77777777" w:rsidR="0095500F" w:rsidRPr="00BC2DC0" w:rsidRDefault="0095500F" w:rsidP="004629CB">
            <w:pPr>
              <w:rPr>
                <w:color w:val="000000" w:themeColor="text1"/>
                <w:sz w:val="20"/>
                <w:szCs w:val="20"/>
                <w:lang w:val="en-GB"/>
              </w:rPr>
            </w:pPr>
            <w:r w:rsidRPr="00BC2DC0">
              <w:rPr>
                <w:b/>
                <w:bCs/>
                <w:color w:val="000000" w:themeColor="text1"/>
                <w:sz w:val="20"/>
                <w:szCs w:val="20"/>
                <w:lang w:val="en-GB"/>
              </w:rPr>
              <w:t>Overall Extractions</w:t>
            </w:r>
          </w:p>
        </w:tc>
        <w:tc>
          <w:tcPr>
            <w:tcW w:w="1275" w:type="dxa"/>
            <w:tcBorders>
              <w:top w:val="single" w:sz="4" w:space="0" w:color="auto"/>
              <w:bottom w:val="single" w:sz="4" w:space="0" w:color="auto"/>
            </w:tcBorders>
          </w:tcPr>
          <w:p w14:paraId="7F0DD060" w14:textId="77777777" w:rsidR="0095500F" w:rsidRPr="00BC2DC0" w:rsidRDefault="0095500F" w:rsidP="004629CB">
            <w:pPr>
              <w:jc w:val="center"/>
              <w:rPr>
                <w:color w:val="000000" w:themeColor="text1"/>
                <w:sz w:val="20"/>
                <w:szCs w:val="20"/>
                <w:lang w:val="en-GB"/>
              </w:rPr>
            </w:pPr>
            <w:r w:rsidRPr="00BC2DC0">
              <w:rPr>
                <w:color w:val="000000" w:themeColor="text1"/>
                <w:sz w:val="20"/>
                <w:szCs w:val="20"/>
                <w:lang w:val="en-GB"/>
              </w:rPr>
              <w:t>21</w:t>
            </w:r>
          </w:p>
        </w:tc>
        <w:tc>
          <w:tcPr>
            <w:tcW w:w="1276" w:type="dxa"/>
            <w:tcBorders>
              <w:top w:val="single" w:sz="4" w:space="0" w:color="auto"/>
              <w:bottom w:val="single" w:sz="4" w:space="0" w:color="auto"/>
            </w:tcBorders>
          </w:tcPr>
          <w:p w14:paraId="4FFFDE2C" w14:textId="77777777" w:rsidR="0095500F" w:rsidRPr="00BC2DC0" w:rsidRDefault="0095500F" w:rsidP="004629CB">
            <w:pPr>
              <w:jc w:val="center"/>
              <w:rPr>
                <w:color w:val="000000" w:themeColor="text1"/>
                <w:sz w:val="20"/>
                <w:szCs w:val="20"/>
                <w:lang w:val="en-GB"/>
              </w:rPr>
            </w:pPr>
            <w:r w:rsidRPr="00BC2DC0">
              <w:rPr>
                <w:color w:val="000000" w:themeColor="text1"/>
                <w:sz w:val="20"/>
                <w:szCs w:val="20"/>
                <w:lang w:val="en-GB"/>
              </w:rPr>
              <w:t>12</w:t>
            </w:r>
          </w:p>
        </w:tc>
        <w:tc>
          <w:tcPr>
            <w:tcW w:w="1843" w:type="dxa"/>
            <w:tcBorders>
              <w:top w:val="single" w:sz="4" w:space="0" w:color="auto"/>
              <w:bottom w:val="single" w:sz="4" w:space="0" w:color="auto"/>
            </w:tcBorders>
          </w:tcPr>
          <w:p w14:paraId="25FB1C05" w14:textId="77777777" w:rsidR="0095500F" w:rsidRPr="00BC2DC0" w:rsidRDefault="0095500F" w:rsidP="004629CB">
            <w:pPr>
              <w:jc w:val="center"/>
              <w:rPr>
                <w:color w:val="000000" w:themeColor="text1"/>
                <w:sz w:val="20"/>
                <w:szCs w:val="20"/>
                <w:lang w:val="en-GB"/>
              </w:rPr>
            </w:pPr>
            <w:r w:rsidRPr="00BC2DC0">
              <w:rPr>
                <w:color w:val="000000" w:themeColor="text1"/>
                <w:sz w:val="20"/>
                <w:szCs w:val="20"/>
                <w:lang w:val="en-GB"/>
              </w:rPr>
              <w:t>4262.3 / 4396.7</w:t>
            </w:r>
          </w:p>
        </w:tc>
        <w:tc>
          <w:tcPr>
            <w:tcW w:w="1701" w:type="dxa"/>
            <w:tcBorders>
              <w:top w:val="single" w:sz="4" w:space="0" w:color="auto"/>
              <w:bottom w:val="single" w:sz="4" w:space="0" w:color="auto"/>
            </w:tcBorders>
          </w:tcPr>
          <w:p w14:paraId="2D6EC415" w14:textId="77777777" w:rsidR="0095500F" w:rsidRPr="00BC2DC0" w:rsidRDefault="0095500F" w:rsidP="004629CB">
            <w:pPr>
              <w:jc w:val="center"/>
              <w:rPr>
                <w:color w:val="000000" w:themeColor="text1"/>
                <w:sz w:val="20"/>
                <w:szCs w:val="20"/>
                <w:lang w:val="en-GB"/>
              </w:rPr>
            </w:pPr>
            <w:r w:rsidRPr="00BC2DC0">
              <w:rPr>
                <w:color w:val="000000" w:themeColor="text1"/>
                <w:sz w:val="20"/>
                <w:szCs w:val="20"/>
                <w:lang w:val="en-GB"/>
              </w:rPr>
              <w:t>4.93 / 2.73</w:t>
            </w:r>
          </w:p>
        </w:tc>
        <w:tc>
          <w:tcPr>
            <w:tcW w:w="2268" w:type="dxa"/>
            <w:tcBorders>
              <w:top w:val="single" w:sz="4" w:space="0" w:color="auto"/>
              <w:bottom w:val="single" w:sz="4" w:space="0" w:color="auto"/>
            </w:tcBorders>
          </w:tcPr>
          <w:p w14:paraId="0D65326C" w14:textId="77777777" w:rsidR="0095500F" w:rsidRPr="00BC2DC0" w:rsidRDefault="0095500F" w:rsidP="004629CB">
            <w:pPr>
              <w:jc w:val="center"/>
              <w:rPr>
                <w:color w:val="000000" w:themeColor="text1"/>
                <w:sz w:val="20"/>
                <w:szCs w:val="20"/>
                <w:lang w:val="en-GB"/>
              </w:rPr>
            </w:pPr>
            <w:r w:rsidRPr="00BC2DC0">
              <w:rPr>
                <w:color w:val="000000" w:themeColor="text1"/>
                <w:sz w:val="20"/>
                <w:szCs w:val="20"/>
                <w:lang w:val="en-GB"/>
              </w:rPr>
              <w:t>0.554</w:t>
            </w:r>
          </w:p>
        </w:tc>
      </w:tr>
    </w:tbl>
    <w:p w14:paraId="47F7C3A0" w14:textId="77777777" w:rsidR="0095500F" w:rsidRPr="00BC2DC0" w:rsidRDefault="0095500F" w:rsidP="0095500F">
      <w:pPr>
        <w:rPr>
          <w:color w:val="000000" w:themeColor="text1"/>
          <w:sz w:val="20"/>
          <w:szCs w:val="20"/>
          <w:lang w:val="en-GB"/>
        </w:rPr>
      </w:pPr>
      <w:r w:rsidRPr="00BC2DC0">
        <w:rPr>
          <w:color w:val="000000" w:themeColor="text1"/>
          <w:sz w:val="20"/>
          <w:szCs w:val="20"/>
          <w:lang w:val="en-GB"/>
        </w:rPr>
        <w:t xml:space="preserve">  ● = Implant </w:t>
      </w:r>
      <w:r>
        <w:rPr>
          <w:color w:val="000000" w:themeColor="text1"/>
          <w:sz w:val="20"/>
          <w:szCs w:val="20"/>
          <w:lang w:val="en-GB"/>
        </w:rPr>
        <w:t xml:space="preserve">placement </w:t>
      </w:r>
      <w:r w:rsidRPr="00BC2DC0">
        <w:rPr>
          <w:color w:val="000000" w:themeColor="text1"/>
          <w:sz w:val="20"/>
          <w:szCs w:val="20"/>
          <w:lang w:val="en-GB"/>
        </w:rPr>
        <w:t xml:space="preserve">(State 1); ○ = </w:t>
      </w:r>
      <w:r>
        <w:rPr>
          <w:color w:val="000000" w:themeColor="text1"/>
          <w:sz w:val="20"/>
          <w:szCs w:val="20"/>
          <w:lang w:val="en-GB"/>
        </w:rPr>
        <w:t>Implant prosthetic restoration, loaded</w:t>
      </w:r>
      <w:r w:rsidRPr="00BC2DC0">
        <w:rPr>
          <w:color w:val="000000" w:themeColor="text1"/>
          <w:sz w:val="20"/>
          <w:szCs w:val="20"/>
          <w:lang w:val="en-GB"/>
        </w:rPr>
        <w:t xml:space="preserve"> (State 2); </w:t>
      </w:r>
      <w:r w:rsidRPr="00BC2DC0">
        <w:rPr>
          <w:rFonts w:ascii="Segoe UI Symbol" w:hAnsi="Segoe UI Symbol" w:cs="Segoe UI Symbol"/>
          <w:color w:val="000000" w:themeColor="text1"/>
          <w:sz w:val="20"/>
          <w:szCs w:val="20"/>
          <w:lang w:val="en-GB"/>
        </w:rPr>
        <w:t>✖</w:t>
      </w:r>
      <w:r w:rsidRPr="00BC2DC0">
        <w:rPr>
          <w:color w:val="000000" w:themeColor="text1"/>
          <w:sz w:val="20"/>
          <w:szCs w:val="20"/>
          <w:lang w:val="en-GB"/>
        </w:rPr>
        <w:t xml:space="preserve"> = </w:t>
      </w:r>
      <w:r>
        <w:rPr>
          <w:color w:val="000000" w:themeColor="text1"/>
          <w:sz w:val="20"/>
          <w:szCs w:val="20"/>
          <w:lang w:val="en-GB"/>
        </w:rPr>
        <w:t>Implant e</w:t>
      </w:r>
      <w:r w:rsidRPr="00BC2DC0">
        <w:rPr>
          <w:color w:val="000000" w:themeColor="text1"/>
          <w:sz w:val="20"/>
          <w:szCs w:val="20"/>
          <w:lang w:val="en-GB"/>
        </w:rPr>
        <w:t>xtraction (State 3); IR = Incidence Rate (per 1000 person-years); IRR = Incidence Rate Ratio</w:t>
      </w:r>
    </w:p>
    <w:p w14:paraId="07189A2F" w14:textId="77777777" w:rsidR="0095500F" w:rsidRDefault="0095500F" w:rsidP="0048470D">
      <w:pPr>
        <w:spacing w:line="480" w:lineRule="auto"/>
        <w:rPr>
          <w:lang w:val="en-GB"/>
        </w:rPr>
      </w:pPr>
    </w:p>
    <w:p w14:paraId="55DFB45F" w14:textId="77777777" w:rsidR="0095500F" w:rsidRDefault="0095500F" w:rsidP="0095500F">
      <w:pPr>
        <w:pStyle w:val="SupplementBody"/>
      </w:pPr>
      <w:r w:rsidRPr="0048470D">
        <w:rPr>
          <w:b/>
          <w:bCs/>
        </w:rPr>
        <w:t>Supplementary Table S3</w:t>
      </w:r>
      <w:r>
        <w:t>. Kaplan–Meier survival and cumulative incidence for transition from State 2 to 3</w:t>
      </w:r>
    </w:p>
    <w:tbl>
      <w:tblPr>
        <w:tblW w:w="0" w:type="auto"/>
        <w:tblLook w:val="04A0" w:firstRow="1" w:lastRow="0" w:firstColumn="1" w:lastColumn="0" w:noHBand="0" w:noVBand="1"/>
      </w:tblPr>
      <w:tblGrid>
        <w:gridCol w:w="896"/>
        <w:gridCol w:w="1143"/>
        <w:gridCol w:w="1124"/>
        <w:gridCol w:w="1581"/>
        <w:gridCol w:w="1563"/>
        <w:gridCol w:w="1407"/>
        <w:gridCol w:w="1358"/>
      </w:tblGrid>
      <w:tr w:rsidR="0095500F" w:rsidRPr="00F97366" w14:paraId="6E18D312" w14:textId="77777777" w:rsidTr="004629CB">
        <w:tc>
          <w:tcPr>
            <w:tcW w:w="0" w:type="auto"/>
            <w:tcBorders>
              <w:top w:val="single" w:sz="4" w:space="0" w:color="auto"/>
              <w:bottom w:val="single" w:sz="8" w:space="0" w:color="auto"/>
            </w:tcBorders>
            <w:vAlign w:val="center"/>
          </w:tcPr>
          <w:p w14:paraId="02177C4E" w14:textId="77777777" w:rsidR="0095500F" w:rsidRPr="00701E15" w:rsidRDefault="0095500F" w:rsidP="004629CB">
            <w:pPr>
              <w:rPr>
                <w:b/>
                <w:bCs/>
                <w:sz w:val="20"/>
                <w:szCs w:val="20"/>
                <w:lang w:val="en-GB"/>
              </w:rPr>
            </w:pPr>
            <w:r w:rsidRPr="00701E15">
              <w:rPr>
                <w:b/>
                <w:bCs/>
                <w:sz w:val="20"/>
                <w:szCs w:val="20"/>
                <w:lang w:val="en-GB"/>
              </w:rPr>
              <w:t>Time (years)</w:t>
            </w:r>
          </w:p>
        </w:tc>
        <w:tc>
          <w:tcPr>
            <w:tcW w:w="0" w:type="auto"/>
            <w:tcBorders>
              <w:top w:val="single" w:sz="4" w:space="0" w:color="auto"/>
              <w:bottom w:val="single" w:sz="8" w:space="0" w:color="auto"/>
            </w:tcBorders>
            <w:vAlign w:val="center"/>
          </w:tcPr>
          <w:p w14:paraId="5A085D01" w14:textId="77777777" w:rsidR="0095500F" w:rsidRPr="00701E15" w:rsidRDefault="0095500F" w:rsidP="004629CB">
            <w:pPr>
              <w:jc w:val="center"/>
              <w:rPr>
                <w:b/>
                <w:bCs/>
                <w:sz w:val="20"/>
                <w:szCs w:val="20"/>
                <w:lang w:val="en-GB"/>
              </w:rPr>
            </w:pPr>
            <w:r w:rsidRPr="00701E15">
              <w:rPr>
                <w:b/>
                <w:bCs/>
                <w:sz w:val="20"/>
                <w:szCs w:val="20"/>
                <w:lang w:val="en-GB"/>
              </w:rPr>
              <w:t>Control Survival (%)</w:t>
            </w:r>
          </w:p>
        </w:tc>
        <w:tc>
          <w:tcPr>
            <w:tcW w:w="0" w:type="auto"/>
            <w:tcBorders>
              <w:top w:val="single" w:sz="4" w:space="0" w:color="auto"/>
              <w:bottom w:val="single" w:sz="8" w:space="0" w:color="auto"/>
            </w:tcBorders>
            <w:vAlign w:val="center"/>
          </w:tcPr>
          <w:p w14:paraId="0DE4D0B3" w14:textId="77777777" w:rsidR="0095500F" w:rsidRPr="00701E15" w:rsidRDefault="0095500F" w:rsidP="004629CB">
            <w:pPr>
              <w:jc w:val="center"/>
              <w:rPr>
                <w:b/>
                <w:bCs/>
                <w:sz w:val="20"/>
                <w:szCs w:val="20"/>
                <w:lang w:val="en-GB"/>
              </w:rPr>
            </w:pPr>
            <w:r w:rsidRPr="00701E15">
              <w:rPr>
                <w:b/>
                <w:bCs/>
                <w:sz w:val="20"/>
                <w:szCs w:val="20"/>
                <w:lang w:val="en-GB"/>
              </w:rPr>
              <w:t>ECRR Survival (%)</w:t>
            </w:r>
          </w:p>
        </w:tc>
        <w:tc>
          <w:tcPr>
            <w:tcW w:w="0" w:type="auto"/>
            <w:tcBorders>
              <w:top w:val="single" w:sz="4" w:space="0" w:color="auto"/>
              <w:bottom w:val="single" w:sz="8" w:space="0" w:color="auto"/>
            </w:tcBorders>
            <w:vAlign w:val="center"/>
          </w:tcPr>
          <w:p w14:paraId="1E272BA3" w14:textId="77777777" w:rsidR="0095500F" w:rsidRPr="00701E15" w:rsidRDefault="0095500F" w:rsidP="004629CB">
            <w:pPr>
              <w:jc w:val="center"/>
              <w:rPr>
                <w:b/>
                <w:bCs/>
                <w:sz w:val="20"/>
                <w:szCs w:val="20"/>
                <w:lang w:val="en-GB"/>
              </w:rPr>
            </w:pPr>
            <w:r w:rsidRPr="00701E15">
              <w:rPr>
                <w:b/>
                <w:bCs/>
                <w:sz w:val="20"/>
                <w:szCs w:val="20"/>
                <w:lang w:val="en-GB"/>
              </w:rPr>
              <w:t>Control Cumulative Incidence (%)</w:t>
            </w:r>
          </w:p>
        </w:tc>
        <w:tc>
          <w:tcPr>
            <w:tcW w:w="0" w:type="auto"/>
            <w:tcBorders>
              <w:top w:val="single" w:sz="4" w:space="0" w:color="auto"/>
              <w:bottom w:val="single" w:sz="8" w:space="0" w:color="auto"/>
            </w:tcBorders>
            <w:vAlign w:val="center"/>
          </w:tcPr>
          <w:p w14:paraId="5FC1C010" w14:textId="77777777" w:rsidR="0095500F" w:rsidRPr="00701E15" w:rsidRDefault="0095500F" w:rsidP="004629CB">
            <w:pPr>
              <w:jc w:val="center"/>
              <w:rPr>
                <w:b/>
                <w:bCs/>
                <w:sz w:val="20"/>
                <w:szCs w:val="20"/>
                <w:lang w:val="en-GB"/>
              </w:rPr>
            </w:pPr>
            <w:r w:rsidRPr="00701E15">
              <w:rPr>
                <w:b/>
                <w:bCs/>
                <w:sz w:val="20"/>
                <w:szCs w:val="20"/>
                <w:lang w:val="en-GB"/>
              </w:rPr>
              <w:t>ECRR Cumulative Incidence (%)</w:t>
            </w:r>
          </w:p>
        </w:tc>
        <w:tc>
          <w:tcPr>
            <w:tcW w:w="0" w:type="auto"/>
            <w:tcBorders>
              <w:top w:val="single" w:sz="4" w:space="0" w:color="auto"/>
              <w:bottom w:val="single" w:sz="8" w:space="0" w:color="auto"/>
            </w:tcBorders>
            <w:vAlign w:val="center"/>
          </w:tcPr>
          <w:p w14:paraId="26F21A54" w14:textId="77777777" w:rsidR="0095500F" w:rsidRPr="00701E15" w:rsidRDefault="0095500F" w:rsidP="004629CB">
            <w:pPr>
              <w:jc w:val="center"/>
              <w:rPr>
                <w:b/>
                <w:bCs/>
                <w:sz w:val="20"/>
                <w:szCs w:val="20"/>
                <w:lang w:val="en-GB"/>
              </w:rPr>
            </w:pPr>
            <w:r w:rsidRPr="00701E15">
              <w:rPr>
                <w:b/>
                <w:bCs/>
                <w:sz w:val="20"/>
                <w:szCs w:val="20"/>
                <w:lang w:val="en-GB"/>
              </w:rPr>
              <w:t>Difference (ECRR − Control)</w:t>
            </w:r>
          </w:p>
        </w:tc>
        <w:tc>
          <w:tcPr>
            <w:tcW w:w="0" w:type="auto"/>
            <w:tcBorders>
              <w:top w:val="single" w:sz="4" w:space="0" w:color="auto"/>
              <w:bottom w:val="single" w:sz="8" w:space="0" w:color="auto"/>
            </w:tcBorders>
            <w:vAlign w:val="center"/>
          </w:tcPr>
          <w:p w14:paraId="30E8CD4D" w14:textId="77777777" w:rsidR="0095500F" w:rsidRPr="00701E15" w:rsidRDefault="0095500F" w:rsidP="004629CB">
            <w:pPr>
              <w:jc w:val="center"/>
              <w:rPr>
                <w:b/>
                <w:bCs/>
                <w:sz w:val="20"/>
                <w:szCs w:val="20"/>
                <w:lang w:val="en-GB"/>
              </w:rPr>
            </w:pPr>
            <w:r w:rsidRPr="00701E15">
              <w:rPr>
                <w:b/>
                <w:bCs/>
                <w:sz w:val="20"/>
                <w:szCs w:val="20"/>
                <w:lang w:val="en-GB"/>
              </w:rPr>
              <w:t>Number at Risk (Control / ECRR)</w:t>
            </w:r>
          </w:p>
        </w:tc>
      </w:tr>
      <w:tr w:rsidR="0095500F" w:rsidRPr="00701E15" w14:paraId="4BAE7089" w14:textId="77777777" w:rsidTr="004629CB">
        <w:trPr>
          <w:trHeight w:val="397"/>
        </w:trPr>
        <w:tc>
          <w:tcPr>
            <w:tcW w:w="0" w:type="auto"/>
            <w:tcBorders>
              <w:top w:val="single" w:sz="8" w:space="0" w:color="auto"/>
            </w:tcBorders>
            <w:vAlign w:val="center"/>
          </w:tcPr>
          <w:p w14:paraId="49663A0C" w14:textId="77777777" w:rsidR="0095500F" w:rsidRPr="00701E15" w:rsidRDefault="0095500F" w:rsidP="004629CB">
            <w:pPr>
              <w:rPr>
                <w:sz w:val="20"/>
                <w:szCs w:val="20"/>
                <w:lang w:val="en-GB"/>
              </w:rPr>
            </w:pPr>
            <w:r w:rsidRPr="00701E15">
              <w:rPr>
                <w:sz w:val="20"/>
                <w:szCs w:val="20"/>
                <w:lang w:val="en-GB"/>
              </w:rPr>
              <w:t>1</w:t>
            </w:r>
          </w:p>
        </w:tc>
        <w:tc>
          <w:tcPr>
            <w:tcW w:w="0" w:type="auto"/>
            <w:tcBorders>
              <w:top w:val="single" w:sz="8" w:space="0" w:color="auto"/>
            </w:tcBorders>
            <w:vAlign w:val="center"/>
          </w:tcPr>
          <w:p w14:paraId="71CDB666" w14:textId="77777777" w:rsidR="0095500F" w:rsidRPr="00701E15" w:rsidRDefault="0095500F" w:rsidP="004629CB">
            <w:pPr>
              <w:jc w:val="center"/>
              <w:rPr>
                <w:sz w:val="20"/>
                <w:szCs w:val="20"/>
                <w:lang w:val="en-GB"/>
              </w:rPr>
            </w:pPr>
            <w:r w:rsidRPr="00701E15">
              <w:rPr>
                <w:sz w:val="20"/>
                <w:szCs w:val="20"/>
                <w:lang w:val="en-GB"/>
              </w:rPr>
              <w:t>99.6</w:t>
            </w:r>
          </w:p>
        </w:tc>
        <w:tc>
          <w:tcPr>
            <w:tcW w:w="0" w:type="auto"/>
            <w:tcBorders>
              <w:top w:val="single" w:sz="8" w:space="0" w:color="auto"/>
            </w:tcBorders>
            <w:vAlign w:val="center"/>
          </w:tcPr>
          <w:p w14:paraId="7BDB514D" w14:textId="77777777" w:rsidR="0095500F" w:rsidRPr="00701E15" w:rsidRDefault="0095500F" w:rsidP="004629CB">
            <w:pPr>
              <w:jc w:val="center"/>
              <w:rPr>
                <w:sz w:val="20"/>
                <w:szCs w:val="20"/>
                <w:lang w:val="en-GB"/>
              </w:rPr>
            </w:pPr>
            <w:r w:rsidRPr="00701E15">
              <w:rPr>
                <w:sz w:val="20"/>
                <w:szCs w:val="20"/>
                <w:lang w:val="en-GB"/>
              </w:rPr>
              <w:t>99.8</w:t>
            </w:r>
          </w:p>
        </w:tc>
        <w:tc>
          <w:tcPr>
            <w:tcW w:w="0" w:type="auto"/>
            <w:tcBorders>
              <w:top w:val="single" w:sz="8" w:space="0" w:color="auto"/>
            </w:tcBorders>
            <w:vAlign w:val="center"/>
          </w:tcPr>
          <w:p w14:paraId="27CAE6B1" w14:textId="77777777" w:rsidR="0095500F" w:rsidRPr="00701E15" w:rsidRDefault="0095500F" w:rsidP="004629CB">
            <w:pPr>
              <w:jc w:val="center"/>
              <w:rPr>
                <w:sz w:val="20"/>
                <w:szCs w:val="20"/>
                <w:lang w:val="en-GB"/>
              </w:rPr>
            </w:pPr>
            <w:r w:rsidRPr="00701E15">
              <w:rPr>
                <w:sz w:val="20"/>
                <w:szCs w:val="20"/>
                <w:lang w:val="en-GB"/>
              </w:rPr>
              <w:t>0.4</w:t>
            </w:r>
          </w:p>
        </w:tc>
        <w:tc>
          <w:tcPr>
            <w:tcW w:w="0" w:type="auto"/>
            <w:tcBorders>
              <w:top w:val="single" w:sz="8" w:space="0" w:color="auto"/>
            </w:tcBorders>
            <w:vAlign w:val="center"/>
          </w:tcPr>
          <w:p w14:paraId="2E00E78C" w14:textId="77777777" w:rsidR="0095500F" w:rsidRPr="00701E15" w:rsidRDefault="0095500F" w:rsidP="004629CB">
            <w:pPr>
              <w:jc w:val="center"/>
              <w:rPr>
                <w:sz w:val="20"/>
                <w:szCs w:val="20"/>
                <w:lang w:val="en-GB"/>
              </w:rPr>
            </w:pPr>
            <w:r w:rsidRPr="00701E15">
              <w:rPr>
                <w:sz w:val="20"/>
                <w:szCs w:val="20"/>
                <w:lang w:val="en-GB"/>
              </w:rPr>
              <w:t>0.2</w:t>
            </w:r>
          </w:p>
        </w:tc>
        <w:tc>
          <w:tcPr>
            <w:tcW w:w="0" w:type="auto"/>
            <w:tcBorders>
              <w:top w:val="single" w:sz="8" w:space="0" w:color="auto"/>
            </w:tcBorders>
            <w:vAlign w:val="center"/>
          </w:tcPr>
          <w:p w14:paraId="73BFB821" w14:textId="77777777" w:rsidR="0095500F" w:rsidRPr="00701E15" w:rsidRDefault="0095500F" w:rsidP="004629CB">
            <w:pPr>
              <w:jc w:val="center"/>
              <w:rPr>
                <w:sz w:val="20"/>
                <w:szCs w:val="20"/>
                <w:lang w:val="en-GB"/>
              </w:rPr>
            </w:pPr>
            <w:r w:rsidRPr="00701E15">
              <w:rPr>
                <w:sz w:val="20"/>
                <w:szCs w:val="20"/>
                <w:lang w:val="en-GB"/>
              </w:rPr>
              <w:t>−0.2</w:t>
            </w:r>
          </w:p>
        </w:tc>
        <w:tc>
          <w:tcPr>
            <w:tcW w:w="0" w:type="auto"/>
            <w:tcBorders>
              <w:top w:val="single" w:sz="8" w:space="0" w:color="auto"/>
            </w:tcBorders>
            <w:vAlign w:val="center"/>
          </w:tcPr>
          <w:p w14:paraId="1D07B4C3" w14:textId="77777777" w:rsidR="0095500F" w:rsidRPr="00701E15" w:rsidRDefault="0095500F" w:rsidP="004629CB">
            <w:pPr>
              <w:jc w:val="center"/>
              <w:rPr>
                <w:sz w:val="20"/>
                <w:szCs w:val="20"/>
                <w:lang w:val="en-GB"/>
              </w:rPr>
            </w:pPr>
            <w:r w:rsidRPr="00701E15">
              <w:rPr>
                <w:sz w:val="20"/>
                <w:szCs w:val="20"/>
                <w:lang w:val="en-GB"/>
              </w:rPr>
              <w:t>545 / 561</w:t>
            </w:r>
          </w:p>
        </w:tc>
      </w:tr>
      <w:tr w:rsidR="0095500F" w:rsidRPr="00701E15" w14:paraId="784F493A" w14:textId="77777777" w:rsidTr="004629CB">
        <w:trPr>
          <w:trHeight w:val="397"/>
        </w:trPr>
        <w:tc>
          <w:tcPr>
            <w:tcW w:w="0" w:type="auto"/>
            <w:vAlign w:val="center"/>
          </w:tcPr>
          <w:p w14:paraId="7E200D7C" w14:textId="77777777" w:rsidR="0095500F" w:rsidRPr="00701E15" w:rsidRDefault="0095500F" w:rsidP="004629CB">
            <w:pPr>
              <w:rPr>
                <w:sz w:val="20"/>
                <w:szCs w:val="20"/>
                <w:lang w:val="en-GB"/>
              </w:rPr>
            </w:pPr>
            <w:r w:rsidRPr="00701E15">
              <w:rPr>
                <w:sz w:val="20"/>
                <w:szCs w:val="20"/>
                <w:lang w:val="en-GB"/>
              </w:rPr>
              <w:t>3</w:t>
            </w:r>
          </w:p>
        </w:tc>
        <w:tc>
          <w:tcPr>
            <w:tcW w:w="0" w:type="auto"/>
            <w:vAlign w:val="center"/>
          </w:tcPr>
          <w:p w14:paraId="2EB24675" w14:textId="77777777" w:rsidR="0095500F" w:rsidRPr="00701E15" w:rsidRDefault="0095500F" w:rsidP="004629CB">
            <w:pPr>
              <w:jc w:val="center"/>
              <w:rPr>
                <w:sz w:val="20"/>
                <w:szCs w:val="20"/>
                <w:lang w:val="en-GB"/>
              </w:rPr>
            </w:pPr>
            <w:r w:rsidRPr="00701E15">
              <w:rPr>
                <w:sz w:val="20"/>
                <w:szCs w:val="20"/>
                <w:lang w:val="en-GB"/>
              </w:rPr>
              <w:t>99.2</w:t>
            </w:r>
          </w:p>
        </w:tc>
        <w:tc>
          <w:tcPr>
            <w:tcW w:w="0" w:type="auto"/>
            <w:vAlign w:val="center"/>
          </w:tcPr>
          <w:p w14:paraId="0845CC73" w14:textId="77777777" w:rsidR="0095500F" w:rsidRPr="00701E15" w:rsidRDefault="0095500F" w:rsidP="004629CB">
            <w:pPr>
              <w:jc w:val="center"/>
              <w:rPr>
                <w:sz w:val="20"/>
                <w:szCs w:val="20"/>
                <w:lang w:val="en-GB"/>
              </w:rPr>
            </w:pPr>
            <w:r w:rsidRPr="00701E15">
              <w:rPr>
                <w:sz w:val="20"/>
                <w:szCs w:val="20"/>
                <w:lang w:val="en-GB"/>
              </w:rPr>
              <w:t>99.7</w:t>
            </w:r>
          </w:p>
        </w:tc>
        <w:tc>
          <w:tcPr>
            <w:tcW w:w="0" w:type="auto"/>
            <w:vAlign w:val="center"/>
          </w:tcPr>
          <w:p w14:paraId="78C1185D" w14:textId="77777777" w:rsidR="0095500F" w:rsidRPr="00701E15" w:rsidRDefault="0095500F" w:rsidP="004629CB">
            <w:pPr>
              <w:jc w:val="center"/>
              <w:rPr>
                <w:sz w:val="20"/>
                <w:szCs w:val="20"/>
                <w:lang w:val="en-GB"/>
              </w:rPr>
            </w:pPr>
            <w:r w:rsidRPr="00701E15">
              <w:rPr>
                <w:sz w:val="20"/>
                <w:szCs w:val="20"/>
                <w:lang w:val="en-GB"/>
              </w:rPr>
              <w:t>0.8</w:t>
            </w:r>
          </w:p>
        </w:tc>
        <w:tc>
          <w:tcPr>
            <w:tcW w:w="0" w:type="auto"/>
            <w:vAlign w:val="center"/>
          </w:tcPr>
          <w:p w14:paraId="22D097A8" w14:textId="77777777" w:rsidR="0095500F" w:rsidRPr="00701E15" w:rsidRDefault="0095500F" w:rsidP="004629CB">
            <w:pPr>
              <w:jc w:val="center"/>
              <w:rPr>
                <w:sz w:val="20"/>
                <w:szCs w:val="20"/>
                <w:lang w:val="en-GB"/>
              </w:rPr>
            </w:pPr>
            <w:r w:rsidRPr="00701E15">
              <w:rPr>
                <w:sz w:val="20"/>
                <w:szCs w:val="20"/>
                <w:lang w:val="en-GB"/>
              </w:rPr>
              <w:t>0.3</w:t>
            </w:r>
          </w:p>
        </w:tc>
        <w:tc>
          <w:tcPr>
            <w:tcW w:w="0" w:type="auto"/>
            <w:vAlign w:val="center"/>
          </w:tcPr>
          <w:p w14:paraId="3756C2DA" w14:textId="77777777" w:rsidR="0095500F" w:rsidRPr="00701E15" w:rsidRDefault="0095500F" w:rsidP="004629CB">
            <w:pPr>
              <w:jc w:val="center"/>
              <w:rPr>
                <w:sz w:val="20"/>
                <w:szCs w:val="20"/>
                <w:lang w:val="en-GB"/>
              </w:rPr>
            </w:pPr>
            <w:r w:rsidRPr="00701E15">
              <w:rPr>
                <w:sz w:val="20"/>
                <w:szCs w:val="20"/>
                <w:lang w:val="en-GB"/>
              </w:rPr>
              <w:t>−0.4</w:t>
            </w:r>
          </w:p>
        </w:tc>
        <w:tc>
          <w:tcPr>
            <w:tcW w:w="0" w:type="auto"/>
            <w:vAlign w:val="center"/>
          </w:tcPr>
          <w:p w14:paraId="167DEF3A" w14:textId="77777777" w:rsidR="0095500F" w:rsidRPr="00701E15" w:rsidRDefault="0095500F" w:rsidP="004629CB">
            <w:pPr>
              <w:jc w:val="center"/>
              <w:rPr>
                <w:sz w:val="20"/>
                <w:szCs w:val="20"/>
                <w:lang w:val="en-GB"/>
              </w:rPr>
            </w:pPr>
            <w:r w:rsidRPr="00701E15">
              <w:rPr>
                <w:sz w:val="20"/>
                <w:szCs w:val="20"/>
                <w:lang w:val="en-GB"/>
              </w:rPr>
              <w:t>492 / 515</w:t>
            </w:r>
          </w:p>
        </w:tc>
      </w:tr>
      <w:tr w:rsidR="0095500F" w:rsidRPr="00701E15" w14:paraId="21807C46" w14:textId="77777777" w:rsidTr="004629CB">
        <w:trPr>
          <w:trHeight w:val="397"/>
        </w:trPr>
        <w:tc>
          <w:tcPr>
            <w:tcW w:w="0" w:type="auto"/>
            <w:vAlign w:val="center"/>
          </w:tcPr>
          <w:p w14:paraId="14B92903" w14:textId="77777777" w:rsidR="0095500F" w:rsidRPr="00701E15" w:rsidRDefault="0095500F" w:rsidP="004629CB">
            <w:pPr>
              <w:rPr>
                <w:sz w:val="20"/>
                <w:szCs w:val="20"/>
                <w:lang w:val="en-GB"/>
              </w:rPr>
            </w:pPr>
            <w:r w:rsidRPr="00701E15">
              <w:rPr>
                <w:sz w:val="20"/>
                <w:szCs w:val="20"/>
                <w:lang w:val="en-GB"/>
              </w:rPr>
              <w:t>5</w:t>
            </w:r>
          </w:p>
        </w:tc>
        <w:tc>
          <w:tcPr>
            <w:tcW w:w="0" w:type="auto"/>
            <w:vAlign w:val="center"/>
          </w:tcPr>
          <w:p w14:paraId="1E672425" w14:textId="77777777" w:rsidR="0095500F" w:rsidRPr="00701E15" w:rsidRDefault="0095500F" w:rsidP="004629CB">
            <w:pPr>
              <w:jc w:val="center"/>
              <w:rPr>
                <w:sz w:val="20"/>
                <w:szCs w:val="20"/>
                <w:lang w:val="en-GB"/>
              </w:rPr>
            </w:pPr>
            <w:r w:rsidRPr="00701E15">
              <w:rPr>
                <w:sz w:val="20"/>
                <w:szCs w:val="20"/>
                <w:lang w:val="en-GB"/>
              </w:rPr>
              <w:t>99.2</w:t>
            </w:r>
          </w:p>
        </w:tc>
        <w:tc>
          <w:tcPr>
            <w:tcW w:w="0" w:type="auto"/>
            <w:vAlign w:val="center"/>
          </w:tcPr>
          <w:p w14:paraId="75E260ED" w14:textId="77777777" w:rsidR="0095500F" w:rsidRPr="00701E15" w:rsidRDefault="0095500F" w:rsidP="004629CB">
            <w:pPr>
              <w:jc w:val="center"/>
              <w:rPr>
                <w:sz w:val="20"/>
                <w:szCs w:val="20"/>
                <w:lang w:val="en-GB"/>
              </w:rPr>
            </w:pPr>
            <w:r w:rsidRPr="00701E15">
              <w:rPr>
                <w:sz w:val="20"/>
                <w:szCs w:val="20"/>
                <w:lang w:val="en-GB"/>
              </w:rPr>
              <w:t>99.0</w:t>
            </w:r>
          </w:p>
        </w:tc>
        <w:tc>
          <w:tcPr>
            <w:tcW w:w="0" w:type="auto"/>
            <w:vAlign w:val="center"/>
          </w:tcPr>
          <w:p w14:paraId="08AD5ADD" w14:textId="77777777" w:rsidR="0095500F" w:rsidRPr="00701E15" w:rsidRDefault="0095500F" w:rsidP="004629CB">
            <w:pPr>
              <w:jc w:val="center"/>
              <w:rPr>
                <w:sz w:val="20"/>
                <w:szCs w:val="20"/>
                <w:lang w:val="en-GB"/>
              </w:rPr>
            </w:pPr>
            <w:r w:rsidRPr="00701E15">
              <w:rPr>
                <w:sz w:val="20"/>
                <w:szCs w:val="20"/>
                <w:lang w:val="en-GB"/>
              </w:rPr>
              <w:t>0.8</w:t>
            </w:r>
          </w:p>
        </w:tc>
        <w:tc>
          <w:tcPr>
            <w:tcW w:w="0" w:type="auto"/>
            <w:vAlign w:val="center"/>
          </w:tcPr>
          <w:p w14:paraId="7D838003" w14:textId="77777777" w:rsidR="0095500F" w:rsidRPr="00701E15" w:rsidRDefault="0095500F" w:rsidP="004629CB">
            <w:pPr>
              <w:jc w:val="center"/>
              <w:rPr>
                <w:sz w:val="20"/>
                <w:szCs w:val="20"/>
                <w:lang w:val="en-GB"/>
              </w:rPr>
            </w:pPr>
            <w:r w:rsidRPr="00701E15">
              <w:rPr>
                <w:sz w:val="20"/>
                <w:szCs w:val="20"/>
                <w:lang w:val="en-GB"/>
              </w:rPr>
              <w:t>1.0</w:t>
            </w:r>
          </w:p>
        </w:tc>
        <w:tc>
          <w:tcPr>
            <w:tcW w:w="0" w:type="auto"/>
            <w:vAlign w:val="center"/>
          </w:tcPr>
          <w:p w14:paraId="38D2E7FB" w14:textId="77777777" w:rsidR="0095500F" w:rsidRPr="00701E15" w:rsidRDefault="0095500F" w:rsidP="004629CB">
            <w:pPr>
              <w:jc w:val="center"/>
              <w:rPr>
                <w:sz w:val="20"/>
                <w:szCs w:val="20"/>
                <w:lang w:val="en-GB"/>
              </w:rPr>
            </w:pPr>
            <w:r w:rsidRPr="00701E15">
              <w:rPr>
                <w:sz w:val="20"/>
                <w:szCs w:val="20"/>
                <w:lang w:val="en-GB"/>
              </w:rPr>
              <w:t>0.2</w:t>
            </w:r>
          </w:p>
        </w:tc>
        <w:tc>
          <w:tcPr>
            <w:tcW w:w="0" w:type="auto"/>
            <w:vAlign w:val="center"/>
          </w:tcPr>
          <w:p w14:paraId="0E1A4973" w14:textId="77777777" w:rsidR="0095500F" w:rsidRPr="00701E15" w:rsidRDefault="0095500F" w:rsidP="004629CB">
            <w:pPr>
              <w:jc w:val="center"/>
              <w:rPr>
                <w:sz w:val="20"/>
                <w:szCs w:val="20"/>
                <w:lang w:val="en-GB"/>
              </w:rPr>
            </w:pPr>
            <w:r w:rsidRPr="00701E15">
              <w:rPr>
                <w:sz w:val="20"/>
                <w:szCs w:val="20"/>
                <w:lang w:val="en-GB"/>
              </w:rPr>
              <w:t>406 / 433</w:t>
            </w:r>
          </w:p>
        </w:tc>
      </w:tr>
      <w:tr w:rsidR="0095500F" w:rsidRPr="00701E15" w14:paraId="5A57C5BF" w14:textId="77777777" w:rsidTr="004629CB">
        <w:trPr>
          <w:trHeight w:val="397"/>
        </w:trPr>
        <w:tc>
          <w:tcPr>
            <w:tcW w:w="0" w:type="auto"/>
            <w:tcBorders>
              <w:bottom w:val="single" w:sz="4" w:space="0" w:color="auto"/>
            </w:tcBorders>
            <w:vAlign w:val="center"/>
          </w:tcPr>
          <w:p w14:paraId="592C4572" w14:textId="77777777" w:rsidR="0095500F" w:rsidRPr="00701E15" w:rsidRDefault="0095500F" w:rsidP="004629CB">
            <w:pPr>
              <w:rPr>
                <w:sz w:val="20"/>
                <w:szCs w:val="20"/>
                <w:lang w:val="en-GB"/>
              </w:rPr>
            </w:pPr>
            <w:r w:rsidRPr="00701E15">
              <w:rPr>
                <w:sz w:val="20"/>
                <w:szCs w:val="20"/>
                <w:lang w:val="en-GB"/>
              </w:rPr>
              <w:t>10</w:t>
            </w:r>
          </w:p>
        </w:tc>
        <w:tc>
          <w:tcPr>
            <w:tcW w:w="0" w:type="auto"/>
            <w:tcBorders>
              <w:bottom w:val="single" w:sz="4" w:space="0" w:color="auto"/>
            </w:tcBorders>
            <w:vAlign w:val="center"/>
          </w:tcPr>
          <w:p w14:paraId="12711337" w14:textId="77777777" w:rsidR="0095500F" w:rsidRPr="00701E15" w:rsidRDefault="0095500F" w:rsidP="004629CB">
            <w:pPr>
              <w:jc w:val="center"/>
              <w:rPr>
                <w:sz w:val="20"/>
                <w:szCs w:val="20"/>
                <w:lang w:val="en-GB"/>
              </w:rPr>
            </w:pPr>
            <w:r w:rsidRPr="00701E15">
              <w:rPr>
                <w:sz w:val="20"/>
                <w:szCs w:val="20"/>
                <w:lang w:val="en-GB"/>
              </w:rPr>
              <w:t>96.2</w:t>
            </w:r>
          </w:p>
        </w:tc>
        <w:tc>
          <w:tcPr>
            <w:tcW w:w="0" w:type="auto"/>
            <w:tcBorders>
              <w:bottom w:val="single" w:sz="4" w:space="0" w:color="auto"/>
            </w:tcBorders>
            <w:vAlign w:val="center"/>
          </w:tcPr>
          <w:p w14:paraId="16FACE92" w14:textId="77777777" w:rsidR="0095500F" w:rsidRPr="00701E15" w:rsidRDefault="0095500F" w:rsidP="004629CB">
            <w:pPr>
              <w:jc w:val="center"/>
              <w:rPr>
                <w:sz w:val="20"/>
                <w:szCs w:val="20"/>
                <w:lang w:val="en-GB"/>
              </w:rPr>
            </w:pPr>
            <w:r w:rsidRPr="00701E15">
              <w:rPr>
                <w:sz w:val="20"/>
                <w:szCs w:val="20"/>
                <w:lang w:val="en-GB"/>
              </w:rPr>
              <w:t>97.8</w:t>
            </w:r>
          </w:p>
        </w:tc>
        <w:tc>
          <w:tcPr>
            <w:tcW w:w="0" w:type="auto"/>
            <w:tcBorders>
              <w:bottom w:val="single" w:sz="4" w:space="0" w:color="auto"/>
            </w:tcBorders>
            <w:vAlign w:val="center"/>
          </w:tcPr>
          <w:p w14:paraId="2ED36340" w14:textId="77777777" w:rsidR="0095500F" w:rsidRPr="00701E15" w:rsidRDefault="0095500F" w:rsidP="004629CB">
            <w:pPr>
              <w:jc w:val="center"/>
              <w:rPr>
                <w:sz w:val="20"/>
                <w:szCs w:val="20"/>
                <w:lang w:val="en-GB"/>
              </w:rPr>
            </w:pPr>
            <w:r w:rsidRPr="00701E15">
              <w:rPr>
                <w:sz w:val="20"/>
                <w:szCs w:val="20"/>
                <w:lang w:val="en-GB"/>
              </w:rPr>
              <w:t>3.8</w:t>
            </w:r>
          </w:p>
        </w:tc>
        <w:tc>
          <w:tcPr>
            <w:tcW w:w="0" w:type="auto"/>
            <w:tcBorders>
              <w:bottom w:val="single" w:sz="4" w:space="0" w:color="auto"/>
            </w:tcBorders>
            <w:vAlign w:val="center"/>
          </w:tcPr>
          <w:p w14:paraId="7E93482B" w14:textId="77777777" w:rsidR="0095500F" w:rsidRPr="00701E15" w:rsidRDefault="0095500F" w:rsidP="004629CB">
            <w:pPr>
              <w:jc w:val="center"/>
              <w:rPr>
                <w:sz w:val="20"/>
                <w:szCs w:val="20"/>
                <w:lang w:val="en-GB"/>
              </w:rPr>
            </w:pPr>
            <w:r w:rsidRPr="00701E15">
              <w:rPr>
                <w:sz w:val="20"/>
                <w:szCs w:val="20"/>
                <w:lang w:val="en-GB"/>
              </w:rPr>
              <w:t>2.2</w:t>
            </w:r>
          </w:p>
        </w:tc>
        <w:tc>
          <w:tcPr>
            <w:tcW w:w="0" w:type="auto"/>
            <w:tcBorders>
              <w:bottom w:val="single" w:sz="4" w:space="0" w:color="auto"/>
            </w:tcBorders>
            <w:vAlign w:val="center"/>
          </w:tcPr>
          <w:p w14:paraId="7344831E" w14:textId="77777777" w:rsidR="0095500F" w:rsidRPr="00701E15" w:rsidRDefault="0095500F" w:rsidP="004629CB">
            <w:pPr>
              <w:jc w:val="center"/>
              <w:rPr>
                <w:sz w:val="20"/>
                <w:szCs w:val="20"/>
                <w:lang w:val="en-GB"/>
              </w:rPr>
            </w:pPr>
            <w:r w:rsidRPr="00701E15">
              <w:rPr>
                <w:sz w:val="20"/>
                <w:szCs w:val="20"/>
                <w:lang w:val="en-GB"/>
              </w:rPr>
              <w:t>−1.7</w:t>
            </w:r>
          </w:p>
        </w:tc>
        <w:tc>
          <w:tcPr>
            <w:tcW w:w="0" w:type="auto"/>
            <w:tcBorders>
              <w:bottom w:val="single" w:sz="4" w:space="0" w:color="auto"/>
            </w:tcBorders>
            <w:vAlign w:val="center"/>
          </w:tcPr>
          <w:p w14:paraId="26670C83" w14:textId="77777777" w:rsidR="0095500F" w:rsidRPr="00701E15" w:rsidRDefault="0095500F" w:rsidP="004629CB">
            <w:pPr>
              <w:jc w:val="center"/>
              <w:rPr>
                <w:sz w:val="20"/>
                <w:szCs w:val="20"/>
                <w:lang w:val="en-GB"/>
              </w:rPr>
            </w:pPr>
            <w:r w:rsidRPr="00701E15">
              <w:rPr>
                <w:sz w:val="20"/>
                <w:szCs w:val="20"/>
                <w:lang w:val="en-GB"/>
              </w:rPr>
              <w:t>47 / 57</w:t>
            </w:r>
          </w:p>
        </w:tc>
      </w:tr>
      <w:tr w:rsidR="0095500F" w:rsidRPr="00701E15" w14:paraId="670E7B4C" w14:textId="77777777" w:rsidTr="004629CB">
        <w:tc>
          <w:tcPr>
            <w:tcW w:w="0" w:type="auto"/>
            <w:tcBorders>
              <w:top w:val="single" w:sz="4" w:space="0" w:color="auto"/>
            </w:tcBorders>
            <w:vAlign w:val="center"/>
          </w:tcPr>
          <w:p w14:paraId="744A0727" w14:textId="77777777" w:rsidR="0095500F" w:rsidRPr="00701E15" w:rsidRDefault="0095500F" w:rsidP="004629CB">
            <w:pPr>
              <w:rPr>
                <w:sz w:val="20"/>
                <w:szCs w:val="20"/>
                <w:lang w:val="en-GB"/>
              </w:rPr>
            </w:pPr>
          </w:p>
        </w:tc>
        <w:tc>
          <w:tcPr>
            <w:tcW w:w="0" w:type="auto"/>
            <w:tcBorders>
              <w:top w:val="single" w:sz="4" w:space="0" w:color="auto"/>
            </w:tcBorders>
          </w:tcPr>
          <w:p w14:paraId="57014A0B" w14:textId="77777777" w:rsidR="0095500F" w:rsidRPr="00701E15" w:rsidRDefault="0095500F" w:rsidP="004629CB">
            <w:pPr>
              <w:rPr>
                <w:sz w:val="20"/>
                <w:szCs w:val="20"/>
                <w:lang w:val="en-GB"/>
              </w:rPr>
            </w:pPr>
          </w:p>
        </w:tc>
        <w:tc>
          <w:tcPr>
            <w:tcW w:w="0" w:type="auto"/>
            <w:tcBorders>
              <w:top w:val="single" w:sz="4" w:space="0" w:color="auto"/>
            </w:tcBorders>
          </w:tcPr>
          <w:p w14:paraId="678270F8" w14:textId="77777777" w:rsidR="0095500F" w:rsidRPr="00701E15" w:rsidRDefault="0095500F" w:rsidP="004629CB">
            <w:pPr>
              <w:rPr>
                <w:sz w:val="20"/>
                <w:szCs w:val="20"/>
                <w:lang w:val="en-GB"/>
              </w:rPr>
            </w:pPr>
          </w:p>
        </w:tc>
        <w:tc>
          <w:tcPr>
            <w:tcW w:w="0" w:type="auto"/>
            <w:tcBorders>
              <w:top w:val="single" w:sz="4" w:space="0" w:color="auto"/>
            </w:tcBorders>
          </w:tcPr>
          <w:p w14:paraId="1234C64B" w14:textId="77777777" w:rsidR="0095500F" w:rsidRPr="00701E15" w:rsidRDefault="0095500F" w:rsidP="004629CB">
            <w:pPr>
              <w:rPr>
                <w:sz w:val="20"/>
                <w:szCs w:val="20"/>
                <w:lang w:val="en-GB"/>
              </w:rPr>
            </w:pPr>
          </w:p>
        </w:tc>
        <w:tc>
          <w:tcPr>
            <w:tcW w:w="0" w:type="auto"/>
            <w:tcBorders>
              <w:top w:val="single" w:sz="4" w:space="0" w:color="auto"/>
            </w:tcBorders>
          </w:tcPr>
          <w:p w14:paraId="0DA7E9D1" w14:textId="77777777" w:rsidR="0095500F" w:rsidRPr="00701E15" w:rsidRDefault="0095500F" w:rsidP="004629CB">
            <w:pPr>
              <w:rPr>
                <w:sz w:val="20"/>
                <w:szCs w:val="20"/>
                <w:lang w:val="en-GB"/>
              </w:rPr>
            </w:pPr>
          </w:p>
        </w:tc>
        <w:tc>
          <w:tcPr>
            <w:tcW w:w="0" w:type="auto"/>
            <w:tcBorders>
              <w:top w:val="single" w:sz="4" w:space="0" w:color="auto"/>
            </w:tcBorders>
          </w:tcPr>
          <w:p w14:paraId="7DC19DBC" w14:textId="77777777" w:rsidR="0095500F" w:rsidRPr="00701E15" w:rsidRDefault="0095500F" w:rsidP="004629CB">
            <w:pPr>
              <w:rPr>
                <w:sz w:val="20"/>
                <w:szCs w:val="20"/>
                <w:lang w:val="en-GB"/>
              </w:rPr>
            </w:pPr>
          </w:p>
        </w:tc>
        <w:tc>
          <w:tcPr>
            <w:tcW w:w="0" w:type="auto"/>
            <w:tcBorders>
              <w:top w:val="single" w:sz="4" w:space="0" w:color="auto"/>
            </w:tcBorders>
          </w:tcPr>
          <w:p w14:paraId="07CD38F3" w14:textId="77777777" w:rsidR="0095500F" w:rsidRPr="00701E15" w:rsidRDefault="0095500F" w:rsidP="004629CB">
            <w:pPr>
              <w:rPr>
                <w:sz w:val="20"/>
                <w:szCs w:val="20"/>
                <w:lang w:val="en-GB"/>
              </w:rPr>
            </w:pPr>
          </w:p>
        </w:tc>
      </w:tr>
    </w:tbl>
    <w:p w14:paraId="7DDF11AD" w14:textId="77777777" w:rsidR="0095500F" w:rsidRDefault="0095500F" w:rsidP="0095500F">
      <w:pPr>
        <w:pStyle w:val="SupplementHeading"/>
        <w:rPr>
          <w:rFonts w:ascii="Times New Roman" w:hAnsi="Times New Roman" w:cs="Times New Roman"/>
        </w:rPr>
      </w:pPr>
    </w:p>
    <w:p w14:paraId="2286351A" w14:textId="77777777" w:rsidR="00FD7A18" w:rsidRDefault="00FD7A18">
      <w:pPr>
        <w:spacing w:after="160" w:line="259" w:lineRule="auto"/>
        <w:rPr>
          <w:rFonts w:eastAsiaTheme="minorEastAsia"/>
          <w:b/>
          <w:sz w:val="28"/>
          <w:szCs w:val="22"/>
          <w:lang w:val="en-US" w:eastAsia="en-US"/>
        </w:rPr>
      </w:pPr>
      <w:r>
        <w:br w:type="page"/>
      </w:r>
    </w:p>
    <w:p w14:paraId="319CF537" w14:textId="494621A9" w:rsidR="0095500F" w:rsidRPr="001D05CA" w:rsidRDefault="0095500F" w:rsidP="0095500F">
      <w:pPr>
        <w:pStyle w:val="SupplementHeading"/>
        <w:rPr>
          <w:rFonts w:ascii="Times New Roman" w:hAnsi="Times New Roman" w:cs="Times New Roman"/>
          <w:sz w:val="24"/>
          <w:szCs w:val="20"/>
        </w:rPr>
      </w:pPr>
      <w:r w:rsidRPr="001D05CA">
        <w:rPr>
          <w:rFonts w:ascii="Times New Roman" w:hAnsi="Times New Roman" w:cs="Times New Roman"/>
          <w:sz w:val="24"/>
          <w:szCs w:val="20"/>
        </w:rPr>
        <w:lastRenderedPageBreak/>
        <w:t>6. Supplementary figures (captions and placeholders)</w:t>
      </w:r>
    </w:p>
    <w:p w14:paraId="6D781A51" w14:textId="77777777" w:rsidR="0095500F" w:rsidRPr="0095500F" w:rsidRDefault="0095500F" w:rsidP="0095500F">
      <w:pPr>
        <w:pStyle w:val="SupplementBody"/>
        <w:rPr>
          <w:rFonts w:ascii="Times New Roman" w:hAnsi="Times New Roman" w:cs="Times New Roman"/>
        </w:rPr>
      </w:pPr>
      <w:r w:rsidRPr="0095500F">
        <w:rPr>
          <w:rFonts w:ascii="Times New Roman" w:hAnsi="Times New Roman" w:cs="Times New Roman"/>
          <w:noProof/>
        </w:rPr>
        <w:drawing>
          <wp:inline distT="0" distB="0" distL="0" distR="0" wp14:anchorId="312BD300" wp14:editId="2990C746">
            <wp:extent cx="5760720" cy="5752465"/>
            <wp:effectExtent l="19050" t="19050" r="11430" b="19685"/>
            <wp:docPr id="458708823" name="Bildobjekt 1" descr="En bild som visar text, skärmbild, Parallell, nummer&#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013036" name="Bildobjekt 1" descr="En bild som visar text, skärmbild, Parallell, nummer&#10;&#10;AI-genererat innehåll kan vara felaktigt."/>
                    <pic:cNvPicPr/>
                  </pic:nvPicPr>
                  <pic:blipFill>
                    <a:blip r:embed="rId6"/>
                    <a:stretch>
                      <a:fillRect/>
                    </a:stretch>
                  </pic:blipFill>
                  <pic:spPr>
                    <a:xfrm>
                      <a:off x="0" y="0"/>
                      <a:ext cx="5760720" cy="5752465"/>
                    </a:xfrm>
                    <a:prstGeom prst="rect">
                      <a:avLst/>
                    </a:prstGeom>
                    <a:ln>
                      <a:solidFill>
                        <a:schemeClr val="accent1"/>
                      </a:solidFill>
                    </a:ln>
                  </pic:spPr>
                </pic:pic>
              </a:graphicData>
            </a:graphic>
          </wp:inline>
        </w:drawing>
      </w:r>
    </w:p>
    <w:p w14:paraId="33967F60" w14:textId="2DD470C7" w:rsidR="0095500F" w:rsidRPr="0095500F" w:rsidRDefault="00FD7A18" w:rsidP="0095500F">
      <w:pPr>
        <w:pStyle w:val="SupplementBody"/>
        <w:rPr>
          <w:rFonts w:ascii="Times New Roman" w:hAnsi="Times New Roman" w:cs="Times New Roman"/>
        </w:rPr>
      </w:pPr>
      <w:r w:rsidRPr="00FD7A18">
        <w:rPr>
          <w:rFonts w:ascii="Times New Roman" w:hAnsi="Times New Roman" w:cs="Times New Roman"/>
          <w:b/>
          <w:bCs/>
          <w:color w:val="000000" w:themeColor="text1"/>
          <w:sz w:val="24"/>
          <w:szCs w:val="24"/>
        </w:rPr>
        <w:t xml:space="preserve">Supplementary </w:t>
      </w:r>
      <w:r w:rsidR="0095500F" w:rsidRPr="00FD7A18">
        <w:rPr>
          <w:rFonts w:ascii="Times New Roman" w:hAnsi="Times New Roman" w:cs="Times New Roman"/>
          <w:b/>
          <w:bCs/>
        </w:rPr>
        <w:t>Figure S1</w:t>
      </w:r>
      <w:r w:rsidR="0095500F" w:rsidRPr="0095500F">
        <w:rPr>
          <w:rFonts w:ascii="Times New Roman" w:hAnsi="Times New Roman" w:cs="Times New Roman"/>
        </w:rPr>
        <w:t>. Love plot showing baseline covariate balance (|SMD| ≤ 0.1 indicated by dotted lines).</w:t>
      </w:r>
    </w:p>
    <w:p w14:paraId="2FA159B9" w14:textId="77777777" w:rsidR="0095500F" w:rsidRPr="0095500F" w:rsidRDefault="0095500F" w:rsidP="00FD7A18">
      <w:pPr>
        <w:pStyle w:val="SupplementBody"/>
        <w:rPr>
          <w:rFonts w:ascii="Times New Roman" w:hAnsi="Times New Roman" w:cs="Times New Roman"/>
        </w:rPr>
      </w:pPr>
      <w:r w:rsidRPr="0095500F">
        <w:rPr>
          <w:rFonts w:ascii="Times New Roman" w:hAnsi="Times New Roman" w:cs="Times New Roman"/>
          <w:b/>
          <w:bCs/>
          <w:noProof/>
          <w:lang w:val="en-GB"/>
        </w:rPr>
        <w:lastRenderedPageBreak/>
        <w:drawing>
          <wp:inline distT="0" distB="0" distL="0" distR="0" wp14:anchorId="37ED646B" wp14:editId="29106479">
            <wp:extent cx="5800725" cy="4353101"/>
            <wp:effectExtent l="19050" t="19050" r="9525" b="28575"/>
            <wp:docPr id="1451345461" name="Bildobjekt 1" descr="En bild som visar text, skärmbild, linje, Graf&#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509289" name="Bildobjekt 1" descr="En bild som visar text, skärmbild, linje, Graf&#10;&#10;AI-genererat innehåll kan vara felaktigt."/>
                    <pic:cNvPicPr/>
                  </pic:nvPicPr>
                  <pic:blipFill>
                    <a:blip r:embed="rId7"/>
                    <a:stretch>
                      <a:fillRect/>
                    </a:stretch>
                  </pic:blipFill>
                  <pic:spPr>
                    <a:xfrm>
                      <a:off x="0" y="0"/>
                      <a:ext cx="5836184" cy="4379711"/>
                    </a:xfrm>
                    <a:prstGeom prst="rect">
                      <a:avLst/>
                    </a:prstGeom>
                    <a:ln>
                      <a:solidFill>
                        <a:schemeClr val="accent1"/>
                      </a:solidFill>
                    </a:ln>
                  </pic:spPr>
                </pic:pic>
              </a:graphicData>
            </a:graphic>
          </wp:inline>
        </w:drawing>
      </w:r>
    </w:p>
    <w:p w14:paraId="5BFBCB7F" w14:textId="77777777" w:rsidR="0095500F" w:rsidRPr="0095500F" w:rsidRDefault="0095500F" w:rsidP="0095500F">
      <w:pPr>
        <w:pStyle w:val="SupplementBody"/>
        <w:rPr>
          <w:rFonts w:ascii="Times New Roman" w:hAnsi="Times New Roman" w:cs="Times New Roman"/>
        </w:rPr>
      </w:pPr>
    </w:p>
    <w:p w14:paraId="471701F4" w14:textId="37AD60E9" w:rsidR="00FD7A18" w:rsidRDefault="00FD7A18" w:rsidP="0095500F">
      <w:pPr>
        <w:pStyle w:val="SupplementBody"/>
        <w:rPr>
          <w:rFonts w:ascii="Times New Roman" w:hAnsi="Times New Roman" w:cs="Times New Roman"/>
          <w:color w:val="000000" w:themeColor="text1"/>
          <w:lang w:val="en-GB"/>
        </w:rPr>
      </w:pPr>
      <w:r w:rsidRPr="00FD7A18">
        <w:rPr>
          <w:rFonts w:ascii="Times New Roman" w:hAnsi="Times New Roman" w:cs="Times New Roman"/>
          <w:b/>
          <w:bCs/>
          <w:color w:val="000000" w:themeColor="text1"/>
          <w:sz w:val="24"/>
          <w:szCs w:val="24"/>
        </w:rPr>
        <w:t xml:space="preserve">Supplementary </w:t>
      </w:r>
      <w:r w:rsidR="0095500F" w:rsidRPr="00FD7A18">
        <w:rPr>
          <w:rFonts w:ascii="Times New Roman" w:hAnsi="Times New Roman" w:cs="Times New Roman"/>
          <w:b/>
          <w:bCs/>
        </w:rPr>
        <w:t>Figure S2</w:t>
      </w:r>
      <w:r w:rsidR="0095500F" w:rsidRPr="0095500F">
        <w:rPr>
          <w:rFonts w:ascii="Times New Roman" w:hAnsi="Times New Roman" w:cs="Times New Roman"/>
        </w:rPr>
        <w:t>. Kaplan–Meier curves for time from implant placement (State 1) to healthy/loaded state (State 2) by group. Median times: 119 days (ECRR</w:t>
      </w:r>
      <w:r w:rsidR="006A35B7">
        <w:rPr>
          <w:rFonts w:ascii="Times New Roman" w:hAnsi="Times New Roman" w:cs="Times New Roman"/>
        </w:rPr>
        <w:t>= Resorption</w:t>
      </w:r>
      <w:r w:rsidR="0095500F" w:rsidRPr="0095500F">
        <w:rPr>
          <w:rFonts w:ascii="Times New Roman" w:hAnsi="Times New Roman" w:cs="Times New Roman"/>
        </w:rPr>
        <w:t xml:space="preserve">) vs 129 days (control); log-rank χ² = 5.5, </w:t>
      </w:r>
      <w:r w:rsidR="0095500F" w:rsidRPr="0095500F">
        <w:rPr>
          <w:rFonts w:ascii="Times New Roman" w:hAnsi="Times New Roman" w:cs="Times New Roman"/>
          <w:i/>
          <w:iCs/>
        </w:rPr>
        <w:t>p</w:t>
      </w:r>
      <w:r w:rsidR="0095500F" w:rsidRPr="0095500F">
        <w:rPr>
          <w:rFonts w:ascii="Times New Roman" w:hAnsi="Times New Roman" w:cs="Times New Roman"/>
        </w:rPr>
        <w:t xml:space="preserve"> = 0.02.</w:t>
      </w:r>
      <w:r w:rsidR="0095500F" w:rsidRPr="0095500F">
        <w:rPr>
          <w:rFonts w:ascii="Times New Roman" w:eastAsia="Times New Roman" w:hAnsi="Times New Roman" w:cs="Times New Roman"/>
          <w:color w:val="000000"/>
          <w:sz w:val="27"/>
          <w:szCs w:val="27"/>
          <w:lang w:val="en-GB" w:eastAsia="sv-SE"/>
        </w:rPr>
        <w:t xml:space="preserve"> </w:t>
      </w:r>
      <w:r w:rsidR="0095500F" w:rsidRPr="0095500F">
        <w:rPr>
          <w:rFonts w:ascii="Times New Roman" w:hAnsi="Times New Roman" w:cs="Times New Roman"/>
          <w:color w:val="000000" w:themeColor="text1"/>
          <w:lang w:val="en-GB"/>
        </w:rPr>
        <w:t>Shaded areas indicate 95% confidence intervals; censored observations are marked with crosses.</w:t>
      </w:r>
    </w:p>
    <w:p w14:paraId="195664D7" w14:textId="77777777" w:rsidR="00FD7A18" w:rsidRDefault="00FD7A18">
      <w:pPr>
        <w:spacing w:after="160" w:line="259" w:lineRule="auto"/>
        <w:rPr>
          <w:rFonts w:eastAsiaTheme="minorEastAsia"/>
          <w:color w:val="000000" w:themeColor="text1"/>
          <w:sz w:val="22"/>
          <w:szCs w:val="22"/>
          <w:lang w:val="en-GB" w:eastAsia="en-US"/>
        </w:rPr>
      </w:pPr>
      <w:r>
        <w:rPr>
          <w:color w:val="000000" w:themeColor="text1"/>
          <w:lang w:val="en-GB"/>
        </w:rPr>
        <w:br w:type="page"/>
      </w:r>
    </w:p>
    <w:p w14:paraId="0962ECA9" w14:textId="77777777" w:rsidR="0095500F" w:rsidRPr="0095500F" w:rsidRDefault="0095500F" w:rsidP="0095500F">
      <w:pPr>
        <w:pStyle w:val="SupplementBody"/>
        <w:rPr>
          <w:rFonts w:ascii="Times New Roman" w:hAnsi="Times New Roman" w:cs="Times New Roman"/>
        </w:rPr>
      </w:pPr>
    </w:p>
    <w:p w14:paraId="58B2C694" w14:textId="77777777" w:rsidR="0095500F" w:rsidRPr="0095500F" w:rsidRDefault="0095500F" w:rsidP="00FD7A18">
      <w:pPr>
        <w:pStyle w:val="SupplementBody"/>
        <w:jc w:val="center"/>
        <w:rPr>
          <w:rFonts w:ascii="Times New Roman" w:hAnsi="Times New Roman" w:cs="Times New Roman"/>
        </w:rPr>
      </w:pPr>
      <w:r w:rsidRPr="0095500F">
        <w:rPr>
          <w:rFonts w:ascii="Times New Roman" w:hAnsi="Times New Roman" w:cs="Times New Roman"/>
          <w:noProof/>
        </w:rPr>
        <w:drawing>
          <wp:inline distT="0" distB="0" distL="0" distR="0" wp14:anchorId="07162E09" wp14:editId="60A201FA">
            <wp:extent cx="5893325" cy="4724400"/>
            <wp:effectExtent l="19050" t="19050" r="12700" b="19050"/>
            <wp:docPr id="1691104931" name="drawing" descr="En bild som visar text, Graf, skärmbild, diagram&#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206405" name="drawing" descr="En bild som visar text, Graf, skärmbild, diagram&#10;&#10;AI-genererat innehåll kan vara felaktigt."/>
                    <pic:cNvPicPr/>
                  </pic:nvPicPr>
                  <pic:blipFill>
                    <a:blip r:embed="rId8">
                      <a:extLst>
                        <a:ext uri="{28A0092B-C50C-407E-A947-70E740481C1C}">
                          <a14:useLocalDpi xmlns:a14="http://schemas.microsoft.com/office/drawing/2010/main"/>
                        </a:ext>
                      </a:extLst>
                    </a:blip>
                    <a:stretch>
                      <a:fillRect/>
                    </a:stretch>
                  </pic:blipFill>
                  <pic:spPr>
                    <a:xfrm>
                      <a:off x="0" y="0"/>
                      <a:ext cx="5934186" cy="4757156"/>
                    </a:xfrm>
                    <a:prstGeom prst="rect">
                      <a:avLst/>
                    </a:prstGeom>
                    <a:ln>
                      <a:solidFill>
                        <a:schemeClr val="accent1"/>
                      </a:solidFill>
                    </a:ln>
                  </pic:spPr>
                </pic:pic>
              </a:graphicData>
            </a:graphic>
          </wp:inline>
        </w:drawing>
      </w:r>
    </w:p>
    <w:p w14:paraId="5D790CE8" w14:textId="77777777" w:rsidR="0095500F" w:rsidRPr="0095500F" w:rsidRDefault="0095500F" w:rsidP="0095500F">
      <w:pPr>
        <w:pStyle w:val="SupplementBody"/>
        <w:rPr>
          <w:rFonts w:ascii="Times New Roman" w:hAnsi="Times New Roman" w:cs="Times New Roman"/>
        </w:rPr>
      </w:pPr>
    </w:p>
    <w:p w14:paraId="04A91BA8" w14:textId="0525E9D8" w:rsidR="00FD7A18" w:rsidRDefault="00FD7A18" w:rsidP="0095500F">
      <w:pPr>
        <w:pStyle w:val="SupplementBody"/>
        <w:rPr>
          <w:rFonts w:ascii="Times New Roman" w:hAnsi="Times New Roman" w:cs="Times New Roman"/>
          <w:lang w:val="en-GB"/>
        </w:rPr>
      </w:pPr>
      <w:r w:rsidRPr="00FD7A18">
        <w:rPr>
          <w:rFonts w:ascii="Times New Roman" w:hAnsi="Times New Roman" w:cs="Times New Roman"/>
          <w:b/>
          <w:bCs/>
          <w:color w:val="000000" w:themeColor="text1"/>
          <w:sz w:val="24"/>
          <w:szCs w:val="24"/>
        </w:rPr>
        <w:t xml:space="preserve">Supplementary </w:t>
      </w:r>
      <w:r w:rsidR="0095500F" w:rsidRPr="00FD7A18">
        <w:rPr>
          <w:rFonts w:ascii="Times New Roman" w:hAnsi="Times New Roman" w:cs="Times New Roman"/>
          <w:b/>
          <w:bCs/>
        </w:rPr>
        <w:t>Figure S3</w:t>
      </w:r>
      <w:r w:rsidR="0095500F" w:rsidRPr="0095500F">
        <w:rPr>
          <w:rFonts w:ascii="Times New Roman" w:hAnsi="Times New Roman" w:cs="Times New Roman"/>
        </w:rPr>
        <w:t xml:space="preserve">. Kaplan–Meier curves for time from healthy/loaded state (State 2) to implant extraction (State 3) by group; log-rank χ² = 0.004, </w:t>
      </w:r>
      <w:r w:rsidR="0095500F" w:rsidRPr="0095500F">
        <w:rPr>
          <w:rFonts w:ascii="Times New Roman" w:hAnsi="Times New Roman" w:cs="Times New Roman"/>
          <w:i/>
          <w:iCs/>
        </w:rPr>
        <w:t>p</w:t>
      </w:r>
      <w:r w:rsidR="0095500F" w:rsidRPr="0095500F">
        <w:rPr>
          <w:rFonts w:ascii="Times New Roman" w:hAnsi="Times New Roman" w:cs="Times New Roman"/>
        </w:rPr>
        <w:t xml:space="preserve"> = 0.95. </w:t>
      </w:r>
      <w:r w:rsidR="0095500F" w:rsidRPr="0095500F">
        <w:rPr>
          <w:rFonts w:ascii="Times New Roman" w:hAnsi="Times New Roman" w:cs="Times New Roman"/>
          <w:lang w:val="en-GB"/>
        </w:rPr>
        <w:t xml:space="preserve">Shaded areas indicate 95% confidence intervals; censored observations are marked with </w:t>
      </w:r>
      <w:proofErr w:type="spellStart"/>
      <w:proofErr w:type="gramStart"/>
      <w:r w:rsidR="0095500F" w:rsidRPr="0095500F">
        <w:rPr>
          <w:rFonts w:ascii="Times New Roman" w:hAnsi="Times New Roman" w:cs="Times New Roman"/>
          <w:lang w:val="en-GB"/>
        </w:rPr>
        <w:t>crosses.</w:t>
      </w:r>
      <w:r w:rsidR="008A26EE">
        <w:rPr>
          <w:rFonts w:ascii="Times New Roman" w:hAnsi="Times New Roman" w:cs="Times New Roman"/>
          <w:lang w:val="en-GB"/>
        </w:rPr>
        <w:t>ECRR</w:t>
      </w:r>
      <w:proofErr w:type="spellEnd"/>
      <w:proofErr w:type="gramEnd"/>
      <w:r w:rsidR="008A26EE">
        <w:rPr>
          <w:rFonts w:ascii="Times New Roman" w:hAnsi="Times New Roman" w:cs="Times New Roman"/>
          <w:lang w:val="en-GB"/>
        </w:rPr>
        <w:t>= Resorption.</w:t>
      </w:r>
    </w:p>
    <w:p w14:paraId="1247CC57" w14:textId="77777777" w:rsidR="008A26EE" w:rsidRPr="0095500F" w:rsidRDefault="008A26EE" w:rsidP="0095500F">
      <w:pPr>
        <w:pStyle w:val="SupplementBody"/>
        <w:rPr>
          <w:rFonts w:ascii="Times New Roman" w:hAnsi="Times New Roman" w:cs="Times New Roman"/>
        </w:rPr>
      </w:pPr>
    </w:p>
    <w:p w14:paraId="44507692" w14:textId="77777777" w:rsidR="0095500F" w:rsidRPr="0095500F" w:rsidRDefault="0095500F" w:rsidP="0095500F">
      <w:pPr>
        <w:pStyle w:val="SupplementHeading"/>
        <w:rPr>
          <w:rFonts w:ascii="Times New Roman" w:hAnsi="Times New Roman" w:cs="Times New Roman"/>
        </w:rPr>
      </w:pPr>
      <w:r w:rsidRPr="0095500F">
        <w:rPr>
          <w:rFonts w:ascii="Times New Roman" w:hAnsi="Times New Roman" w:cs="Times New Roman"/>
        </w:rPr>
        <w:t>7. Software and reproducibility</w:t>
      </w:r>
    </w:p>
    <w:p w14:paraId="5DE18EB0" w14:textId="77777777" w:rsidR="0095500F" w:rsidRPr="0095500F" w:rsidRDefault="0095500F" w:rsidP="0095500F">
      <w:pPr>
        <w:pStyle w:val="SupplementBody"/>
        <w:rPr>
          <w:rFonts w:ascii="Times New Roman" w:hAnsi="Times New Roman" w:cs="Times New Roman"/>
        </w:rPr>
      </w:pPr>
      <w:r w:rsidRPr="0095500F">
        <w:rPr>
          <w:rFonts w:ascii="Times New Roman" w:hAnsi="Times New Roman" w:cs="Times New Roman"/>
        </w:rPr>
        <w:t xml:space="preserve">Analyses were conducted in R (version 4.5.0) using </w:t>
      </w:r>
      <w:proofErr w:type="spellStart"/>
      <w:r w:rsidRPr="0095500F">
        <w:rPr>
          <w:rFonts w:ascii="Times New Roman" w:hAnsi="Times New Roman" w:cs="Times New Roman"/>
          <w:i/>
          <w:iCs/>
        </w:rPr>
        <w:t>tidyverse</w:t>
      </w:r>
      <w:proofErr w:type="spellEnd"/>
      <w:r w:rsidRPr="0095500F">
        <w:rPr>
          <w:rFonts w:ascii="Times New Roman" w:hAnsi="Times New Roman" w:cs="Times New Roman"/>
        </w:rPr>
        <w:t xml:space="preserve">, </w:t>
      </w:r>
      <w:r w:rsidRPr="0095500F">
        <w:rPr>
          <w:rFonts w:ascii="Times New Roman" w:hAnsi="Times New Roman" w:cs="Times New Roman"/>
          <w:i/>
          <w:iCs/>
        </w:rPr>
        <w:t>survival</w:t>
      </w:r>
      <w:r w:rsidRPr="0095500F">
        <w:rPr>
          <w:rFonts w:ascii="Times New Roman" w:hAnsi="Times New Roman" w:cs="Times New Roman"/>
        </w:rPr>
        <w:t xml:space="preserve">, </w:t>
      </w:r>
      <w:proofErr w:type="spellStart"/>
      <w:r w:rsidRPr="0095500F">
        <w:rPr>
          <w:rFonts w:ascii="Times New Roman" w:hAnsi="Times New Roman" w:cs="Times New Roman"/>
          <w:i/>
          <w:iCs/>
        </w:rPr>
        <w:t>survminer</w:t>
      </w:r>
      <w:proofErr w:type="spellEnd"/>
      <w:r w:rsidRPr="0095500F">
        <w:rPr>
          <w:rFonts w:ascii="Times New Roman" w:hAnsi="Times New Roman" w:cs="Times New Roman"/>
        </w:rPr>
        <w:t xml:space="preserve">, </w:t>
      </w:r>
      <w:r w:rsidRPr="0095500F">
        <w:rPr>
          <w:rFonts w:ascii="Times New Roman" w:hAnsi="Times New Roman" w:cs="Times New Roman"/>
          <w:i/>
          <w:iCs/>
        </w:rPr>
        <w:t>cobalt</w:t>
      </w:r>
      <w:r w:rsidRPr="0095500F">
        <w:rPr>
          <w:rFonts w:ascii="Times New Roman" w:hAnsi="Times New Roman" w:cs="Times New Roman"/>
        </w:rPr>
        <w:t xml:space="preserve">, </w:t>
      </w:r>
      <w:r w:rsidRPr="0095500F">
        <w:rPr>
          <w:rFonts w:ascii="Times New Roman" w:hAnsi="Times New Roman" w:cs="Times New Roman"/>
          <w:i/>
          <w:iCs/>
        </w:rPr>
        <w:t>gee</w:t>
      </w:r>
      <w:r w:rsidRPr="0095500F">
        <w:rPr>
          <w:rFonts w:ascii="Times New Roman" w:hAnsi="Times New Roman" w:cs="Times New Roman"/>
        </w:rPr>
        <w:t xml:space="preserve">, </w:t>
      </w:r>
      <w:r w:rsidRPr="0095500F">
        <w:rPr>
          <w:rFonts w:ascii="Times New Roman" w:hAnsi="Times New Roman" w:cs="Times New Roman"/>
          <w:i/>
          <w:iCs/>
        </w:rPr>
        <w:t>lme4</w:t>
      </w:r>
      <w:r w:rsidRPr="0095500F">
        <w:rPr>
          <w:rFonts w:ascii="Times New Roman" w:hAnsi="Times New Roman" w:cs="Times New Roman"/>
        </w:rPr>
        <w:t xml:space="preserve">, and </w:t>
      </w:r>
      <w:r w:rsidRPr="0095500F">
        <w:rPr>
          <w:rFonts w:ascii="Times New Roman" w:hAnsi="Times New Roman" w:cs="Times New Roman"/>
          <w:i/>
          <w:iCs/>
        </w:rPr>
        <w:t>ggplot2</w:t>
      </w:r>
      <w:r w:rsidRPr="0095500F">
        <w:rPr>
          <w:rFonts w:ascii="Times New Roman" w:hAnsi="Times New Roman" w:cs="Times New Roman"/>
        </w:rPr>
        <w:t xml:space="preserve"> packages. Annotated code and scripts are available from the corresponding author on reasonable request to facilitate reproducibility.</w:t>
      </w:r>
    </w:p>
    <w:p w14:paraId="4386833C" w14:textId="77777777" w:rsidR="00644CDA" w:rsidRPr="0095500F" w:rsidRDefault="00644CDA">
      <w:pPr>
        <w:rPr>
          <w:lang w:val="en-US"/>
        </w:rPr>
      </w:pPr>
    </w:p>
    <w:sectPr w:rsidR="00644CDA" w:rsidRPr="0095500F" w:rsidSect="0095500F">
      <w:pgSz w:w="11906" w:h="16838"/>
      <w:pgMar w:top="1417" w:right="1417" w:bottom="1417" w:left="1417" w:header="708" w:footer="708" w:gutter="0"/>
      <w:lnNumType w:countBy="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512629"/>
    <w:multiLevelType w:val="hybridMultilevel"/>
    <w:tmpl w:val="345C0E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31583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00F"/>
    <w:rsid w:val="000B7678"/>
    <w:rsid w:val="001B6F1E"/>
    <w:rsid w:val="001D05CA"/>
    <w:rsid w:val="003636A4"/>
    <w:rsid w:val="00374502"/>
    <w:rsid w:val="0048470D"/>
    <w:rsid w:val="004A2494"/>
    <w:rsid w:val="006061B0"/>
    <w:rsid w:val="00644CDA"/>
    <w:rsid w:val="006A35B7"/>
    <w:rsid w:val="00895531"/>
    <w:rsid w:val="008A26EE"/>
    <w:rsid w:val="0095500F"/>
    <w:rsid w:val="00CA5945"/>
    <w:rsid w:val="00FD7A1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7874B"/>
  <w15:chartTrackingRefBased/>
  <w15:docId w15:val="{EC923D0A-65FC-4128-B37E-B2CA12A85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00F"/>
    <w:pPr>
      <w:spacing w:after="0" w:line="240" w:lineRule="auto"/>
    </w:pPr>
    <w:rPr>
      <w:rFonts w:ascii="Times New Roman" w:eastAsia="Times New Roman" w:hAnsi="Times New Roman" w:cs="Times New Roman"/>
      <w:sz w:val="24"/>
      <w:szCs w:val="24"/>
      <w:lang w:val="sv-SE" w:eastAsia="sv-SE"/>
      <w14:ligatures w14:val="none"/>
    </w:rPr>
  </w:style>
  <w:style w:type="paragraph" w:styleId="Rubrik1">
    <w:name w:val="heading 1"/>
    <w:basedOn w:val="Normal"/>
    <w:next w:val="Normal"/>
    <w:link w:val="Rubrik1Char"/>
    <w:uiPriority w:val="9"/>
    <w:qFormat/>
    <w:rsid w:val="009550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9550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5500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5500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5500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5500F"/>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5500F"/>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5500F"/>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5500F"/>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5500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95500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5500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5500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5500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5500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5500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5500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5500F"/>
    <w:rPr>
      <w:rFonts w:eastAsiaTheme="majorEastAsia" w:cstheme="majorBidi"/>
      <w:color w:val="272727" w:themeColor="text1" w:themeTint="D8"/>
    </w:rPr>
  </w:style>
  <w:style w:type="paragraph" w:styleId="Rubrik">
    <w:name w:val="Title"/>
    <w:basedOn w:val="Normal"/>
    <w:next w:val="Normal"/>
    <w:link w:val="RubrikChar"/>
    <w:uiPriority w:val="10"/>
    <w:qFormat/>
    <w:rsid w:val="0095500F"/>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5500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5500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5500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5500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5500F"/>
    <w:rPr>
      <w:i/>
      <w:iCs/>
      <w:color w:val="404040" w:themeColor="text1" w:themeTint="BF"/>
    </w:rPr>
  </w:style>
  <w:style w:type="paragraph" w:styleId="Liststycke">
    <w:name w:val="List Paragraph"/>
    <w:basedOn w:val="Normal"/>
    <w:uiPriority w:val="34"/>
    <w:qFormat/>
    <w:rsid w:val="0095500F"/>
    <w:pPr>
      <w:ind w:left="720"/>
      <w:contextualSpacing/>
    </w:pPr>
  </w:style>
  <w:style w:type="character" w:styleId="Starkbetoning">
    <w:name w:val="Intense Emphasis"/>
    <w:basedOn w:val="Standardstycketeckensnitt"/>
    <w:uiPriority w:val="21"/>
    <w:qFormat/>
    <w:rsid w:val="0095500F"/>
    <w:rPr>
      <w:i/>
      <w:iCs/>
      <w:color w:val="0F4761" w:themeColor="accent1" w:themeShade="BF"/>
    </w:rPr>
  </w:style>
  <w:style w:type="paragraph" w:styleId="Starktcitat">
    <w:name w:val="Intense Quote"/>
    <w:basedOn w:val="Normal"/>
    <w:next w:val="Normal"/>
    <w:link w:val="StarktcitatChar"/>
    <w:uiPriority w:val="30"/>
    <w:qFormat/>
    <w:rsid w:val="009550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5500F"/>
    <w:rPr>
      <w:i/>
      <w:iCs/>
      <w:color w:val="0F4761" w:themeColor="accent1" w:themeShade="BF"/>
    </w:rPr>
  </w:style>
  <w:style w:type="character" w:styleId="Starkreferens">
    <w:name w:val="Intense Reference"/>
    <w:basedOn w:val="Standardstycketeckensnitt"/>
    <w:uiPriority w:val="32"/>
    <w:qFormat/>
    <w:rsid w:val="0095500F"/>
    <w:rPr>
      <w:b/>
      <w:bCs/>
      <w:smallCaps/>
      <w:color w:val="0F4761" w:themeColor="accent1" w:themeShade="BF"/>
      <w:spacing w:val="5"/>
    </w:rPr>
  </w:style>
  <w:style w:type="character" w:styleId="Kommentarsreferens">
    <w:name w:val="annotation reference"/>
    <w:basedOn w:val="Standardstycketeckensnitt"/>
    <w:uiPriority w:val="99"/>
    <w:semiHidden/>
    <w:unhideWhenUsed/>
    <w:rsid w:val="0095500F"/>
    <w:rPr>
      <w:sz w:val="16"/>
      <w:szCs w:val="16"/>
    </w:rPr>
  </w:style>
  <w:style w:type="character" w:styleId="Hyperlnk">
    <w:name w:val="Hyperlink"/>
    <w:basedOn w:val="Standardstycketeckensnitt"/>
    <w:uiPriority w:val="99"/>
    <w:unhideWhenUsed/>
    <w:rsid w:val="0095500F"/>
    <w:rPr>
      <w:color w:val="0000FF"/>
      <w:u w:val="single"/>
    </w:rPr>
  </w:style>
  <w:style w:type="paragraph" w:customStyle="1" w:styleId="SupplementHeading">
    <w:name w:val="Supplement Heading"/>
    <w:rsid w:val="0095500F"/>
    <w:pPr>
      <w:spacing w:after="200" w:line="276" w:lineRule="auto"/>
    </w:pPr>
    <w:rPr>
      <w:rFonts w:ascii="Calibri" w:eastAsiaTheme="minorEastAsia" w:hAnsi="Calibri"/>
      <w:b/>
      <w:sz w:val="28"/>
      <w:lang w:val="en-US"/>
      <w14:ligatures w14:val="none"/>
    </w:rPr>
  </w:style>
  <w:style w:type="paragraph" w:customStyle="1" w:styleId="SupplementBody">
    <w:name w:val="Supplement Body"/>
    <w:rsid w:val="0095500F"/>
    <w:pPr>
      <w:spacing w:after="200" w:line="276" w:lineRule="auto"/>
    </w:pPr>
    <w:rPr>
      <w:rFonts w:ascii="Calibri" w:eastAsiaTheme="minorEastAsia" w:hAnsi="Calibri"/>
      <w:lang w:val="en-US"/>
      <w14:ligatures w14:val="none"/>
    </w:rPr>
  </w:style>
  <w:style w:type="character" w:styleId="Radnummer">
    <w:name w:val="line number"/>
    <w:basedOn w:val="Standardstycketeckensnitt"/>
    <w:uiPriority w:val="99"/>
    <w:semiHidden/>
    <w:unhideWhenUsed/>
    <w:rsid w:val="00955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husk.tlv.s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1970</Words>
  <Characters>11235</Characters>
  <Application>Microsoft Office Word</Application>
  <DocSecurity>0</DocSecurity>
  <Lines>93</Lines>
  <Paragraphs>26</Paragraphs>
  <ScaleCrop>false</ScaleCrop>
  <Company>Region Norrbotten</Company>
  <LinksUpToDate>false</LinksUpToDate>
  <CharactersWithSpaces>13179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Mota De Almeida</dc:creator>
  <cp:keywords/>
  <dc:description/>
  <cp:lastModifiedBy>Fernando Mota De Almeida</cp:lastModifiedBy>
  <cp:revision>12</cp:revision>
  <dcterms:created xsi:type="dcterms:W3CDTF">2025-10-23T18:59:00Z</dcterms:created>
  <dcterms:modified xsi:type="dcterms:W3CDTF">2025-10-23T19:42:00Z</dcterms:modified>
</cp:coreProperties>
</file>