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377516">
      <w:pPr>
        <w:spacing w:line="480" w:lineRule="auto"/>
        <w:jc w:val="center"/>
        <w:rPr>
          <w:rFonts w:ascii="Times New Roman" w:hAnsi="Times New Roman"/>
          <w:b/>
          <w:bCs/>
          <w:szCs w:val="21"/>
        </w:rPr>
      </w:pPr>
      <w:r>
        <w:rPr>
          <w:rFonts w:ascii="Times New Roman" w:hAnsi="Times New Roman" w:cs="Times New Roman"/>
          <w:b/>
          <w:bCs/>
          <w:sz w:val="22"/>
          <w:szCs w:val="22"/>
        </w:rPr>
        <w:t>Unraveling the Causal Role of Left Inferior Frontal Gyrus for Human Syntactic Processing by Transcranial Ultrasound Stimulation</w:t>
      </w:r>
    </w:p>
    <w:p w14:paraId="3893A69B">
      <w:pPr>
        <w:spacing w:line="480" w:lineRule="auto"/>
        <w:jc w:val="center"/>
        <w:rPr>
          <w:rFonts w:ascii="Times New Roman" w:hAnsi="Times New Roman"/>
          <w:b/>
          <w:bCs/>
          <w:szCs w:val="21"/>
        </w:rPr>
      </w:pPr>
    </w:p>
    <w:p w14:paraId="136B6B71">
      <w:pPr>
        <w:spacing w:line="480" w:lineRule="auto"/>
        <w:jc w:val="center"/>
        <w:rPr>
          <w:rFonts w:hint="eastAsia" w:ascii="Times New Roman" w:hAnsi="Times New Roman" w:cs="Times New Roman" w:eastAsiaTheme="minorEastAsia"/>
          <w:b/>
          <w:bCs/>
          <w:sz w:val="28"/>
          <w:szCs w:val="28"/>
          <w:lang w:eastAsia="zh-CN"/>
        </w:rPr>
      </w:pPr>
      <w:r>
        <w:rPr>
          <w:rFonts w:ascii="Times New Roman" w:hAnsi="Times New Roman" w:cs="Times New Roman"/>
          <w:b/>
          <w:bCs/>
          <w:sz w:val="28"/>
          <w:szCs w:val="28"/>
        </w:rPr>
        <w:t xml:space="preserve">Supplementary </w:t>
      </w:r>
      <w:r>
        <w:rPr>
          <w:rFonts w:hint="eastAsia" w:ascii="Times New Roman" w:hAnsi="Times New Roman" w:cs="Times New Roman"/>
          <w:b/>
          <w:bCs/>
          <w:sz w:val="28"/>
          <w:szCs w:val="28"/>
          <w:lang w:val="en-US" w:eastAsia="zh-CN"/>
        </w:rPr>
        <w:t>Information</w:t>
      </w:r>
    </w:p>
    <w:p w14:paraId="1B058D71">
      <w:pPr>
        <w:spacing w:line="480" w:lineRule="auto"/>
        <w:rPr>
          <w:rFonts w:ascii="Times New Roman" w:hAnsi="Times New Roman" w:cs="Times New Roman"/>
          <w:szCs w:val="21"/>
        </w:rPr>
      </w:pPr>
    </w:p>
    <w:p w14:paraId="3F0FF527">
      <w:pPr>
        <w:spacing w:line="480" w:lineRule="auto"/>
        <w:rPr>
          <w:rFonts w:ascii="Times New Roman" w:hAnsi="Times New Roman" w:cs="Times New Roman"/>
          <w:b/>
          <w:bCs/>
          <w:szCs w:val="21"/>
        </w:rPr>
      </w:pPr>
      <w:r>
        <w:rPr>
          <w:rFonts w:ascii="Times New Roman" w:hAnsi="Times New Roman" w:cs="Times New Roman"/>
          <w:b/>
          <w:bCs/>
          <w:szCs w:val="21"/>
        </w:rPr>
        <w:t>1 The fMRI experiment to localiz</w:t>
      </w:r>
      <w:bookmarkStart w:id="0" w:name="_GoBack"/>
      <w:bookmarkEnd w:id="0"/>
      <w:r>
        <w:rPr>
          <w:rFonts w:ascii="Times New Roman" w:hAnsi="Times New Roman" w:cs="Times New Roman"/>
          <w:b/>
          <w:bCs/>
          <w:szCs w:val="21"/>
        </w:rPr>
        <w:t>e the key syntactic regions for TUS estimation</w:t>
      </w:r>
    </w:p>
    <w:p w14:paraId="623CAF7C">
      <w:pPr>
        <w:numPr>
          <w:ilvl w:val="1"/>
          <w:numId w:val="1"/>
        </w:numPr>
        <w:spacing w:line="480" w:lineRule="auto"/>
        <w:rPr>
          <w:rFonts w:ascii="Times New Roman" w:hAnsi="Times New Roman" w:cs="Times New Roman"/>
          <w:b/>
          <w:bCs/>
          <w:szCs w:val="21"/>
        </w:rPr>
      </w:pPr>
      <w:r>
        <w:rPr>
          <w:rFonts w:ascii="Times New Roman" w:hAnsi="Times New Roman" w:cs="Times New Roman"/>
          <w:b/>
          <w:bCs/>
          <w:szCs w:val="21"/>
        </w:rPr>
        <w:t>Methods</w:t>
      </w:r>
    </w:p>
    <w:p w14:paraId="4D250B7A">
      <w:pPr>
        <w:spacing w:line="480" w:lineRule="auto"/>
        <w:rPr>
          <w:rFonts w:ascii="Times New Roman" w:hAnsi="Times New Roman" w:cs="Times New Roman"/>
          <w:b/>
          <w:bCs/>
          <w:szCs w:val="21"/>
        </w:rPr>
      </w:pPr>
      <w:r>
        <w:rPr>
          <w:rFonts w:ascii="Times New Roman" w:hAnsi="Times New Roman" w:cs="Times New Roman"/>
          <w:b/>
          <w:bCs/>
          <w:szCs w:val="21"/>
        </w:rPr>
        <w:t>1.1.1 Participants</w:t>
      </w:r>
    </w:p>
    <w:p w14:paraId="21362296">
      <w:pPr>
        <w:spacing w:line="480" w:lineRule="auto"/>
        <w:rPr>
          <w:rFonts w:ascii="Times New Roman" w:hAnsi="Times New Roman" w:cs="Times New Roman"/>
          <w:szCs w:val="21"/>
        </w:rPr>
      </w:pPr>
      <w:r>
        <w:rPr>
          <w:rFonts w:ascii="Times New Roman" w:hAnsi="Times New Roman" w:cs="Times New Roman"/>
          <w:szCs w:val="21"/>
        </w:rPr>
        <w:t>In order to ensure both LIFG and LpTL are activated during processing the complex sentences in Mandarin Chinese, 90 Chinese native speakers were recruited to perform the sentence processing task. Since the findings of this fMRI study will be reported elsewhere, we briefly introduced the main results here to support the rationale of the TUS experiment in the main text. Given that one participant’s head motion exceeded the criterion (translation: &lt; 2mm; rotation: &lt; 2°), 89 participants’ data were included as valid for subsequent analyses. All participants gave signed informed consent before the experiment and received remuneration for participation. This experiment was approved by the ethics committee of the local university.</w:t>
      </w:r>
    </w:p>
    <w:p w14:paraId="34D9911C">
      <w:pPr>
        <w:spacing w:line="480" w:lineRule="auto"/>
        <w:rPr>
          <w:rFonts w:ascii="Times New Roman" w:hAnsi="Times New Roman" w:cs="Times New Roman"/>
          <w:b/>
          <w:bCs/>
          <w:szCs w:val="21"/>
        </w:rPr>
      </w:pPr>
      <w:r>
        <w:rPr>
          <w:rFonts w:ascii="Times New Roman" w:hAnsi="Times New Roman" w:cs="Times New Roman"/>
          <w:b/>
          <w:bCs/>
          <w:szCs w:val="21"/>
        </w:rPr>
        <w:t>1.1.2 Materials</w:t>
      </w:r>
    </w:p>
    <w:p w14:paraId="19A0B6FE">
      <w:pPr>
        <w:spacing w:line="480" w:lineRule="auto"/>
        <w:rPr>
          <w:rFonts w:ascii="Times New Roman" w:hAnsi="Times New Roman" w:cs="Times New Roman"/>
          <w:szCs w:val="21"/>
        </w:rPr>
      </w:pPr>
      <w:r>
        <w:rPr>
          <w:rFonts w:ascii="Times New Roman" w:hAnsi="Times New Roman" w:cs="Times New Roman"/>
          <w:szCs w:val="21"/>
        </w:rPr>
        <w:t xml:space="preserve">Sentence structures are the same </w:t>
      </w:r>
      <w:r>
        <w:rPr>
          <w:rFonts w:hint="eastAsia" w:ascii="Times New Roman" w:hAnsi="Times New Roman" w:cs="Times New Roman"/>
          <w:szCs w:val="21"/>
        </w:rPr>
        <w:t>as</w:t>
      </w:r>
      <w:r>
        <w:rPr>
          <w:rFonts w:ascii="Times New Roman" w:hAnsi="Times New Roman" w:cs="Times New Roman"/>
          <w:szCs w:val="21"/>
        </w:rPr>
        <w:t xml:space="preserve"> those of the TUS study, whereas the present TUS study modified the sentence materials with geometric shapes to amplify the syntactic effects. Example sentences could be found in Figure S</w:t>
      </w:r>
      <w:r>
        <w:rPr>
          <w:rFonts w:hint="eastAsia" w:ascii="Times New Roman" w:hAnsi="Times New Roman" w:cs="Times New Roman"/>
          <w:szCs w:val="21"/>
        </w:rPr>
        <w:t>1A</w:t>
      </w:r>
      <w:r>
        <w:rPr>
          <w:rFonts w:ascii="Times New Roman" w:hAnsi="Times New Roman" w:cs="Times New Roman"/>
          <w:szCs w:val="21"/>
        </w:rPr>
        <w:t xml:space="preserve">, where complex sentences containing the center-embedded relative clauses (24 complex sentences in total) and semantically-matched coordinated sentences (i.e., the simple sentences [24 in total]) were designed. The timing parameters of the stimuli presentation were the same </w:t>
      </w:r>
      <w:r>
        <w:rPr>
          <w:rFonts w:hint="eastAsia" w:ascii="Times New Roman" w:hAnsi="Times New Roman" w:cs="Times New Roman"/>
          <w:szCs w:val="21"/>
        </w:rPr>
        <w:t>as</w:t>
      </w:r>
      <w:r>
        <w:rPr>
          <w:rFonts w:ascii="Times New Roman" w:hAnsi="Times New Roman" w:cs="Times New Roman"/>
          <w:szCs w:val="21"/>
        </w:rPr>
        <w:t xml:space="preserve"> </w:t>
      </w:r>
      <w:r>
        <w:rPr>
          <w:rFonts w:hint="eastAsia" w:ascii="Times New Roman" w:hAnsi="Times New Roman" w:cs="Times New Roman"/>
          <w:szCs w:val="21"/>
        </w:rPr>
        <w:t>those</w:t>
      </w:r>
      <w:r>
        <w:rPr>
          <w:rFonts w:ascii="Times New Roman" w:hAnsi="Times New Roman" w:cs="Times New Roman"/>
          <w:szCs w:val="21"/>
        </w:rPr>
        <w:t xml:space="preserve"> of the TUS study. In each trial, participants were required to judge whether the probing sentence correctly reflected the content of the testing sentence.</w:t>
      </w:r>
    </w:p>
    <w:p w14:paraId="4598DD41">
      <w:pPr>
        <w:spacing w:line="480" w:lineRule="auto"/>
        <w:rPr>
          <w:rFonts w:ascii="Times New Roman" w:hAnsi="Times New Roman" w:cs="Times New Roman"/>
          <w:b/>
          <w:bCs/>
          <w:szCs w:val="21"/>
        </w:rPr>
      </w:pPr>
      <w:r>
        <w:rPr>
          <w:rFonts w:ascii="Times New Roman" w:hAnsi="Times New Roman" w:cs="Times New Roman"/>
          <w:b/>
          <w:bCs/>
          <w:szCs w:val="21"/>
        </w:rPr>
        <w:t>1.1.3 Imaging data acquisition</w:t>
      </w:r>
    </w:p>
    <w:p w14:paraId="146CDC2F">
      <w:pPr>
        <w:spacing w:line="480" w:lineRule="auto"/>
        <w:outlineLvl w:val="0"/>
        <w:rPr>
          <w:rFonts w:ascii="Times New Roman" w:hAnsi="Times New Roman" w:cs="Times New Roman"/>
          <w:szCs w:val="21"/>
        </w:rPr>
      </w:pPr>
      <w:r>
        <w:rPr>
          <w:rFonts w:ascii="Times New Roman" w:hAnsi="Times New Roman" w:cs="Times New Roman"/>
          <w:szCs w:val="21"/>
        </w:rPr>
        <w:t xml:space="preserve">Participants’ MR imaging data were acquired via a 3.0-Tesla Siemens PRISMA magnetic resonance scanner (Siemens AG, Erlangen, Germany) using a 64-radiofrequency-channel head coil. For functional data acquisition, a T2*-weighted gradient echo planar imaging (EPI) sequence was adopted with the following parameters: repetition time (TR) = </w:t>
      </w:r>
      <w:r>
        <w:rPr>
          <w:rFonts w:hint="eastAsia" w:ascii="Times New Roman" w:hAnsi="Times New Roman" w:cs="Times New Roman"/>
          <w:szCs w:val="21"/>
        </w:rPr>
        <w:t xml:space="preserve">750 </w:t>
      </w:r>
      <w:r>
        <w:rPr>
          <w:rFonts w:ascii="Times New Roman" w:hAnsi="Times New Roman" w:cs="Times New Roman"/>
          <w:szCs w:val="21"/>
        </w:rPr>
        <w:t xml:space="preserve">ms; echo time (TE) = </w:t>
      </w:r>
      <w:r>
        <w:rPr>
          <w:rFonts w:hint="eastAsia" w:ascii="Times New Roman" w:hAnsi="Times New Roman" w:cs="Times New Roman"/>
          <w:szCs w:val="21"/>
        </w:rPr>
        <w:t xml:space="preserve">30 </w:t>
      </w:r>
      <w:r>
        <w:rPr>
          <w:rFonts w:ascii="Times New Roman" w:hAnsi="Times New Roman" w:cs="Times New Roman"/>
          <w:szCs w:val="21"/>
        </w:rPr>
        <w:t xml:space="preserve">ms; flip angle (FA) = </w:t>
      </w:r>
      <w:r>
        <w:rPr>
          <w:rFonts w:hint="eastAsia" w:ascii="Times New Roman" w:hAnsi="Times New Roman" w:cs="Times New Roman"/>
          <w:szCs w:val="21"/>
        </w:rPr>
        <w:t>60</w:t>
      </w:r>
      <w:r>
        <w:rPr>
          <w:rFonts w:ascii="Times New Roman" w:hAnsi="Times New Roman" w:cs="Times New Roman"/>
          <w:szCs w:val="21"/>
        </w:rPr>
        <w:t xml:space="preserve">°; field of view (FOV) = </w:t>
      </w:r>
      <w:r>
        <w:rPr>
          <w:rFonts w:hint="eastAsia" w:ascii="Times New Roman" w:hAnsi="Times New Roman" w:cs="Times New Roman"/>
          <w:szCs w:val="21"/>
        </w:rPr>
        <w:t>216</w:t>
      </w:r>
      <w:r>
        <w:rPr>
          <w:rFonts w:ascii="Times New Roman" w:hAnsi="Times New Roman" w:cs="Times New Roman"/>
          <w:szCs w:val="21"/>
        </w:rPr>
        <w:t xml:space="preserve"> × 2</w:t>
      </w:r>
      <w:r>
        <w:rPr>
          <w:rFonts w:hint="eastAsia" w:ascii="Times New Roman" w:hAnsi="Times New Roman" w:cs="Times New Roman"/>
          <w:szCs w:val="21"/>
        </w:rPr>
        <w:t xml:space="preserve">16 </w:t>
      </w:r>
      <w:r>
        <w:rPr>
          <w:rFonts w:ascii="Times New Roman" w:hAnsi="Times New Roman" w:cs="Times New Roman"/>
          <w:szCs w:val="21"/>
        </w:rPr>
        <w:t>mm</w:t>
      </w:r>
      <w:r>
        <w:rPr>
          <w:rFonts w:ascii="Times New Roman" w:hAnsi="Times New Roman" w:cs="Times New Roman"/>
          <w:szCs w:val="21"/>
          <w:vertAlign w:val="superscript"/>
        </w:rPr>
        <w:t>2</w:t>
      </w:r>
      <w:r>
        <w:rPr>
          <w:rFonts w:ascii="Times New Roman" w:hAnsi="Times New Roman" w:cs="Times New Roman"/>
          <w:szCs w:val="21"/>
        </w:rPr>
        <w:t xml:space="preserve">; base resolution = </w:t>
      </w:r>
      <w:r>
        <w:rPr>
          <w:rFonts w:hint="eastAsia" w:ascii="Times New Roman" w:hAnsi="Times New Roman" w:cs="Times New Roman"/>
          <w:szCs w:val="21"/>
        </w:rPr>
        <w:t>90</w:t>
      </w:r>
      <w:r>
        <w:rPr>
          <w:rFonts w:ascii="Times New Roman" w:hAnsi="Times New Roman" w:cs="Times New Roman"/>
          <w:szCs w:val="21"/>
        </w:rPr>
        <w:t xml:space="preserve"> × </w:t>
      </w:r>
      <w:r>
        <w:rPr>
          <w:rFonts w:hint="eastAsia" w:ascii="Times New Roman" w:hAnsi="Times New Roman" w:cs="Times New Roman"/>
          <w:szCs w:val="21"/>
        </w:rPr>
        <w:t>90</w:t>
      </w:r>
      <w:r>
        <w:rPr>
          <w:rFonts w:ascii="Times New Roman" w:hAnsi="Times New Roman" w:cs="Times New Roman"/>
          <w:szCs w:val="21"/>
        </w:rPr>
        <w:t>; in-plane resolution = 2</w:t>
      </w:r>
      <w:r>
        <w:rPr>
          <w:rFonts w:hint="eastAsia" w:ascii="Times New Roman" w:hAnsi="Times New Roman" w:cs="Times New Roman"/>
          <w:szCs w:val="21"/>
        </w:rPr>
        <w:t>.4</w:t>
      </w:r>
      <w:r>
        <w:rPr>
          <w:rFonts w:ascii="Times New Roman" w:hAnsi="Times New Roman" w:cs="Times New Roman"/>
          <w:szCs w:val="21"/>
        </w:rPr>
        <w:t xml:space="preserve"> × 2</w:t>
      </w:r>
      <w:r>
        <w:rPr>
          <w:rFonts w:hint="eastAsia" w:ascii="Times New Roman" w:hAnsi="Times New Roman" w:cs="Times New Roman"/>
          <w:szCs w:val="21"/>
        </w:rPr>
        <w:t xml:space="preserve">.4 </w:t>
      </w:r>
      <w:r>
        <w:rPr>
          <w:rFonts w:ascii="Times New Roman" w:hAnsi="Times New Roman" w:cs="Times New Roman"/>
          <w:szCs w:val="21"/>
        </w:rPr>
        <w:t>mm</w:t>
      </w:r>
      <w:r>
        <w:rPr>
          <w:rFonts w:ascii="Times New Roman" w:hAnsi="Times New Roman" w:cs="Times New Roman"/>
          <w:szCs w:val="21"/>
          <w:vertAlign w:val="superscript"/>
        </w:rPr>
        <w:t>2</w:t>
      </w:r>
      <w:r>
        <w:rPr>
          <w:rFonts w:ascii="Times New Roman" w:hAnsi="Times New Roman" w:cs="Times New Roman"/>
          <w:szCs w:val="21"/>
        </w:rPr>
        <w:t>; slice thickness = 2</w:t>
      </w:r>
      <w:r>
        <w:rPr>
          <w:rFonts w:hint="eastAsia" w:ascii="Times New Roman" w:hAnsi="Times New Roman" w:cs="Times New Roman"/>
          <w:szCs w:val="21"/>
        </w:rPr>
        <w:t xml:space="preserve">.4 </w:t>
      </w:r>
      <w:r>
        <w:rPr>
          <w:rFonts w:ascii="Times New Roman" w:hAnsi="Times New Roman" w:cs="Times New Roman"/>
          <w:szCs w:val="21"/>
        </w:rPr>
        <w:t>mm; number of slices = 6</w:t>
      </w:r>
      <w:r>
        <w:rPr>
          <w:rFonts w:hint="eastAsia" w:ascii="Times New Roman" w:hAnsi="Times New Roman" w:cs="Times New Roman"/>
          <w:szCs w:val="21"/>
        </w:rPr>
        <w:t>0</w:t>
      </w:r>
      <w:r>
        <w:rPr>
          <w:rFonts w:ascii="Times New Roman" w:hAnsi="Times New Roman" w:cs="Times New Roman"/>
          <w:szCs w:val="21"/>
        </w:rPr>
        <w:t>; gap = 0</w:t>
      </w:r>
      <w:r>
        <w:rPr>
          <w:rFonts w:hint="eastAsia" w:ascii="Times New Roman" w:hAnsi="Times New Roman" w:cs="Times New Roman"/>
          <w:szCs w:val="21"/>
        </w:rPr>
        <w:t xml:space="preserve"> </w:t>
      </w:r>
      <w:r>
        <w:rPr>
          <w:rFonts w:ascii="Times New Roman" w:hAnsi="Times New Roman" w:cs="Times New Roman"/>
          <w:szCs w:val="21"/>
        </w:rPr>
        <w:t xml:space="preserve">mm; alignment to AC-PC plane. Signals from different slices were acquired by the multi-band scanning technique (multi-band factor = </w:t>
      </w:r>
      <w:r>
        <w:rPr>
          <w:rFonts w:hint="eastAsia" w:ascii="Times New Roman" w:hAnsi="Times New Roman" w:cs="Times New Roman"/>
          <w:szCs w:val="21"/>
        </w:rPr>
        <w:t>6</w:t>
      </w:r>
      <w:r>
        <w:rPr>
          <w:rFonts w:ascii="Times New Roman" w:hAnsi="Times New Roman" w:cs="Times New Roman"/>
          <w:szCs w:val="21"/>
        </w:rPr>
        <w:t xml:space="preserve">) to efficiently minimize slice-timing effects. The parameters for high-resolution anatomical T1-weighted images for co-registration were listed as following: TR = </w:t>
      </w:r>
      <w:r>
        <w:rPr>
          <w:rFonts w:hint="eastAsia" w:ascii="Times New Roman" w:hAnsi="Times New Roman" w:cs="Times New Roman"/>
          <w:szCs w:val="21"/>
        </w:rPr>
        <w:t xml:space="preserve">2300 </w:t>
      </w:r>
      <w:r>
        <w:rPr>
          <w:rFonts w:ascii="Times New Roman" w:hAnsi="Times New Roman" w:cs="Times New Roman"/>
          <w:szCs w:val="21"/>
        </w:rPr>
        <w:t xml:space="preserve">ms; TE = </w:t>
      </w:r>
      <w:r>
        <w:rPr>
          <w:rFonts w:hint="eastAsia" w:ascii="Times New Roman" w:hAnsi="Times New Roman" w:cs="Times New Roman"/>
          <w:szCs w:val="21"/>
        </w:rPr>
        <w:t xml:space="preserve">2.07 </w:t>
      </w:r>
      <w:r>
        <w:rPr>
          <w:rFonts w:ascii="Times New Roman" w:hAnsi="Times New Roman" w:cs="Times New Roman"/>
          <w:szCs w:val="21"/>
        </w:rPr>
        <w:t>ms; FA = 7°; FOV = 2</w:t>
      </w:r>
      <w:r>
        <w:rPr>
          <w:rFonts w:hint="eastAsia" w:ascii="Times New Roman" w:hAnsi="Times New Roman" w:cs="Times New Roman"/>
          <w:szCs w:val="21"/>
        </w:rPr>
        <w:t>56</w:t>
      </w:r>
      <w:r>
        <w:rPr>
          <w:rFonts w:ascii="Times New Roman" w:hAnsi="Times New Roman" w:cs="Times New Roman"/>
          <w:szCs w:val="21"/>
        </w:rPr>
        <w:t xml:space="preserve"> × 2</w:t>
      </w:r>
      <w:r>
        <w:rPr>
          <w:rFonts w:hint="eastAsia" w:ascii="Times New Roman" w:hAnsi="Times New Roman" w:cs="Times New Roman"/>
          <w:szCs w:val="21"/>
        </w:rPr>
        <w:t>56</w:t>
      </w:r>
      <w:r>
        <w:rPr>
          <w:rFonts w:ascii="Times New Roman" w:hAnsi="Times New Roman" w:cs="Times New Roman"/>
          <w:szCs w:val="21"/>
        </w:rPr>
        <w:t>mm</w:t>
      </w:r>
      <w:r>
        <w:rPr>
          <w:rFonts w:ascii="Times New Roman" w:hAnsi="Times New Roman" w:cs="Times New Roman"/>
          <w:szCs w:val="21"/>
          <w:vertAlign w:val="superscript"/>
        </w:rPr>
        <w:t>2</w:t>
      </w:r>
      <w:r>
        <w:rPr>
          <w:rFonts w:ascii="Times New Roman" w:hAnsi="Times New Roman" w:cs="Times New Roman"/>
          <w:szCs w:val="21"/>
        </w:rPr>
        <w:t xml:space="preserve">; base resolution = </w:t>
      </w:r>
      <w:r>
        <w:rPr>
          <w:rFonts w:hint="eastAsia" w:ascii="Times New Roman" w:hAnsi="Times New Roman" w:cs="Times New Roman"/>
          <w:szCs w:val="21"/>
        </w:rPr>
        <w:t>320</w:t>
      </w:r>
      <w:r>
        <w:rPr>
          <w:rFonts w:ascii="Times New Roman" w:hAnsi="Times New Roman" w:cs="Times New Roman"/>
          <w:szCs w:val="21"/>
        </w:rPr>
        <w:t xml:space="preserve"> × </w:t>
      </w:r>
      <w:r>
        <w:rPr>
          <w:rFonts w:hint="eastAsia" w:ascii="Times New Roman" w:hAnsi="Times New Roman" w:cs="Times New Roman"/>
          <w:szCs w:val="21"/>
        </w:rPr>
        <w:t>280</w:t>
      </w:r>
      <w:r>
        <w:rPr>
          <w:rFonts w:ascii="Times New Roman" w:hAnsi="Times New Roman" w:cs="Times New Roman"/>
          <w:szCs w:val="21"/>
        </w:rPr>
        <w:t xml:space="preserve">; in-plane resolution = </w:t>
      </w:r>
      <w:r>
        <w:rPr>
          <w:rFonts w:hint="eastAsia" w:ascii="Times New Roman" w:hAnsi="Times New Roman" w:cs="Times New Roman"/>
          <w:szCs w:val="21"/>
        </w:rPr>
        <w:t>0.8</w:t>
      </w:r>
      <w:r>
        <w:rPr>
          <w:rFonts w:ascii="Times New Roman" w:hAnsi="Times New Roman" w:cs="Times New Roman"/>
          <w:szCs w:val="21"/>
        </w:rPr>
        <w:t xml:space="preserve"> × </w:t>
      </w:r>
      <w:r>
        <w:rPr>
          <w:rFonts w:hint="eastAsia" w:ascii="Times New Roman" w:hAnsi="Times New Roman" w:cs="Times New Roman"/>
          <w:szCs w:val="21"/>
        </w:rPr>
        <w:t xml:space="preserve">0.8 </w:t>
      </w:r>
      <w:r>
        <w:rPr>
          <w:rFonts w:ascii="Times New Roman" w:hAnsi="Times New Roman" w:cs="Times New Roman"/>
          <w:szCs w:val="21"/>
        </w:rPr>
        <w:t>mm</w:t>
      </w:r>
      <w:r>
        <w:rPr>
          <w:rFonts w:ascii="Times New Roman" w:hAnsi="Times New Roman" w:cs="Times New Roman"/>
          <w:szCs w:val="21"/>
          <w:vertAlign w:val="superscript"/>
        </w:rPr>
        <w:t>2</w:t>
      </w:r>
      <w:r>
        <w:rPr>
          <w:rFonts w:ascii="Times New Roman" w:hAnsi="Times New Roman" w:cs="Times New Roman"/>
          <w:szCs w:val="21"/>
        </w:rPr>
        <w:t xml:space="preserve">; slice thickness = </w:t>
      </w:r>
      <w:r>
        <w:rPr>
          <w:rFonts w:hint="eastAsia" w:ascii="Times New Roman" w:hAnsi="Times New Roman" w:cs="Times New Roman"/>
          <w:szCs w:val="21"/>
        </w:rPr>
        <w:t xml:space="preserve">0.8 </w:t>
      </w:r>
      <w:r>
        <w:rPr>
          <w:rFonts w:ascii="Times New Roman" w:hAnsi="Times New Roman" w:cs="Times New Roman"/>
          <w:szCs w:val="21"/>
        </w:rPr>
        <w:t xml:space="preserve">mm; number of slices = </w:t>
      </w:r>
      <w:r>
        <w:rPr>
          <w:rFonts w:hint="eastAsia" w:ascii="Times New Roman" w:hAnsi="Times New Roman" w:cs="Times New Roman"/>
          <w:szCs w:val="21"/>
        </w:rPr>
        <w:t>240</w:t>
      </w:r>
      <w:r>
        <w:rPr>
          <w:rFonts w:ascii="Times New Roman" w:hAnsi="Times New Roman" w:cs="Times New Roman"/>
          <w:szCs w:val="21"/>
        </w:rPr>
        <w:t xml:space="preserve">. </w:t>
      </w:r>
    </w:p>
    <w:p w14:paraId="2F47BB2F">
      <w:pPr>
        <w:spacing w:line="480" w:lineRule="auto"/>
        <w:outlineLvl w:val="0"/>
        <w:rPr>
          <w:rFonts w:ascii="Times New Roman" w:hAnsi="Times New Roman" w:cs="Times New Roman"/>
          <w:b/>
          <w:bCs/>
          <w:szCs w:val="21"/>
        </w:rPr>
      </w:pPr>
      <w:r>
        <w:rPr>
          <w:rFonts w:ascii="Times New Roman" w:hAnsi="Times New Roman" w:cs="Times New Roman"/>
          <w:b/>
          <w:bCs/>
          <w:szCs w:val="21"/>
        </w:rPr>
        <w:t>1.1.4 Imaging data analyses</w:t>
      </w:r>
    </w:p>
    <w:p w14:paraId="6DE4D82F">
      <w:pPr>
        <w:spacing w:line="480" w:lineRule="auto"/>
        <w:outlineLvl w:val="0"/>
        <w:rPr>
          <w:rFonts w:ascii="Times New Roman" w:hAnsi="Times New Roman" w:cs="Times New Roman"/>
          <w:szCs w:val="21"/>
        </w:rPr>
      </w:pPr>
      <w:r>
        <w:rPr>
          <w:rFonts w:ascii="Times New Roman" w:hAnsi="Times New Roman" w:cs="Times New Roman"/>
          <w:szCs w:val="21"/>
        </w:rPr>
        <w:t>Imaging data preprocessing mainly followed the basic steps of our previous fMRI study on Chinese jabberwocky sentence processing</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{"citationID":"DiUSK1Z0","properties":{"formattedCitation":"\\super 1\\nosupersub{}","plainCitation":"1","noteIndex":0},"citationItems":[{"id":"oMiTCpDR/MA5mnEN7","uris":["http://zotero.org/users/15918939/items/N2GIZF6C"],"itemData":{"id":1055,"type":"article-journal","container-title":"Journal of Neurolinguistics","DOI":"https://doi.org/10.1016/j.jneuroling.2023.101127","language":"en","note":"publisher: Elsevier","page":"101127","source":"Google Scholar","title":"Frontotemporal effective connectivity revealed a language-general syntactic network for Mandarin Chinese","volume":"66","author":[{"family":"Chen","given":"Luyao"},{"family":"Gao","given":"Chenyang"},{"family":"Li","given":"Zhongshan"},{"family":"Zaccarella","given":"Emiliano"},{"family":"Friederici","given":"Angela D."},{"family":"Feng","given":"Liping"}],"issued":{"date-parts":[["2023"]]}}}],"schema":"https://github.com/citation-style-language/schema/raw/master/csl-citation.json"}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vertAlign w:val="superscript"/>
        </w:rPr>
        <w:t>1</w:t>
      </w:r>
      <w:r>
        <w:rPr>
          <w:rFonts w:ascii="Times New Roman" w:hAnsi="Times New Roman" w:cs="Times New Roman"/>
          <w:szCs w:val="21"/>
        </w:rPr>
        <w:fldChar w:fldCharType="end"/>
      </w:r>
      <w:r>
        <w:rPr>
          <w:rFonts w:ascii="Times New Roman" w:hAnsi="Times New Roman" w:cs="Times New Roman"/>
          <w:szCs w:val="21"/>
        </w:rPr>
        <w:t xml:space="preserve"> via SPM 12 (https://www.fil.ion.ucl.ac.uk/spm/), including: (a) Removing the first 4 volumes to reduce the magnetic saturation effect; (b) Slice time correction</w:t>
      </w:r>
      <w:r>
        <w:rPr>
          <w:rFonts w:ascii="Times New Roman" w:hAnsi="Times New Roman" w:eastAsia="宋体" w:cs="Times New Roman"/>
          <w:szCs w:val="21"/>
        </w:rPr>
        <w:t xml:space="preserve">; (c) </w:t>
      </w:r>
      <w:r>
        <w:rPr>
          <w:rFonts w:ascii="Times New Roman" w:hAnsi="Times New Roman" w:cs="Times New Roman"/>
          <w:szCs w:val="21"/>
        </w:rPr>
        <w:t>Field mapping; (d) Spatial realignment; (e) Co-registration; (f) Segmentation (New segment + DARTEL); (g) Nuisance covariates regression (polynomial trend: 1, linear detrending), also including head motion regression by using the Friston-24 model; (h) Normalization of the images to the echo planar imaging (EPI) template based on Montreal Neurological Institute (MNI) stereotactic space to minimize cerebral differences between participants, and resampled the images into 2 × 2 × 2 mm</w:t>
      </w:r>
      <w:r>
        <w:rPr>
          <w:rFonts w:ascii="Times New Roman" w:hAnsi="Times New Roman" w:cs="Times New Roman"/>
          <w:szCs w:val="21"/>
          <w:vertAlign w:val="superscript"/>
        </w:rPr>
        <w:t>3</w:t>
      </w:r>
      <w:r>
        <w:rPr>
          <w:rFonts w:ascii="Times New Roman" w:hAnsi="Times New Roman" w:cs="Times New Roman"/>
          <w:szCs w:val="21"/>
        </w:rPr>
        <w:t xml:space="preserve">; (i) Smoothing the images with a 3D Gaussian kernel with full-width at half-maximum (FWHM) of 4 mm. </w:t>
      </w:r>
    </w:p>
    <w:p w14:paraId="7F46624E">
      <w:pPr>
        <w:spacing w:line="480" w:lineRule="auto"/>
        <w:outlineLvl w:val="0"/>
        <w:rPr>
          <w:rFonts w:ascii="Times New Roman" w:hAnsi="Times New Roman" w:cs="Times New Roman"/>
          <w:szCs w:val="21"/>
        </w:rPr>
      </w:pPr>
      <w:r>
        <w:rPr>
          <w:rFonts w:ascii="Times New Roman" w:hAnsi="Times New Roman" w:cs="Times New Roman"/>
          <w:szCs w:val="21"/>
        </w:rPr>
        <w:t xml:space="preserve">A general linear model (GLM) was set up for each participant at the first level by adding the complex sentence and the simple sentence conditions as two regressors of interest, with the onset and duration (4 s) of each trial modulated as a boxcar function convolved with a canonical hemodynamic response function (HRF). The data were further high-pass filtered at 128 Hz to eliminate low-frequency drift. The “complex &gt; simple” contrast results </w:t>
      </w:r>
      <w:r>
        <w:rPr>
          <w:rFonts w:hint="eastAsia" w:ascii="Times New Roman" w:hAnsi="Times New Roman" w:cs="Times New Roman"/>
          <w:szCs w:val="21"/>
        </w:rPr>
        <w:t>for</w:t>
      </w:r>
      <w:r>
        <w:rPr>
          <w:rFonts w:ascii="Times New Roman" w:hAnsi="Times New Roman" w:cs="Times New Roman"/>
          <w:szCs w:val="21"/>
        </w:rPr>
        <w:t xml:space="preserve"> each participant were entered into the second</w:t>
      </w:r>
      <w:r>
        <w:rPr>
          <w:rFonts w:hint="eastAsia" w:ascii="Times New Roman" w:hAnsi="Times New Roman" w:cs="Times New Roman"/>
          <w:szCs w:val="21"/>
        </w:rPr>
        <w:t>-</w:t>
      </w:r>
      <w:r>
        <w:rPr>
          <w:rFonts w:ascii="Times New Roman" w:hAnsi="Times New Roman" w:cs="Times New Roman"/>
          <w:szCs w:val="21"/>
        </w:rPr>
        <w:t xml:space="preserve">level analysis. At the second level </w:t>
      </w:r>
      <w:r>
        <w:rPr>
          <w:rFonts w:hint="eastAsia" w:ascii="Times New Roman" w:hAnsi="Times New Roman" w:cs="Times New Roman"/>
          <w:szCs w:val="21"/>
        </w:rPr>
        <w:t>of</w:t>
      </w:r>
      <w:r>
        <w:rPr>
          <w:rFonts w:ascii="Times New Roman" w:hAnsi="Times New Roman" w:cs="Times New Roman"/>
          <w:szCs w:val="21"/>
        </w:rPr>
        <w:t xml:space="preserve"> group analysis, the one-sample t-test was performed against the null hypothesis that there was no difference between the complex and simple sentence conditions. Given we aimed to localize the peak coordinates of the language regions (esp., LIFG and LpTL) to model the spatial intensity distribution and pressure map of TUS via BabelBrain, a 220 participant-based functional left-hemispheric language atlas extended from Fedorenko et al. (2010) (http://web.mit.edu/evlab//funcloc/) was adopted as the language mask for Small Volume Correction (SVC) (cluster-level </w:t>
      </w:r>
      <w:r>
        <w:rPr>
          <w:rFonts w:ascii="Times New Roman" w:hAnsi="Times New Roman" w:cs="Times New Roman"/>
          <w:i/>
          <w:iCs/>
          <w:szCs w:val="21"/>
        </w:rPr>
        <w:t>p</w:t>
      </w:r>
      <w:r>
        <w:rPr>
          <w:rFonts w:ascii="Times New Roman" w:hAnsi="Times New Roman" w:cs="Times New Roman"/>
          <w:szCs w:val="21"/>
          <w:vertAlign w:val="subscript"/>
        </w:rPr>
        <w:t>FWE</w:t>
      </w:r>
      <w:r>
        <w:rPr>
          <w:rFonts w:ascii="Times New Roman" w:hAnsi="Times New Roman" w:cs="Times New Roman"/>
          <w:szCs w:val="21"/>
        </w:rPr>
        <w:t xml:space="preserve"> &lt; .05, using the cluster defining threshold at </w:t>
      </w:r>
      <w:r>
        <w:rPr>
          <w:rFonts w:ascii="Times New Roman" w:hAnsi="Times New Roman" w:cs="Times New Roman"/>
          <w:i/>
          <w:iCs/>
          <w:szCs w:val="21"/>
        </w:rPr>
        <w:t>p</w:t>
      </w:r>
      <w:r>
        <w:rPr>
          <w:rFonts w:ascii="Times New Roman" w:hAnsi="Times New Roman" w:cs="Times New Roman"/>
          <w:szCs w:val="21"/>
          <w:vertAlign w:val="subscript"/>
        </w:rPr>
        <w:t>uncorrected</w:t>
      </w:r>
      <w:r>
        <w:rPr>
          <w:rFonts w:ascii="Times New Roman" w:hAnsi="Times New Roman" w:cs="Times New Roman"/>
          <w:szCs w:val="21"/>
        </w:rPr>
        <w:t xml:space="preserve"> &lt; .001, KE ≥ 50). </w:t>
      </w:r>
    </w:p>
    <w:p w14:paraId="4A364571">
      <w:pPr>
        <w:spacing w:line="480" w:lineRule="auto"/>
        <w:outlineLvl w:val="0"/>
        <w:rPr>
          <w:rFonts w:ascii="Times New Roman" w:hAnsi="Times New Roman" w:cs="Times New Roman"/>
          <w:b/>
          <w:bCs/>
          <w:szCs w:val="21"/>
        </w:rPr>
      </w:pPr>
      <w:r>
        <w:rPr>
          <w:rFonts w:ascii="Times New Roman" w:hAnsi="Times New Roman" w:cs="Times New Roman"/>
          <w:b/>
          <w:bCs/>
          <w:szCs w:val="21"/>
        </w:rPr>
        <w:t xml:space="preserve">1.2 </w:t>
      </w:r>
      <w:r>
        <w:rPr>
          <w:rFonts w:hint="eastAsia" w:ascii="Times New Roman" w:hAnsi="Times New Roman" w:cs="Times New Roman"/>
          <w:b/>
          <w:bCs/>
          <w:szCs w:val="21"/>
        </w:rPr>
        <w:t>Imaging</w:t>
      </w:r>
      <w:r>
        <w:rPr>
          <w:rFonts w:ascii="Times New Roman" w:hAnsi="Times New Roman" w:cs="Times New Roman"/>
          <w:b/>
          <w:bCs/>
          <w:szCs w:val="21"/>
        </w:rPr>
        <w:t xml:space="preserve"> Results</w:t>
      </w:r>
    </w:p>
    <w:p w14:paraId="1F12EAAD">
      <w:pPr>
        <w:spacing w:line="480" w:lineRule="auto"/>
        <w:outlineLvl w:val="0"/>
        <w:rPr>
          <w:rFonts w:ascii="Times New Roman" w:hAnsi="Times New Roman" w:cs="Times New Roman"/>
          <w:szCs w:val="21"/>
        </w:rPr>
      </w:pPr>
      <w:r>
        <w:rPr>
          <w:rFonts w:ascii="Times New Roman" w:hAnsi="Times New Roman" w:cs="Times New Roman"/>
          <w:szCs w:val="21"/>
        </w:rPr>
        <w:t>The imaging results were shown in Figure S</w:t>
      </w:r>
      <w:r>
        <w:rPr>
          <w:rFonts w:hint="eastAsia" w:ascii="Times New Roman" w:hAnsi="Times New Roman" w:cs="Times New Roman"/>
          <w:szCs w:val="21"/>
        </w:rPr>
        <w:t>2A</w:t>
      </w:r>
      <w:r>
        <w:rPr>
          <w:rFonts w:ascii="Times New Roman" w:hAnsi="Times New Roman" w:cs="Times New Roman"/>
          <w:szCs w:val="21"/>
        </w:rPr>
        <w:t xml:space="preserve">. A left-hemispheric fronto-temporal network was detected for hierarchical syntactic processing, </w:t>
      </w:r>
      <w:r>
        <w:rPr>
          <w:rFonts w:hint="eastAsia" w:ascii="Times New Roman" w:hAnsi="Times New Roman" w:cs="Times New Roman"/>
          <w:szCs w:val="21"/>
        </w:rPr>
        <w:t>with</w:t>
      </w:r>
      <w:r>
        <w:rPr>
          <w:rFonts w:ascii="Times New Roman" w:hAnsi="Times New Roman" w:cs="Times New Roman"/>
          <w:szCs w:val="21"/>
        </w:rPr>
        <w:t xml:space="preserve"> peak activation</w:t>
      </w:r>
      <w:r>
        <w:rPr>
          <w:rFonts w:hint="eastAsia" w:ascii="Times New Roman" w:hAnsi="Times New Roman" w:cs="Times New Roman"/>
          <w:szCs w:val="21"/>
        </w:rPr>
        <w:t>s</w:t>
      </w:r>
      <w:r>
        <w:rPr>
          <w:rFonts w:ascii="Times New Roman" w:hAnsi="Times New Roman" w:cs="Times New Roman"/>
          <w:szCs w:val="21"/>
        </w:rPr>
        <w:t xml:space="preserve"> </w:t>
      </w:r>
      <w:r>
        <w:rPr>
          <w:rFonts w:hint="eastAsia" w:ascii="Times New Roman" w:hAnsi="Times New Roman" w:cs="Times New Roman"/>
          <w:szCs w:val="21"/>
        </w:rPr>
        <w:t>in</w:t>
      </w:r>
      <w:r>
        <w:rPr>
          <w:rFonts w:ascii="Times New Roman" w:hAnsi="Times New Roman" w:cs="Times New Roman"/>
          <w:szCs w:val="21"/>
        </w:rPr>
        <w:t xml:space="preserve"> the LIFG at (-58, 24, 13) and </w:t>
      </w:r>
      <w:r>
        <w:rPr>
          <w:rFonts w:hint="eastAsia" w:ascii="Times New Roman" w:hAnsi="Times New Roman" w:cs="Times New Roman"/>
          <w:szCs w:val="21"/>
        </w:rPr>
        <w:t xml:space="preserve">in </w:t>
      </w:r>
      <w:r>
        <w:rPr>
          <w:rFonts w:ascii="Times New Roman" w:hAnsi="Times New Roman" w:cs="Times New Roman"/>
          <w:szCs w:val="21"/>
        </w:rPr>
        <w:t xml:space="preserve">LpTL at (-51, -44, 3). We therefore </w:t>
      </w:r>
      <w:r>
        <w:rPr>
          <w:rFonts w:hint="eastAsia" w:ascii="Times New Roman" w:hAnsi="Times New Roman" w:cs="Times New Roman"/>
          <w:szCs w:val="21"/>
        </w:rPr>
        <w:t>used</w:t>
      </w:r>
      <w:r>
        <w:rPr>
          <w:rFonts w:ascii="Times New Roman" w:hAnsi="Times New Roman" w:cs="Times New Roman"/>
          <w:szCs w:val="21"/>
        </w:rPr>
        <w:t xml:space="preserve"> these two peak coordinates for TUS estimation.</w:t>
      </w:r>
    </w:p>
    <w:p w14:paraId="33C1B488">
      <w:pPr>
        <w:spacing w:line="480" w:lineRule="auto"/>
        <w:outlineLvl w:val="0"/>
        <w:rPr>
          <w:rFonts w:ascii="Times New Roman" w:hAnsi="Times New Roman" w:cs="Times New Roman"/>
          <w:b/>
          <w:bCs/>
          <w:szCs w:val="21"/>
        </w:rPr>
      </w:pPr>
    </w:p>
    <w:p w14:paraId="29379C66">
      <w:pPr>
        <w:spacing w:line="480" w:lineRule="auto"/>
        <w:outlineLvl w:val="0"/>
        <w:rPr>
          <w:rFonts w:ascii="Times New Roman" w:hAnsi="Times New Roman" w:cs="Times New Roman"/>
          <w:b/>
          <w:bCs/>
          <w:szCs w:val="21"/>
        </w:rPr>
      </w:pPr>
      <w:r>
        <w:rPr>
          <w:rFonts w:ascii="Times New Roman" w:hAnsi="Times New Roman" w:cs="Times New Roman"/>
          <w:b/>
          <w:bCs/>
          <w:szCs w:val="21"/>
        </w:rPr>
        <w:t>2 The TMS experiment to unravel the trend of the causality of the syntactic regions and to exclude the verbal working memory effect</w:t>
      </w:r>
    </w:p>
    <w:p w14:paraId="5577CA79">
      <w:pPr>
        <w:spacing w:line="480" w:lineRule="auto"/>
        <w:rPr>
          <w:rFonts w:ascii="Times New Roman" w:hAnsi="Times New Roman" w:cs="Times New Roman"/>
          <w:b/>
          <w:bCs/>
          <w:szCs w:val="21"/>
        </w:rPr>
      </w:pPr>
      <w:r>
        <w:rPr>
          <w:rFonts w:ascii="Times New Roman" w:hAnsi="Times New Roman" w:cs="Times New Roman"/>
          <w:b/>
          <w:bCs/>
          <w:szCs w:val="21"/>
        </w:rPr>
        <w:t>2.1 Methods</w:t>
      </w:r>
    </w:p>
    <w:p w14:paraId="6F9F607E">
      <w:pPr>
        <w:spacing w:line="480" w:lineRule="auto"/>
        <w:rPr>
          <w:rFonts w:ascii="Times New Roman" w:hAnsi="Times New Roman" w:cs="Times New Roman"/>
          <w:szCs w:val="21"/>
        </w:rPr>
      </w:pPr>
      <w:r>
        <w:rPr>
          <w:rFonts w:ascii="Times New Roman" w:hAnsi="Times New Roman" w:cs="Times New Roman"/>
          <w:sz w:val="22"/>
          <w:szCs w:val="22"/>
        </w:rPr>
        <w:t>TMS relies on the magnetic-electronic mechanism: The current in the TMS coil generates a perpendicular magnetic field that penetrates the scalp without attenuation to reach the target brain region. This magnetic field, in turn, induces a transient current, which stimulates neurons within the targeted area—ultimately producing either a facilitatory or inhibitory effect, as evidenced by changes in behavioral performance</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{"citationID":"bYw59SyS","properties":{"formattedCitation":"\\super 2,3\\nosupersub{}","plainCitation":"2,3","noteIndex":0},"citationItems":[{"id":570,"uris":["http://zotero.org/users/18576256/items/4CA86EQG"],"itemData":{"id":570,"type":"article-journal","abstract":"Transcranial magnetic stimulation (TMS) and repetitive TMS (rTMS) are indirect and non-invasive methods used to induce excitability changes in the motor cortex via a wire coil generating a magnetic field that passes through the scalp. Today, TMS has become a key method to investigate brain functioning in humans. Moreover, because rTMS can lead to long-lasting after-effects in the brain, it is thought to be able to induce plasticity. This tool appears to be a potential therapy for neurological and psychiatric diseases. However, the physiological mechanisms underlying the effects induced by TMS and rTMS have not yet been clearly identified. The purpose of the present review is to summarize the main knowledge available for TMS and rTMS to allow for understanding their mode of action and to specify the different parameters that influence their effects. This review takes an inventory of the most-used rTMS paradigms in clinical research and exhibits the hypotheses commonly assumed to explain rTMS after-effects.","collection-title":"Neuromodulation / Coordinated by Bernard Bussel, Djamel Ben Bensmail and Nicolas Roche","container-title":"Annals of Physical and Rehabilitation Medicine","DOI":"10.1016/j.rehab.2015.05.005","ISSN":"1877-0657","issue":"4","journalAbbreviation":"Annals of Physical and Rehabilitation Medicine","language":"en","page":"208-213","source":"ScienceDirect","title":"Basic principles of transcranial magnetic stimulation (TMS) and repetitive TMS (rTMS)","volume":"58","author":[{"family":"Klomjai","given":"Wanalee"},{"family":"Katz","given":"Rose"},{"family":"Lackmy-Vallée","given":"Alexandra"}],"issued":{"date-parts":[["2015",9,1]]}}},{"id":573,"uris":["http://zotero.org/users/18576256/items/JZ6N8A35"],"itemData":{"id":573,"type":"article-journal","abstract":"The development of the use of transcranial magnetic stimulation (TMS) in the study of psychological functions has entered a new phase of sophistication. This is largely due to an increasing physiological knowledge of its effects and to its being used in combination with other experimental techniques. This review presents the current state of our understanding of the mechanisms of TMS in the context of designing and interpreting psychological experiments. We discuss the major conceptual advances in behavioral studies using TMS. There are meaningful physiological and technical achievements to review, as well as a wealth of new perceptual and cognitive experiments. In doing so we summarize the different uses and challenges of TMS in mental chronometry, perception, awareness, learning, and memory.","container-title":"Annual Review of Psychology","DOI":"10.1146/annurev-psych-081120-013144","ISSN":"0066-4308, 1545-2085","issue":"1","journalAbbreviation":"Annu. Rev. Psychol.","language":"en","page":"97-121","source":"DOI.org (Crossref)","title":"Transcranial Magnetic Stimulation and the Understanding of Behavior","volume":"72","author":[{"family":"Pitcher","given":"David"},{"family":"Parkin","given":"Beth"},{"family":"Walsh","given":"Vincent"}],"issued":{"date-parts":[["2021",1,4]]}}}],"schema":"https://github.com/citation-style-language/schema/raw/master/csl-citation.json"} </w:instrText>
      </w:r>
      <w:r>
        <w:rPr>
          <w:rFonts w:ascii="Times New Roman" w:hAnsi="Times New Roman" w:cs="Times New Roman"/>
          <w:sz w:val="22"/>
          <w:szCs w:val="22"/>
        </w:rPr>
        <w:fldChar w:fldCharType="separate"/>
      </w:r>
      <w:r>
        <w:rPr>
          <w:rFonts w:ascii="Times New Roman" w:hAnsi="Times New Roman" w:cs="Times New Roman"/>
          <w:kern w:val="0"/>
          <w:sz w:val="22"/>
          <w:vertAlign w:val="superscript"/>
        </w:rPr>
        <w:t>2,3</w:t>
      </w:r>
      <w:r>
        <w:rPr>
          <w:rFonts w:ascii="Times New Roman" w:hAnsi="Times New Roman" w:cs="Times New Roman"/>
          <w:sz w:val="22"/>
          <w:szCs w:val="22"/>
        </w:rPr>
        <w:fldChar w:fldCharType="end"/>
      </w:r>
      <w:r>
        <w:rPr>
          <w:rFonts w:ascii="Times New Roman" w:hAnsi="Times New Roman" w:cs="Times New Roman"/>
          <w:sz w:val="22"/>
          <w:szCs w:val="22"/>
        </w:rPr>
        <w:t>.</w:t>
      </w:r>
      <w:r>
        <w:rPr>
          <w:rFonts w:hint="eastAsia" w:ascii="Times New Roman" w:hAnsi="Times New Roman" w:cs="Times New Roman"/>
          <w:sz w:val="22"/>
          <w:szCs w:val="22"/>
        </w:rPr>
        <w:t xml:space="preserve"> </w:t>
      </w:r>
      <w:r>
        <w:rPr>
          <w:rFonts w:ascii="Times New Roman" w:hAnsi="Times New Roman" w:cs="Times New Roman"/>
          <w:szCs w:val="21"/>
        </w:rPr>
        <w:t xml:space="preserve">Before conducting the actual TUS experiment, we initially used TMS to stimulate both LIFG and LpTL to investigate whether there is a significant causal trend for the regions identified </w:t>
      </w:r>
      <w:r>
        <w:rPr>
          <w:rFonts w:hint="eastAsia" w:ascii="Times New Roman" w:hAnsi="Times New Roman" w:cs="Times New Roman"/>
          <w:szCs w:val="21"/>
        </w:rPr>
        <w:t>in</w:t>
      </w:r>
      <w:r>
        <w:rPr>
          <w:rFonts w:ascii="Times New Roman" w:hAnsi="Times New Roman" w:cs="Times New Roman"/>
          <w:szCs w:val="21"/>
        </w:rPr>
        <w:t xml:space="preserve"> the fMRI experiment reported above. Moreover, it aims</w:t>
      </w:r>
      <w:r>
        <w:rPr>
          <w:rFonts w:hint="eastAsia" w:ascii="Times New Roman" w:hAnsi="Times New Roman" w:cs="Times New Roman"/>
          <w:szCs w:val="21"/>
        </w:rPr>
        <w:t xml:space="preserve"> </w:t>
      </w:r>
      <w:r>
        <w:rPr>
          <w:rFonts w:ascii="Times New Roman" w:hAnsi="Times New Roman" w:cs="Times New Roman"/>
          <w:szCs w:val="21"/>
        </w:rPr>
        <w:t>to purify the hierarchically</w:t>
      </w:r>
      <w:r>
        <w:rPr>
          <w:rFonts w:hint="eastAsia" w:ascii="Times New Roman" w:hAnsi="Times New Roman" w:cs="Times New Roman"/>
          <w:szCs w:val="21"/>
        </w:rPr>
        <w:t xml:space="preserve"> </w:t>
      </w:r>
      <w:r>
        <w:rPr>
          <w:rFonts w:ascii="Times New Roman" w:hAnsi="Times New Roman" w:cs="Times New Roman"/>
          <w:szCs w:val="21"/>
        </w:rPr>
        <w:t>structured language effects by excluding linear word order and verbal working memory confounders from the control task of word list processing</w:t>
      </w:r>
      <w:r>
        <w:rPr>
          <w:rFonts w:hint="eastAsia" w:ascii="Times New Roman" w:hAnsi="Times New Roman" w:cs="Times New Roman"/>
          <w:szCs w:val="21"/>
        </w:rPr>
        <w:t>,</w:t>
      </w:r>
      <w:r>
        <w:rPr>
          <w:rFonts w:ascii="Times New Roman" w:hAnsi="Times New Roman" w:cs="Times New Roman"/>
          <w:szCs w:val="21"/>
        </w:rPr>
        <w:t xml:space="preserve"> which requires participants to judge whether the target word matches the position where it appears in the previous word list. We will briefly introduce this TMS experiment and report the main findings below.</w:t>
      </w:r>
    </w:p>
    <w:p w14:paraId="5045A820">
      <w:pPr>
        <w:spacing w:line="480" w:lineRule="auto"/>
        <w:rPr>
          <w:rFonts w:ascii="Times New Roman" w:hAnsi="Times New Roman" w:cs="Times New Roman"/>
          <w:b/>
          <w:bCs/>
          <w:szCs w:val="21"/>
        </w:rPr>
      </w:pPr>
      <w:r>
        <w:rPr>
          <w:rFonts w:ascii="Times New Roman" w:hAnsi="Times New Roman" w:cs="Times New Roman"/>
          <w:b/>
          <w:bCs/>
          <w:szCs w:val="21"/>
        </w:rPr>
        <w:t>2.1.1 Participants</w:t>
      </w:r>
    </w:p>
    <w:p w14:paraId="1B4FB243">
      <w:pPr>
        <w:spacing w:line="480" w:lineRule="auto"/>
        <w:rPr>
          <w:rFonts w:ascii="Times New Roman" w:hAnsi="Times New Roman" w:cs="Times New Roman"/>
          <w:szCs w:val="21"/>
        </w:rPr>
      </w:pPr>
      <w:r>
        <w:rPr>
          <w:rFonts w:ascii="Times New Roman" w:hAnsi="Times New Roman" w:cs="Times New Roman"/>
          <w:szCs w:val="21"/>
        </w:rPr>
        <w:t xml:space="preserve">Thirty-six healthy adult Chinese native speakers (Age: 22.8 ± 1.2 years; 17 females) with T1 data from our participant pool, who had undergone the structural magnetic resonance imaging previously for other neuroimaging studies, were recruited. Since 3 participants dropped out, and 3 participants’ sentence processing accuracy rates were </w:t>
      </w:r>
      <w:r>
        <w:rPr>
          <w:rFonts w:hint="eastAsia" w:ascii="Times New Roman" w:hAnsi="Times New Roman" w:cs="Times New Roman"/>
          <w:szCs w:val="21"/>
        </w:rPr>
        <w:t>below</w:t>
      </w:r>
      <w:r>
        <w:rPr>
          <w:rFonts w:ascii="Times New Roman" w:hAnsi="Times New Roman" w:cs="Times New Roman"/>
          <w:szCs w:val="21"/>
        </w:rPr>
        <w:t xml:space="preserve"> chance level (50%), </w:t>
      </w:r>
      <w:r>
        <w:rPr>
          <w:rFonts w:hint="eastAsia" w:ascii="Times New Roman" w:hAnsi="Times New Roman" w:cs="Times New Roman"/>
          <w:szCs w:val="21"/>
        </w:rPr>
        <w:t xml:space="preserve">the data from </w:t>
      </w:r>
      <w:r>
        <w:rPr>
          <w:rFonts w:ascii="Times New Roman" w:hAnsi="Times New Roman" w:cs="Times New Roman"/>
          <w:szCs w:val="21"/>
        </w:rPr>
        <w:t xml:space="preserve">these 6 participants were discarded, </w:t>
      </w:r>
      <w:r>
        <w:rPr>
          <w:rFonts w:hint="eastAsia" w:ascii="Times New Roman" w:hAnsi="Times New Roman" w:cs="Times New Roman"/>
          <w:szCs w:val="21"/>
        </w:rPr>
        <w:t>leaving data from</w:t>
      </w:r>
      <w:r>
        <w:rPr>
          <w:rFonts w:ascii="Times New Roman" w:hAnsi="Times New Roman" w:cs="Times New Roman"/>
          <w:szCs w:val="21"/>
        </w:rPr>
        <w:t xml:space="preserve"> the 30 participants for further analyses. All participants gave signed informed consent before the experiment and received remuneration for participation. This experiment was approved by the ethics committee of the local university.</w:t>
      </w:r>
    </w:p>
    <w:p w14:paraId="5B7677A0">
      <w:pPr>
        <w:spacing w:line="480" w:lineRule="auto"/>
        <w:rPr>
          <w:rFonts w:ascii="Times New Roman" w:hAnsi="Times New Roman" w:cs="Times New Roman"/>
          <w:b/>
          <w:bCs/>
          <w:szCs w:val="21"/>
        </w:rPr>
      </w:pPr>
      <w:r>
        <w:rPr>
          <w:rFonts w:ascii="Times New Roman" w:hAnsi="Times New Roman" w:cs="Times New Roman"/>
          <w:b/>
          <w:bCs/>
          <w:szCs w:val="21"/>
        </w:rPr>
        <w:t>2.1.2 Materials</w:t>
      </w:r>
    </w:p>
    <w:p w14:paraId="6AD8134F">
      <w:pPr>
        <w:spacing w:line="480" w:lineRule="auto"/>
        <w:rPr>
          <w:rFonts w:ascii="Times New Roman" w:hAnsi="Times New Roman" w:cs="Times New Roman"/>
          <w:szCs w:val="21"/>
        </w:rPr>
      </w:pPr>
      <w:r>
        <w:rPr>
          <w:rFonts w:ascii="Times New Roman" w:hAnsi="Times New Roman" w:cs="Times New Roman"/>
          <w:szCs w:val="21"/>
        </w:rPr>
        <w:t xml:space="preserve">This TMS </w:t>
      </w:r>
      <w:r>
        <w:rPr>
          <w:rFonts w:hint="eastAsia" w:ascii="Times New Roman" w:hAnsi="Times New Roman" w:cs="Times New Roman"/>
          <w:szCs w:val="21"/>
        </w:rPr>
        <w:t>experiment</w:t>
      </w:r>
      <w:r>
        <w:rPr>
          <w:rFonts w:ascii="Times New Roman" w:hAnsi="Times New Roman" w:cs="Times New Roman"/>
          <w:szCs w:val="21"/>
        </w:rPr>
        <w:t xml:space="preserve"> strictly follows the previous cTBS study on the causal role of the LIFG in syntactic processing</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{"citationID":"0m0GtyCQ","properties":{"formattedCitation":"\\super 4\\nosupersub{}","plainCitation":"4","noteIndex":0},"citationItems":[{"id":474,"uris":["http://zotero.org/users/18576256/items/5ZESZSBA"],"itemData":{"id":474,"type":"article-journal","container-title":"Neurobiology of Language","DOI":"https://doi.org/10.1162/nol_a_00140","issue":"2","language":"en","page":"608–627","publisher":"MIT Press One Broadway, 12th Floor, Cambridge, Massachusetts 02142, USA …","source":"Google Scholar","title":"Continuous theta-burst stimulation on the left posterior inferior frontal gyrus perturbs complex syntactic processing stability in mandarin Chinese","volume":"5","author":[{"family":"Wu","given":"Junjie"},{"family":"Cheng","given":"Yao"},{"family":"Qu","given":"Xingfang"},{"family":"Kang","given":"Tianmin"},{"family":"Cai","given":"Yimin"},{"family":"Wang","given":"Peng"},{"family":"Zaccarella","given":"Emiliano"},{"family":"Friederici","given":"Angela D."},{"family":"Hartwigsen","given":"Gesa"},{"family":"Chen","given":"Luyao"}],"issued":{"date-parts":[["2024"]]}}}],"schema":"https://github.com/citation-style-language/schema/raw/master/csl-citation.json"}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4</w:t>
      </w:r>
      <w:r>
        <w:rPr>
          <w:rFonts w:ascii="Times New Roman" w:hAnsi="Times New Roman" w:cs="Times New Roman"/>
          <w:szCs w:val="21"/>
        </w:rPr>
        <w:fldChar w:fldCharType="end"/>
      </w:r>
      <w:r>
        <w:rPr>
          <w:rFonts w:ascii="Times New Roman" w:hAnsi="Times New Roman" w:cs="Times New Roman"/>
          <w:szCs w:val="21"/>
        </w:rPr>
        <w:t>, including 64 complex sentences incorporating 32 SRCs and 32 ORCs, and 64 simple sentences for each session (3 sessions in total: LIFG, LpTL, and vertex TMS). The sentences were composed of names and common verbs, such as “</w:t>
      </w:r>
      <w:r>
        <w:rPr>
          <w:rFonts w:ascii="Times New Roman" w:hAnsi="Times New Roman" w:cs="Times New Roman"/>
          <w:i/>
          <w:iCs/>
          <w:szCs w:val="21"/>
        </w:rPr>
        <w:t>花花支持喜欢丽丽的老张</w:t>
      </w:r>
      <w:r>
        <w:rPr>
          <w:rFonts w:ascii="Times New Roman" w:hAnsi="Times New Roman" w:cs="Times New Roman"/>
          <w:szCs w:val="21"/>
        </w:rPr>
        <w:t>” (Huahua supports Laozhang who likes Lili), which are similar to those used in the fMRI experiment. Moreover, 64 word lists</w:t>
      </w:r>
      <w:r>
        <w:rPr>
          <w:rFonts w:hint="eastAsia" w:ascii="Times New Roman" w:hAnsi="Times New Roman" w:cs="Times New Roman"/>
          <w:szCs w:val="21"/>
        </w:rPr>
        <w:t>,</w:t>
      </w:r>
      <w:r>
        <w:rPr>
          <w:rFonts w:ascii="Times New Roman" w:hAnsi="Times New Roman" w:cs="Times New Roman"/>
          <w:szCs w:val="21"/>
        </w:rPr>
        <w:t xml:space="preserve"> including 50% noun lists and 50 % verb lists</w:t>
      </w:r>
      <w:r>
        <w:rPr>
          <w:rFonts w:hint="eastAsia" w:ascii="Times New Roman" w:hAnsi="Times New Roman" w:cs="Times New Roman"/>
          <w:szCs w:val="21"/>
        </w:rPr>
        <w:t>,</w:t>
      </w:r>
      <w:r>
        <w:rPr>
          <w:rFonts w:ascii="Times New Roman" w:hAnsi="Times New Roman" w:cs="Times New Roman"/>
          <w:szCs w:val="21"/>
        </w:rPr>
        <w:t xml:space="preserve"> utilizing the same lexicon from the sentence materials</w:t>
      </w:r>
      <w:r>
        <w:rPr>
          <w:rFonts w:hint="eastAsia" w:ascii="Times New Roman" w:hAnsi="Times New Roman" w:cs="Times New Roman"/>
          <w:szCs w:val="21"/>
        </w:rPr>
        <w:t>,</w:t>
      </w:r>
      <w:r>
        <w:rPr>
          <w:rFonts w:ascii="Times New Roman" w:hAnsi="Times New Roman" w:cs="Times New Roman"/>
          <w:szCs w:val="21"/>
        </w:rPr>
        <w:t xml:space="preserve"> were generated. The word lists incorporating the same word syntactic category were designed to diminish the probability of syntactic combinatorics (see also Zaccarella et al.</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{"citationID":"HPPr9xkr","properties":{"formattedCitation":"\\super 5\\nosupersub{}","plainCitation":"5","noteIndex":0},"citationItems":[{"id":475,"uris":["http://zotero.org/users/18576256/items/UCDLKU8S"],"itemData":{"id":475,"type":"article-journal","container-title":"Neuroscience &amp; Biobehavioral Reviews","DOI":"https://doi.org/10.1016/j.neubiorev.2017.06.011","language":"en","page":"646–656","publisher":"Elsevier","source":"Google Scholar","title":"Reviewing the functional basis of the syntactic Merge mechanism for language: A coordinate-based activation likelihood estimation meta-analysis","title-short":"Reviewing the functional basis of the syntactic Merge mechanism for language","volume":"80","author":[{"family":"Zaccarella","given":"Emiliano"},{"family":"Schell","given":"Marianne"},{"family":"Friederici","given":"Angela D."}],"issued":{"date-parts":[["2017"]]}}}],"schema":"https://github.com/citation-style-language/schema/raw/master/csl-citation.json"}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5</w:t>
      </w:r>
      <w:r>
        <w:rPr>
          <w:rFonts w:ascii="Times New Roman" w:hAnsi="Times New Roman" w:cs="Times New Roman"/>
          <w:szCs w:val="21"/>
        </w:rPr>
        <w:fldChar w:fldCharType="end"/>
      </w:r>
      <w:r>
        <w:rPr>
          <w:rFonts w:ascii="Times New Roman" w:hAnsi="Times New Roman" w:cs="Times New Roman"/>
          <w:szCs w:val="21"/>
        </w:rPr>
        <w:t>) (Figure S</w:t>
      </w:r>
      <w:r>
        <w:rPr>
          <w:rFonts w:hint="eastAsia" w:ascii="Times New Roman" w:hAnsi="Times New Roman" w:cs="Times New Roman"/>
          <w:szCs w:val="21"/>
        </w:rPr>
        <w:t>1A</w:t>
      </w:r>
      <w:r>
        <w:rPr>
          <w:rFonts w:ascii="Times New Roman" w:hAnsi="Times New Roman" w:cs="Times New Roman"/>
          <w:szCs w:val="21"/>
        </w:rPr>
        <w:t xml:space="preserve">). </w:t>
      </w:r>
    </w:p>
    <w:p w14:paraId="7E69A3E6">
      <w:pPr>
        <w:spacing w:line="480" w:lineRule="auto"/>
        <w:rPr>
          <w:rFonts w:ascii="Times New Roman" w:hAnsi="Times New Roman" w:cs="Times New Roman"/>
          <w:b/>
          <w:bCs/>
          <w:szCs w:val="21"/>
        </w:rPr>
      </w:pPr>
      <w:r>
        <w:rPr>
          <w:rFonts w:ascii="Times New Roman" w:hAnsi="Times New Roman" w:cs="Times New Roman"/>
          <w:b/>
          <w:bCs/>
          <w:szCs w:val="21"/>
        </w:rPr>
        <w:t>2.1.3 Procedures</w:t>
      </w:r>
    </w:p>
    <w:p w14:paraId="35C1A578">
      <w:pPr>
        <w:spacing w:line="480" w:lineRule="auto"/>
        <w:rPr>
          <w:rFonts w:ascii="Times New Roman" w:hAnsi="Times New Roman" w:cs="Times New Roman"/>
          <w:szCs w:val="21"/>
        </w:rPr>
      </w:pPr>
      <w:r>
        <w:rPr>
          <w:rFonts w:ascii="Times New Roman" w:hAnsi="Times New Roman" w:cs="Times New Roman"/>
          <w:szCs w:val="21"/>
        </w:rPr>
        <w:t>Participants were required to judge whether the probing sentence correctly expressed the thematic relationships (i.e., “who did what to whom”) contained in the previous testing sentence or to judge whether the probing word matched its position for the word list condition. The response screen lasted for 3s. The timing parameters are the same to those of the TUS experiment. Please refer to Figure S</w:t>
      </w:r>
      <w:r>
        <w:rPr>
          <w:rFonts w:hint="eastAsia" w:ascii="Times New Roman" w:hAnsi="Times New Roman" w:cs="Times New Roman"/>
          <w:szCs w:val="21"/>
        </w:rPr>
        <w:t>1C</w:t>
      </w:r>
      <w:r>
        <w:rPr>
          <w:rFonts w:ascii="Times New Roman" w:hAnsi="Times New Roman" w:cs="Times New Roman"/>
          <w:szCs w:val="21"/>
        </w:rPr>
        <w:t xml:space="preserve"> for the TMS experimental procedures.</w:t>
      </w:r>
    </w:p>
    <w:p w14:paraId="60F5AA42">
      <w:pPr>
        <w:spacing w:line="480" w:lineRule="auto"/>
        <w:rPr>
          <w:rFonts w:ascii="Times New Roman" w:hAnsi="Times New Roman" w:cs="Times New Roman"/>
          <w:b/>
          <w:bCs/>
          <w:szCs w:val="21"/>
        </w:rPr>
      </w:pPr>
      <w:r>
        <w:rPr>
          <w:rFonts w:ascii="Times New Roman" w:hAnsi="Times New Roman" w:cs="Times New Roman"/>
          <w:b/>
          <w:bCs/>
          <w:szCs w:val="21"/>
        </w:rPr>
        <w:t>2.1.4 The TMS with cTBS protocol</w:t>
      </w:r>
    </w:p>
    <w:p w14:paraId="4B91929F">
      <w:pPr>
        <w:spacing w:line="480" w:lineRule="auto"/>
        <w:rPr>
          <w:rFonts w:ascii="Times New Roman" w:hAnsi="Times New Roman" w:cs="Times New Roman"/>
          <w:szCs w:val="21"/>
        </w:rPr>
      </w:pPr>
      <w:r>
        <w:rPr>
          <w:rFonts w:ascii="Times New Roman" w:hAnsi="Times New Roman" w:cs="Times New Roman"/>
          <w:szCs w:val="21"/>
        </w:rPr>
        <w:t xml:space="preserve">The cTBS protocol is the same </w:t>
      </w:r>
      <w:r>
        <w:rPr>
          <w:rFonts w:hint="eastAsia" w:ascii="Times New Roman" w:hAnsi="Times New Roman" w:cs="Times New Roman"/>
          <w:szCs w:val="21"/>
        </w:rPr>
        <w:t>as</w:t>
      </w:r>
      <w:r>
        <w:rPr>
          <w:rFonts w:ascii="Times New Roman" w:hAnsi="Times New Roman" w:cs="Times New Roman"/>
          <w:szCs w:val="21"/>
        </w:rPr>
        <w:t xml:space="preserve"> that of Wu et al.</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{"citationID":"1W9G5ul6","properties":{"formattedCitation":"\\super 4\\nosupersub{}","plainCitation":"4","noteIndex":0},"citationItems":[{"id":474,"uris":["http://zotero.org/users/18576256/items/5ZESZSBA"],"itemData":{"id":474,"type":"article-journal","container-title":"Neurobiology of Language","DOI":"https://doi.org/10.1162/nol_a_00140","issue":"2","language":"en","page":"608–627","publisher":"MIT Press One Broadway, 12th Floor, Cambridge, Massachusetts 02142, USA …","source":"Google Scholar","title":"Continuous theta-burst stimulation on the left posterior inferior frontal gyrus perturbs complex syntactic processing stability in mandarin Chinese","volume":"5","author":[{"family":"Wu","given":"Junjie"},{"family":"Cheng","given":"Yao"},{"family":"Qu","given":"Xingfang"},{"family":"Kang","given":"Tianmin"},{"family":"Cai","given":"Yimin"},{"family":"Wang","given":"Peng"},{"family":"Zaccarella","given":"Emiliano"},{"family":"Friederici","given":"Angela D."},{"family":"Hartwigsen","given":"Gesa"},{"family":"Chen","given":"Luyao"}],"issued":{"date-parts":[["2024"]]}}}],"schema":"https://github.com/citation-style-language/schema/raw/master/csl-citation.json"}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4</w:t>
      </w:r>
      <w:r>
        <w:rPr>
          <w:rFonts w:ascii="Times New Roman" w:hAnsi="Times New Roman" w:cs="Times New Roman"/>
          <w:szCs w:val="21"/>
        </w:rPr>
        <w:fldChar w:fldCharType="end"/>
      </w:r>
      <w:r>
        <w:rPr>
          <w:rFonts w:ascii="Times New Roman" w:hAnsi="Times New Roman" w:cs="Times New Roman"/>
          <w:szCs w:val="21"/>
        </w:rPr>
        <w:t xml:space="preserve"> and Gao et al.</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{"citationID":"PPSJ5BPY","properties":{"formattedCitation":"\\super 6\\nosupersub{}","plainCitation":"6","noteIndex":0},"citationItems":[{"id":482,"uris":["http://zotero.org/users/18576256/items/2RHNT5WG"],"itemData":{"id":482,"type":"article-journal","container-title":"NeuroImage","DOI":"https://doi.org/10.1016/j.neuroimage.2025.121014","language":"en","page":"121014","publisher":"Elsevier","source":"Google Scholar","title":"Continuous theta-burst stimulation demonstrates language-network-specific causal effects on syntactic processing","volume":"306","author":[{"family":"Gao","given":"Chenyang"},{"family":"Wu","given":"Junjie"},{"family":"Cheng","given":"Yao"},{"family":"Ke","given":"Yuming"},{"family":"Qu","given":"Xingfang"},{"family":"Yang","given":"Mingchuan"},{"family":"Hartwigsen","given":"Gesa"},{"family":"Chen","given":"Luyao"}],"issued":{"date-parts":[["2025"]]}}}],"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6</w:t>
      </w:r>
      <w:r>
        <w:rPr>
          <w:rFonts w:ascii="Times New Roman" w:hAnsi="Times New Roman" w:cs="Times New Roman"/>
          <w:szCs w:val="21"/>
        </w:rPr>
        <w:fldChar w:fldCharType="end"/>
      </w:r>
      <w:r>
        <w:rPr>
          <w:rFonts w:ascii="Times New Roman" w:hAnsi="Times New Roman" w:cs="Times New Roman"/>
          <w:szCs w:val="21"/>
        </w:rPr>
        <w:t>. Participants with high-resolution T1-weighted images scanned via a 3T MRI Scanner (Siemens Prisma) were recruited for navigated TMS. Individual anatomical data were obtained for co-registration with the following imaging parameters: repeated time (TR) = 2530ms; echo time (TE) = 2.98ms; flip angle = 7◦; field-of-view (FOV) = 256 × 256mm</w:t>
      </w:r>
      <w:r>
        <w:rPr>
          <w:rFonts w:ascii="Times New Roman" w:hAnsi="Times New Roman" w:cs="Times New Roman"/>
          <w:szCs w:val="21"/>
          <w:vertAlign w:val="superscript"/>
        </w:rPr>
        <w:t>2</w:t>
      </w:r>
      <w:r>
        <w:rPr>
          <w:rFonts w:ascii="Times New Roman" w:hAnsi="Times New Roman" w:cs="Times New Roman"/>
          <w:szCs w:val="21"/>
        </w:rPr>
        <w:t>; matrix size = 256 × 256mm</w:t>
      </w:r>
      <w:r>
        <w:rPr>
          <w:rFonts w:ascii="Times New Roman" w:hAnsi="Times New Roman" w:cs="Times New Roman"/>
          <w:szCs w:val="21"/>
          <w:vertAlign w:val="superscript"/>
        </w:rPr>
        <w:t>2</w:t>
      </w:r>
      <w:r>
        <w:rPr>
          <w:rFonts w:ascii="Times New Roman" w:hAnsi="Times New Roman" w:cs="Times New Roman"/>
          <w:szCs w:val="21"/>
        </w:rPr>
        <w:t>; in-plane resolution within slices = 1.0 × 1.0mm; slice thickness = 1.00 mm; number of slices = 192. Each participant’s T1 image was co-registered with their head in real time using a frameless stereotaxic navigation system (Localite GmbH, Bonn, Germany). The system was recalibrated at the beginning of each TMS session to ensure consistent coil placement across sessions. Specifically, anatomical landmarks, such as the anterior and posterior commissures and the falx cerebri, were utilized to guide the co-registration process. Reflective markers attached to participants' headbands enabled real-time tracking and dynamic adjustments to coil positioning within the predefined target region. These procedures were identical across all three TMS sessions to minimize variability and enhance the reliability of the stimulation process.</w:t>
      </w:r>
    </w:p>
    <w:p w14:paraId="2AB2C623">
      <w:pPr>
        <w:spacing w:line="480" w:lineRule="auto"/>
        <w:rPr>
          <w:rFonts w:ascii="Times New Roman" w:hAnsi="Times New Roman" w:eastAsia="宋体" w:cs="Times New Roman"/>
          <w:strike/>
          <w:szCs w:val="21"/>
          <w:lang w:bidi="ar"/>
        </w:rPr>
      </w:pPr>
      <w:r>
        <w:rPr>
          <w:rFonts w:ascii="Times New Roman" w:hAnsi="Times New Roman" w:cs="Times New Roman"/>
          <w:szCs w:val="21"/>
        </w:rPr>
        <w:t xml:space="preserve">To avoid the potential task bias of localization as identified from the fMRI experiment, the coordinates from a previous meta-analysis on hierarchical syntactic processing (esp., </w:t>
      </w:r>
      <w:r>
        <w:rPr>
          <w:rFonts w:ascii="Times New Roman" w:hAnsi="Times New Roman" w:cs="Times New Roman"/>
          <w:i/>
          <w:iCs/>
          <w:szCs w:val="21"/>
        </w:rPr>
        <w:t>Merge</w:t>
      </w:r>
      <w:r>
        <w:rPr>
          <w:rFonts w:ascii="Times New Roman" w:hAnsi="Times New Roman" w:cs="Times New Roman"/>
          <w:szCs w:val="21"/>
        </w:rPr>
        <w:t>)</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{"citationID":"vRomie0b","properties":{"formattedCitation":"\\super 5\\nosupersub{}","plainCitation":"5","noteIndex":0},"citationItems":[{"id":475,"uris":["http://zotero.org/users/18576256/items/UCDLKU8S"],"itemData":{"id":475,"type":"article-journal","container-title":"Neuroscience &amp; Biobehavioral Reviews","DOI":"https://doi.org/10.1016/j.neubiorev.2017.06.011","language":"en","page":"646–656","publisher":"Elsevier","source":"Google Scholar","title":"Reviewing the functional basis of the syntactic Merge mechanism for language: A coordinate-based activation likelihood estimation meta-analysis","title-short":"Reviewing the functional basis of the syntactic Merge mechanism for language","volume":"80","author":[{"family":"Zaccarella","given":"Emiliano"},{"family":"Schell","given":"Marianne"},{"family":"Friederici","given":"Angela D."}],"issued":{"date-parts":[["2017"]]}}}],"schema":"https://github.com/citation-style-language/schema/raw/master/csl-citation.json"}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5</w:t>
      </w:r>
      <w:r>
        <w:rPr>
          <w:rFonts w:ascii="Times New Roman" w:hAnsi="Times New Roman" w:cs="Times New Roman"/>
          <w:szCs w:val="21"/>
        </w:rPr>
        <w:fldChar w:fldCharType="end"/>
      </w:r>
      <w:r>
        <w:rPr>
          <w:rFonts w:ascii="Times New Roman" w:hAnsi="Times New Roman" w:cs="Times New Roman"/>
          <w:szCs w:val="21"/>
        </w:rPr>
        <w:t xml:space="preserve"> were extracted for the present TMS experiment: LIFG (-54, 20, 26), LpTL (-62, -48, 6). Vertex (0, 0, 75), as an active control site, was defined as the electrode Cz according to the 10-20 international electrode placement system</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{"citationID":"QhybyTE1","properties":{"formattedCitation":"\\super 7\\nosupersub{}","plainCitation":"7","noteIndex":0},"citationItems":[{"id":632,"uris":["http://zotero.org/users/18576256/items/LM5ACBH7"],"itemData":{"id":632,"type":"article-journal","abstract":"While converging sources of evidence point to the possibility of a large-scale distributed network for semantic cognition, a consensus regarding the underlying subregions and their specific function in this network has not been reached. In the current study, we combined functional magnetic resonance imaging (fMRI) and transcranial magnetic stimulation (TMS) methodology to investigate the neural basis of semantic cognition in Mandarin Chinese. In the fMRI experiment, strong activations were observed in left inferior frontal gyrus (IFG) and left middle temporal gyrus (MTG) for semantic judgment task. Moreover, functional connectivity was found from seed region left IFG to left MTG. Meanwhile, negative correlation between performance and extracted parameter estimates from left IFG to left MTG was detected in semantic task. Subsequent TMS stimulation over left IFG resulted in performance deficits in semantic judgment task, in contrast to other three sites: left MTG, right intraparietal sulcus (IPS) and a control site. We concluded that the neural basis of semantic processing for Mandarin Chinese closely resembled that for alphabetic languages such as English, supporting a language-universal view on semantic cognition.","container-title":"Human Brain Mapping","DOI":"10.1002/hbm.24781","ISSN":"1097-0193","issue":"18","language":"en","license":"© 2019 The Authors. Human Brain Mapping published by Wiley Periodicals, Inc.","note":"_eprint: https://onlinelibrary.wiley.com/doi/pdf/10.1002/hbm.24781","page":"5412-5423","source":"Wiley Online Library","title":"The neural basis of semantic cognition in Mandarin Chinese: A combined fMRI and TMS study","title-short":"The neural basis of semantic cognition in Mandarin Chinese","volume":"40","author":[{"family":"Zhang","given":"Qian"},{"family":"Wang","given":"Hui"},{"family":"Luo","given":"Cimei"},{"family":"Zhang","given":"Junjun"},{"family":"Jin","given":"Zhenlan"},{"family":"Li","given":"Ling"}],"issued":{"date-parts":[["2019"]]}}}],"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7</w:t>
      </w:r>
      <w:r>
        <w:rPr>
          <w:rFonts w:ascii="Times New Roman" w:hAnsi="Times New Roman" w:cs="Times New Roman"/>
          <w:szCs w:val="21"/>
        </w:rPr>
        <w:fldChar w:fldCharType="end"/>
      </w:r>
      <w:r>
        <w:rPr>
          <w:rFonts w:ascii="Times New Roman" w:hAnsi="Times New Roman" w:cs="Times New Roman"/>
          <w:szCs w:val="21"/>
        </w:rPr>
        <w:t xml:space="preserve">. After defining the stimulation sites, </w:t>
      </w:r>
      <w:r>
        <w:rPr>
          <w:rFonts w:ascii="Times New Roman" w:hAnsi="Times New Roman" w:eastAsia="宋体" w:cs="Times New Roman"/>
          <w:szCs w:val="21"/>
          <w:lang w:bidi="ar"/>
        </w:rPr>
        <w:t>TMS was delivered using a MagPro X100 TMS stimulator (MagVenture)</w:t>
      </w: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 xml:space="preserve"> which is equipped with a standard 70 mm figure-of-eight coil (MagVenture MCF-B65). The stimulation protocol followed procedures described in our previous research</w:t>
      </w:r>
      <w:r>
        <w:rPr>
          <w:rFonts w:ascii="Times New Roman" w:hAnsi="Times New Roman" w:eastAsia="宋体" w:cs="Times New Roman"/>
          <w:szCs w:val="21"/>
          <w:lang w:bidi="ar"/>
        </w:rPr>
        <w:fldChar w:fldCharType="begin"/>
      </w:r>
      <w:r>
        <w:rPr>
          <w:rFonts w:ascii="Times New Roman" w:hAnsi="Times New Roman" w:eastAsia="宋体" w:cs="Times New Roman"/>
          <w:szCs w:val="21"/>
          <w:lang w:bidi="ar"/>
        </w:rPr>
        <w:instrText xml:space="preserve"> ADDIN ZOTERO_ITEM CSL_CITATION {"citationID":"5a6l6GeI","properties":{"formattedCitation":"\\super 4,6\\nosupersub{}","plainCitation":"4,6","noteIndex":0},"citationItems":[{"id":474,"uris":["http://zotero.org/users/18576256/items/5ZESZSBA"],"itemData":{"id":474,"type":"article-journal","container-title":"Neurobiology of Language","DOI":"https://doi.org/10.1162/nol_a_00140","issue":"2","language":"en","page":"608–627","publisher":"MIT Press One Broadway, 12th Floor, Cambridge, Massachusetts 02142, USA …","source":"Google Scholar","title":"Continuous theta-burst stimulation on the left posterior inferior frontal gyrus perturbs complex syntactic processing stability in mandarin Chinese","volume":"5","author":[{"family":"Wu","given":"Junjie"},{"family":"Cheng","given":"Yao"},{"family":"Qu","given":"Xingfang"},{"family":"Kang","given":"Tianmin"},{"family":"Cai","given":"Yimin"},{"family":"Wang","given":"Peng"},{"family":"Zaccarella","given":"Emiliano"},{"family":"Friederici","given":"Angela D."},{"family":"Hartwigsen","given":"Gesa"},{"family":"Chen","given":"Luyao"}],"issued":{"date-parts":[["2024"]]}}},{"id":482,"uris":["http://zotero.org/users/18576256/items/2RHNT5WG"],"itemData":{"id":482,"type":"article-journal","container-title":"NeuroImage","DOI":"https://doi.org/10.1016/j.neuroimage.2025.121014","language":"en","page":"121014","publisher":"Elsevier","source":"Google Scholar","title":"Continuous theta-burst stimulation demonstrates language-network-specific causal effects on syntactic processing","volume":"306","author":[{"family":"Gao","given":"Chenyang"},{"family":"Wu","given":"Junjie"},{"family":"Cheng","given":"Yao"},{"family":"Ke","given":"Yuming"},{"family":"Qu","given":"Xingfang"},{"family":"Yang","given":"Mingchuan"},{"family":"Hartwigsen","given":"Gesa"},{"family":"Chen","given":"Luyao"}],"issued":{"date-parts":[["2025"]]}}}],"schema":"https://github.com/citation-style-language/schema/raw/master/csl-citation.json"} </w:instrText>
      </w:r>
      <w:r>
        <w:rPr>
          <w:rFonts w:ascii="Times New Roman" w:hAnsi="Times New Roman" w:eastAsia="宋体" w:cs="Times New Roman"/>
          <w:szCs w:val="21"/>
          <w:lang w:bidi="ar"/>
        </w:rPr>
        <w:fldChar w:fldCharType="separate"/>
      </w:r>
      <w:r>
        <w:rPr>
          <w:rFonts w:ascii="Times New Roman" w:hAnsi="Times New Roman" w:cs="Times New Roman"/>
          <w:kern w:val="0"/>
          <w:vertAlign w:val="superscript"/>
        </w:rPr>
        <w:t>4,6</w:t>
      </w:r>
      <w:r>
        <w:rPr>
          <w:rFonts w:ascii="Times New Roman" w:hAnsi="Times New Roman" w:eastAsia="宋体" w:cs="Times New Roman"/>
          <w:szCs w:val="21"/>
          <w:lang w:bidi="ar"/>
        </w:rPr>
        <w:fldChar w:fldCharType="end"/>
      </w:r>
      <w:r>
        <w:rPr>
          <w:rFonts w:ascii="Times New Roman" w:hAnsi="Times New Roman" w:eastAsia="宋体" w:cs="Times New Roman"/>
          <w:szCs w:val="21"/>
          <w:lang w:bidi="ar"/>
        </w:rPr>
        <w:t xml:space="preserve"> and also conformed to the established guidelines</w:t>
      </w:r>
      <w:r>
        <w:rPr>
          <w:rFonts w:ascii="Times New Roman" w:hAnsi="Times New Roman" w:eastAsia="宋体" w:cs="Times New Roman"/>
          <w:szCs w:val="21"/>
          <w:lang w:bidi="ar"/>
        </w:rPr>
        <w:fldChar w:fldCharType="begin"/>
      </w:r>
      <w:r>
        <w:rPr>
          <w:rFonts w:ascii="Times New Roman" w:hAnsi="Times New Roman" w:eastAsia="宋体" w:cs="Times New Roman"/>
          <w:szCs w:val="21"/>
          <w:lang w:bidi="ar"/>
        </w:rPr>
        <w:instrText xml:space="preserve"> ADDIN ZOTERO_ITEM CSL_CITATION {"citationID":"9Ou7fxtS","properties":{"formattedCitation":"\\super 8\\nosupersub{}","plainCitation":"8","noteIndex":0},"citationItems":[{"id":635,"uris":["http://zotero.org/users/18576256/items/ZA9TML9P"],"itemData":{"id":635,"type":"article-journal","abstract":"These guidelines provide an up-date of previous IFCN report on “Non-invasive electrical and magnetic stimulation of the brain, spinal cord and roots: basic principles and procedures for routine clinical application</w:instrText>
      </w:r>
      <w:r>
        <w:rPr>
          <w:rFonts w:hint="eastAsia" w:ascii="Times New Roman" w:hAnsi="Times New Roman" w:eastAsia="宋体" w:cs="Times New Roman"/>
          <w:szCs w:val="21"/>
          <w:lang w:bidi="ar"/>
        </w:rPr>
        <w:instrText xml:space="preserve">”</w:instrText>
      </w:r>
      <w:r>
        <w:rPr>
          <w:rFonts w:ascii="Times New Roman" w:hAnsi="Times New Roman" w:eastAsia="宋体" w:cs="Times New Roman"/>
          <w:szCs w:val="21"/>
          <w:lang w:bidi="ar"/>
        </w:rPr>
        <w:instrText xml:space="preserve"> (Rossini et al., 1994). A new Committee, composed of international experts, some of whom were in the panel of the 1994 “Report”, was selected to produce a current state-of-the-art review of non-invasive stimulation both for clinical application and research in neuroscience. Since 1994, the international scientific community has seen a rapid increase in non-invasive brain stimulation in studying cognition, brain–behavior relationship and pathophysiology of various neurologic and psychiatric disorders. New paradigms of stimulation and new techniques have been developed. Furthermore, a large number of studies and clinical trials have demonstrated potential therapeutic applications of non-invasive brain stimulation, especially for TMS. Recent guidelines can be found in the literature covering specific aspects of non-invasive brain stimulation, such as safety (Rossi et al., 2009), methodology (Groppa et al., 2012) and therapeutic applications (Lefaucheur et al., 2014). This up-dated review covers theoretical, physiological and practical aspects of non-invasive stimulation of brain, spinal cord, nerve roots and peripheral nerves in the light of more updated knowledge, and include some recent extensions and developments.","container-title":"Clinical Neurophysiology","DOI":"10.1016/j.clinph.2015.02.001","ISSN":"1388-2457","issue":"6","journalAbbreviation":"Clinical Neurophysiology","language":"en","page":"1071-1107","source":"ScienceDirect","title":"Non-invasive electrical and magnetic stimulation of the brain, spinal cord, roots and peripheral nerves: Basic principles and procedures for routine clinical and research application. An updated report from an I.F.C.N. Committee","title-short":"Non-invasive electrical and magnetic stimulation of the brain, spinal cord, roots and peripheral nerves","volume":"126","author":[{"family":"Rossini","given":"P. M."},{"family":"Burke","given":"D."},{"family":"Chen","given":"R."},{"family":"Cohen","given":"L. G."},{"family":"Daskalakis","given":"Z."},{"family":"Di Iorio","given":"R."},{"family":"Di Lazzaro","given":"V."},{"family":"Ferreri","given":"F."},{"family":"Fitzgerald","given":"P. B."},{"family":"George","given":"M. S."},{"family":"Hallett","given":"M."},{"family":"Lefaucheur","given":"J. P."},{"family":"Langguth","given":"B."},{"family":"Matsumoto","given":"H."},{"family":"Miniussi","given":"C."},{"family":"Nitsche","given":"M. A."},{"family":"Pascual-Leone","given":"A."},{"family":"Paulus","given":"W."},{"family":"Rossi","given":"S."},{"family":"Rothwell","given":"J. C."},{"family":"Siebner","given":"H. R."},{"family":"Ugawa","given":"Y."},{"family":"Walsh","given":"V."},{"family":"Ziemann","given":"U."}],"issued":{"date-parts":[["2015",6,1]]}}}],"schema":"https://github.com/citation-style-language/schema/raw/master/csl-citation.json"} </w:instrText>
      </w:r>
      <w:r>
        <w:rPr>
          <w:rFonts w:ascii="Times New Roman" w:hAnsi="Times New Roman" w:eastAsia="宋体" w:cs="Times New Roman"/>
          <w:szCs w:val="21"/>
          <w:lang w:bidi="ar"/>
        </w:rPr>
        <w:fldChar w:fldCharType="separate"/>
      </w:r>
      <w:r>
        <w:rPr>
          <w:rFonts w:ascii="Times New Roman" w:hAnsi="Times New Roman" w:cs="Times New Roman"/>
          <w:kern w:val="0"/>
          <w:vertAlign w:val="superscript"/>
        </w:rPr>
        <w:t>8</w:t>
      </w:r>
      <w:r>
        <w:rPr>
          <w:rFonts w:ascii="Times New Roman" w:hAnsi="Times New Roman" w:eastAsia="宋体" w:cs="Times New Roman"/>
          <w:szCs w:val="21"/>
          <w:lang w:bidi="ar"/>
        </w:rPr>
        <w:fldChar w:fldCharType="end"/>
      </w:r>
      <w:r>
        <w:rPr>
          <w:rFonts w:ascii="Times New Roman" w:hAnsi="Times New Roman" w:eastAsia="宋体" w:cs="Times New Roman"/>
          <w:szCs w:val="21"/>
          <w:lang w:bidi="ar"/>
        </w:rPr>
        <w:t>. Single pulses were delivered at the beginning of the first TMS session to the left primary motor cortex (M1)</w:t>
      </w: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 xml:space="preserve"> targeting the hand area</w:t>
      </w: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 xml:space="preserve"> </w:t>
      </w:r>
      <w:r>
        <w:rPr>
          <w:rFonts w:hint="eastAsia" w:ascii="Times New Roman" w:hAnsi="Times New Roman" w:eastAsia="宋体" w:cs="Times New Roman"/>
          <w:szCs w:val="21"/>
          <w:lang w:bidi="ar"/>
        </w:rPr>
        <w:t>to</w:t>
      </w:r>
      <w:r>
        <w:rPr>
          <w:rFonts w:ascii="Times New Roman" w:hAnsi="Times New Roman" w:eastAsia="宋体" w:cs="Times New Roman"/>
          <w:szCs w:val="21"/>
          <w:lang w:bidi="ar"/>
        </w:rPr>
        <w:t xml:space="preserve"> determi</w:t>
      </w:r>
      <w:r>
        <w:rPr>
          <w:rFonts w:hint="eastAsia" w:ascii="Times New Roman" w:hAnsi="Times New Roman" w:eastAsia="宋体" w:cs="Times New Roman"/>
          <w:szCs w:val="21"/>
          <w:lang w:bidi="ar"/>
        </w:rPr>
        <w:t>ne</w:t>
      </w:r>
      <w:r>
        <w:rPr>
          <w:rFonts w:ascii="Times New Roman" w:hAnsi="Times New Roman" w:eastAsia="宋体" w:cs="Times New Roman"/>
          <w:szCs w:val="21"/>
          <w:lang w:bidi="ar"/>
        </w:rPr>
        <w:t xml:space="preserve"> the resting motor threshold (RMT). We recorded the Motor-evoked potentials (MEPs) from the right first dorsal interosseous muscle by using electromyography</w:t>
      </w:r>
      <w:r>
        <w:rPr>
          <w:rFonts w:ascii="Times New Roman" w:hAnsi="Times New Roman" w:eastAsia="宋体" w:cs="Times New Roman"/>
          <w:szCs w:val="21"/>
          <w:lang w:bidi="ar"/>
        </w:rPr>
        <w:fldChar w:fldCharType="begin"/>
      </w:r>
      <w:r>
        <w:rPr>
          <w:rFonts w:ascii="Times New Roman" w:hAnsi="Times New Roman" w:eastAsia="宋体" w:cs="Times New Roman"/>
          <w:szCs w:val="21"/>
          <w:lang w:bidi="ar"/>
        </w:rPr>
        <w:instrText xml:space="preserve"> ADDIN ZOTERO_ITEM CSL_CITATION {"citationID":"HibrDjmV","properties":{"formattedCitation":"\\super 9,10\\nosupersub{}","plainCitation":"9,10","noteIndex":0},"citationItems":[{"id":640,"uris":["http://zotero.org/users/18576256/items/IHS55LAD"],"itemData":{"id":640,"type":"article-journal","abstract":"The pre-supplementary motor area (pre-SMA) is considered to be a key node in the cognitive control of actions that require rapid updating, inhibition or switching, as well as working memory. It is now recognized that the pre-SMA is part of a ‘cognitive control’ network involving the inferior frontal gyrus (IFG) and subcortical regions, such as the striatum and subthalamic nucleus. However, two important questions remain to be addressed. First, it is not clear if the main role of the pre-SMA in cognitive control lies in inhibition or switching of actions. From imaging evidence, the right pre-SMA is consistently recruited during inhibition and switching, but the extent to which it participates specifically in either of these processes is unknown. Secondly, the pre-SMA may perform inhibition and switching alone or as part of a larger brain network. The present study used online and offline transcranial magnetic stimulation (TMS) to dissociate the roles of pre-SMA in cognitive control, but also to investigate the potential contribution of connectivity between the pre-SMA and IFG. We applied continuous theta burst stimulation (cTBS) over the right IFG before participants performed a stop switching task while receiving single TMS pulses over the right pre-SMA. The results were compared to a sham cTBS session and pulses applied over the vertex region. Significant worsening of inhibition as well as response adaptation during inhibition was found when applying pulses over the pre-SMA. However, no such worsening was observed in switch trials. Additionally, after cTBS over the IFG, inhibition was also delayed, suggesting its critical necessity in stopping of actions. The results reveal a key contribution of the pre-SMA in inhibition and could suggest a dissociative role in the switching of actions. These findings indicate there is an essential union between IFG and pre-SMA during inhibition.","container-title":"Frontiers in Human Neuroscience","DOI":"10.3389/fnhum.2013.00150","ISSN":"1662-5161","journalAbbreviation":"Front. Hum. Neurosci.","language":"English","publisher":"Frontiers","source":"Frontiers","title":"Dissociating the Role of the pre-SMA in Response Inhibition and Switching: A Combined Online and Offline TMS Approach","title-short":"Dissociating the Role of the pre-SMA in Response Inhibition and Switching","URL":"https://www.frontiersin.org/journals/human-neuroscience/articles/10.3389/fnhum.2013.00150/full","volume":"7","author":[{"family":"Obeso","given":"Ignacio"},{"family":"Robles","given":"Noemí"},{"family":"Muñoz-Marrón","given":"Elena"},{"family":"Redolar-Ripoll","given":"Diego"}],"accessed":{"date-parts":[["2025",10,28]]},"issued":{"date-parts":[["2013",4,18]]}}},{"id":637,"uris":["http://zotero.org/users/18576256/items/WYMS7EMB"],"itemData":{"id":637,"type":"article-journal","abstract":"In communication, much information is conveyed not explicitly but rather covertly, based on shared assumptions and common knowledge. For instance, when asked “Did you bring your cat to the vet?” a person could reply “It got hurt jumping down the table”, thereby implicating that, indeed, the cat was brought to the vet. The assumption that getting hurt jumping down a table motivates a vet visit is tacitly attributed to the speaker by the listener, which implies Theory of Mind (ToM) processes. In the present study, we apply repetitive transcranial magnetic stimulation to the right temporo-parietal junction (rTPJ), a key brain region underlying ToM, with the aim to disrupt ToM processes necessary for language understanding. We then assess effects on the comprehension of indirect speech acts and their matched direct controls. In one set of conditions, the direct and indirect stimuli where not matched for speech act type, whereas, in the other, these were matched, therefore providing an unconfounded test case for in/directness. When indirect speech acts and direct controls were matched for speech act type (both statements), the indirect ones took longer to process both following sham and verum TMS. However, when the indirect and direct speech acts were not matched for communicative function (accept/decline offer vs. descriptive statement respectively), then a delay was detected for the indirect ones following sham TMS but, crucially, not following verum TMS. Additionally, TMS affected behavior in a ToM task. We therefore do not find evidence that the rTPJ is causally involved in comprehending of indirectness per se, but conclude that it could be involved instead in the processing of specific social communicative activity of rejecting of accepting offers, or to a combination of differing in/directness and communicative function. Our findings are consistent with the view that ToM processing in rTPJ is more important and/or more pronounced for offer acceptance/rejection than for descriptive answers.","container-title":"Neuropsychologia","DOI":"10.1016/j.neuropsychologia.2023.108588","ISSN":"0028-3932","journalAbbreviation":"Neuropsychologia","language":"en","page":"108588","source":"ScienceDirect","title":"Does the right temporo-parietal junction play a role in processing indirect speech acts? A transcranial magnetic stimulation study","title-short":"Does the right temporo-parietal junction play a role in processing indirect speech acts?","volume":"188","author":[{"family":"Boux","given":"Isabella P."},{"family":"Pulvermüller","given":"Friedemann"}],"issued":{"date-parts":[["2023",9,9]]}}}],"schema":"https://github.com/citation-style-language/schema/raw/master/csl-citation.json"} </w:instrText>
      </w:r>
      <w:r>
        <w:rPr>
          <w:rFonts w:ascii="Times New Roman" w:hAnsi="Times New Roman" w:eastAsia="宋体" w:cs="Times New Roman"/>
          <w:szCs w:val="21"/>
          <w:lang w:bidi="ar"/>
        </w:rPr>
        <w:fldChar w:fldCharType="separate"/>
      </w:r>
      <w:r>
        <w:rPr>
          <w:rFonts w:ascii="Times New Roman" w:hAnsi="Times New Roman" w:cs="Times New Roman"/>
          <w:kern w:val="0"/>
          <w:vertAlign w:val="superscript"/>
        </w:rPr>
        <w:t>9,10</w:t>
      </w:r>
      <w:r>
        <w:rPr>
          <w:rFonts w:ascii="Times New Roman" w:hAnsi="Times New Roman" w:eastAsia="宋体" w:cs="Times New Roman"/>
          <w:szCs w:val="21"/>
          <w:lang w:bidi="ar"/>
        </w:rPr>
        <w:fldChar w:fldCharType="end"/>
      </w:r>
      <w:r>
        <w:rPr>
          <w:rFonts w:ascii="Times New Roman" w:hAnsi="Times New Roman" w:eastAsia="宋体" w:cs="Times New Roman"/>
          <w:szCs w:val="21"/>
          <w:lang w:bidi="ar"/>
        </w:rPr>
        <w:t>. Electrodes were configured in a belly-tendon montage, and the ground electrode was attached to the left wrist. Participants were seated comfortably and were instructed to keep their hands relaxed during the procedure. The TMS coil was positioned tangentially to the scalp at a 45° angle relative to the midline of the central sulcus, with the handle pointing laterally and posteriorly</w:t>
      </w:r>
      <w:r>
        <w:rPr>
          <w:rFonts w:ascii="Times New Roman" w:hAnsi="Times New Roman" w:eastAsia="宋体" w:cs="Times New Roman"/>
          <w:szCs w:val="21"/>
          <w:lang w:bidi="ar"/>
        </w:rPr>
        <w:fldChar w:fldCharType="begin"/>
      </w:r>
      <w:r>
        <w:rPr>
          <w:rFonts w:ascii="Times New Roman" w:hAnsi="Times New Roman" w:eastAsia="宋体" w:cs="Times New Roman"/>
          <w:szCs w:val="21"/>
          <w:lang w:bidi="ar"/>
        </w:rPr>
        <w:instrText xml:space="preserve"> ADDIN ZOTERO_ITEM CSL_CITATION {"citationID":"tctDi59j","properties":{"formattedCitation":"\\super 11\\nosupersub{}","plainCitation":"11","noteIndex":0},"citationItems":[{"id":642,"uris":["http://zotero.org/users/18576256/items/2JAWEBNS"],"itemData":{"id":642,"type":"article-journal","abstract":"It is widely accepted that bilinguals activate both languages simultaneously, even when intending to speak only one. A prevailing theory proposes that bilinguals inhibit the nontarget language to produce the target language, thought to be supported by evidence that the right inferior frontal gyrus (rIFG), a region typically associated with inhibition, is activated during language-switching tasks. However, it remains unclear whether the rIFG plays a causal or epiphenomenal role in this process. To explore the role of the rIFG, the present study employed transcranial magnetic stimulation (TMS) to modulate its neural activity and evaluate subsequent behavior in bilinguals. Specifically, twenty-nine Chinese-English bilinguals participated in the study and performed picture-naming tasks in single- and dual-language contexts after receiving sham stimulation (Sham), continuous theta burst stimulation (cTBS), or intermittent theta burst stimulation (iTBS) over the rIFG in three separate visits. Sham served as a control, with cTBS and iTBS intended to decrease and increase cortical excitability, respectively. We found that, compared to Sham, cTBS led to larger asymmetric switching costs and smaller asymmetric mixing costs, whereas iTBS resulted only in smaller asymmetric mixing costs. These findings suggest that cTBS targeting the rIFG likely impairs both local and global control. However, iTBS applied to the rIFG alone may not necessarily enhance language control mechanisms and could even hinder global control. Moreover, exploratory analyses found pronounced TMS-induced impairments in less balanced bilinguals, implying their potentially greater reliance on bilingual language control. Overall, this study is the first to suggest a causal role of the rIFG in language switching.","container-title":"Cognition","DOI":"10.1016/j.cognition.2024.105963","ISSN":"0010-0277","journalAbbreviation":"Cognition","language":"en","page":"105963","source":"ScienceDirect","title":"Transcranial magnetic stimulation of the right inferior frontal gyrus impairs bilinguals' performance in language-switching tasks","volume":"254","author":[{"family":"Wu","given":"Junjie"},{"family":"Ji","given":"Yannan"},{"family":"Qu","given":"Hongfu"},{"family":"Zuo","given":"Shuyue"},{"family":"Liang","given":"Jinsong"},{"family":"Su","given":"Juan"},{"family":"Wang","given":"Qiping"},{"family":"Yan","given":"Guoli"},{"family":"Ding","given":"Guosheng"}],"issued":{"date-parts":[["2025",1,1]]}}}],"schema":"https://github.com/citation-style-language/schema/raw/master/csl-citation.json"} </w:instrText>
      </w:r>
      <w:r>
        <w:rPr>
          <w:rFonts w:ascii="Times New Roman" w:hAnsi="Times New Roman" w:eastAsia="宋体" w:cs="Times New Roman"/>
          <w:szCs w:val="21"/>
          <w:lang w:bidi="ar"/>
        </w:rPr>
        <w:fldChar w:fldCharType="separate"/>
      </w:r>
      <w:r>
        <w:rPr>
          <w:rFonts w:ascii="Times New Roman" w:hAnsi="Times New Roman" w:cs="Times New Roman"/>
          <w:kern w:val="0"/>
          <w:vertAlign w:val="superscript"/>
        </w:rPr>
        <w:t>11</w:t>
      </w:r>
      <w:r>
        <w:rPr>
          <w:rFonts w:ascii="Times New Roman" w:hAnsi="Times New Roman" w:eastAsia="宋体" w:cs="Times New Roman"/>
          <w:szCs w:val="21"/>
          <w:lang w:bidi="ar"/>
        </w:rPr>
        <w:fldChar w:fldCharType="end"/>
      </w:r>
      <w:r>
        <w:rPr>
          <w:rFonts w:ascii="Times New Roman" w:hAnsi="Times New Roman" w:eastAsia="宋体" w:cs="Times New Roman"/>
          <w:szCs w:val="21"/>
          <w:lang w:bidi="ar"/>
        </w:rPr>
        <w:t>. RMT was defined as the minimum stimulation intensity required to generate MEPs with a peak-to-peak amplitude of at least 50</w:t>
      </w:r>
      <w:r>
        <w:rPr>
          <w:rFonts w:hint="eastAsia" w:ascii="Times New Roman" w:hAnsi="Times New Roman" w:eastAsia="宋体" w:cs="Times New Roman"/>
          <w:szCs w:val="21"/>
          <w:lang w:bidi="ar"/>
        </w:rPr>
        <w:t xml:space="preserve"> </w:t>
      </w:r>
      <w:r>
        <w:rPr>
          <w:rFonts w:ascii="Times New Roman" w:hAnsi="Times New Roman" w:eastAsia="宋体" w:cs="Times New Roman"/>
          <w:szCs w:val="21"/>
          <w:lang w:bidi="ar"/>
        </w:rPr>
        <w:t>μV in five or more out of ten consecutive trials</w:t>
      </w:r>
      <w:r>
        <w:rPr>
          <w:rFonts w:ascii="Times New Roman" w:hAnsi="Times New Roman" w:eastAsia="宋体" w:cs="Times New Roman"/>
          <w:szCs w:val="21"/>
          <w:lang w:bidi="ar"/>
        </w:rPr>
        <w:fldChar w:fldCharType="begin"/>
      </w:r>
      <w:r>
        <w:rPr>
          <w:rFonts w:ascii="Times New Roman" w:hAnsi="Times New Roman" w:eastAsia="宋体" w:cs="Times New Roman"/>
          <w:szCs w:val="21"/>
          <w:lang w:bidi="ar"/>
        </w:rPr>
        <w:instrText xml:space="preserve"> ADDIN ZOTERO_ITEM CSL_CITATION {"citationID":"8kKlCpBt","properties":{"formattedCitation":"\\super 8,12\\nosupersub{}","plainCitation":"8,12","noteIndex":0},"citationItems":[{"id":635,"uris":["http://zotero.org/users/18576256/items/ZA9TML9P"],"itemData":{"id":635,"type":"article-journal","abstract":"These guidelines provide an up-date of previous IFCN report on “Non-invasive electrical and magnetic stimulation of the brain, spinal cord and roots: basic principles and procedures for routine clinical application” (Rossini et al., 1994). A new Committee, composed of international experts, some of whom were in the panel of the 1994 “Report”, was selected to produce a current state-of-the-art review of non-invasive stimulation both for clinical application and research in neuroscience. Since 1994, the international scientific community has seen a rapid increase in non-invasive brain stimulation in studying cognition, brain–behavior relationship and pathophysiology of various neurologic and psychiatric disorders. New paradigms of stimulation and new techniques have been developed. Furthermore, a large number of studies and clinical trials have demonstrated potential therapeutic applications of non-invasive brain stimulation, especially for TMS. Recent guidelines can be found in the literature covering specific aspects of non-invasive brain stimulation, such as safety (Rossi et al., 2009), methodology (Groppa et al., 2012) and therapeutic applications (Lefaucheur et al., 2014). This up-dated review covers theoretical, physiological and practical aspects of non-invasive stimulation of brain, spinal cord, nerve roots and peripheral nerves in the light of more updated knowledge, and include some recent extensions and developments.","container-title":"Clinical Neurophysiology","DOI":"10.1016/j.clinph.2015.02.001","ISSN":"1388-2457","issue":"6","journalAbbreviation":"Clinical Neurophysiology","language":"en","page":"1071-1107","source":"ScienceDirect","title":"Non-invasive electrical and magnetic stimulation of the brain, spinal cord, roots and peripheral nerves: Basic principles and procedures for routine clinical and research application. An updated report from an I.F.C.N. Committee","title-short":"Non-invasive electrical and magnetic stimulation of the brain, spinal cord, roots and peripheral nerves","volume":"126","author":[{"family":"Rossini","given":"P. M."},{"family":"Burke","given":"D."},{"family":"Chen","given":"R."},{"family":"Cohen","given":"L. G."},{"family":"Daskalakis","given":"Z."},{"family":"Di Iorio","given":"R."},{"family":"Di Lazzaro","given":"V."},{"family":"Ferreri","given":"F."},{"family":"Fitzgerald","given":"P. B."},{"family":"George","given":"M. S."},{"family":"Hallett","given":"M."},{"family":"Lefaucheur","given":"J. P."},{"family":"Langguth","given":"B."},{"family":"Matsumoto","given":"H."},{"family":"Miniussi","given":"C."},{"family":"Nitsche","given":"M. A."},{"family":"Pascual-Leone","given":"A."},{"family":"Paulus","given":"W."},{"family":"Rossi","given":"S."},{"family":"Rothwell","given":"J. C."},{"family":"Siebner","given":"H. R."},{"family":"Ugawa","given":"Y."},{"family":"Walsh","given":"V."},{"family":"Ziemann","given":"U."}],"issued":{"date-parts":[["2015",6,1]]}}},{"id":644,"uris":["http://zotero.org/users/18576256/items/ZGNEQZU7"],"itemData":{"id":644,"type":"article-journal","abstract":"Inhibitory transcranial magnetic stimulation (TMS), of which continuous theta burst stimulation (cTBS) is a common form, has been used to inhibit cortical areas during investigations of their function. cTBS applied to the primary motor area (M1) depresses motor output excitability via a local effect and impairs procedural motor learning. This could be due to an effect on M1 itself and/or to changes in its connectivity with other nodes in the learning network. To investigate this issue, we used functional magnetic resonance imaging to measure changes in brain activation and connectivity during implicit procedural learning after real and sham cTBS of M1. Compared to sham, real cTBS impaired motor sequence learning, but caused no local or distant changes in brain activation. Rather, it reduced functional connectivity between motor (M1, dorsal premotor &amp; supplementary motor areas) and visual (superior &amp; inferior occipital gyri) areas. It also increased connectivity between frontal associative (superior &amp; inferior frontal gyri), cingulate (dorsal &amp; middle cingulate), and temporal areas. This potentially compensatory shift in coupling, from a motor-based learning network to an associative learning network accounts for the behavioral effects of cTBS of M1. The findings suggest that the inhibitory TMS affects behavior via relatively subtle and distributed effects on connectivity within networks, rather than by taking the stimulated area “offline”.","collection-title":"What's your poison? Neurobehavioural consequences of exposure to industrial, agricultural and environmental chemicals","container-title":"Cortex","DOI":"10.1016/j.cortex.2015.10.004","ISSN":"0010-9452","journalAbbreviation":"Cortex","page":"134-148","source":"ScienceDirect","title":"Shifts in connectivity during procedural learning after motor cortex stimulation: A combined transcranial magnetic stimulation/functional magnetic resonance imaging study","title-short":"Shifts in connectivity during procedural learning after motor cortex stimulation","volume":"74","author":[{"family":"Steel","given":"Adam"},{"family":"Song","given":"Sunbin"},{"family":"Bageac","given":"Devin"},{"family":"Knutson","given":"Kristine M."},{"family":"Keisler","given":"Aysha"},{"family":"Saad","given":"Ziad S."},{"family":"Gotts","given":"Stephen J."},{"family":"Wassermann","given":"Eric M."},{"family":"Wilkinson","given":"Leonora"}],"issued":{"date-parts":[["2016",1,1]]}}}],"schema":"https://github.com/citation-style-language/schema/raw/master/csl-citation.json"} </w:instrText>
      </w:r>
      <w:r>
        <w:rPr>
          <w:rFonts w:ascii="Times New Roman" w:hAnsi="Times New Roman" w:eastAsia="宋体" w:cs="Times New Roman"/>
          <w:szCs w:val="21"/>
          <w:lang w:bidi="ar"/>
        </w:rPr>
        <w:fldChar w:fldCharType="separate"/>
      </w:r>
      <w:r>
        <w:rPr>
          <w:rFonts w:ascii="Times New Roman" w:hAnsi="Times New Roman" w:cs="Times New Roman"/>
          <w:kern w:val="0"/>
          <w:vertAlign w:val="superscript"/>
        </w:rPr>
        <w:t>8,12</w:t>
      </w:r>
      <w:r>
        <w:rPr>
          <w:rFonts w:ascii="Times New Roman" w:hAnsi="Times New Roman" w:eastAsia="宋体" w:cs="Times New Roman"/>
          <w:szCs w:val="21"/>
          <w:lang w:bidi="ar"/>
        </w:rPr>
        <w:fldChar w:fldCharType="end"/>
      </w:r>
      <w:r>
        <w:rPr>
          <w:rFonts w:ascii="Times New Roman" w:hAnsi="Times New Roman" w:eastAsia="宋体" w:cs="Times New Roman"/>
          <w:szCs w:val="21"/>
          <w:lang w:bidi="ar"/>
        </w:rPr>
        <w:t>. Participants’ RMT values ranged from 42% to 72%, with a mean of 58.48% ± 6.62%. Stimulation intensity was set to 80% of each participant’s RMT, consistent with prior studies employing theta-burst stimulation protocols</w:t>
      </w:r>
      <w:r>
        <w:rPr>
          <w:rFonts w:ascii="Times New Roman" w:hAnsi="Times New Roman" w:eastAsia="宋体" w:cs="Times New Roman"/>
          <w:szCs w:val="21"/>
          <w:lang w:bidi="ar"/>
        </w:rPr>
        <w:fldChar w:fldCharType="begin"/>
      </w:r>
      <w:r>
        <w:rPr>
          <w:rFonts w:ascii="Times New Roman" w:hAnsi="Times New Roman" w:eastAsia="宋体" w:cs="Times New Roman"/>
          <w:szCs w:val="21"/>
          <w:lang w:bidi="ar"/>
        </w:rPr>
        <w:instrText xml:space="preserve"> ADDIN ZOTERO_ITEM CSL_CITATION {"citationID":"Ve80j4kg","properties":{"formattedCitation":"\\super 11\\uc0\\u8211{}13\\nosupersub{}","plainCitation":"11–13","noteIndex":0},"citationItems":[{"id":642,"uris":["http://zotero.org/users/18576256/items/2JAWEBNS"],"itemData":{"id":642,"type":"article-journal","abstract":"It is widely accepted that bilinguals activate both languages simultaneously, even when intending to speak only one. A prevailing theory proposes that bilinguals inhibit the nontarget language to produce the target language, thought to be supported by evidence that the right inferior frontal gyrus (rIFG), a region typically associated with inhibition, is activated during language-switching tasks. However, it remains unclear whether the rIFG plays a causal or epiphenomenal role in this process. To explore the role of the rIFG, the present study employed transcranial magnetic stimulation (TMS) to modulate its neural activity and evaluate subsequent behavior in bilinguals. Specifically, twenty-nine Chinese-English bilinguals participated in the study and performed picture-naming tasks in single- and dual-language contexts after receiving sham stimulation (Sham), continuous theta burst stimulation (cTBS), or intermittent theta burst stimulation (iTBS) over the rIFG in three separate visits. Sham served as a control, with cTBS and iTBS intended to decrease and increase cortical excitability, respectively. We found that, compared to Sham, cTBS led to larger asymmetric switching costs and smaller asymmetric mixing costs, whereas iTBS resulted only in smaller asymmetric mixing costs. These findings suggest that cTBS targeting the rIFG likely impairs both local and global control. However, iTBS applied to the rIFG alone may not necessarily enhance language control mechanisms and could even hinder global control. Moreover, exploratory analyses found pronounced TMS-induced impairments in less balanced bilinguals, implying their potentially greater reliance on bilingual language control. Overall, this study is the first to suggest a causal role of the rIFG in language switching.","container-title":"Cognition","DOI":"10.1016/j.cognition.2024.105963","ISSN":"0010-0277","journalAbbreviation":"Cognition","language":"en","page":"105963","source":"ScienceDirect","title":"Transcranial magnetic stimulation of the right inferior frontal gyrus impairs bilinguals' performance in language-switching tasks","volume":"254","author":[{"family":"Wu","given":"Junjie"},{"family":"Ji","given":"Yannan"},{"family":"Qu","given":"Hongfu"},{"family":"Zuo","given":"Shuyue"},{"family":"Liang","given":"Jinsong"},{"family":"Su","given":"Juan"},{"family":"Wang","given":"Qiping"},{"family":"Yan","given":"Guoli"},{"family":"Ding","given":"Guosheng"}],"issued":{"date-parts":[["2025",1,1]]}}},{"id":644,"uris":["http://zotero.org/users/18576256/items/ZGNEQZU7"],"itemData":{"id":644,"type":"article-journal","abstract":"Inhibitory transcranial magnetic stimulation (TMS), of which continuous theta burst stimulation (cTBS) is a common form, has been used to inhibit cortical areas during investigations of their function. cTBS applied to the primary motor area (M1) depresses motor output excitability via a local effect and impairs procedural motor learning. This could be due to an effect on M1 itself and/or to changes in its connectivity with other nodes in the learning network. To investigate this issue, we used functional magnetic resonance imaging to measure changes in brain activation and connectivity during implicit procedural learning after real and sham cTBS of M1. Compared to sham, real cTBS impaired motor sequence learning, but caused no local or distant changes in brain activation. Rather, it reduced functional connectivity between motor (M1, dorsal premotor &amp; supplementary motor areas) and visual (superior &amp; inferior occipital gyri) areas. It also increased connectivity between frontal associative (superior &amp; inferior frontal gyri), cingulate (dorsal &amp; middle cingulate), and temporal areas. This potentially compensatory shift in coupling, from a motor-based learning network to an associative learning network accounts for the behavioral effects of cTBS of M1. The findings suggest that the inhibitory TMS affects behavior via relatively subtle and distributed effects on connectivity within networks, rather than by taking the stimulated area “offline”.","collection-title":"What's your poison? Neurobehavioural consequences of exposure to industrial, agricultural and environmental chemicals","container-title":"Cortex","DOI":"10.1016/j.cortex.2015.10.004","ISSN":"0010-9452","journalAbbreviation":"Cortex","page":"134-148","source":"ScienceDirect","title":"Shifts in connectivity during procedural learning after motor cortex stimulation: A combined transcranial magnetic stimulation/functional magnetic resonance imaging study","title-short":"Shifts in connectivity during procedural learning after motor cortex stimulation","volume":"74","author":[{"family":"Steel","given":"Adam"},{"family":"Song","given":"Sunbin"},{"family":"Bageac","given":"Devin"},{"family":"Knutson","given":"Kristine M."},{"family":"Keisler","given":"Aysha"},{"family":"Saad","given":"Ziad S."},{"family":"Gotts","given":"Stephen J."},{"family":"Wassermann","given":"Eric M."},{"family":"Wilkinson","given":"Leonora"}],"issued":{"date-parts":[["2016",1,1]]}}},{"id":647,"uris":["http://zotero.org/users/18576256/items/XNU2MJY9"],"itemData":{"id":647,"type":"article-journal","abstract":"Accumulating, converging evidence indicates that the anterior temporal lobe (ATL) appears to be the transmodal hub for semantic representation. A series of repetitive transcranial magnetic stimulation (rTMS) investigations utilizing the ‘virtual lesion’ approach have established the brain-behavioural relationship between the ATL and semantic processing by demonstrating that inhibitory rTMS over the ATL induced impairments in semantic performance in healthy individuals. However, a growing body of rTMS studies suggest that rTMS might also be a tool for cognitive enhancement and rehabilitation, though there has been no previous exploration in semantic cognition. Here, we explored a potential role of rTMS in enhancing and inhibiting semantic performance with contrastive rTMS protocols (1 Hz vs. 20 Hz) by controlling practice effects. Twenty-one healthy participants were recruited and performed an object category judgement task and a pattern matching task serving as a control task before and after the stimulation over the ATL (1 Hz, 20 Hz, and sham). A task familiarization procedure was performed prior to the experiment in order to establish a ‘stable baseline’ prior to stimulation and thus minimize practice effect. Our results demonstrated that it is possible to modulate semantic performance positively or negatively depending on the ATL stimulation frequency: 20 Hz rTMS was optimal for facilitating cortical processing (faster RT in a semantic task) contrasting with diminished semantic performance after 1 Hz rTMS. In addition to cementing the importance of the ATL to semantic representation, our findings suggest that 20 Hz rTMS leads to semantic enhancement in healthy individuals and potentially could be used for patients with semantic impairments as a therapeutic tool.","container-title":"NeuroImage","DOI":"10.1016/j.neuroimage.2021.117959","ISSN":"1053-8119","journalAbbreviation":"NeuroImage","page":"117959","source":"ScienceDirect","title":"Enhancing vs. inhibiting semantic performance with transcranial magnetic stimulation over the anterior temporal lobe: Frequency- and task-specific effects","title-short":"Enhancing vs. inhibiting semantic performance with transcranial magnetic stimulation over the anterior temporal lobe","volume":"234","author":[{"family":"Jung","given":"JeYoung"},{"family":"Lambon Ralph","given":"Matthew A."}],"issued":{"date-parts":[["2021",7,1]]}}}],"schema":"https://github.com/citation-style-language/schema/raw/master/csl-citation.json"} </w:instrText>
      </w:r>
      <w:r>
        <w:rPr>
          <w:rFonts w:ascii="Times New Roman" w:hAnsi="Times New Roman" w:eastAsia="宋体" w:cs="Times New Roman"/>
          <w:szCs w:val="21"/>
          <w:lang w:bidi="ar"/>
        </w:rPr>
        <w:fldChar w:fldCharType="separate"/>
      </w:r>
      <w:r>
        <w:rPr>
          <w:rFonts w:ascii="Times New Roman" w:hAnsi="Times New Roman" w:cs="Times New Roman"/>
          <w:kern w:val="0"/>
          <w:vertAlign w:val="superscript"/>
        </w:rPr>
        <w:t>11–13</w:t>
      </w:r>
      <w:r>
        <w:rPr>
          <w:rFonts w:ascii="Times New Roman" w:hAnsi="Times New Roman" w:eastAsia="宋体" w:cs="Times New Roman"/>
          <w:szCs w:val="21"/>
          <w:lang w:bidi="ar"/>
        </w:rPr>
        <w:fldChar w:fldCharType="end"/>
      </w:r>
      <w:r>
        <w:rPr>
          <w:rFonts w:ascii="Times New Roman" w:hAnsi="Times New Roman" w:eastAsia="宋体" w:cs="Times New Roman"/>
          <w:szCs w:val="21"/>
          <w:lang w:bidi="ar"/>
        </w:rPr>
        <w:t xml:space="preserve">. The cTBS was then applied </w:t>
      </w:r>
      <w:r>
        <w:rPr>
          <w:rFonts w:hint="eastAsia" w:ascii="Times New Roman" w:hAnsi="Times New Roman" w:eastAsia="宋体" w:cs="Times New Roman"/>
          <w:szCs w:val="21"/>
          <w:lang w:bidi="ar"/>
        </w:rPr>
        <w:t>at</w:t>
      </w:r>
      <w:r>
        <w:rPr>
          <w:rFonts w:ascii="Times New Roman" w:hAnsi="Times New Roman" w:eastAsia="宋体" w:cs="Times New Roman"/>
          <w:szCs w:val="21"/>
          <w:lang w:bidi="ar"/>
        </w:rPr>
        <w:t xml:space="preserve"> each site </w:t>
      </w:r>
      <w:r>
        <w:rPr>
          <w:rFonts w:hint="eastAsia" w:ascii="Times New Roman" w:hAnsi="Times New Roman" w:eastAsia="宋体" w:cs="Times New Roman"/>
          <w:szCs w:val="21"/>
          <w:lang w:bidi="ar"/>
        </w:rPr>
        <w:t>during</w:t>
      </w:r>
      <w:r>
        <w:rPr>
          <w:rFonts w:ascii="Times New Roman" w:hAnsi="Times New Roman" w:eastAsia="宋体" w:cs="Times New Roman"/>
          <w:szCs w:val="21"/>
          <w:lang w:bidi="ar"/>
        </w:rPr>
        <w:t xml:space="preserve"> a </w:t>
      </w:r>
      <w:r>
        <w:rPr>
          <w:rFonts w:hint="eastAsia" w:ascii="Times New Roman" w:hAnsi="Times New Roman" w:eastAsia="宋体" w:cs="Times New Roman"/>
          <w:szCs w:val="21"/>
          <w:lang w:bidi="ar"/>
        </w:rPr>
        <w:t>given</w:t>
      </w:r>
      <w:r>
        <w:rPr>
          <w:rFonts w:ascii="Times New Roman" w:hAnsi="Times New Roman" w:eastAsia="宋体" w:cs="Times New Roman"/>
          <w:szCs w:val="21"/>
          <w:lang w:bidi="ar"/>
        </w:rPr>
        <w:t xml:space="preserve"> session. The cTBS protocol was configured to deliver triplets of stimulation pulses at 50Hz, repeated every 200ms (= 5 Hz), in a continuous 40-second train, resulting in a total of 600 pulses</w:t>
      </w:r>
      <w:r>
        <w:rPr>
          <w:rFonts w:ascii="Times New Roman" w:hAnsi="Times New Roman" w:eastAsia="宋体" w:cs="Times New Roman"/>
          <w:szCs w:val="21"/>
          <w:lang w:bidi="ar"/>
        </w:rPr>
        <w:fldChar w:fldCharType="begin"/>
      </w:r>
      <w:r>
        <w:rPr>
          <w:rFonts w:ascii="Times New Roman" w:hAnsi="Times New Roman" w:eastAsia="宋体" w:cs="Times New Roman"/>
          <w:szCs w:val="21"/>
          <w:lang w:bidi="ar"/>
        </w:rPr>
        <w:instrText xml:space="preserve"> ADDIN ZOTERO_ITEM CSL_CITATION {"citationID":"nLwVBuS0","properties":{"formattedCitation":"\\super 12,14\\nosupersub{}","plainCitation":"12,14","noteIndex":0},"citationItems":[{"id":644,"uris":["http://zotero.org/users/18576256/items/ZGNEQZU7"],"itemData":{"id":644,"type":"article-journal","abstract":"Inhibitory transcranial magnetic stimulation (TMS), of which continuous theta burst stimulation (cTBS) is a common form, has been used to inhibit cortical areas during investigations of their function. cTBS applied to the primary motor area (M1) depresses motor output excitability via a local effect and impairs procedural motor learning. This could be due to an effect on M1 itself and/or to changes in its connectivity with other nodes in the learning network. To investigate this issue, we used functional magnetic resonance imaging to measure changes in brain activation and connectivity during implicit procedural learning after real and sham cTBS of M1. Compared to sham, real cTBS impaired motor sequence learning, but caused no local or distant changes in brain activation. Rather, it reduced functional connectivity between motor (M1, dorsal premotor &amp; supplementary motor areas) and visual (superior &amp; inferior occipital gyri) areas. It also increased connectivity between frontal associative (superior &amp; inferior frontal gyri), cingulate (dorsal &amp; middle cingulate), and temporal areas. This potentially compensatory shift in coupling, from a motor-based learning network to an associative learning network accounts for the behavioral effects of cTBS of M1. The findings suggest that the inhibitory TMS affects behavior via relatively subtle and distributed effects on connectivity within networks, rather than by taking the stimulated area “offline”.","collection-title":"What's your poison? Neurobehavioural consequences of exposure to industrial, agricultural and environmental chemicals","container-title":"Cortex","DOI":"10.1016/j.cortex.2015.10.004","ISSN":"0010-9452","journalAbbreviation":"Cortex","page":"134-148","source":"ScienceDirect","title":"Shifts in connectivity during procedural learning after motor cortex stimulation: A combined transcranial magnetic stimulation/functional magnetic resonance imaging study","title-short":"Shifts in connectivity during procedural learning after motor cortex stimulation","volume":"74","author":[{"family":"Steel","given":"Adam"},{"family":"Song","given":"Sunbin"},{"family":"Bageac","given":"Devin"},{"family":"Knutson","given":"Kristine M."},{"family":"Keisler","given":"Aysha"},{"family":"Saad","given":"Ziad S."},{"family":"Gotts","given":"Stephen J."},{"family":"Wassermann","given":"Eric M."},{"family":"Wilkinson","given":"Leonora"}],"issued":{"date-parts":[["2016",1,1]]}}},{"id":650,"uris":["http://zotero.org/users/18576256/items/NE5TVV4J"],"itemData":{"id":650,"type":"article-journal","container-title":"Neuron","DOI":"10.1016/j.neuron.2004.12.033","ISSN":"0896-6273","issue":"2","journalAbbreviation":"Neuron","language":"en","page":"201-206","PMID":"15664172","publisher":"Elsevier","source":"www.cell.com","title":"Theta Burst Stimulation of the Human Motor Cortex","volume":"45","author":[{"family":"Huang","given":"Ying-Zu"},{"family":"Edwards","given":"Mark J."},{"family":"Rounis","given":"Elisabeth"},{"family":"Bhatia","given":"Kailash P."},{"family":"Rothwell","given":"John C."}],"issued":{"date-parts":[["2005",1,20]]}}}],"schema":"https://github.com/citation-style-language/schema/raw/master/csl-citation.json"} </w:instrText>
      </w:r>
      <w:r>
        <w:rPr>
          <w:rFonts w:ascii="Times New Roman" w:hAnsi="Times New Roman" w:eastAsia="宋体" w:cs="Times New Roman"/>
          <w:szCs w:val="21"/>
          <w:lang w:bidi="ar"/>
        </w:rPr>
        <w:fldChar w:fldCharType="separate"/>
      </w:r>
      <w:r>
        <w:rPr>
          <w:rFonts w:ascii="Times New Roman" w:hAnsi="Times New Roman" w:cs="Times New Roman"/>
          <w:kern w:val="0"/>
          <w:vertAlign w:val="superscript"/>
        </w:rPr>
        <w:t>12,14</w:t>
      </w:r>
      <w:r>
        <w:rPr>
          <w:rFonts w:ascii="Times New Roman" w:hAnsi="Times New Roman" w:eastAsia="宋体" w:cs="Times New Roman"/>
          <w:szCs w:val="21"/>
          <w:lang w:bidi="ar"/>
        </w:rPr>
        <w:fldChar w:fldCharType="end"/>
      </w:r>
      <w:r>
        <w:rPr>
          <w:rFonts w:ascii="Times New Roman" w:hAnsi="Times New Roman" w:eastAsia="宋体" w:cs="Times New Roman"/>
          <w:szCs w:val="21"/>
          <w:lang w:bidi="ar"/>
        </w:rPr>
        <w:t>.</w:t>
      </w:r>
    </w:p>
    <w:p w14:paraId="27680788">
      <w:pPr>
        <w:spacing w:line="480" w:lineRule="auto"/>
        <w:rPr>
          <w:rFonts w:ascii="Times New Roman" w:hAnsi="Times New Roman" w:cs="Times New Roman"/>
          <w:b/>
          <w:bCs/>
          <w:szCs w:val="21"/>
        </w:rPr>
      </w:pPr>
      <w:r>
        <w:rPr>
          <w:rFonts w:ascii="Times New Roman" w:hAnsi="Times New Roman" w:cs="Times New Roman"/>
          <w:b/>
          <w:bCs/>
          <w:szCs w:val="21"/>
        </w:rPr>
        <w:t>2.1.5 Data analyses</w:t>
      </w:r>
    </w:p>
    <w:p w14:paraId="5CF5A593">
      <w:pPr>
        <w:spacing w:line="480" w:lineRule="auto"/>
        <w:rPr>
          <w:rFonts w:ascii="Times New Roman" w:hAnsi="Times New Roman" w:cs="Times New Roman"/>
          <w:szCs w:val="21"/>
        </w:rPr>
      </w:pPr>
      <w:r>
        <w:rPr>
          <w:rFonts w:ascii="Times New Roman" w:hAnsi="Times New Roman" w:cs="Times New Roman"/>
          <w:szCs w:val="21"/>
        </w:rPr>
        <w:t xml:space="preserve">The data analyses are the same </w:t>
      </w:r>
      <w:r>
        <w:rPr>
          <w:rFonts w:hint="eastAsia" w:ascii="Times New Roman" w:hAnsi="Times New Roman" w:cs="Times New Roman"/>
          <w:szCs w:val="21"/>
        </w:rPr>
        <w:t>as</w:t>
      </w:r>
      <w:r>
        <w:rPr>
          <w:rFonts w:ascii="Times New Roman" w:hAnsi="Times New Roman" w:cs="Times New Roman"/>
          <w:szCs w:val="21"/>
        </w:rPr>
        <w:t xml:space="preserve"> the TUS experiment. The lme4 and lmerTest package in R 4.2.2 were employed to contrast linear mixed</w:t>
      </w:r>
      <w:r>
        <w:rPr>
          <w:rFonts w:hint="eastAsia" w:ascii="Times New Roman" w:hAnsi="Times New Roman" w:cs="Times New Roman"/>
          <w:szCs w:val="21"/>
        </w:rPr>
        <w:t>-</w:t>
      </w:r>
      <w:r>
        <w:rPr>
          <w:rFonts w:ascii="Times New Roman" w:hAnsi="Times New Roman" w:cs="Times New Roman"/>
          <w:szCs w:val="21"/>
        </w:rPr>
        <w:t>effects models (LMMs) for response time (</w:t>
      </w:r>
      <w:r>
        <w:rPr>
          <w:rFonts w:ascii="Times New Roman" w:hAnsi="Times New Roman" w:cs="Times New Roman"/>
          <w:i/>
          <w:iCs/>
          <w:szCs w:val="21"/>
        </w:rPr>
        <w:t>RT</w:t>
      </w:r>
      <w:r>
        <w:rPr>
          <w:rFonts w:ascii="Times New Roman" w:hAnsi="Times New Roman" w:cs="Times New Roman"/>
          <w:szCs w:val="21"/>
        </w:rPr>
        <w:t>) of correctly</w:t>
      </w:r>
      <w:r>
        <w:rPr>
          <w:rFonts w:hint="eastAsia" w:ascii="Times New Roman" w:hAnsi="Times New Roman" w:cs="Times New Roman"/>
          <w:szCs w:val="21"/>
        </w:rPr>
        <w:t xml:space="preserve"> </w:t>
      </w:r>
      <w:r>
        <w:rPr>
          <w:rFonts w:ascii="Times New Roman" w:hAnsi="Times New Roman" w:cs="Times New Roman"/>
          <w:szCs w:val="21"/>
        </w:rPr>
        <w:t>responded sequences, and generalized linear mixed-effects models (GLMMs) were used to analyze accuracy</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{"citationID":"CHIl6kVL","properties":{"formattedCitation":"\\super 15\\uc0\\u8211{}18\\nosupersub{}","plainCitation":"15–18","noteIndex":0},"citationItems":[{"id":171,"uris":["http://zotero.org/users/18576256/items/BJH93DTX"],"itemData":{"id":171,"type":"article-journal","container-title":"Journal of memory and language","DOI":"https://doi.org/10.1016/j.jml.2007.12.005","issue":"4","language":"en","page":"390–412","publisher":"Elsevier","source":"Google Scholar","title":"Mixed-effects modeling with crossed random effects for subjects and items","volume":"59","author":[{"family":"Baayen","given":"R. Harald"},{"family":"Davidson","given":"Douglas J."},{"family":"Bates","given":"Douglas M."}],"issued":{"date-parts":[["2008"]]}}},{"id":668,"uris":["http://zotero.org/users/18576256/items/JAZYJNUB"],"itemData":{"id":668,"type":"article-journal","abstract":"This paper identifies several serious problems with the widespread use of ANOVAs for the analysis of categorical outcome variables such as forced-choice variables, question-answer accuracy, choice in production (e.g. in syntactic priming research), et cetera. I show that even after applying the arcsine-square-root transformation to proportional data, ANOVA can yield spurious results. I discuss conceptual issues underlying these problems and alternatives provided by modern statistics. Specifically, I introduce ordinary logit models (i.e. logistic regression), which are well-suited to analyze categorical data and offer many advantages over ANOVA. Unfortunately, ordinary logit models do not include random effect modeling. To address this issue, I describe mixed logit models (Generalized Linear Mixed Models for binomially distributed outcomes, Breslow and Clayton [Breslow, N. E. &amp; Clayton, D. G. (1993). Approximate inference in generalized linear mixed models. Journal of the American Statistical Society 88(421), 9–25]), which combine the advantages of ordinary logit models with the ability to account for random subject and item effects in one step of analysis. Throughout the paper, I use a psycholinguistic data set to compare the different statistical methods.","collection-title":"Special Issue: Emerging Data Analysis","container-title":"Journal of Memory and Language","DOI":"10.1016/j.jml.2007.11.007","ISSN":"0749-596X","issue":"4","journalAbbreviation":"Journal of Memory and Language","language":"en","page":"434-446","source":"ScienceDirect","title":"Categorical data analysis: Away from ANOVAs (transformation or not) and towards logit mixed models","title-short":"Categorical data analysis","volume":"59","author":[{"family":"Jaeger","given":"T. Florian"}],"issued":{"date-parts":[["2008",11,1]]}}},{"id":534,"uris":["http://zotero.org/users/18576256/items/FGJ63YSQ"],"itemData":{"id":534,"type":"article-journal","abstract":"In a recent paper on mixed-effects models for confirmatory analysis, Barr, Levy, Scheepers, and Tily (2013) offered the following guideline for testing interactions: &amp;quot;one should have by-unit [subject or item] random slopes for any interactions where all factors comprising the interaction are within-unit; if any one factor involved in the interaction is between-unit, then the random slope associated with that interaction cannot be estimated, and is not needed.&amp;quot; (p. 275). Although this guideline is technically correct, it is inadequate for many situations, including mixed factorial designs. The following new guideline is therefore proposed: models testing interactions in designs with replications should include random slopes for the highest-order combination of within-unit factors subsumed by each interaction. Designs with replications are designs where there are multiple observations per sampling unit per cell. Psychological experiments typically involve replicated observations, because multiple stimulus items are usually presented to the same subjects within a single condition. If observations are not replicated (i.e., there is only a single observation per unit per cell), random slope variance cannot be distinguished from random error variance and thus random slopes need not be included.This new guideline implies that a model testing AB in a 2x2 design where A is between and B within should include a random slope for B. Likewise, a model testing all two- and three- way interactions in a 2x2x2 design where A is between and B, C are within should include random slopes for B, C, and BC.The justification for the guideline comes from the logic of mixed-model ANOVA. In an ANOVA analysis of the 2x2 design described above, the appropriate error term for the test of AB is MS_UB, the mean squares for the unit-by-B interaction (e.g., the subjects-by-B or items-by-B interaction). For the 2x2x2 design, the appropriate error term for ABC and BC is MS_UBC, the unit-by-BC interaction; for AB, it is MS_UB; and for AC, it is MS_UC.To what extent is this ANOVA logic applicable to tests of interactions in mixed-effects models? To address this question, Monte Carlo simulations were performed using R (R Core Team, 2013). Models were estimated using the lmer() function of lme4 (Bates, Maechler, &amp;amp; Bolker, 2013), with p-values derived from model comparison (alpha=.05). The performance of mixed-effects models (in terms of Type I error and power) was assessed over two sets of simulations, one for each of two different mixed factorial designs. The first set focused on the test of the AB interaction in a 2x2 design with A between and B within; the second focused on the test of the ABC interaction in a 2x2x2 design with A between and B, C within. For simplicity all datasets included only a single source of random effect variance (e.g., by-subject but not by-item variance). The number of replications per cell was 4, 8, or 16. Predictors were coded using deviation (-.5,.5) coding; identical results were obtained using treatment coding. In the rare case (~2%) that a model did not converge, it was removed from the analysis. Power was reported with and without adjustment for Type I error rate, using the adjustment method reported in Barr et al. (2013).For each set of simulations at each of the three replication levels, 10,000 datasets were randomly generated, each with 24 sampled units (e.g., subjects). The dependent variable was continuous and normally distributed, with all data-generating parameters drawn from uniform distributions. Fixed effects were either between -2 and -1 or between 1 and 2 (with equal probability). The error variance was fixed at 6, and the random effects variance/covariance matrix had variances ranging from 0 to 3 and covariances corresponding to correlations ranging from -.9 to .9.For the 2x2 design, mixed-effects models with two different random effects structures were fit to the data: (1) by-unit random intercept but no random slope for B (&amp;quot;RI&amp;quot;)</w:instrText>
      </w:r>
      <w:r>
        <w:rPr>
          <w:rFonts w:hint="eastAsia" w:ascii="Times New Roman" w:hAnsi="Times New Roman" w:cs="Times New Roman"/>
          <w:szCs w:val="21"/>
        </w:rPr>
        <w:instrText xml:space="preserve">, and (2) a maximal model including a slope for B in addition to the random intercept (&amp;quot;Max&amp;quot;). For comparison purposes, a test of the interaction using mixed-model ANOVA (&amp;quot;AOV&amp;quot;) was performed using R&amp;#39;s `aov()&amp;#39; function.━━━━━━━━━━━━━━━━━━━━━━━━ Reps RI Max AOV ─────────────────── 4 .170 .063 .050 8 .267 .064 .052 16 .395 .063 .049 ━━━━━━━━━━━━━━━━━━━━━━━━Table 1: Type I error rate for the test of AB in the 2x2 design.━━━━━━━━━━━━━━━━━━━━━━━━━━━━━━━━━━━━━━━━━━━━━ Reps RI Max AOV ─────────────────────────────────── 4 .495 (.704) .469 (.507) .471 (.471) 8 .594 (.847) .558 (.604) .558 (.565) 16 .649 (.922) .619 (.657) .619 (.619) ━━━━━━━━━━━━━━━━━━━━━━━━━━━━━━━━━━━━━━━━━━━━━Table 2: Power for the test of AB in the 2x2 design, Adjust</w:instrText>
      </w:r>
      <w:r>
        <w:rPr>
          <w:rFonts w:ascii="Times New Roman" w:hAnsi="Times New Roman" w:cs="Times New Roman"/>
          <w:szCs w:val="21"/>
        </w:rPr>
        <w:instrText xml:space="preserve">ed (Raw) p-values.Results for the test of the AB interaction in the 2x2 design are in Tables 1 and 2. As expected, the Type I error rate for ANOVA and maximal models were very close to the stated alpha-level of .05. In contrast, models lacking the random </w:instrText>
      </w:r>
      <w:r>
        <w:rPr>
          <w:rFonts w:hint="eastAsia" w:ascii="Times New Roman" w:hAnsi="Times New Roman" w:cs="Times New Roman"/>
          <w:szCs w:val="21"/>
        </w:rPr>
        <w:instrText xml:space="preserve">slope for B (&amp;quot;RI&amp;quot;) showed unacceptably high Type I error rates, increasing with the number of replications. Adjusted power was comparable for all three types of analyses (Table 2), albeit with a slight overall advantage for RI.━━━━━━━━━━━━━━━━━━━━━━━━━━━━━━━━━━━━ Reps RI nBC BC Max AOV ──────────────────────────── 8 .124 .159 .059 .057 .051 16 .197 .241 .063 .062 .052 ━━━━━━━━━━━━━━━━━━━━━━━━━━━━━━━━━━━━Table 3: Type I error rate for test of ABC in 2x2x2 design.━━━━━━━━━━━━━━━━━━━━━━━━━━━━━━━━━━━━━━━━━━━━━━━━━━━━━━━━━━━━━━━━━━━━━━━ Reps RI nBC BC Max AOV ─────────────────────────────────────────────────────── 4 .422 (.478) .418 (.546) .396 (.397) .412 (.412) .405 (.405) 8 .562 (.711) .567 (.753) .552 (.575) .564 (.578) .554 (.557) 16 .649 (.866) .651 (.889) .653 (.690) .657 (.687) .656 (.661) ━━━━━━━━━━━━━━━━━━━━━━━━━━━━━━━━━━━━━━━━━━━━━━━━━━━━━━━━━━━━━━━━━━━━━━━Table 4: Power for test of ABC in 2x2x2 design, Adjusted (Raw) p-values.The test of the ABC interaction in the 2x2 design was evaluated</w:instrText>
      </w:r>
      <w:r>
        <w:rPr>
          <w:rFonts w:ascii="Times New Roman" w:hAnsi="Times New Roman" w:cs="Times New Roman"/>
          <w:szCs w:val="21"/>
        </w:rPr>
        <w:instrText xml:space="preserve"> under four different random effects structures, all including a random intercept but varying in which random slopes were included. The models were: (1) random intercept only (&amp;quot;RI&amp;quot;); (2) slopes for B and C but not for BC (&amp;quot;nBC&amp;quot;); (3) slope for BC but not for B nor C (&amp;quot;BC&amp;quot;); and (4) maximal (slopes for B, C, and BC; &amp;quot;Max&amp;quot;).For the test of the ABC interaction, ANOVA and maximal models both yielded acceptable Type I performance (Table 3); the model with the BC slope alone (&amp;quot;BC&amp;quot;) was comparably good. However, the model excluding the BC slope had unacceptably high Type I error rates; surprisingly, omitting this random slope may be even worse than a random-intercept-only model. Adjusted power was comparable across all analyses (Table 4).To summarize: When testing interactions in mixed designs with replications, it is critical to include the random slope corresponding to the highest-order combination of within-subject factors subsumed by each interaction of interest. It is just as important to attend to this guideline when one seeks to simplify a nonconverging model as when one is deciding on what structure to fit in the first place. Failing to include the critical slope in the test of an interaction can yield unacceptably high Type I error rates. Indeed, a model that includes all relevant random slopes except for the single critical slope may perform just as badly as (or possibly even worse than) a random-intercepts-only model, even though such a model is nearly maximal. Finally, note that including only the critical random slope in the model was sufficient to obtain acceptable performance, as illustrated by the &amp;quot;BC&amp;quot; model in the 2x2x2 design.Although the current simulations only considered interactions between categorical variables, the guideline applies whenever there are replicated observations, regardless of what types of variables are involved in an interaction (e.g., continuous only, or a mix of categorical and continuous). For example, consider a design with two independent groups of subjects, where there are observations at multiple time points for each subject. When testing the time-by-group interaction, the model should include a random slope for the continuous variable of time; if time is modeled using multiple terms of a polynomial, then there should be a slope for each of the terms in the polynomial that interact with group. For instance, if the effect of time is modeled as Y = β0 + β1 t + β2 t^2 and the interest is in whether the β0 and β1 parameters vary across group, then the random effects structure should include slopes for both the group-by-t and group-by-t^2 interactions.","container-title":"Frontiers in Psychology","DOI":"10.3389/fpsyg.2013.00328","ISSN":"1664-1078","journalAbbreviation":"Front. Psychol.","language":"en","publisher":"Frontiers","source":"Frontiers","title":"Random effects structure for testing interactions in linear mixed-effects models","URL":"https://www.frontiersin.org/journals/psychology/articles/10.3389/fpsyg.2013.00328/full","volume":"4","author":[{"family":"Barr","given":"Dale J."}],"accessed":{"date-parts":[["2025",8,2]]},"issued":{"date-parts":[["2013",6,5]]}}},{"id":173,"uris":["http://zotero.org/users/18576256/items/T43DR3N5"],"itemData":{"id":173,"type":"article-journal","container-title":"Journal of statistical software","DOI":"https://doi.org/10.18637/jss.v067.i01","language":"en","page":"1–48","source":"Google Scholar","title":"Fitting linear mixed-effects models using lme4","volume":"67","author":[{"family":"Bates","given":"Douglas"},{"family":"Mächler","given":"Martin"},{"family":"Bolker","given":"Ben"},{"family":"Walker","given":"Steve"}],"issued":{"date-parts":[["2015"]]}}}],"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15–18</w:t>
      </w:r>
      <w:r>
        <w:rPr>
          <w:rFonts w:ascii="Times New Roman" w:hAnsi="Times New Roman" w:cs="Times New Roman"/>
          <w:szCs w:val="21"/>
        </w:rPr>
        <w:fldChar w:fldCharType="end"/>
      </w:r>
      <w:r>
        <w:rPr>
          <w:rFonts w:ascii="Times New Roman" w:hAnsi="Times New Roman" w:cs="Times New Roman"/>
          <w:szCs w:val="21"/>
        </w:rPr>
        <w:t xml:space="preserve">. The full model for </w:t>
      </w:r>
      <w:r>
        <w:rPr>
          <w:rFonts w:ascii="Times New Roman" w:hAnsi="Times New Roman" w:cs="Times New Roman"/>
          <w:i/>
          <w:iCs/>
          <w:szCs w:val="21"/>
        </w:rPr>
        <w:t>RT</w:t>
      </w:r>
      <w:r>
        <w:rPr>
          <w:rFonts w:ascii="Times New Roman" w:hAnsi="Times New Roman" w:cs="Times New Roman"/>
          <w:szCs w:val="21"/>
        </w:rPr>
        <w:t xml:space="preserve"> or accuracy was defined as:</w:t>
      </w:r>
    </w:p>
    <w:p w14:paraId="56DDE8F2">
      <w:pPr>
        <w:spacing w:line="480" w:lineRule="auto"/>
        <w:jc w:val="center"/>
        <w:rPr>
          <w:rFonts w:ascii="Times New Roman" w:hAnsi="Times New Roman" w:cs="Times New Roman"/>
          <w:color w:val="0070C0"/>
          <w:szCs w:val="21"/>
        </w:rPr>
      </w:pPr>
      <w:r>
        <w:rPr>
          <w:rFonts w:ascii="Times New Roman" w:hAnsi="Times New Roman" w:cs="Times New Roman"/>
          <w:i/>
          <w:iCs/>
          <w:szCs w:val="21"/>
        </w:rPr>
        <w:t>RT or Accuracy ~ Stimulation region × Structure type + (1 + Stimulation region × Structure type | Subject) + (1 + Stimulation region | Item)</w:t>
      </w:r>
      <w:r>
        <w:rPr>
          <w:rFonts w:ascii="Times New Roman" w:hAnsi="Times New Roman" w:cs="Times New Roman"/>
          <w:szCs w:val="21"/>
        </w:rPr>
        <w:t>.</w:t>
      </w:r>
    </w:p>
    <w:p w14:paraId="1A3E5F03">
      <w:pPr>
        <w:spacing w:line="480" w:lineRule="auto"/>
        <w:rPr>
          <w:rFonts w:ascii="Times New Roman" w:hAnsi="Times New Roman" w:cs="Times New Roman"/>
          <w:szCs w:val="21"/>
        </w:rPr>
      </w:pPr>
      <w:r>
        <w:rPr>
          <w:rFonts w:ascii="Times New Roman" w:hAnsi="Times New Roman" w:cs="Times New Roman"/>
          <w:szCs w:val="21"/>
        </w:rPr>
        <w:t>To note, “</w:t>
      </w:r>
      <w:r>
        <w:rPr>
          <w:rFonts w:ascii="Times New Roman" w:hAnsi="Times New Roman" w:cs="Times New Roman"/>
          <w:i/>
          <w:iCs/>
          <w:szCs w:val="21"/>
        </w:rPr>
        <w:t>Stimulation region</w:t>
      </w:r>
      <w:r>
        <w:rPr>
          <w:rFonts w:ascii="Times New Roman" w:hAnsi="Times New Roman" w:cs="Times New Roman"/>
          <w:szCs w:val="21"/>
        </w:rPr>
        <w:t>” contai</w:t>
      </w:r>
      <w:r>
        <w:rPr>
          <w:rFonts w:hint="eastAsia" w:ascii="Times New Roman" w:hAnsi="Times New Roman" w:cs="Times New Roman"/>
          <w:szCs w:val="21"/>
        </w:rPr>
        <w:t>n</w:t>
      </w:r>
      <w:r>
        <w:rPr>
          <w:rFonts w:ascii="Times New Roman" w:hAnsi="Times New Roman" w:cs="Times New Roman"/>
          <w:szCs w:val="21"/>
        </w:rPr>
        <w:t>s LIFG, LpTL, and vertex; “</w:t>
      </w:r>
      <w:r>
        <w:rPr>
          <w:rFonts w:ascii="Times New Roman" w:hAnsi="Times New Roman" w:cs="Times New Roman"/>
          <w:i/>
          <w:iCs/>
          <w:szCs w:val="21"/>
        </w:rPr>
        <w:t>Structure type</w:t>
      </w:r>
      <w:r>
        <w:rPr>
          <w:rFonts w:ascii="Times New Roman" w:hAnsi="Times New Roman" w:cs="Times New Roman"/>
          <w:szCs w:val="21"/>
        </w:rPr>
        <w:t>” incorporates the complex and the simple sentences. The Restricted Maximum Likelihood (REML) method will be used for parameter estimation. Fixed effects will be tested using a two-tailed t-test with the Kenward-Roger method for degrees of freedom estimation.</w:t>
      </w:r>
    </w:p>
    <w:p w14:paraId="65CFBA6C">
      <w:pPr>
        <w:spacing w:line="480" w:lineRule="auto"/>
        <w:rPr>
          <w:rFonts w:ascii="Times New Roman" w:hAnsi="Times New Roman" w:cs="Times New Roman"/>
          <w:szCs w:val="21"/>
        </w:rPr>
      </w:pPr>
      <w:r>
        <w:rPr>
          <w:rFonts w:ascii="Times New Roman" w:hAnsi="Times New Roman" w:cs="Times New Roman"/>
          <w:szCs w:val="21"/>
        </w:rPr>
        <w:t xml:space="preserve">Moreover, synthesized indices at the group-level, including </w:t>
      </w:r>
      <w:r>
        <w:rPr>
          <w:rFonts w:ascii="Times New Roman" w:hAnsi="Times New Roman" w:cs="Times New Roman"/>
          <w:i/>
          <w:iCs/>
          <w:szCs w:val="21"/>
        </w:rPr>
        <w:t>d’</w:t>
      </w:r>
      <w:r>
        <w:rPr>
          <w:rFonts w:ascii="Times New Roman" w:hAnsi="Times New Roman" w:cs="Times New Roman"/>
          <w:szCs w:val="21"/>
        </w:rPr>
        <w:t xml:space="preserve">, </w:t>
      </w:r>
      <w:r>
        <w:rPr>
          <w:rFonts w:ascii="Times New Roman" w:hAnsi="Times New Roman" w:cs="Times New Roman"/>
          <w:i/>
          <w:iCs/>
          <w:szCs w:val="21"/>
        </w:rPr>
        <w:t>RT</w:t>
      </w:r>
      <w:r>
        <w:rPr>
          <w:rFonts w:ascii="Times New Roman" w:hAnsi="Times New Roman" w:cs="Times New Roman"/>
          <w:szCs w:val="21"/>
        </w:rPr>
        <w:t xml:space="preserve">*, and </w:t>
      </w:r>
      <w:r>
        <w:rPr>
          <w:rFonts w:ascii="Times New Roman" w:hAnsi="Times New Roman" w:cs="Times New Roman"/>
          <w:i/>
          <w:iCs/>
          <w:szCs w:val="21"/>
        </w:rPr>
        <w:t>CV</w:t>
      </w:r>
      <w:r>
        <w:rPr>
          <w:rFonts w:ascii="Times New Roman" w:hAnsi="Times New Roman" w:cs="Times New Roman"/>
          <w:szCs w:val="21"/>
        </w:rPr>
        <w:t>, were also analyzed to evaluate the TMS effects in a relatively comprehensive manner via repeated measures analysis of variance (ANOVA)</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{"citationID":"Fwyw8ml3","properties":{"formattedCitation":"\\super 4\\nosupersub{}","plainCitation":"4","noteIndex":0},"citationItems":[{"id":474,"uris":["http://zotero.org/users/18576256/items/5ZESZSBA"],"itemData":{"id":474,"type":"article-journal","container-title":"Neurobiology of Language","DOI":"https://doi.org/10.1162/nol_a_00140","issue":"2","language":"en","page":"608–627","publisher":"MIT Press One Broadway, 12th Floor, Cambridge, Massachusetts 02142, USA …","source":"Google Scholar","title":"Continuous theta-burst stimulation on the left posterior inferior frontal gyrus perturbs complex syntactic processing stability in mandarin Chinese","volume":"5","author":[{"family":"Wu","given":"Junjie"},{"family":"Cheng","given":"Yao"},{"family":"Qu","given":"Xingfang"},{"family":"Kang","given":"Tianmin"},{"family":"Cai","given":"Yimin"},{"family":"Wang","given":"Peng"},{"family":"Zaccarella","given":"Emiliano"},{"family":"Friederici","given":"Angela D."},{"family":"Hartwigsen","given":"Gesa"},{"family":"Chen","given":"Luyao"}],"issued":{"date-parts":[["2024"]]}}}],"schema":"https://github.com/citation-style-language/schema/raw/master/csl-citation.json"}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4</w:t>
      </w:r>
      <w:r>
        <w:rPr>
          <w:rFonts w:ascii="Times New Roman" w:hAnsi="Times New Roman" w:cs="Times New Roman"/>
          <w:szCs w:val="21"/>
        </w:rPr>
        <w:fldChar w:fldCharType="end"/>
      </w:r>
      <w:r>
        <w:rPr>
          <w:rFonts w:ascii="Times New Roman" w:hAnsi="Times New Roman" w:eastAsia="宋体" w:cs="Times New Roman"/>
          <w:szCs w:val="21"/>
        </w:rPr>
        <w:t>.</w:t>
      </w:r>
    </w:p>
    <w:p w14:paraId="6D2FB43F">
      <w:pPr>
        <w:spacing w:line="480" w:lineRule="auto"/>
        <w:rPr>
          <w:rFonts w:ascii="Times New Roman" w:hAnsi="Times New Roman" w:cs="Times New Roman"/>
          <w:szCs w:val="21"/>
        </w:rPr>
      </w:pPr>
      <w:r>
        <w:rPr>
          <w:rFonts w:ascii="Times New Roman" w:hAnsi="Times New Roman" w:cs="Times New Roman"/>
          <w:b/>
          <w:bCs/>
          <w:szCs w:val="21"/>
        </w:rPr>
        <w:t>2.2 Results</w:t>
      </w:r>
    </w:p>
    <w:p w14:paraId="5A22CE1F">
      <w:pPr>
        <w:spacing w:line="480" w:lineRule="auto"/>
        <w:rPr>
          <w:rFonts w:ascii="Times New Roman" w:hAnsi="Times New Roman" w:cs="Times New Roman"/>
          <w:szCs w:val="21"/>
        </w:rPr>
      </w:pPr>
      <w:r>
        <w:rPr>
          <w:rFonts w:ascii="Times New Roman" w:hAnsi="Times New Roman" w:cs="Times New Roman"/>
          <w:szCs w:val="21"/>
        </w:rPr>
        <w:t xml:space="preserve">The LMMs showed a significant main effect of Structure type: </w:t>
      </w:r>
      <w:r>
        <w:rPr>
          <w:rFonts w:ascii="Times New Roman" w:hAnsi="Times New Roman" w:cs="Times New Roman"/>
          <w:i/>
          <w:iCs/>
          <w:szCs w:val="21"/>
        </w:rPr>
        <w:t>F</w:t>
      </w: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 34.</w:t>
      </w:r>
      <w:r>
        <w:rPr>
          <w:rFonts w:hint="eastAsia" w:ascii="Times New Roman" w:hAnsi="Times New Roman" w:cs="Times New Roman"/>
          <w:szCs w:val="21"/>
        </w:rPr>
        <w:t>18</w:t>
      </w:r>
      <w:r>
        <w:rPr>
          <w:rFonts w:ascii="Times New Roman" w:hAnsi="Times New Roman" w:cs="Times New Roman"/>
          <w:szCs w:val="21"/>
        </w:rPr>
        <w:t xml:space="preserve">) = </w:t>
      </w:r>
      <w:r>
        <w:rPr>
          <w:rFonts w:hint="eastAsia" w:ascii="Times New Roman" w:hAnsi="Times New Roman" w:cs="Times New Roman"/>
          <w:szCs w:val="21"/>
        </w:rPr>
        <w:t>53.50</w:t>
      </w:r>
      <w:r>
        <w:rPr>
          <w:rFonts w:ascii="Times New Roman" w:hAnsi="Times New Roman"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 &lt; 0.001. The post-hoc tests showed that complex sentence processing </w:t>
      </w:r>
      <w:r>
        <w:rPr>
          <w:rFonts w:hint="eastAsia" w:ascii="Times New Roman" w:hAnsi="Times New Roman" w:cs="Times New Roman"/>
          <w:szCs w:val="21"/>
        </w:rPr>
        <w:t>was</w:t>
      </w:r>
      <w:r>
        <w:rPr>
          <w:rFonts w:ascii="Times New Roman" w:hAnsi="Times New Roman" w:cs="Times New Roman"/>
          <w:szCs w:val="21"/>
        </w:rPr>
        <w:t xml:space="preserve"> significantly slower than the simple sentence processing (</w:t>
      </w:r>
      <w:r>
        <w:rPr>
          <w:rFonts w:ascii="Times New Roman" w:hAnsi="Times New Roman" w:eastAsia="宋体" w:cs="Times New Roman"/>
          <w:bCs/>
          <w:i/>
          <w:iCs/>
          <w:szCs w:val="21"/>
        </w:rPr>
        <w:t>b</w:t>
      </w:r>
      <w:r>
        <w:rPr>
          <w:rFonts w:ascii="Times New Roman" w:hAnsi="Times New Roman" w:eastAsia="宋体" w:cs="Times New Roman"/>
          <w:bCs/>
          <w:szCs w:val="21"/>
        </w:rPr>
        <w:t xml:space="preserve"> = 0.013, </w:t>
      </w:r>
      <w:r>
        <w:rPr>
          <w:rFonts w:ascii="Times New Roman" w:hAnsi="Times New Roman" w:eastAsia="宋体" w:cs="Times New Roman"/>
          <w:bCs/>
          <w:i/>
          <w:iCs/>
          <w:szCs w:val="21"/>
        </w:rPr>
        <w:t>SE</w:t>
      </w:r>
      <w:r>
        <w:rPr>
          <w:rFonts w:ascii="Times New Roman" w:hAnsi="Times New Roman" w:eastAsia="宋体" w:cs="Times New Roman"/>
          <w:bCs/>
          <w:szCs w:val="21"/>
        </w:rPr>
        <w:t xml:space="preserve"> = 0.003, </w:t>
      </w:r>
      <w:r>
        <w:rPr>
          <w:rFonts w:ascii="Times New Roman" w:hAnsi="Times New Roman" w:eastAsia="宋体" w:cs="Times New Roman"/>
          <w:bCs/>
          <w:i/>
          <w:iCs/>
          <w:szCs w:val="21"/>
        </w:rPr>
        <w:t>z</w:t>
      </w:r>
      <w:r>
        <w:rPr>
          <w:rFonts w:ascii="Times New Roman" w:hAnsi="Times New Roman" w:eastAsia="宋体" w:cs="Times New Roman"/>
          <w:bCs/>
          <w:szCs w:val="21"/>
        </w:rPr>
        <w:t xml:space="preserve"> = 4.866, </w:t>
      </w:r>
      <w:r>
        <w:rPr>
          <w:rFonts w:ascii="Times New Roman" w:hAnsi="Times New Roman" w:eastAsia="宋体" w:cs="Times New Roman"/>
          <w:bCs/>
          <w:i/>
          <w:iCs/>
          <w:szCs w:val="21"/>
        </w:rPr>
        <w:t>p</w:t>
      </w:r>
      <w:r>
        <w:rPr>
          <w:rFonts w:ascii="Times New Roman" w:hAnsi="Times New Roman" w:eastAsia="宋体" w:cs="Times New Roman"/>
          <w:bCs/>
          <w:szCs w:val="21"/>
        </w:rPr>
        <w:t xml:space="preserve"> &lt; 0.001</w:t>
      </w:r>
      <w:r>
        <w:rPr>
          <w:rFonts w:ascii="Times New Roman" w:hAnsi="Times New Roman" w:cs="Times New Roman"/>
          <w:szCs w:val="21"/>
        </w:rPr>
        <w:t>), which was in turn slower than word list processing (</w:t>
      </w:r>
      <w:r>
        <w:rPr>
          <w:rFonts w:ascii="Times New Roman" w:hAnsi="Times New Roman" w:eastAsia="宋体" w:cs="Times New Roman"/>
          <w:bCs/>
          <w:i/>
          <w:iCs/>
          <w:szCs w:val="21"/>
        </w:rPr>
        <w:t>b</w:t>
      </w:r>
      <w:r>
        <w:rPr>
          <w:rFonts w:ascii="Times New Roman" w:hAnsi="Times New Roman" w:eastAsia="宋体" w:cs="Times New Roman"/>
          <w:bCs/>
          <w:szCs w:val="21"/>
        </w:rPr>
        <w:t xml:space="preserve"> = 0.042, </w:t>
      </w:r>
      <w:r>
        <w:rPr>
          <w:rFonts w:ascii="Times New Roman" w:hAnsi="Times New Roman" w:eastAsia="宋体" w:cs="Times New Roman"/>
          <w:bCs/>
          <w:i/>
          <w:iCs/>
          <w:szCs w:val="21"/>
        </w:rPr>
        <w:t>SE</w:t>
      </w:r>
      <w:r>
        <w:rPr>
          <w:rFonts w:ascii="Times New Roman" w:hAnsi="Times New Roman" w:eastAsia="宋体" w:cs="Times New Roman"/>
          <w:bCs/>
          <w:szCs w:val="21"/>
        </w:rPr>
        <w:t xml:space="preserve"> = 0.005, </w:t>
      </w:r>
      <w:r>
        <w:rPr>
          <w:rFonts w:ascii="Times New Roman" w:hAnsi="Times New Roman" w:eastAsia="宋体" w:cs="Times New Roman"/>
          <w:bCs/>
          <w:i/>
          <w:iCs/>
          <w:szCs w:val="21"/>
        </w:rPr>
        <w:t>z</w:t>
      </w:r>
      <w:r>
        <w:rPr>
          <w:rFonts w:ascii="Times New Roman" w:hAnsi="Times New Roman" w:eastAsia="宋体" w:cs="Times New Roman"/>
          <w:bCs/>
          <w:szCs w:val="21"/>
        </w:rPr>
        <w:t xml:space="preserve"> = 7.999, </w:t>
      </w:r>
      <w:r>
        <w:rPr>
          <w:rFonts w:ascii="Times New Roman" w:hAnsi="Times New Roman" w:eastAsia="宋体" w:cs="Times New Roman"/>
          <w:bCs/>
          <w:i/>
          <w:iCs/>
          <w:szCs w:val="21"/>
        </w:rPr>
        <w:t>p</w:t>
      </w:r>
      <w:r>
        <w:rPr>
          <w:rFonts w:ascii="Times New Roman" w:hAnsi="Times New Roman" w:eastAsia="宋体" w:cs="Times New Roman"/>
          <w:bCs/>
          <w:szCs w:val="21"/>
        </w:rPr>
        <w:t xml:space="preserve"> &lt; 0.001</w:t>
      </w:r>
      <w:r>
        <w:rPr>
          <w:rFonts w:ascii="Times New Roman" w:hAnsi="Times New Roman" w:cs="Times New Roman"/>
          <w:szCs w:val="21"/>
        </w:rPr>
        <w:t xml:space="preserve">). The Stimulation region did not show </w:t>
      </w:r>
      <w:r>
        <w:rPr>
          <w:rFonts w:hint="eastAsia" w:ascii="Times New Roman" w:hAnsi="Times New Roman" w:cs="Times New Roman"/>
          <w:szCs w:val="21"/>
        </w:rPr>
        <w:t>a</w:t>
      </w:r>
      <w:r>
        <w:rPr>
          <w:rFonts w:ascii="Times New Roman" w:hAnsi="Times New Roman" w:cs="Times New Roman"/>
          <w:szCs w:val="21"/>
        </w:rPr>
        <w:t xml:space="preserve"> significant main effect (</w:t>
      </w:r>
      <w:r>
        <w:rPr>
          <w:rFonts w:ascii="Times New Roman" w:hAnsi="Times New Roman" w:cs="Times New Roman"/>
          <w:i/>
          <w:iCs/>
          <w:szCs w:val="21"/>
        </w:rPr>
        <w:t>F</w:t>
      </w:r>
      <w:r>
        <w:rPr>
          <w:rFonts w:ascii="Times New Roman" w:hAnsi="Times New Roman" w:cs="Times New Roman"/>
          <w:szCs w:val="21"/>
        </w:rPr>
        <w:t xml:space="preserve"> </w:t>
      </w:r>
      <w:r>
        <w:rPr>
          <w:rFonts w:hint="eastAsia" w:ascii="Times New Roman" w:hAnsi="Times New Roman" w:cs="Times New Roman"/>
          <w:szCs w:val="21"/>
        </w:rPr>
        <w:t>=</w:t>
      </w:r>
      <w:r>
        <w:rPr>
          <w:rFonts w:ascii="Times New Roman" w:hAnsi="Times New Roman" w:cs="Times New Roman"/>
          <w:szCs w:val="21"/>
        </w:rPr>
        <w:t xml:space="preserve"> 0.</w:t>
      </w:r>
      <w:r>
        <w:rPr>
          <w:rFonts w:hint="eastAsia" w:ascii="Times New Roman" w:hAnsi="Times New Roman" w:cs="Times New Roman"/>
          <w:szCs w:val="21"/>
        </w:rPr>
        <w:t>90</w:t>
      </w:r>
      <w:r>
        <w:rPr>
          <w:rFonts w:ascii="Times New Roman" w:hAnsi="Times New Roman"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 </w:t>
      </w:r>
      <w:r>
        <w:rPr>
          <w:rFonts w:hint="eastAsia" w:ascii="Times New Roman" w:hAnsi="Times New Roman" w:cs="Times New Roman"/>
          <w:szCs w:val="21"/>
        </w:rPr>
        <w:t>=</w:t>
      </w:r>
      <w:r>
        <w:rPr>
          <w:rFonts w:ascii="Times New Roman" w:hAnsi="Times New Roman" w:cs="Times New Roman"/>
          <w:szCs w:val="21"/>
        </w:rPr>
        <w:t xml:space="preserve"> 0.416) or its interactive effect with the Structure type (</w:t>
      </w:r>
      <w:r>
        <w:rPr>
          <w:rFonts w:ascii="Times New Roman" w:hAnsi="Times New Roman" w:cs="Times New Roman"/>
          <w:i/>
          <w:iCs/>
          <w:szCs w:val="21"/>
        </w:rPr>
        <w:t>F</w:t>
      </w:r>
      <w:r>
        <w:rPr>
          <w:rFonts w:ascii="Times New Roman" w:hAnsi="Times New Roman" w:cs="Times New Roman"/>
          <w:szCs w:val="21"/>
        </w:rPr>
        <w:t xml:space="preserve"> </w:t>
      </w:r>
      <w:r>
        <w:rPr>
          <w:rFonts w:hint="eastAsia" w:ascii="Times New Roman" w:hAnsi="Times New Roman" w:cs="Times New Roman"/>
          <w:szCs w:val="21"/>
        </w:rPr>
        <w:t>=</w:t>
      </w:r>
      <w:r>
        <w:rPr>
          <w:rFonts w:ascii="Times New Roman" w:hAnsi="Times New Roman" w:cs="Times New Roman"/>
          <w:szCs w:val="21"/>
        </w:rPr>
        <w:t xml:space="preserve"> 1.</w:t>
      </w:r>
      <w:r>
        <w:rPr>
          <w:rFonts w:hint="eastAsia" w:ascii="Times New Roman" w:hAnsi="Times New Roman" w:cs="Times New Roman"/>
          <w:szCs w:val="21"/>
        </w:rPr>
        <w:t>22</w:t>
      </w:r>
      <w:r>
        <w:rPr>
          <w:rFonts w:ascii="Times New Roman" w:hAnsi="Times New Roman"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 </w:t>
      </w:r>
      <w:r>
        <w:rPr>
          <w:rFonts w:hint="eastAsia" w:ascii="Times New Roman" w:hAnsi="Times New Roman" w:cs="Times New Roman"/>
          <w:szCs w:val="21"/>
        </w:rPr>
        <w:t>=</w:t>
      </w:r>
      <w:r>
        <w:rPr>
          <w:rFonts w:ascii="Times New Roman" w:hAnsi="Times New Roman" w:cs="Times New Roman"/>
          <w:szCs w:val="21"/>
        </w:rPr>
        <w:t xml:space="preserve"> 0.300) for </w:t>
      </w:r>
      <w:r>
        <w:rPr>
          <w:rFonts w:ascii="Times New Roman" w:hAnsi="Times New Roman" w:cs="Times New Roman"/>
          <w:i/>
          <w:iCs/>
          <w:szCs w:val="21"/>
        </w:rPr>
        <w:t>RT</w:t>
      </w:r>
      <w:r>
        <w:rPr>
          <w:rFonts w:ascii="Times New Roman" w:hAnsi="Times New Roman" w:cs="Times New Roman"/>
          <w:szCs w:val="21"/>
        </w:rPr>
        <w:t xml:space="preserve">. </w:t>
      </w:r>
    </w:p>
    <w:p w14:paraId="044A5135">
      <w:pPr>
        <w:spacing w:line="480" w:lineRule="auto"/>
        <w:rPr>
          <w:rFonts w:ascii="Times New Roman" w:hAnsi="Times New Roman" w:cs="Times New Roman"/>
          <w:szCs w:val="21"/>
        </w:rPr>
      </w:pPr>
      <w:r>
        <w:rPr>
          <w:rFonts w:ascii="Times New Roman" w:hAnsi="Times New Roman" w:cs="Times New Roman"/>
          <w:szCs w:val="21"/>
        </w:rPr>
        <w:t>For accuracy, the GLMMs again identified a significant main effect of Structure type: χ</w:t>
      </w:r>
      <w:r>
        <w:rPr>
          <w:rFonts w:ascii="Times New Roman" w:hAnsi="Times New Roman" w:cs="Times New Roman"/>
          <w:szCs w:val="21"/>
          <w:vertAlign w:val="superscript"/>
        </w:rPr>
        <w:t>2</w:t>
      </w: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 xml:space="preserve">) = 13.33, </w:t>
      </w:r>
      <w:r>
        <w:rPr>
          <w:rFonts w:ascii="Times New Roman" w:hAnsi="Times New Roman" w:cs="Times New Roman"/>
          <w:i/>
          <w:iCs/>
          <w:szCs w:val="21"/>
        </w:rPr>
        <w:t>p</w:t>
      </w:r>
      <w:r>
        <w:rPr>
          <w:rFonts w:ascii="Times New Roman" w:hAnsi="Times New Roman" w:cs="Times New Roman"/>
          <w:szCs w:val="21"/>
        </w:rPr>
        <w:t xml:space="preserve"> = 0.001. The post-hoc tests revealed that </w:t>
      </w:r>
      <w:r>
        <w:rPr>
          <w:rFonts w:hint="eastAsia" w:ascii="Times New Roman" w:hAnsi="Times New Roman" w:cs="Times New Roman"/>
          <w:szCs w:val="21"/>
        </w:rPr>
        <w:t xml:space="preserve">the </w:t>
      </w:r>
      <w:r>
        <w:rPr>
          <w:rFonts w:ascii="Times New Roman" w:hAnsi="Times New Roman" w:cs="Times New Roman"/>
          <w:szCs w:val="21"/>
        </w:rPr>
        <w:t>accuracy of simple sentence processing was significantly higher than that of word list processing (</w:t>
      </w:r>
      <w:r>
        <w:rPr>
          <w:rFonts w:ascii="Times New Roman" w:hAnsi="Times New Roman" w:eastAsia="宋体" w:cs="Times New Roman"/>
          <w:bCs/>
          <w:i/>
          <w:iCs/>
          <w:szCs w:val="21"/>
        </w:rPr>
        <w:t>b</w:t>
      </w:r>
      <w:r>
        <w:rPr>
          <w:rFonts w:ascii="Times New Roman" w:hAnsi="Times New Roman" w:eastAsia="宋体" w:cs="Times New Roman"/>
          <w:bCs/>
          <w:szCs w:val="21"/>
        </w:rPr>
        <w:t xml:space="preserve"> = 0.382, </w:t>
      </w:r>
      <w:r>
        <w:rPr>
          <w:rFonts w:ascii="Times New Roman" w:hAnsi="Times New Roman" w:eastAsia="宋体" w:cs="Times New Roman"/>
          <w:bCs/>
          <w:i/>
          <w:iCs/>
          <w:szCs w:val="21"/>
        </w:rPr>
        <w:t>SE</w:t>
      </w:r>
      <w:r>
        <w:rPr>
          <w:rFonts w:ascii="Times New Roman" w:hAnsi="Times New Roman" w:eastAsia="宋体" w:cs="Times New Roman"/>
          <w:bCs/>
          <w:szCs w:val="21"/>
        </w:rPr>
        <w:t xml:space="preserve"> = 0.105, </w:t>
      </w:r>
      <w:r>
        <w:rPr>
          <w:rFonts w:ascii="Times New Roman" w:hAnsi="Times New Roman" w:eastAsia="宋体" w:cs="Times New Roman"/>
          <w:bCs/>
          <w:i/>
          <w:iCs/>
          <w:szCs w:val="21"/>
        </w:rPr>
        <w:t>z</w:t>
      </w:r>
      <w:r>
        <w:rPr>
          <w:rFonts w:ascii="Times New Roman" w:hAnsi="Times New Roman" w:eastAsia="宋体" w:cs="Times New Roman"/>
          <w:bCs/>
          <w:szCs w:val="21"/>
        </w:rPr>
        <w:t xml:space="preserve"> = 3.650, </w:t>
      </w:r>
      <w:r>
        <w:rPr>
          <w:rFonts w:ascii="Times New Roman" w:hAnsi="Times New Roman" w:eastAsia="宋体" w:cs="Times New Roman"/>
          <w:bCs/>
          <w:i/>
          <w:iCs/>
          <w:szCs w:val="21"/>
        </w:rPr>
        <w:t>p</w:t>
      </w:r>
      <w:r>
        <w:rPr>
          <w:rFonts w:ascii="Times New Roman" w:hAnsi="Times New Roman" w:eastAsia="宋体" w:cs="Times New Roman"/>
          <w:bCs/>
          <w:szCs w:val="21"/>
        </w:rPr>
        <w:t xml:space="preserve"> = 0.001</w:t>
      </w:r>
      <w:r>
        <w:rPr>
          <w:rFonts w:ascii="Times New Roman" w:hAnsi="Times New Roman" w:cs="Times New Roman"/>
          <w:szCs w:val="21"/>
        </w:rPr>
        <w:t>). No significant differences were found between complex and simple sentence processing, nor between complex sentence and word-list processing (|</w:t>
      </w:r>
      <w:r>
        <w:rPr>
          <w:rFonts w:ascii="Times New Roman" w:hAnsi="Times New Roman" w:cs="Times New Roman"/>
          <w:i/>
          <w:iCs/>
          <w:szCs w:val="21"/>
        </w:rPr>
        <w:t>z|</w:t>
      </w:r>
      <w:r>
        <w:rPr>
          <w:rFonts w:ascii="Times New Roman" w:hAnsi="Times New Roman" w:cs="Times New Roman"/>
          <w:szCs w:val="21"/>
        </w:rPr>
        <w:t xml:space="preserve">s </w:t>
      </w:r>
      <w:r>
        <w:rPr>
          <w:rFonts w:ascii="Times New Roman" w:hAnsi="Times New Roman" w:eastAsia="宋体" w:cs="Times New Roman"/>
          <w:szCs w:val="21"/>
        </w:rPr>
        <w:t>≤</w:t>
      </w:r>
      <w:r>
        <w:rPr>
          <w:rFonts w:ascii="Times New Roman" w:hAnsi="Times New Roman" w:cs="Times New Roman"/>
          <w:szCs w:val="21"/>
        </w:rPr>
        <w:t xml:space="preserve"> 2.117, </w:t>
      </w:r>
      <w:r>
        <w:rPr>
          <w:rFonts w:ascii="Times New Roman" w:hAnsi="Times New Roman" w:cs="Times New Roman"/>
          <w:i/>
          <w:iCs/>
          <w:szCs w:val="21"/>
        </w:rPr>
        <w:t>p</w:t>
      </w:r>
      <w:r>
        <w:rPr>
          <w:rFonts w:ascii="Times New Roman" w:hAnsi="Times New Roman" w:cs="Times New Roman"/>
          <w:szCs w:val="21"/>
        </w:rPr>
        <w:t xml:space="preserve">s </w:t>
      </w:r>
      <w:r>
        <w:rPr>
          <w:rFonts w:ascii="Times New Roman" w:hAnsi="Times New Roman" w:eastAsia="宋体" w:cs="Times New Roman"/>
          <w:szCs w:val="21"/>
        </w:rPr>
        <w:t>≥</w:t>
      </w:r>
      <w:r>
        <w:rPr>
          <w:rFonts w:ascii="Times New Roman" w:hAnsi="Times New Roman" w:cs="Times New Roman"/>
          <w:szCs w:val="21"/>
        </w:rPr>
        <w:t xml:space="preserve"> 0.103). Detailed statistical outputs from the LMMs (for </w:t>
      </w:r>
      <w:r>
        <w:rPr>
          <w:rFonts w:hint="eastAsia" w:ascii="Times New Roman" w:hAnsi="Times New Roman" w:cs="Times New Roman"/>
          <w:i/>
          <w:iCs/>
          <w:szCs w:val="21"/>
        </w:rPr>
        <w:t>RT</w:t>
      </w:r>
      <w:r>
        <w:rPr>
          <w:rFonts w:ascii="Times New Roman" w:hAnsi="Times New Roman" w:cs="Times New Roman"/>
          <w:szCs w:val="21"/>
        </w:rPr>
        <w:t>) and GLMMs (for accuracy) are summarized in Table S</w:t>
      </w:r>
      <w:r>
        <w:rPr>
          <w:rFonts w:hint="eastAsia" w:ascii="Times New Roman" w:hAnsi="Times New Roman" w:cs="Times New Roman"/>
          <w:szCs w:val="21"/>
        </w:rPr>
        <w:t>1 and S2</w:t>
      </w:r>
      <w:r>
        <w:rPr>
          <w:rFonts w:ascii="Times New Roman" w:hAnsi="Times New Roman" w:cs="Times New Roman"/>
          <w:szCs w:val="21"/>
        </w:rPr>
        <w:t>.</w:t>
      </w:r>
    </w:p>
    <w:p w14:paraId="321A1ED8">
      <w:pPr>
        <w:spacing w:line="480" w:lineRule="auto"/>
        <w:rPr>
          <w:rFonts w:ascii="Times New Roman" w:hAnsi="Times New Roman" w:cs="Times New Roman"/>
          <w:szCs w:val="21"/>
        </w:rPr>
      </w:pPr>
      <w:r>
        <w:rPr>
          <w:rFonts w:ascii="Times New Roman" w:hAnsi="Times New Roman" w:cs="Times New Roman"/>
          <w:szCs w:val="21"/>
        </w:rPr>
        <w:t xml:space="preserve">For the group-level behavioral indices, both processing quality indices showed </w:t>
      </w:r>
      <w:r>
        <w:rPr>
          <w:rFonts w:hint="eastAsia" w:ascii="Times New Roman" w:hAnsi="Times New Roman" w:cs="Times New Roman"/>
          <w:szCs w:val="21"/>
        </w:rPr>
        <w:t xml:space="preserve">a </w:t>
      </w:r>
      <w:r>
        <w:rPr>
          <w:rFonts w:ascii="Times New Roman" w:hAnsi="Times New Roman" w:cs="Times New Roman"/>
          <w:szCs w:val="21"/>
        </w:rPr>
        <w:t>significant main effect of Structure type (</w:t>
      </w:r>
      <w:r>
        <w:rPr>
          <w:rFonts w:ascii="Times New Roman" w:hAnsi="Times New Roman" w:cs="Times New Roman"/>
          <w:i/>
          <w:iCs/>
          <w:szCs w:val="21"/>
        </w:rPr>
        <w:t>d’</w:t>
      </w:r>
      <w:r>
        <w:rPr>
          <w:rFonts w:ascii="Times New Roman" w:hAnsi="Times New Roman" w:cs="Times New Roman"/>
          <w:szCs w:val="21"/>
        </w:rPr>
        <w:t xml:space="preserve">: </w:t>
      </w:r>
      <w:r>
        <w:rPr>
          <w:rFonts w:ascii="Times New Roman" w:hAnsi="Times New Roman" w:cs="Times New Roman"/>
          <w:i/>
          <w:iCs/>
          <w:szCs w:val="21"/>
        </w:rPr>
        <w:t xml:space="preserve">F </w:t>
      </w:r>
      <w:r>
        <w:rPr>
          <w:rFonts w:ascii="Times New Roman" w:hAnsi="Times New Roman" w:cs="Times New Roman"/>
          <w:szCs w:val="21"/>
        </w:rPr>
        <w:t xml:space="preserve">(2, 58) = 4.071, </w:t>
      </w:r>
      <w:r>
        <w:rPr>
          <w:rFonts w:ascii="Times New Roman" w:hAnsi="Times New Roman" w:cs="Times New Roman"/>
          <w:i/>
          <w:iCs/>
          <w:szCs w:val="21"/>
        </w:rPr>
        <w:t>p</w:t>
      </w:r>
      <w:r>
        <w:rPr>
          <w:rFonts w:ascii="Times New Roman" w:hAnsi="Times New Roman" w:cs="Times New Roman"/>
          <w:szCs w:val="21"/>
        </w:rPr>
        <w:t xml:space="preserve"> = 0.022,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0.123; </w:t>
      </w:r>
      <w:r>
        <w:rPr>
          <w:rFonts w:ascii="Times New Roman" w:hAnsi="Times New Roman" w:cs="Times New Roman"/>
          <w:i/>
          <w:iCs/>
          <w:szCs w:val="21"/>
        </w:rPr>
        <w:t>RT</w:t>
      </w:r>
      <w:r>
        <w:rPr>
          <w:rFonts w:ascii="Times New Roman" w:hAnsi="Times New Roman" w:cs="Times New Roman"/>
          <w:szCs w:val="21"/>
        </w:rPr>
        <w:t xml:space="preserve">*: </w:t>
      </w:r>
      <w:r>
        <w:rPr>
          <w:rFonts w:ascii="Times New Roman" w:hAnsi="Times New Roman" w:cs="Times New Roman"/>
          <w:i/>
          <w:iCs/>
          <w:szCs w:val="21"/>
        </w:rPr>
        <w:t xml:space="preserve">F </w:t>
      </w:r>
      <w:r>
        <w:rPr>
          <w:rFonts w:ascii="Times New Roman" w:hAnsi="Times New Roman" w:cs="Times New Roman"/>
          <w:szCs w:val="21"/>
        </w:rPr>
        <w:t>(1.4</w:t>
      </w:r>
      <w:r>
        <w:rPr>
          <w:rFonts w:hint="eastAsia" w:ascii="Times New Roman" w:hAnsi="Times New Roman" w:cs="Times New Roman"/>
          <w:szCs w:val="21"/>
        </w:rPr>
        <w:t>6</w:t>
      </w:r>
      <w:r>
        <w:rPr>
          <w:rFonts w:ascii="Times New Roman" w:hAnsi="Times New Roman" w:cs="Times New Roman"/>
          <w:szCs w:val="21"/>
        </w:rPr>
        <w:t>, 42.</w:t>
      </w:r>
      <w:r>
        <w:rPr>
          <w:rFonts w:hint="eastAsia" w:ascii="Times New Roman" w:hAnsi="Times New Roman" w:cs="Times New Roman"/>
          <w:szCs w:val="21"/>
        </w:rPr>
        <w:t>41</w:t>
      </w:r>
      <w:r>
        <w:rPr>
          <w:rFonts w:ascii="Times New Roman" w:hAnsi="Times New Roman" w:cs="Times New Roman"/>
          <w:szCs w:val="21"/>
        </w:rPr>
        <w:t xml:space="preserve">) = </w:t>
      </w:r>
      <w:r>
        <w:rPr>
          <w:rFonts w:hint="eastAsia" w:ascii="Times New Roman" w:hAnsi="Times New Roman" w:cs="Times New Roman"/>
          <w:szCs w:val="21"/>
        </w:rPr>
        <w:t>17.503</w:t>
      </w:r>
      <w:r>
        <w:rPr>
          <w:rFonts w:ascii="Times New Roman" w:hAnsi="Times New Roman"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 &lt; 0.001,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0.3</w:t>
      </w:r>
      <w:r>
        <w:rPr>
          <w:rFonts w:hint="eastAsia" w:ascii="Times New Roman" w:hAnsi="Times New Roman" w:cs="Times New Roman"/>
          <w:szCs w:val="21"/>
        </w:rPr>
        <w:t>76</w:t>
      </w:r>
      <w:r>
        <w:rPr>
          <w:rFonts w:ascii="Times New Roman" w:hAnsi="Times New Roman" w:cs="Times New Roman"/>
          <w:szCs w:val="21"/>
        </w:rPr>
        <w:t>). Post-hoc tests revealed that</w:t>
      </w:r>
      <w:r>
        <w:rPr>
          <w:rFonts w:hint="eastAsia" w:ascii="Times New Roman" w:hAnsi="Times New Roman" w:cs="Times New Roman"/>
          <w:szCs w:val="21"/>
        </w:rPr>
        <w:t xml:space="preserve"> </w:t>
      </w:r>
      <w:r>
        <w:rPr>
          <w:rFonts w:ascii="Times New Roman" w:hAnsi="Times New Roman" w:cs="Times New Roman"/>
          <w:i/>
          <w:iCs/>
          <w:szCs w:val="21"/>
        </w:rPr>
        <w:t>d’</w:t>
      </w:r>
      <w:r>
        <w:rPr>
          <w:rFonts w:ascii="Times New Roman" w:hAnsi="Times New Roman" w:cs="Times New Roman"/>
          <w:szCs w:val="21"/>
        </w:rPr>
        <w:t xml:space="preserve"> did not differ between complex and simple sentence processing, nor between complex sentence and word-list processing (|</w:t>
      </w:r>
      <w:r>
        <w:rPr>
          <w:rFonts w:ascii="Times New Roman" w:hAnsi="Times New Roman" w:cs="Times New Roman"/>
          <w:i/>
          <w:iCs/>
          <w:szCs w:val="21"/>
        </w:rPr>
        <w:t>t|</w:t>
      </w:r>
      <w:r>
        <w:rPr>
          <w:rFonts w:ascii="Times New Roman" w:hAnsi="Times New Roman" w:cs="Times New Roman"/>
          <w:szCs w:val="21"/>
        </w:rPr>
        <w:t xml:space="preserve">s </w:t>
      </w:r>
      <w:r>
        <w:rPr>
          <w:rFonts w:ascii="Times New Roman" w:hAnsi="Times New Roman" w:eastAsia="宋体" w:cs="Times New Roman"/>
          <w:szCs w:val="21"/>
        </w:rPr>
        <w:t xml:space="preserve">≤ 1.669, </w:t>
      </w:r>
      <w:r>
        <w:rPr>
          <w:rFonts w:ascii="Times New Roman" w:hAnsi="Times New Roman" w:eastAsia="宋体" w:cs="Times New Roman"/>
          <w:i/>
          <w:iCs/>
          <w:szCs w:val="21"/>
        </w:rPr>
        <w:t>p</w:t>
      </w:r>
      <w:r>
        <w:rPr>
          <w:rFonts w:ascii="Times New Roman" w:hAnsi="Times New Roman" w:eastAsia="宋体" w:cs="Times New Roman"/>
          <w:szCs w:val="21"/>
        </w:rPr>
        <w:t>s ≥ 0.301</w:t>
      </w:r>
      <w:r>
        <w:rPr>
          <w:rFonts w:ascii="Times New Roman" w:hAnsi="Times New Roman" w:cs="Times New Roman"/>
          <w:szCs w:val="21"/>
        </w:rPr>
        <w:t xml:space="preserve">); however, the </w:t>
      </w:r>
      <w:r>
        <w:rPr>
          <w:rFonts w:ascii="Times New Roman" w:hAnsi="Times New Roman" w:cs="Times New Roman"/>
          <w:i/>
          <w:iCs/>
          <w:szCs w:val="21"/>
        </w:rPr>
        <w:t>d’</w:t>
      </w:r>
      <w:r>
        <w:rPr>
          <w:rFonts w:ascii="Times New Roman" w:hAnsi="Times New Roman" w:cs="Times New Roman"/>
          <w:szCs w:val="21"/>
        </w:rPr>
        <w:t xml:space="preserve"> for simple sentence processing was significantly greater than that for word-list processing (</w:t>
      </w:r>
      <w:r>
        <w:rPr>
          <w:rFonts w:ascii="Times New Roman" w:hAnsi="Times New Roman" w:cs="Times New Roman"/>
          <w:i/>
          <w:iCs/>
          <w:szCs w:val="21"/>
        </w:rPr>
        <w:t>t</w:t>
      </w:r>
      <w:r>
        <w:rPr>
          <w:rFonts w:ascii="Times New Roman" w:hAnsi="Times New Roman" w:cs="Times New Roman"/>
          <w:szCs w:val="21"/>
        </w:rPr>
        <w:t xml:space="preserve"> = 2.839, </w:t>
      </w:r>
      <w:r>
        <w:rPr>
          <w:rFonts w:ascii="Times New Roman" w:hAnsi="Times New Roman" w:cs="Times New Roman"/>
          <w:i/>
          <w:iCs/>
          <w:szCs w:val="21"/>
        </w:rPr>
        <w:t xml:space="preserve">p = </w:t>
      </w:r>
      <w:r>
        <w:rPr>
          <w:rFonts w:ascii="Times New Roman" w:hAnsi="Times New Roman" w:cs="Times New Roman"/>
          <w:szCs w:val="21"/>
        </w:rPr>
        <w:t xml:space="preserve">0.019). For </w:t>
      </w:r>
      <w:r>
        <w:rPr>
          <w:rFonts w:ascii="Times New Roman" w:hAnsi="Times New Roman" w:cs="Times New Roman"/>
          <w:i/>
          <w:iCs/>
          <w:szCs w:val="21"/>
        </w:rPr>
        <w:t>RT</w:t>
      </w:r>
      <w:r>
        <w:rPr>
          <w:rFonts w:ascii="Times New Roman" w:hAnsi="Times New Roman" w:cs="Times New Roman"/>
          <w:szCs w:val="21"/>
        </w:rPr>
        <w:t xml:space="preserve">*, complex sentence processing showed significantly higher values than both simple sentence and word-list processing, </w:t>
      </w:r>
      <w:r>
        <w:rPr>
          <w:rFonts w:hint="eastAsia" w:ascii="Times New Roman" w:hAnsi="Times New Roman" w:cs="Times New Roman"/>
          <w:szCs w:val="21"/>
        </w:rPr>
        <w:t>and</w:t>
      </w:r>
      <w:r>
        <w:rPr>
          <w:rFonts w:ascii="Times New Roman" w:hAnsi="Times New Roman" w:cs="Times New Roman"/>
          <w:szCs w:val="21"/>
        </w:rPr>
        <w:t xml:space="preserve"> simple sentence processing was </w:t>
      </w:r>
      <w:r>
        <w:rPr>
          <w:rFonts w:hint="eastAsia" w:ascii="Times New Roman" w:hAnsi="Times New Roman" w:cs="Times New Roman"/>
          <w:szCs w:val="21"/>
        </w:rPr>
        <w:t>significantly</w:t>
      </w:r>
      <w:r>
        <w:rPr>
          <w:rFonts w:ascii="Times New Roman" w:hAnsi="Times New Roman" w:cs="Times New Roman"/>
          <w:szCs w:val="21"/>
        </w:rPr>
        <w:t xml:space="preserve"> higher than word-list processing (|</w:t>
      </w:r>
      <w:r>
        <w:rPr>
          <w:rFonts w:ascii="Times New Roman" w:hAnsi="Times New Roman" w:cs="Times New Roman"/>
          <w:i/>
          <w:iCs/>
          <w:szCs w:val="21"/>
        </w:rPr>
        <w:t>t|</w:t>
      </w:r>
      <w:r>
        <w:rPr>
          <w:rFonts w:ascii="Times New Roman" w:hAnsi="Times New Roman" w:cs="Times New Roman"/>
          <w:szCs w:val="21"/>
        </w:rPr>
        <w:t xml:space="preserve">s </w:t>
      </w:r>
      <w:r>
        <w:rPr>
          <w:rFonts w:ascii="Times New Roman" w:hAnsi="Times New Roman" w:eastAsia="宋体" w:cs="Times New Roman"/>
          <w:szCs w:val="21"/>
        </w:rPr>
        <w:t xml:space="preserve">≥ </w:t>
      </w:r>
      <w:r>
        <w:rPr>
          <w:rFonts w:hint="eastAsia" w:ascii="Times New Roman" w:hAnsi="Times New Roman" w:eastAsia="宋体" w:cs="Times New Roman"/>
          <w:szCs w:val="21"/>
        </w:rPr>
        <w:t>2.756</w:t>
      </w:r>
      <w:r>
        <w:rPr>
          <w:rFonts w:ascii="Times New Roman" w:hAnsi="Times New Roman" w:eastAsia="宋体" w:cs="Times New Roman"/>
          <w:szCs w:val="21"/>
        </w:rPr>
        <w:t xml:space="preserve">, </w:t>
      </w:r>
      <w:r>
        <w:rPr>
          <w:rFonts w:ascii="Times New Roman" w:hAnsi="Times New Roman" w:eastAsia="宋体" w:cs="Times New Roman"/>
          <w:i/>
          <w:iCs/>
          <w:szCs w:val="21"/>
        </w:rPr>
        <w:t>p</w:t>
      </w:r>
      <w:r>
        <w:rPr>
          <w:rFonts w:ascii="Times New Roman" w:hAnsi="Times New Roman" w:eastAsia="宋体" w:cs="Times New Roman"/>
          <w:szCs w:val="21"/>
        </w:rPr>
        <w:t>s ≤ 0.0</w:t>
      </w:r>
      <w:r>
        <w:rPr>
          <w:rFonts w:hint="eastAsia" w:ascii="Times New Roman" w:hAnsi="Times New Roman" w:eastAsia="宋体" w:cs="Times New Roman"/>
          <w:szCs w:val="21"/>
        </w:rPr>
        <w:t>23</w:t>
      </w:r>
      <w:r>
        <w:rPr>
          <w:rFonts w:ascii="Times New Roman" w:hAnsi="Times New Roman" w:cs="Times New Roman"/>
          <w:szCs w:val="21"/>
        </w:rPr>
        <w:t xml:space="preserve">). Nevertheless, as for the processing stability, results of </w:t>
      </w:r>
      <w:r>
        <w:rPr>
          <w:rFonts w:ascii="Times New Roman" w:hAnsi="Times New Roman" w:cs="Times New Roman"/>
          <w:i/>
          <w:iCs/>
          <w:szCs w:val="21"/>
        </w:rPr>
        <w:t>CV</w:t>
      </w:r>
      <w:r>
        <w:rPr>
          <w:rFonts w:ascii="Times New Roman" w:hAnsi="Times New Roman" w:cs="Times New Roman"/>
          <w:szCs w:val="21"/>
        </w:rPr>
        <w:t xml:space="preserve"> showed a marginally significant interaction between Stimulation region and Structure type (complex sentences, simple sentences, and word lists) (</w:t>
      </w:r>
      <w:r>
        <w:rPr>
          <w:rFonts w:ascii="Times New Roman" w:hAnsi="Times New Roman" w:cs="Times New Roman"/>
          <w:i/>
          <w:iCs/>
          <w:szCs w:val="21"/>
        </w:rPr>
        <w:t xml:space="preserve">F </w:t>
      </w:r>
      <w:r>
        <w:rPr>
          <w:rFonts w:ascii="Times New Roman" w:hAnsi="Times New Roman" w:cs="Times New Roman"/>
          <w:szCs w:val="21"/>
        </w:rPr>
        <w:t>(</w:t>
      </w:r>
      <w:r>
        <w:rPr>
          <w:rFonts w:hint="eastAsia" w:ascii="Times New Roman" w:hAnsi="Times New Roman" w:cs="Times New Roman"/>
          <w:szCs w:val="21"/>
        </w:rPr>
        <w:t>4</w:t>
      </w:r>
      <w:r>
        <w:rPr>
          <w:rFonts w:ascii="Times New Roman" w:hAnsi="Times New Roman" w:cs="Times New Roman"/>
          <w:szCs w:val="21"/>
        </w:rPr>
        <w:t xml:space="preserve">, </w:t>
      </w:r>
      <w:r>
        <w:rPr>
          <w:rFonts w:hint="eastAsia" w:ascii="Times New Roman" w:hAnsi="Times New Roman" w:cs="Times New Roman"/>
          <w:szCs w:val="21"/>
        </w:rPr>
        <w:t>116</w:t>
      </w:r>
      <w:r>
        <w:rPr>
          <w:rFonts w:ascii="Times New Roman" w:hAnsi="Times New Roman" w:cs="Times New Roman"/>
          <w:szCs w:val="21"/>
        </w:rPr>
        <w:t xml:space="preserve">) = </w:t>
      </w:r>
      <w:r>
        <w:rPr>
          <w:rFonts w:hint="eastAsia" w:ascii="Times New Roman" w:hAnsi="Times New Roman" w:cs="Times New Roman"/>
          <w:szCs w:val="21"/>
        </w:rPr>
        <w:t>2.018</w:t>
      </w:r>
      <w:r>
        <w:rPr>
          <w:rFonts w:ascii="Times New Roman" w:hAnsi="Times New Roman"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 = 0.0</w:t>
      </w:r>
      <w:r>
        <w:rPr>
          <w:rFonts w:hint="eastAsia" w:ascii="Times New Roman" w:hAnsi="Times New Roman" w:cs="Times New Roman"/>
          <w:szCs w:val="21"/>
        </w:rPr>
        <w:t>97</w:t>
      </w:r>
      <w:r>
        <w:rPr>
          <w:rFonts w:ascii="Times New Roman" w:hAnsi="Times New Roman" w:cs="Times New Roman"/>
          <w:szCs w:val="21"/>
        </w:rPr>
        <w:t xml:space="preserve">,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w:t>
      </w:r>
      <w:r>
        <w:rPr>
          <w:rFonts w:hint="eastAsia" w:ascii="Times New Roman" w:hAnsi="Times New Roman" w:cs="Times New Roman"/>
          <w:szCs w:val="21"/>
        </w:rPr>
        <w:t>065</w:t>
      </w:r>
      <w:r>
        <w:rPr>
          <w:rFonts w:ascii="Times New Roman" w:hAnsi="Times New Roman" w:cs="Times New Roman"/>
          <w:szCs w:val="21"/>
        </w:rPr>
        <w:t xml:space="preserve">). Specifically, under the LIFG condition, complex sentence processing TMS led to a marginally significant increase in </w:t>
      </w:r>
      <w:r>
        <w:rPr>
          <w:rFonts w:ascii="Times New Roman" w:hAnsi="Times New Roman" w:cs="Times New Roman"/>
          <w:i/>
          <w:iCs/>
          <w:szCs w:val="21"/>
        </w:rPr>
        <w:t>CV</w:t>
      </w:r>
      <w:r>
        <w:rPr>
          <w:rFonts w:ascii="Times New Roman" w:hAnsi="Times New Roman" w:cs="Times New Roman"/>
          <w:szCs w:val="21"/>
        </w:rPr>
        <w:t xml:space="preserve"> (indicating </w:t>
      </w:r>
      <w:r>
        <w:rPr>
          <w:rFonts w:hint="eastAsia" w:ascii="Times New Roman" w:hAnsi="Times New Roman" w:cs="Times New Roman"/>
          <w:szCs w:val="21"/>
        </w:rPr>
        <w:t>greater</w:t>
      </w:r>
      <w:r>
        <w:rPr>
          <w:rFonts w:ascii="Times New Roman" w:hAnsi="Times New Roman" w:cs="Times New Roman"/>
          <w:szCs w:val="21"/>
        </w:rPr>
        <w:t xml:space="preserve"> instability) compared </w:t>
      </w:r>
      <w:r>
        <w:rPr>
          <w:rFonts w:hint="eastAsia" w:ascii="Times New Roman" w:hAnsi="Times New Roman" w:cs="Times New Roman"/>
          <w:szCs w:val="21"/>
        </w:rPr>
        <w:t>with</w:t>
      </w:r>
      <w:r>
        <w:rPr>
          <w:rFonts w:ascii="Times New Roman" w:hAnsi="Times New Roman" w:cs="Times New Roman"/>
          <w:szCs w:val="21"/>
        </w:rPr>
        <w:t xml:space="preserve"> word-list processing. Under the LpTL condition, the </w:t>
      </w:r>
      <w:r>
        <w:rPr>
          <w:rFonts w:ascii="Times New Roman" w:hAnsi="Times New Roman" w:cs="Times New Roman"/>
          <w:i/>
          <w:iCs/>
          <w:szCs w:val="21"/>
        </w:rPr>
        <w:t>CV</w:t>
      </w:r>
      <w:r>
        <w:rPr>
          <w:rFonts w:ascii="Times New Roman" w:hAnsi="Times New Roman" w:cs="Times New Roman"/>
          <w:szCs w:val="21"/>
        </w:rPr>
        <w:t xml:space="preserve"> for complex sentence processing was marginally significantly larger than that for word-list processing, and the </w:t>
      </w:r>
      <w:r>
        <w:rPr>
          <w:rFonts w:ascii="Times New Roman" w:hAnsi="Times New Roman" w:cs="Times New Roman"/>
          <w:i/>
          <w:iCs/>
          <w:szCs w:val="21"/>
        </w:rPr>
        <w:t>CV</w:t>
      </w:r>
      <w:r>
        <w:rPr>
          <w:rFonts w:ascii="Times New Roman" w:hAnsi="Times New Roman" w:cs="Times New Roman"/>
          <w:szCs w:val="21"/>
        </w:rPr>
        <w:t xml:space="preserve"> for simple sentence processing was significantly larger than for word-list processing.</w:t>
      </w:r>
      <w:r>
        <w:rPr>
          <w:rFonts w:hint="eastAsia" w:ascii="Times New Roman" w:hAnsi="Times New Roman" w:cs="Times New Roman"/>
          <w:szCs w:val="21"/>
        </w:rPr>
        <w:t xml:space="preserve"> </w:t>
      </w:r>
      <w:r>
        <w:rPr>
          <w:rFonts w:ascii="Times New Roman" w:hAnsi="Times New Roman" w:cs="Times New Roman"/>
          <w:szCs w:val="21"/>
        </w:rPr>
        <w:t xml:space="preserve">Therefore, the </w:t>
      </w:r>
      <w:r>
        <w:rPr>
          <w:rFonts w:ascii="Times New Roman" w:hAnsi="Times New Roman" w:cs="Times New Roman"/>
          <w:i/>
          <w:iCs/>
          <w:szCs w:val="21"/>
        </w:rPr>
        <w:t>CV</w:t>
      </w:r>
      <w:r>
        <w:rPr>
          <w:rFonts w:ascii="Times New Roman" w:hAnsi="Times New Roman" w:cs="Times New Roman"/>
          <w:szCs w:val="21"/>
        </w:rPr>
        <w:t xml:space="preserve"> results indicated that LIFG </w:t>
      </w:r>
      <w:r>
        <w:rPr>
          <w:rFonts w:hint="eastAsia" w:ascii="Times New Roman" w:hAnsi="Times New Roman" w:cs="Times New Roman"/>
          <w:szCs w:val="21"/>
        </w:rPr>
        <w:t xml:space="preserve">and LpTL </w:t>
      </w:r>
      <w:r>
        <w:rPr>
          <w:rFonts w:ascii="Times New Roman" w:hAnsi="Times New Roman" w:cs="Times New Roman"/>
          <w:szCs w:val="21"/>
        </w:rPr>
        <w:t xml:space="preserve">might be sensitive to higher syntactic complexity, which should be independent of the word order or verbal working memory effects from word list processing, although the present TMS results could only provide a trend of the causal role of LIFG </w:t>
      </w:r>
      <w:r>
        <w:rPr>
          <w:rFonts w:hint="eastAsia" w:ascii="Times New Roman" w:hAnsi="Times New Roman" w:cs="Times New Roman"/>
          <w:szCs w:val="21"/>
        </w:rPr>
        <w:t xml:space="preserve">and LpTL </w:t>
      </w:r>
      <w:r>
        <w:rPr>
          <w:rFonts w:ascii="Times New Roman" w:hAnsi="Times New Roman" w:cs="Times New Roman"/>
          <w:szCs w:val="21"/>
        </w:rPr>
        <w:t>in hierarchical syntactic processes. And this should be further specified by the TUS results. The distributions of behavioral indices (</w:t>
      </w:r>
      <w:r>
        <w:rPr>
          <w:rFonts w:ascii="Times New Roman" w:hAnsi="Times New Roman" w:cs="Times New Roman"/>
          <w:i/>
          <w:iCs/>
          <w:szCs w:val="21"/>
        </w:rPr>
        <w:t>CV</w:t>
      </w:r>
      <w:r>
        <w:rPr>
          <w:rFonts w:ascii="Times New Roman" w:hAnsi="Times New Roman" w:cs="Times New Roman"/>
          <w:szCs w:val="21"/>
        </w:rPr>
        <w:t xml:space="preserve">, </w:t>
      </w:r>
      <w:r>
        <w:rPr>
          <w:rFonts w:ascii="Times New Roman" w:hAnsi="Times New Roman" w:cs="Times New Roman"/>
          <w:i/>
          <w:iCs/>
          <w:szCs w:val="21"/>
        </w:rPr>
        <w:t>d′</w:t>
      </w:r>
      <w:r>
        <w:rPr>
          <w:rFonts w:ascii="Times New Roman" w:hAnsi="Times New Roman" w:cs="Times New Roman"/>
          <w:szCs w:val="21"/>
        </w:rPr>
        <w:t xml:space="preserve">, and </w:t>
      </w:r>
      <w:r>
        <w:rPr>
          <w:rFonts w:ascii="Times New Roman" w:hAnsi="Times New Roman" w:cs="Times New Roman"/>
          <w:i/>
          <w:iCs/>
          <w:szCs w:val="21"/>
        </w:rPr>
        <w:t>RT*</w:t>
      </w:r>
      <w:r>
        <w:rPr>
          <w:rFonts w:ascii="Times New Roman" w:hAnsi="Times New Roman" w:cs="Times New Roman"/>
          <w:szCs w:val="21"/>
        </w:rPr>
        <w:t>) across sentence structures are illustrated in Figure S</w:t>
      </w:r>
      <w:r>
        <w:rPr>
          <w:rFonts w:hint="eastAsia" w:ascii="Times New Roman" w:hAnsi="Times New Roman" w:cs="Times New Roman"/>
          <w:szCs w:val="21"/>
        </w:rPr>
        <w:t>2B and C</w:t>
      </w:r>
      <w:r>
        <w:rPr>
          <w:rFonts w:ascii="Times New Roman" w:hAnsi="Times New Roman" w:cs="Times New Roman"/>
          <w:szCs w:val="21"/>
        </w:rPr>
        <w:t>.</w:t>
      </w:r>
    </w:p>
    <w:p w14:paraId="2F1E0DFA">
      <w:pPr>
        <w:spacing w:line="480" w:lineRule="auto"/>
        <w:rPr>
          <w:rFonts w:ascii="Times New Roman" w:hAnsi="Times New Roman" w:cs="Times New Roman"/>
          <w:b/>
          <w:bCs/>
          <w:szCs w:val="21"/>
        </w:rPr>
      </w:pPr>
      <w:r>
        <w:rPr>
          <w:rFonts w:ascii="Times New Roman" w:hAnsi="Times New Roman" w:cs="Times New Roman"/>
          <w:b/>
          <w:bCs/>
          <w:szCs w:val="21"/>
        </w:rPr>
        <w:t>2.3 A brief discussion</w:t>
      </w:r>
    </w:p>
    <w:p w14:paraId="2F0AEA91">
      <w:pPr>
        <w:spacing w:line="480" w:lineRule="auto"/>
        <w:rPr>
          <w:rFonts w:ascii="Times New Roman" w:hAnsi="Times New Roman" w:cs="Times New Roman"/>
          <w:szCs w:val="21"/>
        </w:rPr>
      </w:pPr>
      <w:r>
        <w:rPr>
          <w:rFonts w:ascii="Times New Roman" w:hAnsi="Times New Roman" w:cs="Times New Roman"/>
          <w:szCs w:val="21"/>
        </w:rPr>
        <w:t xml:space="preserve">TMS results showed a trend that LIFG </w:t>
      </w:r>
      <w:r>
        <w:rPr>
          <w:rFonts w:hint="eastAsia" w:ascii="Times New Roman" w:hAnsi="Times New Roman" w:cs="Times New Roman"/>
          <w:szCs w:val="21"/>
        </w:rPr>
        <w:t xml:space="preserve">and LpTL </w:t>
      </w:r>
      <w:r>
        <w:rPr>
          <w:rFonts w:ascii="Times New Roman" w:hAnsi="Times New Roman" w:cs="Times New Roman"/>
          <w:szCs w:val="21"/>
        </w:rPr>
        <w:t>TMS would deteriorate the sentence processing stability, which was independent of the word order or verbal working memory effects from the control condition of word list processing. Notably, compared with the LpTL, the LIFG more effectively dissociated complex sentence</w:t>
      </w:r>
      <w:r>
        <w:rPr>
          <w:rFonts w:hint="eastAsia" w:ascii="Times New Roman" w:hAnsi="Times New Roman" w:cs="Times New Roman"/>
          <w:szCs w:val="21"/>
        </w:rPr>
        <w:t xml:space="preserve"> processing</w:t>
      </w:r>
      <w:r>
        <w:rPr>
          <w:rFonts w:ascii="Times New Roman" w:hAnsi="Times New Roman" w:cs="Times New Roman"/>
          <w:szCs w:val="21"/>
        </w:rPr>
        <w:t xml:space="preserve"> from both simple sentence and word-list processing, rather than merely separating sentence processing from word-list processing.</w:t>
      </w:r>
    </w:p>
    <w:p w14:paraId="50D57FBC">
      <w:pPr>
        <w:spacing w:line="480" w:lineRule="auto"/>
        <w:rPr>
          <w:rFonts w:ascii="Times New Roman" w:hAnsi="Times New Roman" w:cs="Times New Roman"/>
          <w:szCs w:val="21"/>
        </w:rPr>
      </w:pPr>
      <w:r>
        <w:rPr>
          <w:rFonts w:ascii="Times New Roman" w:hAnsi="Times New Roman" w:cs="Times New Roman"/>
          <w:szCs w:val="21"/>
        </w:rPr>
        <w:t>The LIFG TMS results, though there was a marginal</w:t>
      </w:r>
      <w:r>
        <w:rPr>
          <w:rFonts w:hint="eastAsia" w:ascii="Times New Roman" w:hAnsi="Times New Roman" w:cs="Times New Roman"/>
          <w:szCs w:val="21"/>
        </w:rPr>
        <w:t>ly</w:t>
      </w:r>
      <w:r>
        <w:rPr>
          <w:rFonts w:ascii="Times New Roman" w:hAnsi="Times New Roman" w:cs="Times New Roman"/>
          <w:szCs w:val="21"/>
        </w:rPr>
        <w:t xml:space="preserve"> significant interaction between the Stimulation region and Structure type, are actually consistent with the previous syntactic TMS studies which propose that LIFG plays a pivotal ca</w:t>
      </w:r>
      <w:r>
        <w:rPr>
          <w:rFonts w:hint="eastAsia" w:ascii="Times New Roman" w:hAnsi="Times New Roman" w:cs="Times New Roman"/>
          <w:szCs w:val="21"/>
        </w:rPr>
        <w:t>usal</w:t>
      </w:r>
      <w:r>
        <w:rPr>
          <w:rFonts w:ascii="Times New Roman" w:hAnsi="Times New Roman" w:cs="Times New Roman"/>
          <w:szCs w:val="21"/>
        </w:rPr>
        <w:t xml:space="preserve"> role in syntactic processing</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{"citationID":"7yLt0SXB","properties":{"formattedCitation":"\\super 19\\uc0\\u8211{}23\\nosupersub{}","plainCitation":"19–23","noteIndex":0},"citationItems":[{"id":519,"uris":["http://zotero.org/users/18576256/items/65LDP5CI"],"itemData":{"id":519,"type":"article-journal","container-title":"NeuroImage","DOI":"10.1016/j.neuroimage.2017.01.013","ISSN":"10538119","journalAbbreviation":"NeuroImage","language":"en","page":"254-263","source":"DOI.org (Crossref)","title":"Left posterior inferior frontal gyrus is causally involved in reordering during sentence processing","volume":"148","author":[{"family":"Kuhnke","given":"Philipp"},{"family":"Meyer","given":"Lars"},{"family":"Friederici","given":"Angela D."},{"family":"Hartwigsen","given":"Gesa"}],"issued":{"date-parts":[["2017",3]]}}},{"id":518,"uris":["http://zotero.org/users/18576256/items/FVC8S3D5"],"itemData":{"id":518,"type":"article-journal","container-title":"NeuroImage","DOI":"https://doi.org/10.1016/j.neuroimage.2018.07.059","language":"en","page":"598–604","publisher":"Elsevier","source":"Google Scholar","title":"Perturbation of left posterior prefrontal cortex modulates top-down processing in sentence comprehension","volume":"181","author":[{"family":"Meyer","given":"Lars"},{"family":"Elsner","given":"Anne"},{"family":"Turker","given":"Sabrina"},{"family":"Kuhnke","given":"Philipp"},{"family":"Hartwigsen","given":"Gesa"}],"issued":{"date-parts":[["2018"]]}}},{"id":584,"uris":["http://zotero.org/users/18576256/items/GCG27LYD"],"itemData":{"id":584,"type":"article-journal","container-title":"Neuron","DOI":"10.1016/S0896-6273(02)00873-5","ISSN":"0896-6273","issue":"6","journalAbbreviation":"Neuron","language":"en","page":"1177-1182","PMID":"12354406","publisher":"Elsevier","source":"www.cell.com","title":"Selective Priming of Syntactic Processing by Event-Related Transcranial Magnetic Stimulation of Broca's Area","volume":"35","author":[{"family":"Sakai","given":"Kuniyoshi L."},{"family":"Noguchi","given":"Yasuki"},{"family":"Takeuchi","given":"Tatsuya"},{"family":"Watanabe","given":"Eiju"}],"issued":{"date-parts":[["2002",9,12]]}}},{"id":587,"uris":["http://zotero.org/users/18576256/items/JEF7MQYD"],"itemData":{"id":587,"type":"article-journal","abstract":"The human capacity to implicitly acquire knowledge of structured sequences has recently been investigated in artificial grammar learning using functional magnetic resonance imaging. It was found that the left inferior frontal cortex (IFC; Brodmann's area (BA) 44/45) was related to classification performance. The objective of this study was to investigate whether the IFC (BA 44/45) is causally related to classification of artificial syntactic structures by means of an off-line repetitive transcranial magnetic stimulation (rTMS) paradigm. We manipulated the stimulus material in a 2 × 2 factorial design with grammaticality status and local substring familiarity as factors. The participants showed a reliable effect of grammaticality on classification of novel items after 5days of exposure to grammatical exemplars without performance feedback in an implicit acquisition task. The results show that rTMS of BA 44/45 improves syntactic classification performance by increasing the rejection rate of non-grammatical items and by shortening reaction times of correct rejections specifically after left-sided stimulation. A similar pattern of results is observed in FMRI experiments on artificial syntactic classification. These results suggest that activity in the inferior frontal region is causally related to artificial syntax processing.","container-title":"Brain Research","DOI":"10.1016/j.brainres.2008.05.070","ISSN":"0006-8993","journalAbbreviation":"Brain Research","language":"en","page":"69-78","source":"ScienceDirect","title":"The inferior frontal cortex in artificial syntax processing: An rTMS study","title-short":"The inferior frontal cortex in artificial syntax processing","volume":"1224","author":[{"family":"Uddén","given":"Julia"},{"family":"Folia","given":"Vasiliki"},{"family":"Forkstam","given":"Christian"},{"family":"Ingvar","given":"Martin"},{"family":"Fernandez","given":"Guillen"},{"family":"Overeem","given":"Sebastiaan"},{"family":"Elswijk","given":"Gijs","non-dropping-particle":"van"},{"family":"Hagoort","given":"Peter"},{"family":"Petersson","given":"Karl Magnus"}],"issued":{"date-parts":[["2008",8,11]]}}},{"id":590,"uris":["http://zotero.org/users/18576256/items/HAAWGIYT"],"itemData":{"id":590,"type":"article-journal","abstract":"Non-adjacent dependencies are challenging for the language learning machinery and are acquired later than adjacent dependencies. In this transcranial magnetic stimulation (TMS) study, we show that participants successfully discriminated between grammatical and non-grammatical sequences after having implicitly acquired an artificial language with crossed non-adjacent dependencies. Subsequent to transcranial magnetic stimulation of Broca’s region, discrimination was impaired compared to when a language-irrelevant control region (vertex) was stimulated. These results support the view that Broca’s region is engaged in structured sequence processing and extend previous functional neuroimaging results on artificial grammar learning (AGL) in two directions: first, the results establish that Broca’s region is a causal component in the processing of non-adjacent dependencies, and second, they show that implicit processing of non-adjacent dependencies engages Broca’s region. Since patients with lesions in Broca’s region do not always show grammatical processing difficulties, the result that Broca’s region is causally linked to processing of non-adjacent dependencies is a step towards clarification of the exact nature of syntactic deficits caused by lesions or perturbation to Broca’s region. Our findings are consistent with previous results and support a role for Broca’s region in general structured sequence processing, rather than a specific role for the processing of hierarchically organized sentence structure.","container-title":"Cognition","DOI":"10.1016/j.cognition.2017.03.010","ISSN":"0010-0277","journalAbbreviation":"Cognition","language":"en","page":"188-198","source":"ScienceDirect","title":"Broca’s region: A causal role in implicit processing of grammars with crossed non-adjacent dependencies","title-short":"Broca’s region","volume":"164","author":[{"family":"Uddén","given":"Julia"},{"family":"Ingvar","given":"Martin"},{"family":"Hagoort","given":"Peter"},{"family":"Petersson","given":"Karl Magnus"}],"issued":{"date-parts":[["2017",7,1]]}}}],"schema":"https://github.com/citation-style-language/schema/raw/master/csl-citation.json"}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19–23</w:t>
      </w:r>
      <w:r>
        <w:rPr>
          <w:rFonts w:ascii="Times New Roman" w:hAnsi="Times New Roman" w:cs="Times New Roman"/>
          <w:szCs w:val="21"/>
        </w:rPr>
        <w:fldChar w:fldCharType="end"/>
      </w:r>
      <w:r>
        <w:rPr>
          <w:rFonts w:ascii="Times New Roman" w:hAnsi="Times New Roman" w:cs="Times New Roman"/>
          <w:szCs w:val="21"/>
        </w:rPr>
        <w:t xml:space="preserve">. Our recent TMS studies utilizing the cTBS protocol also identified that LIFG TMS would reduce the processing stability, as reflected by the larger </w:t>
      </w:r>
      <w:r>
        <w:rPr>
          <w:rFonts w:ascii="Times New Roman" w:hAnsi="Times New Roman" w:cs="Times New Roman"/>
          <w:i/>
          <w:iCs/>
          <w:szCs w:val="21"/>
        </w:rPr>
        <w:t>CV</w:t>
      </w:r>
      <w:r>
        <w:rPr>
          <w:rFonts w:ascii="Times New Roman" w:hAnsi="Times New Roman" w:cs="Times New Roman"/>
          <w:szCs w:val="21"/>
        </w:rPr>
        <w:t>s</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{"citationID":"iJlQpCsl","properties":{"formattedCitation":"\\super 4\\nosupersub{}","plainCitation":"4","noteIndex":0},"citationItems":[{"id":474,"uris":["http://zotero.org/users/18576256/items/5ZESZSBA"],"itemData":{"id":474,"type":"article-journal","container-title":"Neurobiology of Language","DOI":"https://doi.org/10.1162/nol_a_00140","issue":"2","language":"en","page":"608–627","publisher":"MIT Press One Broadway, 12th Floor, Cambridge, Massachusetts 02142, USA …","source":"Google Scholar","title":"Continuous theta-burst stimulation on the left posterior inferior frontal gyrus perturbs complex syntactic processing stability in mandarin Chinese","volume":"5","author":[{"family":"Wu","given":"Junjie"},{"family":"Cheng","given":"Yao"},{"family":"Qu","given":"Xingfang"},{"family":"Kang","given":"Tianmin"},{"family":"Cai","given":"Yimin"},{"family":"Wang","given":"Peng"},{"family":"Zaccarella","given":"Emiliano"},{"family":"Friederici","given":"Angela D."},{"family":"Hartwigsen","given":"Gesa"},{"family":"Chen","given":"Luyao"}],"issued":{"date-parts":[["2024"]]}}}],"schema":"https://github.com/citation-style-language/schema/raw/master/csl-citation.json"}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4</w:t>
      </w:r>
      <w:r>
        <w:rPr>
          <w:rFonts w:ascii="Times New Roman" w:hAnsi="Times New Roman" w:cs="Times New Roman"/>
          <w:szCs w:val="21"/>
        </w:rPr>
        <w:fldChar w:fldCharType="end"/>
      </w:r>
      <w:r>
        <w:rPr>
          <w:rFonts w:ascii="Times New Roman" w:hAnsi="Times New Roman" w:cs="Times New Roman"/>
          <w:szCs w:val="21"/>
        </w:rPr>
        <w:t xml:space="preserve">. In accordance with the previous meta-analysis on TMS efficacy </w:t>
      </w:r>
      <w:r>
        <w:rPr>
          <w:rFonts w:hint="eastAsia" w:ascii="Times New Roman" w:hAnsi="Times New Roman" w:cs="Times New Roman"/>
          <w:szCs w:val="21"/>
        </w:rPr>
        <w:t>in</w:t>
      </w:r>
      <w:r>
        <w:rPr>
          <w:rFonts w:ascii="Times New Roman" w:hAnsi="Times New Roman" w:cs="Times New Roman"/>
          <w:szCs w:val="21"/>
        </w:rPr>
        <w:t xml:space="preserve"> healthy people’s language processing performance</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{"citationID":"ppiRsAGL","properties":{"formattedCitation":"\\super 24\\nosupersub{}","plainCitation":"24","noteIndex":0},"citationItems":[{"id":70,"uris":["http://zotero.org/users/18576256/items/KSGSKUYQ"],"itemData":{"id":70,"type":"article-journal","abstract":"Background\n              The causal relationships between neural substrates and human language have been investigated by transcranial magnetic stimulation (TMS). However, the robustness of TMS neuromodulatory effects is still largely unspecified. This study aims to systematically examine the efficacy of TMS on healthy participants’ language performance.\n            \n            \n              Methods\n              \n                For this meta-analysis, we searched\n                PubMed\n                ,\n                Web of Science\n                ,\n                PsycINFO\n                ,\n                Scopus\n                , and\n                Google Scholar\n                from database inception until October 15, 2022 for eligible TMS studies on language comprehension and production in healthy adults published in English. The quality of the included studies was assessed with the Cochrane risk of bias tool. Potential publication biases were assessed by funnel plots and the Egger Test. We conducted overall as well as moderator meta-analyses. Effect sizes were estimated using Hedges’\n                g\n                (\n                g\n                ) and entered into a three-level random effects model.\n              \n            \n            \n              Results\n              \n                Thirty-seven studies (797 participants) with 77 effect sizes were included. The three-level random effects model revealed significant overall TMS effects on language performance in healthy participants (RT:\n                g\n                = 0.16, 95% CI: 0.04–0.29; ACC:\n                g\n                = 0.14, 95% CI: 0.04–0.24). Further moderator analyses indicated that (a) for\n                language tasks\n                , TMS induced significant neuromodulatory effects on semantic and phonological tasks, but didn’t show significance for syntactic tasks; (b) for\n                cortical targets\n                , TMS effects were not significant in left frontal, temporal or parietal regions, but were marginally significant in the inferior frontal gyrus in a finer-scale analysis; (c) for\n                stimulation parameters\n                , stimulation sites extracted from previous studies, rTMS, and intensities calibrated to the individual resting motor threshold are more prone to induce robust TMS effects. As for stimulation frequencies and timing, both high and low frequencies, online and offline stimulation elicited significant effects; (d) for\n                experimental designs\n                , studies adopting sham TMS or no TMS as the control condition and within-subject design obtained more significant effects.\n              \n            \n            \n              Discussion\n              Overall, the results show that TMS may robustly modulate healthy adults’ language performance and scrutinize the brain-and-language relation in a profound fashion. However, due to limited sample size and constraints in the current meta-analysis approach, analyses at a more comprehensive level were not conducted and results need to be confirmed by future studies.\n            \n            \n              Systematic review registration\n              \n                [\n                https://www.crd.york.ac.uk/PROSPERO/display_record.php?RecordID=366481\n                ], identifier [CRD42022366481].","container-title":"Frontiers in Human Neuroscience","DOI":"10.3389/fnhum.2022.1027446","ISSN":"1662-5161","journalAbbreviation":"Front. Hum. Neurosci.","language":"en","page":"1027446","source":"DOI.org (Crossref)","title":"Neuromodulatory effects of transcranial magnetic stimulation on language performance in healthy participants: Systematic review and meta-analysis","title-short":"Neuromodulatory effects of transcranial magnetic stimulation on language performance in healthy participants","volume":"16","author":[{"family":"Qu","given":"Xingfang"},{"family":"Wang","given":"Zichao"},{"family":"Cheng","given":"Yao"},{"family":"Xue","given":"Qingwei"},{"family":"Li","given":"Zimu"},{"family":"Li","given":"Lu"},{"family":"Feng","given":"Liping"},{"family":"Hartwigsen","given":"Gesa"},{"family":"Chen","given":"Luyao"}],"issued":{"date-parts":[["2022",12,5]]}}}],"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24</w:t>
      </w:r>
      <w:r>
        <w:rPr>
          <w:rFonts w:ascii="Times New Roman" w:hAnsi="Times New Roman" w:cs="Times New Roman"/>
          <w:szCs w:val="21"/>
        </w:rPr>
        <w:fldChar w:fldCharType="end"/>
      </w:r>
      <w:r>
        <w:rPr>
          <w:rFonts w:ascii="Times New Roman" w:hAnsi="Times New Roman" w:cs="Times New Roman"/>
          <w:szCs w:val="21"/>
        </w:rPr>
        <w:t>, TMS over frontal regions (esp., IFG) could not yield robust perturbation</w:t>
      </w:r>
      <w:r>
        <w:rPr>
          <w:rFonts w:hint="eastAsia" w:ascii="Times New Roman" w:hAnsi="Times New Roman" w:cs="Times New Roman"/>
          <w:szCs w:val="21"/>
        </w:rPr>
        <w:t>s</w:t>
      </w:r>
      <w:r>
        <w:rPr>
          <w:rFonts w:ascii="Times New Roman" w:hAnsi="Times New Roman" w:cs="Times New Roman"/>
          <w:szCs w:val="21"/>
        </w:rPr>
        <w:t xml:space="preserve"> </w:t>
      </w:r>
      <w:r>
        <w:rPr>
          <w:rFonts w:hint="eastAsia" w:ascii="Times New Roman" w:hAnsi="Times New Roman" w:cs="Times New Roman"/>
          <w:szCs w:val="21"/>
        </w:rPr>
        <w:t>in</w:t>
      </w:r>
      <w:r>
        <w:rPr>
          <w:rFonts w:ascii="Times New Roman" w:hAnsi="Times New Roman" w:cs="Times New Roman"/>
          <w:szCs w:val="21"/>
        </w:rPr>
        <w:t xml:space="preserve"> </w:t>
      </w:r>
      <w:r>
        <w:rPr>
          <w:rFonts w:ascii="Times New Roman" w:hAnsi="Times New Roman" w:cs="Times New Roman"/>
          <w:i/>
          <w:iCs/>
          <w:szCs w:val="21"/>
        </w:rPr>
        <w:t>RT</w:t>
      </w:r>
      <w:r>
        <w:rPr>
          <w:rFonts w:ascii="Times New Roman" w:hAnsi="Times New Roman" w:cs="Times New Roman"/>
          <w:szCs w:val="21"/>
        </w:rPr>
        <w:t xml:space="preserve"> or accuracy (esp., for syntactic tasks). Nevertheless, the group-level processing stability index (</w:t>
      </w:r>
      <w:r>
        <w:rPr>
          <w:rFonts w:ascii="Times New Roman" w:hAnsi="Times New Roman" w:cs="Times New Roman"/>
          <w:i/>
          <w:iCs/>
          <w:szCs w:val="21"/>
        </w:rPr>
        <w:t>CV</w:t>
      </w:r>
      <w:r>
        <w:rPr>
          <w:rFonts w:ascii="Times New Roman" w:hAnsi="Times New Roman" w:cs="Times New Roman"/>
          <w:szCs w:val="21"/>
        </w:rPr>
        <w:t>) s</w:t>
      </w:r>
      <w:r>
        <w:rPr>
          <w:rFonts w:hint="eastAsia" w:ascii="Times New Roman" w:hAnsi="Times New Roman" w:cs="Times New Roman"/>
          <w:szCs w:val="21"/>
        </w:rPr>
        <w:t>erves</w:t>
      </w:r>
      <w:r>
        <w:rPr>
          <w:rFonts w:ascii="Times New Roman" w:hAnsi="Times New Roman" w:cs="Times New Roman"/>
          <w:szCs w:val="21"/>
        </w:rPr>
        <w:t xml:space="preserve"> as a </w:t>
      </w:r>
      <w:r>
        <w:rPr>
          <w:rFonts w:hint="eastAsia" w:ascii="Times New Roman" w:hAnsi="Times New Roman" w:cs="Times New Roman"/>
          <w:szCs w:val="21"/>
        </w:rPr>
        <w:t>useful</w:t>
      </w:r>
      <w:r>
        <w:rPr>
          <w:rFonts w:ascii="Times New Roman" w:hAnsi="Times New Roman" w:cs="Times New Roman"/>
          <w:szCs w:val="21"/>
        </w:rPr>
        <w:t xml:space="preserve"> behavioral marker </w:t>
      </w:r>
      <w:r>
        <w:rPr>
          <w:rFonts w:hint="eastAsia" w:ascii="Times New Roman" w:hAnsi="Times New Roman" w:cs="Times New Roman"/>
          <w:szCs w:val="21"/>
        </w:rPr>
        <w:t>that</w:t>
      </w:r>
      <w:r>
        <w:rPr>
          <w:rFonts w:ascii="Times New Roman" w:hAnsi="Times New Roman" w:cs="Times New Roman"/>
          <w:szCs w:val="21"/>
        </w:rPr>
        <w:t xml:space="preserve"> consistently signal</w:t>
      </w:r>
      <w:r>
        <w:rPr>
          <w:rFonts w:hint="eastAsia" w:ascii="Times New Roman" w:hAnsi="Times New Roman" w:cs="Times New Roman"/>
          <w:szCs w:val="21"/>
        </w:rPr>
        <w:t>s</w:t>
      </w:r>
      <w:r>
        <w:rPr>
          <w:rFonts w:ascii="Times New Roman" w:hAnsi="Times New Roman" w:cs="Times New Roman"/>
          <w:szCs w:val="21"/>
        </w:rPr>
        <w:t xml:space="preserve"> the causal role of LIFG in hierarchical syntactic operations</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{"citationID":"BepVOyzj","properties":{"formattedCitation":"\\super 4,6\\nosupersub{}","plainCitation":"4,6","noteIndex":0},"citationItems":[{"id":474,"uris":["http://zotero.org/users/18576256/items/5ZESZSBA"],"itemData":{"id":474,"type":"article-journal","container-title":"Neurobiology of Language","DOI":"https://doi.org/10.1162/nol_a_00140","issue":"2","language":"en","page":"608–627","publisher":"MIT Press One Broadway, 12th Floor, Cambridge, Massachusetts 02142, USA …","source":"Google Scholar","title":"Continuous theta-burst stimulation on the left posterior inferior frontal gyrus perturbs complex syntactic processing stability in mandarin Chinese","volume":"5","author":[{"family":"Wu","given":"Junjie"},{"family":"Cheng","given":"Yao"},{"family":"Qu","given":"Xingfang"},{"family":"Kang","given":"Tianmin"},{"family":"Cai","given":"Yimin"},{"family":"Wang","given":"Peng"},{"family":"Zaccarella","given":"Emiliano"},{"family":"Friederici","given":"Angela D."},{"family":"Hartwigsen","given":"Gesa"},{"family":"Chen","given":"Luyao"}],"issued":{"date-parts":[["2024"]]}}},{"id":482,"uris":["http://zotero.org/users/18576256/items/2RHNT5WG"],"itemData":{"id":482,"type":"article-journal","container-title":"NeuroImage","DOI":"https://doi.org/10.1016/j.neuroimage.2025.121014","language":"en","page":"121014","publisher":"Elsevier","source":"Google Scholar","title":"Continuous theta-burst stimulation demonstrates language-network-specific causal effects on syntactic processing","volume":"306","author":[{"family":"Gao","given":"Chenyang"},{"family":"Wu","given":"Junjie"},{"family":"Cheng","given":"Yao"},{"family":"Ke","given":"Yuming"},{"family":"Qu","given":"Xingfang"},{"family":"Yang","given":"Mingchuan"},{"family":"Hartwigsen","given":"Gesa"},{"family":"Chen","given":"Luyao"}],"issued":{"date-parts":[["2025"]]}}}],"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4,6</w:t>
      </w:r>
      <w:r>
        <w:rPr>
          <w:rFonts w:ascii="Times New Roman" w:hAnsi="Times New Roman" w:cs="Times New Roman"/>
          <w:szCs w:val="21"/>
        </w:rPr>
        <w:fldChar w:fldCharType="end"/>
      </w:r>
      <w:r>
        <w:rPr>
          <w:rFonts w:ascii="Times New Roman" w:hAnsi="Times New Roman" w:cs="Times New Roman"/>
          <w:szCs w:val="21"/>
        </w:rPr>
        <w:t>. Jeon and Friederici</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{"citationID":"nDDV7LFc","properties":{"formattedCitation":"\\super 25\\nosupersub{}","plainCitation":"25","noteIndex":0},"citationItems":[{"id":445,"uris":["http://zotero.org/users/18576256/items/I3BMI2EE"],"itemData":{"id":445,"type":"article-journal","container-title":"Trends in cognitive sciences","issue":"5","language":"en","page":"244–250","publisher":"Elsevier","source":"Google Scholar","title":"Degree of automaticity and the prefrontal cortex","volume":"19","author":[{"family":"Jeon","given":"Hyeon-Ae"},{"family":"Friederici","given":"Angela D."}],"issued":{"date-parts":[["2015"]]}}}],"schema":"https://github.com/citation-style-language/schema/raw/master/csl-citation.json"}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25</w:t>
      </w:r>
      <w:r>
        <w:rPr>
          <w:rFonts w:ascii="Times New Roman" w:hAnsi="Times New Roman" w:cs="Times New Roman"/>
          <w:szCs w:val="21"/>
        </w:rPr>
        <w:fldChar w:fldCharType="end"/>
      </w:r>
      <w:r>
        <w:rPr>
          <w:rFonts w:ascii="Times New Roman" w:hAnsi="Times New Roman" w:cs="Times New Roman"/>
          <w:szCs w:val="21"/>
        </w:rPr>
        <w:t xml:space="preserve"> proposed the degree of automaticity principle of organization of the prefrontal cortex, as evidenced by the correlation between higher activation of the left BA 44 within LIFG during syntactic processing and lower CVs, which also reflect higher processing automaticity. The stimulation coordinates of LIFG in Experiment 1 of this study were derived from Zaccarella et al.’s meta-analysis</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{"citationID":"Pkalax4x","properties":{"formattedCitation":"\\super 5\\nosupersub{}","plainCitation":"5","noteIndex":0},"citationItems":[{"id":475,"uris":["http://zotero.org/users/18576256/items/UCDLKU8S"],"itemData":{"id":475,"type":"article-journal","container-title":"Neuroscience &amp; Biobehavioral Reviews","DOI":"https://doi.org/10.1016/j.neubiorev.2017.06.011","language":"en","page":"646–656","publisher":"Elsevier","source":"Google Scholar","title":"Reviewing the functional basis of the syntactic Merge mechanism for language: A coordinate-based activation likelihood estimation meta-analysis","title-short":"Reviewing the functional basis of the syntactic Merge mechanism for language","volume":"80","author":[{"family":"Zaccarella","given":"Emiliano"},{"family":"Schell","given":"Marianne"},{"family":"Friederici","given":"Angela D."}],"issued":{"date-parts":[["2017"]]}}}],"schema":"https://github.com/citation-style-language/schema/raw/master/csl-citation.json"}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5</w:t>
      </w:r>
      <w:r>
        <w:rPr>
          <w:rFonts w:ascii="Times New Roman" w:hAnsi="Times New Roman" w:cs="Times New Roman"/>
          <w:szCs w:val="21"/>
        </w:rPr>
        <w:fldChar w:fldCharType="end"/>
      </w:r>
      <w:r>
        <w:rPr>
          <w:rFonts w:ascii="Times New Roman" w:hAnsi="Times New Roman" w:cs="Times New Roman"/>
          <w:szCs w:val="21"/>
        </w:rPr>
        <w:t xml:space="preserve">, which reside exactly in BA 44. In light of the degree of automaticity principle, cTBS might inhibit the activation of BA 44 and thus diminish the processing automaticity, </w:t>
      </w:r>
      <w:r>
        <w:rPr>
          <w:rFonts w:hint="eastAsia" w:ascii="Times New Roman" w:hAnsi="Times New Roman" w:cs="Times New Roman"/>
          <w:szCs w:val="21"/>
        </w:rPr>
        <w:t>making</w:t>
      </w:r>
      <w:r>
        <w:rPr>
          <w:rFonts w:ascii="Times New Roman" w:hAnsi="Times New Roman" w:cs="Times New Roman"/>
          <w:szCs w:val="21"/>
        </w:rPr>
        <w:t xml:space="preserve"> hierarchical syntactic processing more unstable. Moreover, the TMS results again exclude the verbal working memory effects as contained in the word list processing condition, consistent with our recent findings using either TMS</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{"citationID":"eCMxoNUN","properties":{"formattedCitation":"\\super 4\\nosupersub{}","plainCitation":"4","noteIndex":0},"citationItems":[{"id":474,"uris":["http://zotero.org/users/18576256/items/5ZESZSBA"],"itemData":{"id":474,"type":"article-journal","container-title":"Neurobiology of Language","DOI":"https://doi.org/10.1162/nol_a_00140","issue":"2","language":"en","page":"608–627","publisher":"MIT Press One Broadway, 12th Floor, Cambridge, Massachusetts 02142, USA …","source":"Google Scholar","title":"Continuous theta-burst stimulation on the left posterior inferior frontal gyrus perturbs complex syntactic processing stability in mandarin Chinese","volume":"5","author":[{"family":"Wu","given":"Junjie"},{"family":"Cheng","given":"Yao"},{"family":"Qu","given":"Xingfang"},{"family":"Kang","given":"Tianmin"},{"family":"Cai","given":"Yimin"},{"family":"Wang","given":"Peng"},{"family":"Zaccarella","given":"Emiliano"},{"family":"Friederici","given":"Angela D."},{"family":"Hartwigsen","given":"Gesa"},{"family":"Chen","given":"Luyao"}],"issued":{"date-parts":[["2024"]]}}}],"schema":"https://github.com/citation-style-language/schema/raw/master/csl-citation.json"}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4</w:t>
      </w:r>
      <w:r>
        <w:rPr>
          <w:rFonts w:ascii="Times New Roman" w:hAnsi="Times New Roman" w:cs="Times New Roman"/>
          <w:szCs w:val="21"/>
        </w:rPr>
        <w:fldChar w:fldCharType="end"/>
      </w:r>
      <w:r>
        <w:rPr>
          <w:rFonts w:ascii="Times New Roman" w:hAnsi="Times New Roman" w:cs="Times New Roman"/>
          <w:szCs w:val="21"/>
        </w:rPr>
        <w:t xml:space="preserve"> or transcranial photobiomodulation (tPBM)</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{"citationID":"2Gv4sukL","properties":{"formattedCitation":"\\super 26\\nosupersub{}","plainCitation":"26","noteIndex":0},"citationItems":[{"id":14,"uris":["http://zotero.org/users/18576256/items/62U8GF5S"],"itemData":{"id":14,"type":"article-journal","container-title":"Brain and Language","DOI":"10.1016/j.bandl.2024.105458","ISSN":"0093934X","journalAbbreviation":"Brain and Language","language":"en","page":"105458","source":"DOI.org (Crossref)","title":"Transcranial photobiomodulation on the left inferior frontal gyrus enhances Mandarin Chinese L1 and L2 complex sentence processing performances","volume":"256","author":[{"family":"Yang","given":"Mingchuan"},{"family":"Liu","given":"Yang"},{"family":"Yue","given":"Zhaoqian"},{"family":"Yang","given":"Guang"},{"family":"Jiang","given":"Xu"},{"family":"Cai","given":"Yimin"},{"family":"Zhang","given":"Yuqi"},{"family":"Yang","given":"Xiujie"},{"family":"Li","given":"Dongwei"},{"family":"Chen","given":"Luyao"}],"issued":{"date-parts":[["2024",9]]}}}],"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26</w:t>
      </w:r>
      <w:r>
        <w:rPr>
          <w:rFonts w:ascii="Times New Roman" w:hAnsi="Times New Roman" w:cs="Times New Roman"/>
          <w:szCs w:val="21"/>
        </w:rPr>
        <w:fldChar w:fldCharType="end"/>
      </w:r>
      <w:r>
        <w:rPr>
          <w:rFonts w:ascii="Times New Roman" w:hAnsi="Times New Roman" w:cs="Times New Roman"/>
          <w:szCs w:val="21"/>
        </w:rPr>
        <w:t xml:space="preserve"> that the causal role of LIFG in syntactic processing should be independent of verbal working memory (see also similar proposals from the neuroimaging studies</w:t>
      </w:r>
      <w:r>
        <w:rPr>
          <w:rFonts w:hint="eastAsia" w:ascii="Times New Roman" w:hAnsi="Times New Roman" w:cs="Times New Roman"/>
          <w:szCs w:val="21"/>
        </w:rPr>
        <w:t>;</w:t>
      </w:r>
      <w:r>
        <w:rPr>
          <w:rFonts w:ascii="Times New Roman" w:hAnsi="Times New Roman" w:cs="Times New Roman"/>
          <w:szCs w:val="21"/>
        </w:rPr>
        <w:t xml:space="preserve"> e.g., Makuuchi et al.</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{"citationID":"0MuvnO9W","properties":{"formattedCitation":"\\super 27,28\\nosupersub{}","plainCitation":"27,28","noteIndex":0},"citationItems":[{"id":207,"uris":["http://zotero.org/users/18576256/items/2BSHJUH7"],"itemData":{"id":207,"type":"article-journal","abstract":"In contrast to simple structures in animal vocal behavior, hierarchical structures such as center-embedded sentences manifest the core computational faculty of human language. Previous artificial grammar learning studies found that the left pars opercularis (LPO) subserves the processing of hierarchical structures. However, it is not clear whether this area is activated by the structural complexity per se or by the increased memory load entailed in processing hierarchical structures. To dissociate the effect of structural complexity from the effect of memory cost, we conducted a functional magnetic resonance imaging study of German sentence processing with a 2-way factorial design tapping structural complexity (with/without hierarchical structure, i.e., center-embedding of clauses) and working memory load (long/short distance between syntactically dependent elements; i.e., subject nouns and their respective verbs). Functional imaging data revealed that the processes for structure and memory operate separately but co-operatively in the left inferior frontal gyrus; activities in the LPO increased as a function of structural complexity, whereas activities in the left inferior frontal sulcus (LIFS) were modulated by the distance over which the syntactic information had to be transferred. Diffusion tensor imaging showed that these 2 regions were interconnected through white matter fibers. Moreover, functional coupling between the 2 regions was found to increase during the processing of complex, hierarchically structured sentences. These results suggest a neuroanatomical segregation of syntax-related aspects represented in the LPO from memory-related aspects reflected in the LIFS, which are, however, highly interconnected functionally and anatomically.","container-title":"Proceedings of the National Academy of Sciences","DOI":"10.1073/pnas.0810928106","ISSN":"0027-8424, 1091-6490","issue":"20","journalAbbreviation":"Proc. Natl. Acad. Sci. U.S.A.","language":"en","page":"8362-8367","source":"DOI.org (Crossref)","title":"Segregating the core computational faculty of human language from working memory","volume":"106","author":[{"family":"Makuuchi","given":"Michiru"},{"family":"Bahlmann","given":"Jörg"},{"family":"Anwander","given":"Alfred"},{"family":"Friederici","given":"Angela D."}],"issued":{"date-parts":[["2009",5,19]]}}},{"id":530,"uris":["http://zotero.org/users/18576256/items/2W3E7KKF"],"itemData":{"id":530,"type":"article-journal","container-title":"Cerebral cortex","DOI":"ttps://doi.org/10.1093/cercor/bht134","issue":"3","language":"en","page":"694–702","publisher":"Oxford University Press","source":"Google Scholar","title":"Processing noncanonical sentences in Broca's region: reflections of movement distance and type","title-short":"Processing noncanonical sentences in Broca's region","volume":"23","author":[{"family":"Makuuchi","given":"Michiru"},{"family":"Grodzinsky","given":"Yosef"},{"family":"Amunts","given":"Katrin"},{"family":"Santi","given":"Andrea"},{"family":"Friederici","given":"Angela D."}],"issued":{"date-parts":[["2013"]]}}}],"schema":"https://github.com/citation-style-language/schema/raw/master/csl-citation.json"}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27,28</w:t>
      </w:r>
      <w:r>
        <w:rPr>
          <w:rFonts w:ascii="Times New Roman" w:hAnsi="Times New Roman" w:cs="Times New Roman"/>
          <w:szCs w:val="21"/>
        </w:rPr>
        <w:fldChar w:fldCharType="end"/>
      </w:r>
      <w:r>
        <w:rPr>
          <w:rFonts w:ascii="Times New Roman" w:hAnsi="Times New Roman" w:cs="Times New Roman"/>
          <w:szCs w:val="21"/>
        </w:rPr>
        <w:t>). Furthermore, the relatively low statistic</w:t>
      </w:r>
      <w:r>
        <w:rPr>
          <w:rFonts w:hint="eastAsia" w:ascii="Times New Roman" w:hAnsi="Times New Roman" w:cs="Times New Roman"/>
          <w:szCs w:val="21"/>
        </w:rPr>
        <w:t>al</w:t>
      </w:r>
      <w:r>
        <w:rPr>
          <w:rFonts w:ascii="Times New Roman" w:hAnsi="Times New Roman" w:cs="Times New Roman"/>
          <w:szCs w:val="21"/>
        </w:rPr>
        <w:t xml:space="preserve"> power of this TMS experiment might be </w:t>
      </w:r>
      <w:r>
        <w:rPr>
          <w:rFonts w:hint="eastAsia" w:ascii="Times New Roman" w:hAnsi="Times New Roman" w:cs="Times New Roman"/>
          <w:szCs w:val="21"/>
        </w:rPr>
        <w:t>attributed</w:t>
      </w:r>
      <w:r>
        <w:rPr>
          <w:rFonts w:ascii="Times New Roman" w:hAnsi="Times New Roman" w:cs="Times New Roman"/>
          <w:szCs w:val="21"/>
        </w:rPr>
        <w:t xml:space="preserve"> to the </w:t>
      </w:r>
      <w:r>
        <w:rPr>
          <w:rFonts w:hint="eastAsia" w:ascii="Times New Roman" w:hAnsi="Times New Roman" w:cs="Times New Roman"/>
          <w:szCs w:val="21"/>
        </w:rPr>
        <w:t>the use of</w:t>
      </w:r>
      <w:r>
        <w:rPr>
          <w:rFonts w:ascii="Times New Roman" w:hAnsi="Times New Roman" w:cs="Times New Roman"/>
          <w:szCs w:val="21"/>
        </w:rPr>
        <w:t xml:space="preserve"> coordinates from the previous meta-analysis </w:t>
      </w:r>
      <w:r>
        <w:rPr>
          <w:rFonts w:hint="eastAsia" w:ascii="Times New Roman" w:hAnsi="Times New Roman" w:cs="Times New Roman"/>
          <w:szCs w:val="21"/>
        </w:rPr>
        <w:t>rather than</w:t>
      </w:r>
      <w:r>
        <w:rPr>
          <w:rFonts w:ascii="Times New Roman" w:hAnsi="Times New Roman" w:cs="Times New Roman"/>
          <w:szCs w:val="21"/>
        </w:rPr>
        <w:t xml:space="preserve"> </w:t>
      </w:r>
      <w:r>
        <w:rPr>
          <w:rFonts w:hint="eastAsia" w:ascii="Times New Roman" w:hAnsi="Times New Roman" w:cs="Times New Roman"/>
          <w:szCs w:val="21"/>
        </w:rPr>
        <w:t>those</w:t>
      </w:r>
      <w:r>
        <w:rPr>
          <w:rFonts w:ascii="Times New Roman" w:hAnsi="Times New Roman" w:cs="Times New Roman"/>
          <w:szCs w:val="21"/>
        </w:rPr>
        <w:t xml:space="preserve"> defined by hotpots detected under the contrast of “complex &gt; simple sentence processing” in the fMRI experiment</w:t>
      </w:r>
      <w:r>
        <w:rPr>
          <w:rFonts w:hint="eastAsia" w:ascii="Times New Roman" w:hAnsi="Times New Roman" w:cs="Times New Roman"/>
          <w:szCs w:val="21"/>
        </w:rPr>
        <w:t>.</w:t>
      </w:r>
      <w:r>
        <w:rPr>
          <w:rFonts w:ascii="Times New Roman" w:hAnsi="Times New Roman" w:cs="Times New Roman"/>
          <w:szCs w:val="21"/>
        </w:rPr>
        <w:t xml:space="preserve"> </w:t>
      </w:r>
      <w:r>
        <w:rPr>
          <w:rFonts w:hint="eastAsia" w:ascii="Times New Roman" w:hAnsi="Times New Roman" w:cs="Times New Roman"/>
          <w:szCs w:val="21"/>
        </w:rPr>
        <w:t>However,</w:t>
      </w:r>
      <w:r>
        <w:rPr>
          <w:rFonts w:ascii="Times New Roman" w:hAnsi="Times New Roman" w:cs="Times New Roman"/>
          <w:szCs w:val="21"/>
        </w:rPr>
        <w:t xml:space="preserve"> how to define the candidate coordinates for TMS remains controversial</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{"citationID":"1mPFPfw1","properties":{"formattedCitation":"\\super 24\\nosupersub{}","plainCitation":"24","noteIndex":0},"citationItems":[{"id":70,"uris":["http://zotero.org/users/18576256/items/KSGSKUYQ"],"itemData":{"id":70,"type":"article-journal","abstract":"Background\n              The causal relationships between neural substrates and human language have been investigated by transcranial magnetic stimulation (TMS). However, the robustness of TMS neuromodulatory effects is still largely unspecified. This study aims to systematically examine the efficacy of TMS on healthy participants’ language performance.\n            \n            \n              Methods\n              \n                For this meta-analysis, we searched\n                PubMed\n                ,\n                Web of Science\n                ,\n                PsycINFO\n                ,\n                Scopus\n                , and\n                Google Scholar\n                from database inception until October 15, 2022 for eligible TMS studies on language comprehension and production in healthy adults published in English. The quality of the included studies was assessed with the Cochrane risk of bias tool. Potential publication biases were assessed by funnel plots and the Egger Test. We conducted overall as well as moderator meta-analyses. Effect sizes were estimated using Hedges’\n                g\n                (\n                g\n                ) and entered into a three-level random effects model.\n              \n            \n            \n              Results\n              \n                Thirty-seven studies (797 participants) with 77 effect sizes were included. The three-level random effects model revealed significant overall TMS effects on language performance in healthy participants (RT:\n                g\n                = 0.16, 95% CI: 0.04–0.29; ACC:\n                g\n                = 0.14, 95% CI: 0.04–0.24). Further moderator analyses indicated that (a) for\n                language tasks\n                , TMS induced significant neuromodulatory effects on semantic and phonological tasks, but didn’t show significance for syntactic tasks; (b) for\n                cortical targets\n                , TMS effects were not significant in left frontal, temporal or parietal regions, but were marginally significant in the inferior frontal gyrus in a finer-scale analysis; (c) for\n                stimulation parameters\n                , stimulation sites extracted from previous studies, rTMS, and intensities calibrated to the individual resting motor threshold are more prone to induce robust TMS effects. As for stimulation frequencies and timing, both high and low frequencies, online and offline stimulation elicited significant effects; (d) for\n                experimental designs\n                , studies adopting sham TMS or no TMS as the control condition and within-subject design obtained more significant effects.\n              \n            \n            \n              Discussion\n              Overall, the results show that TMS may robustly modulate healthy adults’ language performance and scrutinize the brain-and-language relation in a profound fashion. However, due to limited sample size and constraints in the current meta-analysis approach, analyses at a more comprehensive level were not conducted and results need to be confirmed by future studies.\n            \n            \n              Systematic review registration\n              \n                [\n                https://www.crd.york.ac.uk/PROSPERO/display_record.php?RecordID=366481\n                ], identifier [CRD42022366481].","container-title":"Frontiers in Human Neuroscience","DOI":"10.3389/fnhum.2022.1027446","ISSN":"1662-5161","journalAbbreviation":"Front. Hum. Neurosci.","language":"en","page":"1027446","source":"DOI.org (Crossref)","title":"Neuromodulatory effects of transcranial magnetic stimulation on language performance in healthy participants: Systematic review and meta-analysis","title-short":"Neuromodulatory effects of transcranial magnetic stimulation on language performance in healthy participants","volume":"16","author":[{"family":"Qu","given":"Xingfang"},{"family":"Wang","given":"Zichao"},{"family":"Cheng","given":"Yao"},{"family":"Xue","given":"Qingwei"},{"family":"Li","given":"Zimu"},{"family":"Li","given":"Lu"},{"family":"Feng","given":"Liping"},{"family":"Hartwigsen","given":"Gesa"},{"family":"Chen","given":"Luyao"}],"issued":{"date-parts":[["2022",12,5]]}}}],"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24</w:t>
      </w:r>
      <w:r>
        <w:rPr>
          <w:rFonts w:ascii="Times New Roman" w:hAnsi="Times New Roman" w:cs="Times New Roman"/>
          <w:szCs w:val="21"/>
        </w:rPr>
        <w:fldChar w:fldCharType="end"/>
      </w:r>
      <w:r>
        <w:rPr>
          <w:rFonts w:ascii="Times New Roman" w:hAnsi="Times New Roman" w:cs="Times New Roman"/>
          <w:szCs w:val="21"/>
        </w:rPr>
        <w:t xml:space="preserve">. </w:t>
      </w:r>
    </w:p>
    <w:p w14:paraId="29923EF1">
      <w:pPr>
        <w:spacing w:line="480" w:lineRule="auto"/>
        <w:rPr>
          <w:rFonts w:ascii="Times New Roman" w:hAnsi="Times New Roman" w:cs="Times New Roman"/>
          <w:szCs w:val="21"/>
        </w:rPr>
      </w:pPr>
      <w:r>
        <w:rPr>
          <w:rFonts w:hint="eastAsia" w:ascii="Times New Roman" w:hAnsi="Times New Roman" w:cs="Times New Roman"/>
          <w:b/>
          <w:bCs/>
          <w:szCs w:val="21"/>
        </w:rPr>
        <w:t>3 Further exploratory analyses on the TUS data</w:t>
      </w:r>
    </w:p>
    <w:p w14:paraId="6A856FC0">
      <w:pPr>
        <w:spacing w:line="480" w:lineRule="auto"/>
        <w:rPr>
          <w:rFonts w:ascii="Times New Roman" w:hAnsi="Times New Roman" w:cs="Times New Roman"/>
          <w:szCs w:val="21"/>
        </w:rPr>
      </w:pPr>
      <w:r>
        <w:rPr>
          <w:rFonts w:ascii="Times New Roman" w:hAnsi="Times New Roman" w:cs="Times New Roman"/>
          <w:szCs w:val="21"/>
        </w:rPr>
        <w:t>In Mandarin Chinese, SRC has a longer filler-gap dependency length, and is proposed to induce higher processing difficulty</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{"citationID":"y9P0knqC","properties":{"formattedCitation":"\\super 29\\uc0\\u8211{}31\\nosupersub{}","plainCitation":"29–31","noteIndex":0},"citationItems":[{"id":506,"uris":["http://zotero.org/users/18576256/items/NV5ZBXBV"],"itemData":{"id":506,"type":"article-journal","container-title":"Cognition","DOI":"10.1016/S0010-0277(03)00124-0","ISSN":"00100277","issue":"1","journalAbbreviation":"Cognition","language":"en","license":"https://www.elsevier.com/tdm/userlicense/1.0/","page":"3-27","source":"DOI.org (Crossref)","title":"Processing relative clauses in Chinese","volume":"90","author":[{"family":"Hsiao","given":"Franny"},{"family":"Gibson","given":"Edward"}],"issued":{"date-parts":[["2003",11]]}}},{"id":145,"uris":["http://zotero.org/users/18576256/items/U6CJEQUH"],"itemData":{"id":145,"type":"article-journal","container-title":"Frontiers in Psychology","DOI":"10.3389/fpsyg.2019.02210","ISSN":"1664-1078","journalAbbreviation":"Front. Psychol.","language":"en","page":"2210","source":"DOI.org (Crossref)","title":"Preference for Object Relative Clauses in Chinese Sentence Comprehension: Evidence From Online Self-Paced Reading Time","title-short":"Preference for Object Relative Clauses in Chinese Sentence Comprehension","volume":"10","author":[{"family":"Xu","given":"Kunyu"},{"family":"Duann","given":"Jeng-Ren"},{"family":"Hung","given":"Daisy L."},{"family":"Wu","given":"Denise H."}],"issued":{"date-parts":[["2019",10,1]]}}},{"id":340,"uris":["http://zotero.org/users/18576256/items/5UURZMS2"],"itemData":{"id":340,"type":"article-journal","container-title":"Brain and language","DOI":"https://doi.org/10.1016/j.bandl.2019.104712","language":"en","page":"104712","publisher":"Elsevier","source":"Google Scholar","title":"Enhanced left inferior frontal to left superior temporal effective connectivity for complex sentence comprehension: fMRI evidence from Chinese relative clause processing","title-short":"Enhanced left inferior frontal to left superior temporal effective connectivity for complex sentence comprehension","volume":"200","author":[{"family":"Xu","given":"Kunyu"},{"family":"Wu","given":"Denise H."},{"family":"Duann","given":"Jeng-Ren"}],"issued":{"date-parts":[["2020"]]}}}],"schema":"https://github.com/citation-style-language/schema/raw/master/csl-citation.json"}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vertAlign w:val="superscript"/>
        </w:rPr>
        <w:t>29–31</w:t>
      </w:r>
      <w:r>
        <w:rPr>
          <w:rFonts w:ascii="Times New Roman" w:hAnsi="Times New Roman" w:cs="Times New Roman"/>
          <w:szCs w:val="21"/>
        </w:rPr>
        <w:fldChar w:fldCharType="end"/>
      </w:r>
      <w:r>
        <w:rPr>
          <w:rFonts w:ascii="Times New Roman" w:hAnsi="Times New Roman" w:cs="Times New Roman"/>
          <w:szCs w:val="21"/>
        </w:rPr>
        <w:t>.</w:t>
      </w:r>
      <w:r>
        <w:rPr>
          <w:rFonts w:hint="eastAsia" w:ascii="Times New Roman" w:hAnsi="Times New Roman" w:cs="Times New Roman"/>
          <w:szCs w:val="21"/>
        </w:rPr>
        <w:t xml:space="preserve"> Thus, we further decomposed the complex sentence condition into two subconditions: SRC and ORC. </w:t>
      </w:r>
      <w:r>
        <w:rPr>
          <w:rFonts w:ascii="Times New Roman" w:hAnsi="Times New Roman" w:cs="Times New Roman"/>
          <w:szCs w:val="21"/>
        </w:rPr>
        <w:t>If Structure type</w:t>
      </w:r>
      <w:r>
        <w:rPr>
          <w:rFonts w:hint="eastAsia" w:ascii="Times New Roman" w:hAnsi="Times New Roman" w:cs="Times New Roman"/>
          <w:szCs w:val="21"/>
        </w:rPr>
        <w:t>,</w:t>
      </w:r>
      <w:r>
        <w:rPr>
          <w:rFonts w:ascii="Times New Roman" w:hAnsi="Times New Roman" w:cs="Times New Roman"/>
          <w:szCs w:val="21"/>
        </w:rPr>
        <w:t xml:space="preserve"> </w:t>
      </w:r>
      <w:r>
        <w:rPr>
          <w:rFonts w:hint="eastAsia" w:ascii="Times New Roman" w:hAnsi="Times New Roman" w:cs="Times New Roman"/>
          <w:szCs w:val="21"/>
        </w:rPr>
        <w:t>containing SRC, ORC, and simple sentence,</w:t>
      </w:r>
      <w:r>
        <w:rPr>
          <w:rFonts w:ascii="Times New Roman" w:hAnsi="Times New Roman" w:cs="Times New Roman"/>
          <w:szCs w:val="21"/>
        </w:rPr>
        <w:t xml:space="preserve"> was included as the fixed factor, a significant main effect of Stimulation region was still identified (</w:t>
      </w:r>
      <w:r>
        <w:rPr>
          <w:rFonts w:ascii="Times New Roman" w:hAnsi="Times New Roman" w:cs="Times New Roman"/>
          <w:i/>
          <w:iCs/>
          <w:szCs w:val="21"/>
        </w:rPr>
        <w:t>F</w:t>
      </w:r>
      <w:r>
        <w:rPr>
          <w:rFonts w:ascii="Times New Roman" w:hAnsi="Times New Roman" w:cs="Times New Roman"/>
          <w:szCs w:val="21"/>
        </w:rPr>
        <w:t>(2, 39.10)</w:t>
      </w:r>
      <w:r>
        <w:rPr>
          <w:rFonts w:ascii="Times New Roman" w:hAnsi="Times New Roman" w:cs="Times New Roman"/>
          <w:i/>
          <w:iCs/>
          <w:szCs w:val="21"/>
        </w:rPr>
        <w:t xml:space="preserve"> </w:t>
      </w:r>
      <w:r>
        <w:rPr>
          <w:rFonts w:ascii="Times New Roman" w:hAnsi="Times New Roman" w:cs="Times New Roman"/>
          <w:szCs w:val="21"/>
        </w:rPr>
        <w:t xml:space="preserve">= 3.97, </w:t>
      </w:r>
      <w:r>
        <w:rPr>
          <w:rFonts w:ascii="Times New Roman" w:hAnsi="Times New Roman" w:cs="Times New Roman"/>
          <w:i/>
          <w:iCs/>
          <w:szCs w:val="21"/>
        </w:rPr>
        <w:t xml:space="preserve">p </w:t>
      </w:r>
      <w:r>
        <w:rPr>
          <w:rFonts w:ascii="Times New Roman" w:hAnsi="Times New Roman" w:cs="Times New Roman"/>
          <w:szCs w:val="21"/>
        </w:rPr>
        <w:t xml:space="preserve">= 0.027), in which LIFG TUS showed longer </w:t>
      </w:r>
      <w:r>
        <w:rPr>
          <w:rFonts w:ascii="Times New Roman" w:hAnsi="Times New Roman" w:cs="Times New Roman"/>
          <w:i/>
          <w:iCs/>
          <w:szCs w:val="21"/>
        </w:rPr>
        <w:t>RT</w:t>
      </w:r>
      <w:r>
        <w:rPr>
          <w:rFonts w:ascii="Times New Roman" w:hAnsi="Times New Roman" w:cs="Times New Roman"/>
          <w:szCs w:val="21"/>
        </w:rPr>
        <w:t xml:space="preserve"> of sentence processing than LpTL TUS (</w:t>
      </w:r>
      <w:r>
        <w:rPr>
          <w:rFonts w:ascii="Times New Roman" w:hAnsi="Times New Roman" w:cs="Times New Roman"/>
          <w:i/>
          <w:iCs/>
          <w:szCs w:val="21"/>
        </w:rPr>
        <w:t>b</w:t>
      </w:r>
      <w:r>
        <w:rPr>
          <w:rFonts w:ascii="Times New Roman" w:hAnsi="Times New Roman" w:cs="Times New Roman"/>
          <w:szCs w:val="21"/>
        </w:rPr>
        <w:t xml:space="preserve"> = 0.020, </w:t>
      </w:r>
      <w:r>
        <w:rPr>
          <w:rFonts w:ascii="Times New Roman" w:hAnsi="Times New Roman" w:cs="Times New Roman"/>
          <w:i/>
          <w:iCs/>
          <w:szCs w:val="21"/>
        </w:rPr>
        <w:t>SE</w:t>
      </w:r>
      <w:r>
        <w:rPr>
          <w:rFonts w:ascii="Times New Roman" w:hAnsi="Times New Roman" w:cs="Times New Roman"/>
          <w:szCs w:val="21"/>
        </w:rPr>
        <w:t xml:space="preserve"> = 0.007, </w:t>
      </w:r>
      <w:r>
        <w:rPr>
          <w:rFonts w:ascii="Times New Roman" w:hAnsi="Times New Roman" w:cs="Times New Roman"/>
          <w:i/>
          <w:iCs/>
          <w:szCs w:val="21"/>
        </w:rPr>
        <w:t xml:space="preserve">z </w:t>
      </w:r>
      <w:r>
        <w:rPr>
          <w:rFonts w:ascii="Times New Roman" w:hAnsi="Times New Roman" w:cs="Times New Roman"/>
          <w:szCs w:val="21"/>
        </w:rPr>
        <w:t>= 2.7</w:t>
      </w:r>
      <w:r>
        <w:rPr>
          <w:rFonts w:hint="eastAsia" w:ascii="Times New Roman" w:hAnsi="Times New Roman" w:cs="Times New Roman"/>
          <w:szCs w:val="21"/>
        </w:rPr>
        <w:t>75</w:t>
      </w:r>
      <w:r>
        <w:rPr>
          <w:rFonts w:ascii="Times New Roman" w:hAnsi="Times New Roman" w:cs="Times New Roman"/>
          <w:szCs w:val="21"/>
        </w:rPr>
        <w:t xml:space="preserve">, </w:t>
      </w:r>
      <w:r>
        <w:rPr>
          <w:rFonts w:ascii="Times New Roman" w:hAnsi="Times New Roman" w:cs="Times New Roman"/>
          <w:i/>
          <w:iCs/>
          <w:szCs w:val="21"/>
        </w:rPr>
        <w:t xml:space="preserve">p </w:t>
      </w:r>
      <w:r>
        <w:rPr>
          <w:rFonts w:ascii="Times New Roman" w:hAnsi="Times New Roman" w:cs="Times New Roman"/>
          <w:szCs w:val="21"/>
        </w:rPr>
        <w:t>= 0.017) and vertex TUS (</w:t>
      </w:r>
      <w:r>
        <w:rPr>
          <w:rFonts w:ascii="Times New Roman" w:hAnsi="Times New Roman" w:cs="Times New Roman"/>
          <w:i/>
          <w:iCs/>
          <w:szCs w:val="21"/>
        </w:rPr>
        <w:t>b</w:t>
      </w:r>
      <w:r>
        <w:rPr>
          <w:rFonts w:ascii="Times New Roman" w:hAnsi="Times New Roman" w:cs="Times New Roman"/>
          <w:szCs w:val="21"/>
        </w:rPr>
        <w:t xml:space="preserve"> = 0.014, </w:t>
      </w:r>
      <w:r>
        <w:rPr>
          <w:rFonts w:ascii="Times New Roman" w:hAnsi="Times New Roman" w:cs="Times New Roman"/>
          <w:i/>
          <w:iCs/>
          <w:szCs w:val="21"/>
        </w:rPr>
        <w:t>SE</w:t>
      </w:r>
      <w:r>
        <w:rPr>
          <w:rFonts w:ascii="Times New Roman" w:hAnsi="Times New Roman" w:cs="Times New Roman"/>
          <w:szCs w:val="21"/>
        </w:rPr>
        <w:t xml:space="preserve"> = 0.006, </w:t>
      </w:r>
      <w:r>
        <w:rPr>
          <w:rFonts w:ascii="Times New Roman" w:hAnsi="Times New Roman" w:cs="Times New Roman"/>
          <w:i/>
          <w:iCs/>
          <w:szCs w:val="21"/>
        </w:rPr>
        <w:t xml:space="preserve">z </w:t>
      </w:r>
      <w:r>
        <w:rPr>
          <w:rFonts w:ascii="Times New Roman" w:hAnsi="Times New Roman" w:cs="Times New Roman"/>
          <w:szCs w:val="21"/>
        </w:rPr>
        <w:t>= 2.</w:t>
      </w:r>
      <w:r>
        <w:rPr>
          <w:rFonts w:hint="eastAsia" w:ascii="Times New Roman" w:hAnsi="Times New Roman" w:cs="Times New Roman"/>
          <w:szCs w:val="21"/>
        </w:rPr>
        <w:t>298</w:t>
      </w:r>
      <w:r>
        <w:rPr>
          <w:rFonts w:ascii="Times New Roman" w:hAnsi="Times New Roman" w:cs="Times New Roman"/>
          <w:szCs w:val="21"/>
        </w:rPr>
        <w:t xml:space="preserve">, </w:t>
      </w:r>
      <w:r>
        <w:rPr>
          <w:rFonts w:ascii="Times New Roman" w:hAnsi="Times New Roman" w:cs="Times New Roman"/>
          <w:i/>
          <w:iCs/>
          <w:szCs w:val="21"/>
        </w:rPr>
        <w:t xml:space="preserve">p </w:t>
      </w:r>
      <w:r>
        <w:rPr>
          <w:rFonts w:ascii="Times New Roman" w:hAnsi="Times New Roman" w:cs="Times New Roman"/>
          <w:szCs w:val="21"/>
        </w:rPr>
        <w:t>= 0.065).</w:t>
      </w:r>
      <w:r>
        <w:rPr>
          <w:rFonts w:hint="eastAsia" w:ascii="Times New Roman" w:hAnsi="Times New Roman" w:cs="Times New Roman"/>
          <w:szCs w:val="21"/>
        </w:rPr>
        <w:t xml:space="preserve"> The main effect of Structure type was significant (</w:t>
      </w:r>
      <w:r>
        <w:rPr>
          <w:rFonts w:ascii="Times New Roman" w:hAnsi="Times New Roman" w:cs="Times New Roman"/>
          <w:i/>
          <w:iCs/>
          <w:szCs w:val="21"/>
        </w:rPr>
        <w:t>F</w:t>
      </w:r>
      <w:r>
        <w:rPr>
          <w:rFonts w:ascii="Times New Roman" w:hAnsi="Times New Roman" w:cs="Times New Roman"/>
          <w:szCs w:val="21"/>
        </w:rPr>
        <w:t xml:space="preserve">(2, </w:t>
      </w:r>
      <w:r>
        <w:rPr>
          <w:rFonts w:hint="eastAsia" w:ascii="Times New Roman" w:hAnsi="Times New Roman" w:cs="Times New Roman"/>
          <w:szCs w:val="21"/>
        </w:rPr>
        <w:t>535.95</w:t>
      </w:r>
      <w:r>
        <w:rPr>
          <w:rFonts w:ascii="Times New Roman" w:hAnsi="Times New Roman" w:cs="Times New Roman"/>
          <w:szCs w:val="21"/>
        </w:rPr>
        <w:t>)</w:t>
      </w:r>
      <w:r>
        <w:rPr>
          <w:rFonts w:ascii="Times New Roman" w:hAnsi="Times New Roman" w:cs="Times New Roman"/>
          <w:i/>
          <w:iCs/>
          <w:szCs w:val="21"/>
        </w:rPr>
        <w:t xml:space="preserve"> </w:t>
      </w:r>
      <w:r>
        <w:rPr>
          <w:rFonts w:ascii="Times New Roman" w:hAnsi="Times New Roman" w:cs="Times New Roman"/>
          <w:szCs w:val="21"/>
        </w:rPr>
        <w:t xml:space="preserve">= </w:t>
      </w:r>
      <w:r>
        <w:rPr>
          <w:rFonts w:hint="eastAsia" w:ascii="Times New Roman" w:hAnsi="Times New Roman" w:cs="Times New Roman"/>
          <w:szCs w:val="21"/>
        </w:rPr>
        <w:t>114.43</w:t>
      </w:r>
      <w:r>
        <w:rPr>
          <w:rFonts w:ascii="Times New Roman" w:hAnsi="Times New Roman" w:cs="Times New Roman"/>
          <w:szCs w:val="21"/>
        </w:rPr>
        <w:t xml:space="preserve">, </w:t>
      </w:r>
      <w:r>
        <w:rPr>
          <w:rFonts w:ascii="Times New Roman" w:hAnsi="Times New Roman" w:cs="Times New Roman"/>
          <w:i/>
          <w:iCs/>
          <w:szCs w:val="21"/>
        </w:rPr>
        <w:t xml:space="preserve">p </w:t>
      </w:r>
      <w:r>
        <w:rPr>
          <w:rFonts w:hint="eastAsia" w:ascii="Times New Roman" w:hAnsi="Times New Roman" w:cs="Times New Roman"/>
          <w:szCs w:val="21"/>
        </w:rPr>
        <w:t>&lt;</w:t>
      </w:r>
      <w:r>
        <w:rPr>
          <w:rFonts w:ascii="Times New Roman" w:hAnsi="Times New Roman" w:cs="Times New Roman"/>
          <w:szCs w:val="21"/>
        </w:rPr>
        <w:t xml:space="preserve"> 0.0</w:t>
      </w:r>
      <w:r>
        <w:rPr>
          <w:rFonts w:hint="eastAsia" w:ascii="Times New Roman" w:hAnsi="Times New Roman" w:cs="Times New Roman"/>
          <w:szCs w:val="21"/>
        </w:rPr>
        <w:t xml:space="preserve">01). </w:t>
      </w:r>
      <w:r>
        <w:rPr>
          <w:rFonts w:ascii="Times New Roman" w:hAnsi="Times New Roman" w:cs="Times New Roman"/>
          <w:szCs w:val="21"/>
        </w:rPr>
        <w:t>The post-hoc tests also specified that SRC showed longer RT than ORC (</w:t>
      </w:r>
      <w:r>
        <w:rPr>
          <w:rFonts w:ascii="Times New Roman" w:hAnsi="Times New Roman" w:cs="Times New Roman"/>
          <w:i/>
          <w:iCs/>
          <w:szCs w:val="21"/>
        </w:rPr>
        <w:t>b</w:t>
      </w:r>
      <w:r>
        <w:rPr>
          <w:rFonts w:ascii="Times New Roman" w:hAnsi="Times New Roman" w:cs="Times New Roman"/>
          <w:szCs w:val="21"/>
        </w:rPr>
        <w:t xml:space="preserve"> = 0.012, </w:t>
      </w:r>
      <w:r>
        <w:rPr>
          <w:rFonts w:ascii="Times New Roman" w:hAnsi="Times New Roman" w:cs="Times New Roman"/>
          <w:i/>
          <w:iCs/>
          <w:szCs w:val="21"/>
        </w:rPr>
        <w:t>SE</w:t>
      </w:r>
      <w:r>
        <w:rPr>
          <w:rFonts w:ascii="Times New Roman" w:hAnsi="Times New Roman" w:cs="Times New Roman"/>
          <w:szCs w:val="21"/>
        </w:rPr>
        <w:t xml:space="preserve"> = 0.005, </w:t>
      </w:r>
      <w:r>
        <w:rPr>
          <w:rFonts w:ascii="Times New Roman" w:hAnsi="Times New Roman" w:cs="Times New Roman"/>
          <w:i/>
          <w:iCs/>
          <w:szCs w:val="21"/>
        </w:rPr>
        <w:t xml:space="preserve">z </w:t>
      </w:r>
      <w:r>
        <w:rPr>
          <w:rFonts w:ascii="Times New Roman" w:hAnsi="Times New Roman" w:cs="Times New Roman"/>
          <w:szCs w:val="21"/>
        </w:rPr>
        <w:t>= 2.5</w:t>
      </w:r>
      <w:r>
        <w:rPr>
          <w:rFonts w:hint="eastAsia" w:ascii="Times New Roman" w:hAnsi="Times New Roman" w:cs="Times New Roman"/>
          <w:szCs w:val="21"/>
        </w:rPr>
        <w:t>75</w:t>
      </w:r>
      <w:r>
        <w:rPr>
          <w:rFonts w:ascii="Times New Roman" w:hAnsi="Times New Roman" w:cs="Times New Roman"/>
          <w:szCs w:val="21"/>
        </w:rPr>
        <w:t xml:space="preserve">, </w:t>
      </w:r>
      <w:r>
        <w:rPr>
          <w:rFonts w:ascii="Times New Roman" w:hAnsi="Times New Roman" w:cs="Times New Roman"/>
          <w:i/>
          <w:iCs/>
          <w:szCs w:val="21"/>
        </w:rPr>
        <w:t xml:space="preserve">p </w:t>
      </w:r>
      <w:r>
        <w:rPr>
          <w:rFonts w:ascii="Times New Roman" w:hAnsi="Times New Roman" w:cs="Times New Roman"/>
          <w:szCs w:val="21"/>
        </w:rPr>
        <w:t>= 0.030) and simple sentence (</w:t>
      </w:r>
      <w:r>
        <w:rPr>
          <w:rFonts w:ascii="Times New Roman" w:hAnsi="Times New Roman" w:cs="Times New Roman"/>
          <w:i/>
          <w:iCs/>
          <w:szCs w:val="21"/>
        </w:rPr>
        <w:t>b</w:t>
      </w:r>
      <w:r>
        <w:rPr>
          <w:rFonts w:ascii="Times New Roman" w:hAnsi="Times New Roman" w:cs="Times New Roman"/>
          <w:szCs w:val="21"/>
        </w:rPr>
        <w:t xml:space="preserve"> = 0.055, </w:t>
      </w:r>
      <w:r>
        <w:rPr>
          <w:rFonts w:ascii="Times New Roman" w:hAnsi="Times New Roman" w:cs="Times New Roman"/>
          <w:i/>
          <w:iCs/>
          <w:szCs w:val="21"/>
        </w:rPr>
        <w:t>SE</w:t>
      </w:r>
      <w:r>
        <w:rPr>
          <w:rFonts w:ascii="Times New Roman" w:hAnsi="Times New Roman" w:cs="Times New Roman"/>
          <w:szCs w:val="21"/>
        </w:rPr>
        <w:t xml:space="preserve"> = 0.004, </w:t>
      </w:r>
      <w:r>
        <w:rPr>
          <w:rFonts w:ascii="Times New Roman" w:hAnsi="Times New Roman" w:cs="Times New Roman"/>
          <w:i/>
          <w:iCs/>
          <w:szCs w:val="21"/>
        </w:rPr>
        <w:t xml:space="preserve">z </w:t>
      </w:r>
      <w:r>
        <w:rPr>
          <w:rFonts w:ascii="Times New Roman" w:hAnsi="Times New Roman" w:cs="Times New Roman"/>
          <w:szCs w:val="21"/>
        </w:rPr>
        <w:t>= 13.63</w:t>
      </w:r>
      <w:r>
        <w:rPr>
          <w:rFonts w:hint="eastAsia" w:ascii="Times New Roman" w:hAnsi="Times New Roman" w:cs="Times New Roman"/>
          <w:szCs w:val="21"/>
        </w:rPr>
        <w:t>4</w:t>
      </w:r>
      <w:r>
        <w:rPr>
          <w:rFonts w:ascii="Times New Roman" w:hAnsi="Times New Roman" w:cs="Times New Roman"/>
          <w:szCs w:val="21"/>
        </w:rPr>
        <w:t xml:space="preserve">, </w:t>
      </w:r>
      <w:r>
        <w:rPr>
          <w:rFonts w:ascii="Times New Roman" w:hAnsi="Times New Roman" w:cs="Times New Roman"/>
          <w:i/>
          <w:iCs/>
          <w:szCs w:val="21"/>
        </w:rPr>
        <w:t xml:space="preserve">p </w:t>
      </w:r>
      <w:r>
        <w:rPr>
          <w:rFonts w:ascii="Times New Roman" w:hAnsi="Times New Roman" w:cs="Times New Roman"/>
          <w:szCs w:val="21"/>
        </w:rPr>
        <w:t xml:space="preserve">&lt; 0.001), and that ORC would demand longer </w:t>
      </w:r>
      <w:r>
        <w:rPr>
          <w:rFonts w:ascii="Times New Roman" w:hAnsi="Times New Roman" w:cs="Times New Roman"/>
          <w:i/>
          <w:iCs/>
          <w:szCs w:val="21"/>
        </w:rPr>
        <w:t>RT</w:t>
      </w:r>
      <w:r>
        <w:rPr>
          <w:rFonts w:ascii="Times New Roman" w:hAnsi="Times New Roman" w:cs="Times New Roman"/>
          <w:szCs w:val="21"/>
        </w:rPr>
        <w:t xml:space="preserve"> than simple sentence (</w:t>
      </w:r>
      <w:r>
        <w:rPr>
          <w:rFonts w:ascii="Times New Roman" w:hAnsi="Times New Roman" w:cs="Times New Roman"/>
          <w:i/>
          <w:iCs/>
          <w:szCs w:val="21"/>
        </w:rPr>
        <w:t>b</w:t>
      </w:r>
      <w:r>
        <w:rPr>
          <w:rFonts w:ascii="Times New Roman" w:hAnsi="Times New Roman" w:cs="Times New Roman"/>
          <w:szCs w:val="21"/>
        </w:rPr>
        <w:t xml:space="preserve"> = 0.043, </w:t>
      </w:r>
      <w:r>
        <w:rPr>
          <w:rFonts w:ascii="Times New Roman" w:hAnsi="Times New Roman" w:cs="Times New Roman"/>
          <w:i/>
          <w:iCs/>
          <w:szCs w:val="21"/>
        </w:rPr>
        <w:t>SE</w:t>
      </w:r>
      <w:r>
        <w:rPr>
          <w:rFonts w:ascii="Times New Roman" w:hAnsi="Times New Roman" w:cs="Times New Roman"/>
          <w:szCs w:val="21"/>
        </w:rPr>
        <w:t xml:space="preserve"> = 0.004, </w:t>
      </w:r>
      <w:r>
        <w:rPr>
          <w:rFonts w:ascii="Times New Roman" w:hAnsi="Times New Roman" w:cs="Times New Roman"/>
          <w:i/>
          <w:iCs/>
          <w:szCs w:val="21"/>
        </w:rPr>
        <w:t xml:space="preserve">z </w:t>
      </w:r>
      <w:r>
        <w:rPr>
          <w:rFonts w:ascii="Times New Roman" w:hAnsi="Times New Roman" w:eastAsia="宋体" w:cs="Times New Roman"/>
          <w:szCs w:val="21"/>
        </w:rPr>
        <w:t>=</w:t>
      </w:r>
      <w:r>
        <w:rPr>
          <w:rFonts w:ascii="Times New Roman" w:hAnsi="Times New Roman" w:cs="Times New Roman"/>
          <w:szCs w:val="21"/>
        </w:rPr>
        <w:t xml:space="preserve"> 10.70</w:t>
      </w:r>
      <w:r>
        <w:rPr>
          <w:rFonts w:hint="eastAsia" w:ascii="Times New Roman" w:hAnsi="Times New Roman" w:cs="Times New Roman"/>
          <w:szCs w:val="21"/>
        </w:rPr>
        <w:t>1</w:t>
      </w:r>
      <w:r>
        <w:rPr>
          <w:rFonts w:ascii="Times New Roman" w:hAnsi="Times New Roman" w:cs="Times New Roman"/>
          <w:szCs w:val="21"/>
        </w:rPr>
        <w:t xml:space="preserve">, </w:t>
      </w:r>
      <w:r>
        <w:rPr>
          <w:rFonts w:ascii="Times New Roman" w:hAnsi="Times New Roman" w:cs="Times New Roman"/>
          <w:i/>
          <w:iCs/>
          <w:szCs w:val="21"/>
        </w:rPr>
        <w:t xml:space="preserve">p </w:t>
      </w:r>
      <w:r>
        <w:rPr>
          <w:rFonts w:ascii="Times New Roman" w:hAnsi="Times New Roman" w:eastAsia="宋体" w:cs="Times New Roman"/>
          <w:szCs w:val="21"/>
        </w:rPr>
        <w:t>&lt;</w:t>
      </w:r>
      <w:r>
        <w:rPr>
          <w:rFonts w:ascii="Times New Roman" w:hAnsi="Times New Roman" w:cs="Times New Roman"/>
          <w:szCs w:val="21"/>
        </w:rPr>
        <w:t xml:space="preserve"> 0.001).</w:t>
      </w:r>
    </w:p>
    <w:p w14:paraId="1C1D0E8A">
      <w:pPr>
        <w:spacing w:line="480" w:lineRule="auto"/>
        <w:rPr>
          <w:rFonts w:ascii="Times New Roman" w:hAnsi="Times New Roman" w:cs="Times New Roman"/>
          <w:szCs w:val="21"/>
          <w:highlight w:val="yellow"/>
        </w:rPr>
      </w:pPr>
      <w:r>
        <w:rPr>
          <w:rFonts w:hint="eastAsia" w:ascii="Times New Roman" w:hAnsi="Times New Roman" w:cs="Times New Roman"/>
          <w:szCs w:val="21"/>
        </w:rPr>
        <w:t>As for</w:t>
      </w:r>
      <w:r>
        <w:rPr>
          <w:rFonts w:ascii="Times New Roman" w:hAnsi="Times New Roman" w:cs="Times New Roman"/>
          <w:szCs w:val="21"/>
        </w:rPr>
        <w:t xml:space="preserve"> accuracy, we also observed significant main effects of Stimulation region and Structure type</w:t>
      </w:r>
      <w:r>
        <w:rPr>
          <w:rFonts w:hint="eastAsia" w:ascii="Times New Roman" w:hAnsi="Times New Roman" w:cs="Times New Roman"/>
          <w:szCs w:val="21"/>
        </w:rPr>
        <w:t xml:space="preserve"> (</w:t>
      </w:r>
      <w:r>
        <w:rPr>
          <w:rFonts w:ascii="Times New Roman" w:hAnsi="Times New Roman" w:cs="Times New Roman"/>
          <w:i/>
          <w:iCs/>
        </w:rPr>
        <w:t>χ²</w:t>
      </w:r>
      <w:r>
        <w:rPr>
          <w:rFonts w:hint="eastAsia" w:ascii="Times New Roman" w:hAnsi="Times New Roman" w:cs="Times New Roman"/>
        </w:rPr>
        <w:t>s</w:t>
      </w:r>
      <w:r>
        <w:rPr>
          <w:rFonts w:ascii="Times New Roman" w:hAnsi="Times New Roman" w:cs="Times New Roman"/>
          <w:szCs w:val="21"/>
        </w:rPr>
        <w:t xml:space="preserve"> </w:t>
      </w:r>
      <w:r>
        <w:rPr>
          <w:rFonts w:ascii="Times New Roman" w:hAnsi="Times New Roman" w:eastAsia="宋体" w:cs="Times New Roman"/>
          <w:szCs w:val="21"/>
        </w:rPr>
        <w:t>≥</w:t>
      </w:r>
      <w:r>
        <w:rPr>
          <w:rFonts w:hint="eastAsia" w:ascii="Times New Roman" w:hAnsi="Times New Roman" w:cs="Times New Roman"/>
          <w:szCs w:val="21"/>
        </w:rPr>
        <w:t xml:space="preserve"> 15.42</w:t>
      </w:r>
      <w:r>
        <w:rPr>
          <w:rFonts w:hint="eastAsia" w:ascii="Times New Roman" w:hAnsi="Times New Roman" w:cs="Times New Roman"/>
          <w:i/>
          <w:iCs/>
          <w:szCs w:val="21"/>
        </w:rPr>
        <w:t>, p</w:t>
      </w:r>
      <w:r>
        <w:rPr>
          <w:rFonts w:hint="eastAsia" w:ascii="Times New Roman" w:hAnsi="Times New Roman" w:cs="Times New Roman"/>
          <w:szCs w:val="21"/>
        </w:rPr>
        <w:t>s &lt; 0.001)</w:t>
      </w:r>
      <w:r>
        <w:rPr>
          <w:rFonts w:ascii="Times New Roman" w:hAnsi="Times New Roman" w:cs="Times New Roman"/>
          <w:szCs w:val="21"/>
        </w:rPr>
        <w:t xml:space="preserve">. Post-hoc analyses showed that </w:t>
      </w:r>
      <w:r>
        <w:rPr>
          <w:rFonts w:hint="eastAsia" w:ascii="Times New Roman" w:hAnsi="Times New Roman" w:cs="Times New Roman"/>
          <w:szCs w:val="21"/>
        </w:rPr>
        <w:t>following stimulation of the LIFG, accuracy was significantly lower compared to stimulation of either the LpTL (</w:t>
      </w:r>
      <w:r>
        <w:rPr>
          <w:rFonts w:ascii="Times New Roman" w:hAnsi="Times New Roman" w:cs="Times New Roman"/>
          <w:i/>
          <w:iCs/>
          <w:szCs w:val="21"/>
        </w:rPr>
        <w:t>b</w:t>
      </w:r>
      <w:r>
        <w:rPr>
          <w:rFonts w:ascii="Times New Roman" w:hAnsi="Times New Roman" w:cs="Times New Roman"/>
          <w:szCs w:val="21"/>
        </w:rPr>
        <w:t xml:space="preserve"> = </w:t>
      </w:r>
      <w:r>
        <w:rPr>
          <w:rFonts w:hint="eastAsia" w:ascii="Times New Roman" w:hAnsi="Times New Roman" w:cs="Times New Roman"/>
          <w:szCs w:val="21"/>
        </w:rPr>
        <w:t>-0.376</w:t>
      </w:r>
      <w:r>
        <w:rPr>
          <w:rFonts w:ascii="Times New Roman" w:hAnsi="Times New Roman" w:cs="Times New Roman"/>
          <w:szCs w:val="21"/>
        </w:rPr>
        <w:t xml:space="preserve">, </w:t>
      </w:r>
      <w:r>
        <w:rPr>
          <w:rFonts w:ascii="Times New Roman" w:hAnsi="Times New Roman" w:cs="Times New Roman"/>
          <w:i/>
          <w:iCs/>
          <w:szCs w:val="21"/>
        </w:rPr>
        <w:t>SE</w:t>
      </w:r>
      <w:r>
        <w:rPr>
          <w:rFonts w:ascii="Times New Roman" w:hAnsi="Times New Roman" w:cs="Times New Roman"/>
          <w:szCs w:val="21"/>
        </w:rPr>
        <w:t xml:space="preserve"> = 0.0</w:t>
      </w:r>
      <w:r>
        <w:rPr>
          <w:rFonts w:hint="eastAsia" w:ascii="Times New Roman" w:hAnsi="Times New Roman" w:cs="Times New Roman"/>
          <w:szCs w:val="21"/>
        </w:rPr>
        <w:t>98</w:t>
      </w:r>
      <w:r>
        <w:rPr>
          <w:rFonts w:ascii="Times New Roman" w:hAnsi="Times New Roman" w:cs="Times New Roman"/>
          <w:szCs w:val="21"/>
        </w:rPr>
        <w:t xml:space="preserve">, </w:t>
      </w:r>
      <w:r>
        <w:rPr>
          <w:rFonts w:ascii="Times New Roman" w:hAnsi="Times New Roman" w:cs="Times New Roman"/>
          <w:i/>
          <w:iCs/>
          <w:szCs w:val="21"/>
        </w:rPr>
        <w:t xml:space="preserve">z </w:t>
      </w:r>
      <w:r>
        <w:rPr>
          <w:rFonts w:ascii="Times New Roman" w:hAnsi="Times New Roman" w:cs="Times New Roman"/>
          <w:szCs w:val="21"/>
        </w:rPr>
        <w:t xml:space="preserve">= </w:t>
      </w:r>
      <w:r>
        <w:rPr>
          <w:rFonts w:hint="eastAsia" w:ascii="Times New Roman" w:hAnsi="Times New Roman" w:cs="Times New Roman"/>
          <w:szCs w:val="21"/>
        </w:rPr>
        <w:t>-3.824</w:t>
      </w:r>
      <w:r>
        <w:rPr>
          <w:rFonts w:ascii="Times New Roman" w:hAnsi="Times New Roman" w:cs="Times New Roman"/>
          <w:szCs w:val="21"/>
        </w:rPr>
        <w:t xml:space="preserve">, </w:t>
      </w:r>
      <w:r>
        <w:rPr>
          <w:rFonts w:ascii="Times New Roman" w:hAnsi="Times New Roman" w:cs="Times New Roman"/>
          <w:i/>
          <w:iCs/>
          <w:szCs w:val="21"/>
        </w:rPr>
        <w:t xml:space="preserve">p </w:t>
      </w:r>
      <w:r>
        <w:rPr>
          <w:rFonts w:hint="eastAsia" w:ascii="Times New Roman" w:hAnsi="Times New Roman" w:cs="Times New Roman"/>
          <w:i/>
          <w:iCs/>
          <w:szCs w:val="21"/>
        </w:rPr>
        <w:t>&lt;</w:t>
      </w:r>
      <w:r>
        <w:rPr>
          <w:rFonts w:ascii="Times New Roman" w:hAnsi="Times New Roman" w:cs="Times New Roman"/>
          <w:szCs w:val="21"/>
        </w:rPr>
        <w:t xml:space="preserve"> 0.0</w:t>
      </w:r>
      <w:r>
        <w:rPr>
          <w:rFonts w:hint="eastAsia" w:ascii="Times New Roman" w:hAnsi="Times New Roman" w:cs="Times New Roman"/>
          <w:szCs w:val="21"/>
        </w:rPr>
        <w:t xml:space="preserve">01) or the vertex </w:t>
      </w:r>
      <w:r>
        <w:rPr>
          <w:rFonts w:ascii="Times New Roman" w:hAnsi="Times New Roman" w:cs="Times New Roman"/>
          <w:szCs w:val="21"/>
        </w:rPr>
        <w:t>(</w:t>
      </w:r>
      <w:r>
        <w:rPr>
          <w:rFonts w:ascii="Times New Roman" w:hAnsi="Times New Roman" w:cs="Times New Roman"/>
          <w:i/>
          <w:iCs/>
          <w:szCs w:val="21"/>
        </w:rPr>
        <w:t>b</w:t>
      </w:r>
      <w:r>
        <w:rPr>
          <w:rFonts w:ascii="Times New Roman" w:hAnsi="Times New Roman" w:cs="Times New Roman"/>
          <w:szCs w:val="21"/>
        </w:rPr>
        <w:t xml:space="preserve"> = </w:t>
      </w:r>
      <w:r>
        <w:rPr>
          <w:rFonts w:hint="eastAsia" w:ascii="Times New Roman" w:hAnsi="Times New Roman" w:cs="Times New Roman"/>
          <w:szCs w:val="21"/>
        </w:rPr>
        <w:t>-0.298</w:t>
      </w:r>
      <w:r>
        <w:rPr>
          <w:rFonts w:ascii="Times New Roman" w:hAnsi="Times New Roman" w:cs="Times New Roman"/>
          <w:szCs w:val="21"/>
        </w:rPr>
        <w:t xml:space="preserve">, </w:t>
      </w:r>
      <w:r>
        <w:rPr>
          <w:rFonts w:ascii="Times New Roman" w:hAnsi="Times New Roman" w:cs="Times New Roman"/>
          <w:i/>
          <w:iCs/>
          <w:szCs w:val="21"/>
        </w:rPr>
        <w:t>SE</w:t>
      </w:r>
      <w:r>
        <w:rPr>
          <w:rFonts w:ascii="Times New Roman" w:hAnsi="Times New Roman" w:cs="Times New Roman"/>
          <w:szCs w:val="21"/>
        </w:rPr>
        <w:t xml:space="preserve"> = 0.0</w:t>
      </w:r>
      <w:r>
        <w:rPr>
          <w:rFonts w:hint="eastAsia" w:ascii="Times New Roman" w:hAnsi="Times New Roman" w:cs="Times New Roman"/>
          <w:szCs w:val="21"/>
        </w:rPr>
        <w:t>90</w:t>
      </w:r>
      <w:r>
        <w:rPr>
          <w:rFonts w:ascii="Times New Roman" w:hAnsi="Times New Roman" w:cs="Times New Roman"/>
          <w:szCs w:val="21"/>
        </w:rPr>
        <w:t xml:space="preserve">, </w:t>
      </w:r>
      <w:r>
        <w:rPr>
          <w:rFonts w:ascii="Times New Roman" w:hAnsi="Times New Roman" w:cs="Times New Roman"/>
          <w:i/>
          <w:iCs/>
          <w:szCs w:val="21"/>
        </w:rPr>
        <w:t xml:space="preserve">z </w:t>
      </w:r>
      <w:r>
        <w:rPr>
          <w:rFonts w:ascii="Times New Roman" w:hAnsi="Times New Roman" w:cs="Times New Roman"/>
          <w:szCs w:val="21"/>
        </w:rPr>
        <w:t xml:space="preserve">= </w:t>
      </w:r>
      <w:r>
        <w:rPr>
          <w:rFonts w:hint="eastAsia" w:ascii="Times New Roman" w:hAnsi="Times New Roman" w:cs="Times New Roman"/>
          <w:szCs w:val="21"/>
        </w:rPr>
        <w:t>-3.330</w:t>
      </w:r>
      <w:r>
        <w:rPr>
          <w:rFonts w:ascii="Times New Roman" w:hAnsi="Times New Roman" w:cs="Times New Roman"/>
          <w:szCs w:val="21"/>
        </w:rPr>
        <w:t xml:space="preserve">, </w:t>
      </w:r>
      <w:r>
        <w:rPr>
          <w:rFonts w:ascii="Times New Roman" w:hAnsi="Times New Roman" w:cs="Times New Roman"/>
          <w:i/>
          <w:iCs/>
          <w:szCs w:val="21"/>
        </w:rPr>
        <w:t xml:space="preserve">p </w:t>
      </w:r>
      <w:r>
        <w:rPr>
          <w:rFonts w:ascii="Times New Roman" w:hAnsi="Times New Roman" w:cs="Times New Roman"/>
          <w:szCs w:val="21"/>
        </w:rPr>
        <w:t>= 0.0</w:t>
      </w:r>
      <w:r>
        <w:rPr>
          <w:rFonts w:hint="eastAsia" w:ascii="Times New Roman" w:hAnsi="Times New Roman" w:cs="Times New Roman"/>
          <w:szCs w:val="21"/>
        </w:rPr>
        <w:t>03)</w:t>
      </w:r>
      <w:r>
        <w:rPr>
          <w:rFonts w:ascii="Times New Roman" w:hAnsi="Times New Roman" w:cs="Times New Roman"/>
          <w:szCs w:val="21"/>
        </w:rPr>
        <w:t>. No significant difference was found between LpTL TUS and vertex TUS</w:t>
      </w:r>
      <w:r>
        <w:rPr>
          <w:rFonts w:hint="eastAsia" w:ascii="Times New Roman" w:hAnsi="Times New Roman" w:cs="Times New Roman"/>
          <w:szCs w:val="21"/>
        </w:rPr>
        <w:t xml:space="preserve"> (</w:t>
      </w:r>
      <w:r>
        <w:rPr>
          <w:rFonts w:ascii="Times New Roman" w:hAnsi="Times New Roman" w:cs="Times New Roman"/>
          <w:i/>
          <w:iCs/>
          <w:szCs w:val="21"/>
        </w:rPr>
        <w:t>b</w:t>
      </w:r>
      <w:r>
        <w:rPr>
          <w:rFonts w:hint="eastAsia" w:ascii="Times New Roman" w:hAnsi="Times New Roman" w:cs="Times New Roman"/>
          <w:i/>
          <w:iCs/>
          <w:szCs w:val="21"/>
        </w:rPr>
        <w:t xml:space="preserve"> </w:t>
      </w:r>
      <w:r>
        <w:rPr>
          <w:rFonts w:ascii="Times New Roman" w:hAnsi="Times New Roman" w:cs="Times New Roman"/>
          <w:szCs w:val="21"/>
        </w:rPr>
        <w:t xml:space="preserve">= </w:t>
      </w:r>
      <w:r>
        <w:rPr>
          <w:rFonts w:hint="eastAsia" w:ascii="Times New Roman" w:hAnsi="Times New Roman" w:cs="Times New Roman"/>
          <w:szCs w:val="21"/>
        </w:rPr>
        <w:t>-0.078</w:t>
      </w:r>
      <w:r>
        <w:rPr>
          <w:rFonts w:ascii="Times New Roman" w:hAnsi="Times New Roman" w:cs="Times New Roman"/>
          <w:szCs w:val="21"/>
        </w:rPr>
        <w:t xml:space="preserve">, </w:t>
      </w:r>
      <w:r>
        <w:rPr>
          <w:rFonts w:ascii="Times New Roman" w:hAnsi="Times New Roman" w:cs="Times New Roman"/>
          <w:i/>
          <w:iCs/>
          <w:szCs w:val="21"/>
        </w:rPr>
        <w:t>SE</w:t>
      </w:r>
      <w:r>
        <w:rPr>
          <w:rFonts w:ascii="Times New Roman" w:hAnsi="Times New Roman" w:cs="Times New Roman"/>
          <w:szCs w:val="21"/>
        </w:rPr>
        <w:t xml:space="preserve"> = 0.0</w:t>
      </w:r>
      <w:r>
        <w:rPr>
          <w:rFonts w:hint="eastAsia" w:ascii="Times New Roman" w:hAnsi="Times New Roman" w:cs="Times New Roman"/>
          <w:szCs w:val="21"/>
        </w:rPr>
        <w:t>72</w:t>
      </w:r>
      <w:r>
        <w:rPr>
          <w:rFonts w:ascii="Times New Roman" w:hAnsi="Times New Roman" w:cs="Times New Roman"/>
          <w:szCs w:val="21"/>
        </w:rPr>
        <w:t xml:space="preserve">, </w:t>
      </w:r>
      <w:r>
        <w:rPr>
          <w:rFonts w:ascii="Times New Roman" w:hAnsi="Times New Roman" w:cs="Times New Roman"/>
          <w:i/>
          <w:iCs/>
          <w:szCs w:val="21"/>
        </w:rPr>
        <w:t xml:space="preserve">z </w:t>
      </w:r>
      <w:r>
        <w:rPr>
          <w:rFonts w:ascii="Times New Roman" w:hAnsi="Times New Roman" w:cs="Times New Roman"/>
          <w:szCs w:val="21"/>
        </w:rPr>
        <w:t xml:space="preserve">= </w:t>
      </w:r>
      <w:r>
        <w:rPr>
          <w:rFonts w:hint="eastAsia" w:ascii="Times New Roman" w:hAnsi="Times New Roman" w:cs="Times New Roman"/>
          <w:szCs w:val="21"/>
        </w:rPr>
        <w:t>-1.080</w:t>
      </w:r>
      <w:r>
        <w:rPr>
          <w:rFonts w:ascii="Times New Roman" w:hAnsi="Times New Roman" w:cs="Times New Roman"/>
          <w:szCs w:val="21"/>
        </w:rPr>
        <w:t xml:space="preserve">, </w:t>
      </w:r>
      <w:r>
        <w:rPr>
          <w:rFonts w:ascii="Times New Roman" w:hAnsi="Times New Roman" w:cs="Times New Roman"/>
          <w:i/>
          <w:iCs/>
          <w:szCs w:val="21"/>
        </w:rPr>
        <w:t xml:space="preserve">p </w:t>
      </w:r>
      <w:r>
        <w:rPr>
          <w:rFonts w:ascii="Times New Roman" w:hAnsi="Times New Roman" w:cs="Times New Roman"/>
          <w:szCs w:val="21"/>
        </w:rPr>
        <w:t>= 0.</w:t>
      </w:r>
      <w:r>
        <w:rPr>
          <w:rFonts w:hint="eastAsia" w:ascii="Times New Roman" w:hAnsi="Times New Roman" w:cs="Times New Roman"/>
          <w:szCs w:val="21"/>
        </w:rPr>
        <w:t>840)</w:t>
      </w:r>
      <w:r>
        <w:rPr>
          <w:rFonts w:ascii="Times New Roman" w:hAnsi="Times New Roman" w:cs="Times New Roman"/>
          <w:szCs w:val="21"/>
        </w:rPr>
        <w:t>. For Structure type, accuracy for both SRC and ORC</w:t>
      </w:r>
      <w:r>
        <w:rPr>
          <w:rFonts w:hint="eastAsia" w:ascii="Times New Roman" w:hAnsi="Times New Roman" w:cs="Times New Roman"/>
          <w:szCs w:val="21"/>
        </w:rPr>
        <w:t xml:space="preserve"> </w:t>
      </w:r>
      <w:r>
        <w:rPr>
          <w:rFonts w:ascii="Times New Roman" w:hAnsi="Times New Roman" w:cs="Times New Roman"/>
          <w:szCs w:val="21"/>
        </w:rPr>
        <w:t>processing was significantly lower than that for simple sentence processing</w:t>
      </w:r>
      <w:r>
        <w:rPr>
          <w:rFonts w:hint="eastAsia" w:ascii="Times New Roman" w:hAnsi="Times New Roman" w:cs="Times New Roman"/>
          <w:szCs w:val="21"/>
        </w:rPr>
        <w:t xml:space="preserve"> (SRC processing: </w:t>
      </w:r>
      <w:r>
        <w:rPr>
          <w:rFonts w:ascii="Times New Roman" w:hAnsi="Times New Roman" w:cs="Times New Roman"/>
          <w:i/>
          <w:iCs/>
          <w:szCs w:val="21"/>
        </w:rPr>
        <w:t>b</w:t>
      </w:r>
      <w:r>
        <w:rPr>
          <w:rFonts w:ascii="Times New Roman" w:hAnsi="Times New Roman" w:cs="Times New Roman"/>
          <w:szCs w:val="21"/>
        </w:rPr>
        <w:t xml:space="preserve"> = </w:t>
      </w:r>
      <w:r>
        <w:rPr>
          <w:rFonts w:hint="eastAsia" w:ascii="Times New Roman" w:hAnsi="Times New Roman" w:cs="Times New Roman"/>
          <w:szCs w:val="21"/>
        </w:rPr>
        <w:t>-0.666</w:t>
      </w:r>
      <w:r>
        <w:rPr>
          <w:rFonts w:ascii="Times New Roman" w:hAnsi="Times New Roman" w:cs="Times New Roman"/>
          <w:szCs w:val="21"/>
        </w:rPr>
        <w:t xml:space="preserve">, </w:t>
      </w:r>
      <w:r>
        <w:rPr>
          <w:rFonts w:ascii="Times New Roman" w:hAnsi="Times New Roman" w:cs="Times New Roman"/>
          <w:i/>
          <w:iCs/>
          <w:szCs w:val="21"/>
        </w:rPr>
        <w:t>SE</w:t>
      </w:r>
      <w:r>
        <w:rPr>
          <w:rFonts w:ascii="Times New Roman" w:hAnsi="Times New Roman" w:cs="Times New Roman"/>
          <w:szCs w:val="21"/>
        </w:rPr>
        <w:t xml:space="preserve"> = 0.</w:t>
      </w:r>
      <w:r>
        <w:rPr>
          <w:rFonts w:hint="eastAsia" w:ascii="Times New Roman" w:hAnsi="Times New Roman" w:cs="Times New Roman"/>
          <w:szCs w:val="21"/>
        </w:rPr>
        <w:t>118</w:t>
      </w:r>
      <w:r>
        <w:rPr>
          <w:rFonts w:ascii="Times New Roman" w:hAnsi="Times New Roman" w:cs="Times New Roman"/>
          <w:szCs w:val="21"/>
        </w:rPr>
        <w:t xml:space="preserve">, </w:t>
      </w:r>
      <w:r>
        <w:rPr>
          <w:rFonts w:ascii="Times New Roman" w:hAnsi="Times New Roman" w:cs="Times New Roman"/>
          <w:i/>
          <w:iCs/>
          <w:szCs w:val="21"/>
        </w:rPr>
        <w:t xml:space="preserve">z </w:t>
      </w:r>
      <w:r>
        <w:rPr>
          <w:rFonts w:ascii="Times New Roman" w:hAnsi="Times New Roman" w:cs="Times New Roman"/>
          <w:szCs w:val="21"/>
        </w:rPr>
        <w:t xml:space="preserve">= </w:t>
      </w:r>
      <w:r>
        <w:rPr>
          <w:rFonts w:hint="eastAsia" w:ascii="Times New Roman" w:hAnsi="Times New Roman" w:cs="Times New Roman"/>
          <w:szCs w:val="21"/>
        </w:rPr>
        <w:t>-5.632</w:t>
      </w:r>
      <w:r>
        <w:rPr>
          <w:rFonts w:ascii="Times New Roman" w:hAnsi="Times New Roman" w:cs="Times New Roman"/>
          <w:szCs w:val="21"/>
        </w:rPr>
        <w:t xml:space="preserve">, </w:t>
      </w:r>
      <w:r>
        <w:rPr>
          <w:rFonts w:ascii="Times New Roman" w:hAnsi="Times New Roman" w:cs="Times New Roman"/>
          <w:i/>
          <w:iCs/>
          <w:szCs w:val="21"/>
        </w:rPr>
        <w:t xml:space="preserve">p </w:t>
      </w:r>
      <w:r>
        <w:rPr>
          <w:rFonts w:hint="eastAsia" w:ascii="Times New Roman" w:hAnsi="Times New Roman" w:cs="Times New Roman"/>
          <w:i/>
          <w:iCs/>
          <w:szCs w:val="21"/>
        </w:rPr>
        <w:t>&lt;</w:t>
      </w:r>
      <w:r>
        <w:rPr>
          <w:rFonts w:ascii="Times New Roman" w:hAnsi="Times New Roman" w:cs="Times New Roman"/>
          <w:szCs w:val="21"/>
        </w:rPr>
        <w:t xml:space="preserve"> 0.0</w:t>
      </w:r>
      <w:r>
        <w:rPr>
          <w:rFonts w:hint="eastAsia" w:ascii="Times New Roman" w:hAnsi="Times New Roman" w:cs="Times New Roman"/>
          <w:szCs w:val="21"/>
        </w:rPr>
        <w:t xml:space="preserve">01; ORC processing: </w:t>
      </w:r>
      <w:r>
        <w:rPr>
          <w:rFonts w:ascii="Times New Roman" w:hAnsi="Times New Roman" w:cs="Times New Roman"/>
          <w:i/>
          <w:iCs/>
          <w:szCs w:val="21"/>
        </w:rPr>
        <w:t>b</w:t>
      </w:r>
      <w:r>
        <w:rPr>
          <w:rFonts w:ascii="Times New Roman" w:hAnsi="Times New Roman" w:cs="Times New Roman"/>
          <w:szCs w:val="21"/>
        </w:rPr>
        <w:t xml:space="preserve"> = </w:t>
      </w:r>
      <w:r>
        <w:rPr>
          <w:rFonts w:hint="eastAsia" w:ascii="Times New Roman" w:hAnsi="Times New Roman" w:cs="Times New Roman"/>
          <w:szCs w:val="21"/>
        </w:rPr>
        <w:t>-0.584</w:t>
      </w:r>
      <w:r>
        <w:rPr>
          <w:rFonts w:ascii="Times New Roman" w:hAnsi="Times New Roman" w:cs="Times New Roman"/>
          <w:szCs w:val="21"/>
        </w:rPr>
        <w:t xml:space="preserve">, </w:t>
      </w:r>
      <w:r>
        <w:rPr>
          <w:rFonts w:ascii="Times New Roman" w:hAnsi="Times New Roman" w:cs="Times New Roman"/>
          <w:i/>
          <w:iCs/>
          <w:szCs w:val="21"/>
        </w:rPr>
        <w:t>SE</w:t>
      </w:r>
      <w:r>
        <w:rPr>
          <w:rFonts w:ascii="Times New Roman" w:hAnsi="Times New Roman" w:cs="Times New Roman"/>
          <w:szCs w:val="21"/>
        </w:rPr>
        <w:t xml:space="preserve"> = 0.</w:t>
      </w:r>
      <w:r>
        <w:rPr>
          <w:rFonts w:hint="eastAsia" w:ascii="Times New Roman" w:hAnsi="Times New Roman" w:cs="Times New Roman"/>
          <w:szCs w:val="21"/>
        </w:rPr>
        <w:t>118</w:t>
      </w:r>
      <w:r>
        <w:rPr>
          <w:rFonts w:ascii="Times New Roman" w:hAnsi="Times New Roman" w:cs="Times New Roman"/>
          <w:szCs w:val="21"/>
        </w:rPr>
        <w:t xml:space="preserve">, </w:t>
      </w:r>
      <w:r>
        <w:rPr>
          <w:rFonts w:ascii="Times New Roman" w:hAnsi="Times New Roman" w:cs="Times New Roman"/>
          <w:i/>
          <w:iCs/>
          <w:szCs w:val="21"/>
        </w:rPr>
        <w:t xml:space="preserve">z </w:t>
      </w:r>
      <w:r>
        <w:rPr>
          <w:rFonts w:ascii="Times New Roman" w:hAnsi="Times New Roman" w:cs="Times New Roman"/>
          <w:szCs w:val="21"/>
        </w:rPr>
        <w:t xml:space="preserve">= </w:t>
      </w:r>
      <w:r>
        <w:rPr>
          <w:rFonts w:hint="eastAsia" w:ascii="Times New Roman" w:hAnsi="Times New Roman" w:cs="Times New Roman"/>
          <w:szCs w:val="21"/>
        </w:rPr>
        <w:t>-4.930</w:t>
      </w:r>
      <w:r>
        <w:rPr>
          <w:rFonts w:ascii="Times New Roman" w:hAnsi="Times New Roman" w:cs="Times New Roman"/>
          <w:szCs w:val="21"/>
        </w:rPr>
        <w:t xml:space="preserve">, </w:t>
      </w:r>
      <w:r>
        <w:rPr>
          <w:rFonts w:ascii="Times New Roman" w:hAnsi="Times New Roman" w:cs="Times New Roman"/>
          <w:i/>
          <w:iCs/>
          <w:szCs w:val="21"/>
        </w:rPr>
        <w:t xml:space="preserve">p </w:t>
      </w:r>
      <w:r>
        <w:rPr>
          <w:rFonts w:hint="eastAsia" w:ascii="Times New Roman" w:hAnsi="Times New Roman" w:cs="Times New Roman"/>
          <w:i/>
          <w:iCs/>
          <w:szCs w:val="21"/>
        </w:rPr>
        <w:t>&lt;</w:t>
      </w:r>
      <w:r>
        <w:rPr>
          <w:rFonts w:ascii="Times New Roman" w:hAnsi="Times New Roman" w:cs="Times New Roman"/>
          <w:szCs w:val="21"/>
        </w:rPr>
        <w:t xml:space="preserve"> 0.0</w:t>
      </w:r>
      <w:r>
        <w:rPr>
          <w:rFonts w:hint="eastAsia" w:ascii="Times New Roman" w:hAnsi="Times New Roman" w:cs="Times New Roman"/>
          <w:szCs w:val="21"/>
        </w:rPr>
        <w:t>01)</w:t>
      </w:r>
      <w:r>
        <w:rPr>
          <w:rFonts w:ascii="Times New Roman" w:hAnsi="Times New Roman" w:cs="Times New Roman"/>
          <w:szCs w:val="21"/>
        </w:rPr>
        <w:t>, with no significant difference between SRC and ORC processing</w:t>
      </w:r>
      <w:r>
        <w:rPr>
          <w:rFonts w:hint="eastAsia" w:ascii="Times New Roman" w:hAnsi="Times New Roman" w:cs="Times New Roman"/>
          <w:szCs w:val="21"/>
        </w:rPr>
        <w:t xml:space="preserve"> (</w:t>
      </w:r>
      <w:r>
        <w:rPr>
          <w:rFonts w:ascii="Times New Roman" w:hAnsi="Times New Roman" w:cs="Times New Roman"/>
          <w:i/>
          <w:iCs/>
          <w:szCs w:val="21"/>
        </w:rPr>
        <w:t>b</w:t>
      </w:r>
      <w:r>
        <w:rPr>
          <w:rFonts w:ascii="Times New Roman" w:hAnsi="Times New Roman" w:cs="Times New Roman"/>
          <w:szCs w:val="21"/>
        </w:rPr>
        <w:t xml:space="preserve">= </w:t>
      </w:r>
      <w:r>
        <w:rPr>
          <w:rFonts w:hint="eastAsia" w:ascii="Times New Roman" w:hAnsi="Times New Roman" w:cs="Times New Roman"/>
          <w:szCs w:val="21"/>
        </w:rPr>
        <w:t>-0.082</w:t>
      </w:r>
      <w:r>
        <w:rPr>
          <w:rFonts w:ascii="Times New Roman" w:hAnsi="Times New Roman" w:cs="Times New Roman"/>
          <w:szCs w:val="21"/>
        </w:rPr>
        <w:t xml:space="preserve">, </w:t>
      </w:r>
      <w:r>
        <w:rPr>
          <w:rFonts w:ascii="Times New Roman" w:hAnsi="Times New Roman" w:cs="Times New Roman"/>
          <w:i/>
          <w:iCs/>
          <w:szCs w:val="21"/>
        </w:rPr>
        <w:t>SE</w:t>
      </w:r>
      <w:r>
        <w:rPr>
          <w:rFonts w:ascii="Times New Roman" w:hAnsi="Times New Roman" w:cs="Times New Roman"/>
          <w:szCs w:val="21"/>
        </w:rPr>
        <w:t xml:space="preserve"> = 0.</w:t>
      </w:r>
      <w:r>
        <w:rPr>
          <w:rFonts w:hint="eastAsia" w:ascii="Times New Roman" w:hAnsi="Times New Roman" w:cs="Times New Roman"/>
          <w:szCs w:val="21"/>
        </w:rPr>
        <w:t>134</w:t>
      </w:r>
      <w:r>
        <w:rPr>
          <w:rFonts w:ascii="Times New Roman" w:hAnsi="Times New Roman" w:cs="Times New Roman"/>
          <w:szCs w:val="21"/>
        </w:rPr>
        <w:t xml:space="preserve">, </w:t>
      </w:r>
      <w:r>
        <w:rPr>
          <w:rFonts w:ascii="Times New Roman" w:hAnsi="Times New Roman" w:cs="Times New Roman"/>
          <w:i/>
          <w:iCs/>
          <w:szCs w:val="21"/>
        </w:rPr>
        <w:t xml:space="preserve">z </w:t>
      </w:r>
      <w:r>
        <w:rPr>
          <w:rFonts w:ascii="Times New Roman" w:hAnsi="Times New Roman" w:cs="Times New Roman"/>
          <w:szCs w:val="21"/>
        </w:rPr>
        <w:t xml:space="preserve">= </w:t>
      </w:r>
      <w:r>
        <w:rPr>
          <w:rFonts w:hint="eastAsia" w:ascii="Times New Roman" w:hAnsi="Times New Roman" w:cs="Times New Roman"/>
          <w:szCs w:val="21"/>
        </w:rPr>
        <w:t>-0.613</w:t>
      </w:r>
      <w:r>
        <w:rPr>
          <w:rFonts w:ascii="Times New Roman" w:hAnsi="Times New Roman" w:cs="Times New Roman"/>
          <w:szCs w:val="21"/>
        </w:rPr>
        <w:t xml:space="preserve">, </w:t>
      </w:r>
      <w:r>
        <w:rPr>
          <w:rFonts w:ascii="Times New Roman" w:hAnsi="Times New Roman" w:cs="Times New Roman"/>
          <w:i/>
          <w:iCs/>
          <w:szCs w:val="21"/>
        </w:rPr>
        <w:t xml:space="preserve">p </w:t>
      </w:r>
      <w:r>
        <w:rPr>
          <w:rFonts w:ascii="Times New Roman" w:hAnsi="Times New Roman" w:cs="Times New Roman"/>
          <w:szCs w:val="21"/>
        </w:rPr>
        <w:t xml:space="preserve">= </w:t>
      </w:r>
      <w:r>
        <w:rPr>
          <w:rFonts w:hint="eastAsia" w:ascii="Times New Roman" w:hAnsi="Times New Roman" w:cs="Times New Roman"/>
          <w:szCs w:val="21"/>
        </w:rPr>
        <w:t>1.000)</w:t>
      </w:r>
      <w:r>
        <w:rPr>
          <w:rFonts w:ascii="Times New Roman" w:hAnsi="Times New Roman" w:cs="Times New Roman"/>
          <w:szCs w:val="21"/>
        </w:rPr>
        <w:t>.</w:t>
      </w:r>
      <w:r>
        <w:rPr>
          <w:rFonts w:hint="eastAsia" w:ascii="Times New Roman" w:hAnsi="Times New Roman" w:cs="Times New Roman"/>
          <w:szCs w:val="21"/>
        </w:rPr>
        <w:t xml:space="preserve"> Detailed results of the LMMs (for </w:t>
      </w:r>
      <w:r>
        <w:rPr>
          <w:rFonts w:hint="eastAsia" w:ascii="Times New Roman" w:hAnsi="Times New Roman" w:cs="Times New Roman"/>
          <w:i/>
          <w:iCs/>
          <w:szCs w:val="21"/>
        </w:rPr>
        <w:t>RT</w:t>
      </w:r>
      <w:r>
        <w:rPr>
          <w:rFonts w:hint="eastAsia" w:ascii="Times New Roman" w:hAnsi="Times New Roman" w:cs="Times New Roman"/>
          <w:szCs w:val="21"/>
        </w:rPr>
        <w:t>) and GLMMs (for accuracy) are provided in Table S3 and S4.</w:t>
      </w:r>
    </w:p>
    <w:p w14:paraId="21C38C4A">
      <w:pPr>
        <w:spacing w:line="480" w:lineRule="auto"/>
        <w:rPr>
          <w:rFonts w:ascii="Times New Roman" w:hAnsi="Times New Roman" w:cs="Times New Roman"/>
          <w:szCs w:val="21"/>
        </w:rPr>
      </w:pPr>
      <w:r>
        <w:rPr>
          <w:rFonts w:hint="eastAsia" w:ascii="Times New Roman" w:hAnsi="Times New Roman" w:cs="Times New Roman"/>
          <w:szCs w:val="21"/>
        </w:rPr>
        <w:t>F</w:t>
      </w:r>
      <w:r>
        <w:rPr>
          <w:rFonts w:ascii="Times New Roman" w:hAnsi="Times New Roman" w:cs="Times New Roman"/>
          <w:szCs w:val="22"/>
        </w:rPr>
        <w:t>or t</w:t>
      </w:r>
      <w:r>
        <w:rPr>
          <w:rFonts w:ascii="Times New Roman" w:hAnsi="Times New Roman" w:cs="Times New Roman"/>
          <w:szCs w:val="21"/>
        </w:rPr>
        <w:t xml:space="preserve">he processing quality indices, </w:t>
      </w:r>
      <w:r>
        <w:rPr>
          <w:rFonts w:hint="eastAsia" w:ascii="Times New Roman" w:hAnsi="Times New Roman" w:cs="Times New Roman"/>
          <w:szCs w:val="21"/>
        </w:rPr>
        <w:t xml:space="preserve">TUS exhibited a significant main effect on </w:t>
      </w:r>
      <w:r>
        <w:rPr>
          <w:rFonts w:hint="eastAsia" w:ascii="Times New Roman" w:hAnsi="Times New Roman" w:cs="Times New Roman"/>
          <w:i/>
          <w:iCs/>
          <w:szCs w:val="21"/>
        </w:rPr>
        <w:t>d</w:t>
      </w:r>
      <w:r>
        <w:rPr>
          <w:rFonts w:ascii="Times New Roman" w:hAnsi="Times New Roman" w:cs="Times New Roman"/>
          <w:i/>
          <w:iCs/>
          <w:szCs w:val="21"/>
        </w:rPr>
        <w:t>’</w:t>
      </w:r>
      <w:r>
        <w:rPr>
          <w:rFonts w:hint="eastAsia" w:ascii="Times New Roman" w:hAnsi="Times New Roman" w:cs="Times New Roman"/>
          <w:szCs w:val="21"/>
        </w:rPr>
        <w:t xml:space="preserve"> across both Structure type</w:t>
      </w:r>
      <w:r>
        <w:rPr>
          <w:rFonts w:ascii="Times New Roman" w:hAnsi="Times New Roman" w:cs="Times New Roman"/>
          <w:szCs w:val="21"/>
        </w:rPr>
        <w:t xml:space="preserve"> (</w:t>
      </w:r>
      <w:r>
        <w:rPr>
          <w:rFonts w:ascii="Times New Roman" w:hAnsi="Times New Roman" w:cs="Times New Roman"/>
          <w:i/>
          <w:iCs/>
          <w:szCs w:val="21"/>
        </w:rPr>
        <w:t xml:space="preserve">F </w:t>
      </w:r>
      <w:r>
        <w:rPr>
          <w:rFonts w:ascii="Times New Roman" w:hAnsi="Times New Roman" w:cs="Times New Roman"/>
          <w:szCs w:val="21"/>
        </w:rPr>
        <w:t xml:space="preserve">(1.68, 58.96) = 13.092, </w:t>
      </w:r>
      <w:r>
        <w:rPr>
          <w:rFonts w:ascii="Times New Roman" w:hAnsi="Times New Roman" w:cs="Times New Roman"/>
          <w:i/>
          <w:iCs/>
          <w:szCs w:val="21"/>
        </w:rPr>
        <w:t>p</w:t>
      </w:r>
      <w:r>
        <w:rPr>
          <w:rFonts w:ascii="Times New Roman" w:hAnsi="Times New Roman" w:cs="Times New Roman"/>
          <w:szCs w:val="21"/>
        </w:rPr>
        <w:t xml:space="preserve"> &lt; 0.001,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0.272)</w:t>
      </w:r>
      <w:r>
        <w:rPr>
          <w:rFonts w:hint="eastAsia" w:ascii="Times New Roman" w:hAnsi="Times New Roman" w:cs="Times New Roman"/>
          <w:szCs w:val="21"/>
        </w:rPr>
        <w:t xml:space="preserve"> and </w:t>
      </w:r>
      <w:r>
        <w:rPr>
          <w:rFonts w:ascii="Times New Roman" w:hAnsi="Times New Roman" w:cs="Times New Roman"/>
          <w:szCs w:val="21"/>
        </w:rPr>
        <w:t>Stimulation region</w:t>
      </w:r>
      <w:r>
        <w:rPr>
          <w:rFonts w:hint="eastAsia" w:ascii="Times New Roman" w:hAnsi="Times New Roman" w:cs="Times New Roman"/>
          <w:szCs w:val="21"/>
        </w:rPr>
        <w:t xml:space="preserve"> (</w:t>
      </w:r>
      <w:r>
        <w:rPr>
          <w:rFonts w:ascii="Times New Roman" w:hAnsi="Times New Roman" w:cs="Times New Roman"/>
          <w:i/>
          <w:iCs/>
          <w:szCs w:val="21"/>
        </w:rPr>
        <w:t xml:space="preserve">F </w:t>
      </w:r>
      <w:r>
        <w:rPr>
          <w:rFonts w:ascii="Times New Roman" w:hAnsi="Times New Roman" w:cs="Times New Roman"/>
          <w:szCs w:val="21"/>
        </w:rPr>
        <w:t xml:space="preserve">(1.70, 59.57) = 6.838, </w:t>
      </w:r>
      <w:r>
        <w:rPr>
          <w:rFonts w:ascii="Times New Roman" w:hAnsi="Times New Roman" w:cs="Times New Roman"/>
          <w:i/>
          <w:iCs/>
          <w:szCs w:val="21"/>
        </w:rPr>
        <w:t>p</w:t>
      </w:r>
      <w:r>
        <w:rPr>
          <w:rFonts w:ascii="Times New Roman" w:hAnsi="Times New Roman" w:cs="Times New Roman"/>
          <w:szCs w:val="21"/>
        </w:rPr>
        <w:t xml:space="preserve"> = 0.003,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0.163</w:t>
      </w:r>
      <w:r>
        <w:rPr>
          <w:rFonts w:hint="eastAsia" w:ascii="Times New Roman" w:hAnsi="Times New Roman" w:cs="Times New Roman"/>
          <w:szCs w:val="21"/>
        </w:rPr>
        <w:t>). P</w:t>
      </w:r>
      <w:r>
        <w:rPr>
          <w:rFonts w:ascii="Times New Roman" w:hAnsi="Times New Roman" w:cs="Times New Roman"/>
          <w:szCs w:val="21"/>
        </w:rPr>
        <w:t xml:space="preserve">ost-hoc </w:t>
      </w:r>
      <w:r>
        <w:rPr>
          <w:rFonts w:hint="eastAsia" w:ascii="Times New Roman" w:hAnsi="Times New Roman" w:cs="Times New Roman"/>
          <w:szCs w:val="21"/>
        </w:rPr>
        <w:t>comparisons</w:t>
      </w:r>
      <w:r>
        <w:rPr>
          <w:rFonts w:ascii="Times New Roman" w:hAnsi="Times New Roman" w:cs="Times New Roman"/>
          <w:szCs w:val="21"/>
        </w:rPr>
        <w:t xml:space="preserve"> further revealed that</w:t>
      </w:r>
      <w:r>
        <w:rPr>
          <w:rFonts w:hint="eastAsia" w:ascii="Times New Roman" w:hAnsi="Times New Roman" w:cs="Times New Roman"/>
          <w:szCs w:val="21"/>
        </w:rPr>
        <w:t xml:space="preserve"> </w:t>
      </w:r>
      <w:r>
        <w:rPr>
          <w:rFonts w:ascii="Times New Roman" w:hAnsi="Times New Roman" w:cs="Times New Roman"/>
          <w:szCs w:val="21"/>
        </w:rPr>
        <w:t xml:space="preserve">LIFG TUS </w:t>
      </w:r>
      <w:r>
        <w:rPr>
          <w:rFonts w:hint="eastAsia" w:ascii="Times New Roman" w:hAnsi="Times New Roman" w:cs="Times New Roman"/>
          <w:szCs w:val="21"/>
        </w:rPr>
        <w:t xml:space="preserve">led to a significant decrease in sentence-processing sensitivity, yielding lower </w:t>
      </w:r>
      <w:r>
        <w:rPr>
          <w:rFonts w:hint="eastAsia" w:ascii="Times New Roman" w:hAnsi="Times New Roman" w:cs="Times New Roman"/>
          <w:i/>
          <w:iCs/>
          <w:szCs w:val="21"/>
        </w:rPr>
        <w:t>d</w:t>
      </w:r>
      <w:r>
        <w:rPr>
          <w:rFonts w:ascii="Times New Roman" w:hAnsi="Times New Roman" w:cs="Times New Roman"/>
          <w:i/>
          <w:iCs/>
          <w:szCs w:val="21"/>
        </w:rPr>
        <w:t>’</w:t>
      </w:r>
      <w:r>
        <w:rPr>
          <w:rFonts w:hint="eastAsia" w:ascii="Times New Roman" w:hAnsi="Times New Roman" w:cs="Times New Roman"/>
          <w:szCs w:val="21"/>
        </w:rPr>
        <w:t xml:space="preserve"> values relative to</w:t>
      </w:r>
      <w:r>
        <w:rPr>
          <w:rFonts w:ascii="Times New Roman" w:hAnsi="Times New Roman" w:cs="Times New Roman"/>
          <w:szCs w:val="21"/>
        </w:rPr>
        <w:t xml:space="preserve"> LpTL TUS</w:t>
      </w:r>
      <w:r>
        <w:rPr>
          <w:rFonts w:hint="eastAsia" w:ascii="Times New Roman" w:hAnsi="Times New Roman" w:cs="Times New Roman"/>
          <w:szCs w:val="21"/>
        </w:rPr>
        <w:t xml:space="preserve"> </w:t>
      </w:r>
      <w:r>
        <w:rPr>
          <w:rFonts w:ascii="Times New Roman" w:hAnsi="Times New Roman" w:cs="Times New Roman"/>
          <w:szCs w:val="21"/>
        </w:rPr>
        <w:t>and vertex TUS (|</w:t>
      </w:r>
      <w:r>
        <w:rPr>
          <w:rFonts w:ascii="Times New Roman" w:hAnsi="Times New Roman" w:cs="Times New Roman"/>
          <w:i/>
          <w:iCs/>
          <w:szCs w:val="21"/>
        </w:rPr>
        <w:t>t|</w:t>
      </w:r>
      <w:r>
        <w:rPr>
          <w:rFonts w:ascii="Times New Roman" w:hAnsi="Times New Roman" w:cs="Times New Roman"/>
          <w:szCs w:val="21"/>
        </w:rPr>
        <w:t>s</w:t>
      </w:r>
      <w:r>
        <w:rPr>
          <w:rFonts w:ascii="Times New Roman" w:hAnsi="Times New Roman" w:cs="Times New Roman"/>
          <w:i/>
          <w:iCs/>
          <w:szCs w:val="21"/>
        </w:rPr>
        <w:t xml:space="preserve"> </w:t>
      </w:r>
      <w:r>
        <w:rPr>
          <w:rFonts w:ascii="Times New Roman" w:hAnsi="Times New Roman" w:eastAsia="宋体" w:cs="Times New Roman"/>
          <w:szCs w:val="21"/>
        </w:rPr>
        <w:t>≥</w:t>
      </w:r>
      <w:r>
        <w:rPr>
          <w:rFonts w:hint="eastAsia" w:ascii="Times New Roman" w:hAnsi="Times New Roman" w:cs="Times New Roman"/>
          <w:szCs w:val="21"/>
        </w:rPr>
        <w:t xml:space="preserve"> 2.862, </w:t>
      </w:r>
      <w:r>
        <w:rPr>
          <w:rFonts w:ascii="Times New Roman" w:hAnsi="Times New Roman" w:cs="Times New Roman"/>
          <w:i/>
          <w:iCs/>
          <w:szCs w:val="21"/>
        </w:rPr>
        <w:t>p</w:t>
      </w:r>
      <w:r>
        <w:rPr>
          <w:rFonts w:ascii="Times New Roman" w:hAnsi="Times New Roman" w:cs="Times New Roman"/>
          <w:szCs w:val="21"/>
        </w:rPr>
        <w:t xml:space="preserve">s </w:t>
      </w:r>
      <w:r>
        <w:rPr>
          <w:rFonts w:ascii="Times New Roman" w:hAnsi="Times New Roman" w:eastAsia="宋体" w:cs="Times New Roman"/>
          <w:szCs w:val="21"/>
        </w:rPr>
        <w:t>≤</w:t>
      </w:r>
      <w:r>
        <w:rPr>
          <w:rFonts w:hint="eastAsia" w:ascii="Times New Roman" w:hAnsi="Times New Roman" w:cs="Times New Roman"/>
          <w:szCs w:val="21"/>
        </w:rPr>
        <w:t xml:space="preserve"> 0.017</w:t>
      </w:r>
      <w:r>
        <w:rPr>
          <w:rFonts w:ascii="Times New Roman" w:hAnsi="Times New Roman" w:cs="Times New Roman"/>
          <w:szCs w:val="21"/>
        </w:rPr>
        <w:t xml:space="preserve">). </w:t>
      </w:r>
      <w:r>
        <w:rPr>
          <w:rFonts w:ascii="Times New Roman" w:hAnsi="Times New Roman" w:eastAsia="Segoe UI" w:cs="Times New Roman"/>
          <w:szCs w:val="21"/>
          <w:shd w:val="clear" w:color="auto" w:fill="FFFFFF"/>
        </w:rPr>
        <w:t xml:space="preserve">The </w:t>
      </w:r>
      <w:r>
        <w:rPr>
          <w:rFonts w:ascii="Times New Roman" w:hAnsi="Times New Roman" w:eastAsia="Segoe UI" w:cs="Times New Roman"/>
          <w:i/>
          <w:iCs/>
          <w:szCs w:val="21"/>
          <w:shd w:val="clear" w:color="auto" w:fill="FFFFFF"/>
        </w:rPr>
        <w:t>d</w:t>
      </w:r>
      <w:r>
        <w:rPr>
          <w:rFonts w:ascii="Times New Roman" w:hAnsi="Times New Roman" w:eastAsia="宋体" w:cs="Times New Roman"/>
          <w:i/>
          <w:iCs/>
          <w:szCs w:val="21"/>
          <w:shd w:val="clear" w:color="auto" w:fill="FFFFFF"/>
        </w:rPr>
        <w:t>’</w:t>
      </w:r>
      <w:r>
        <w:rPr>
          <w:rFonts w:ascii="Times New Roman" w:hAnsi="Times New Roman" w:eastAsia="Segoe UI" w:cs="Times New Roman"/>
          <w:szCs w:val="21"/>
          <w:shd w:val="clear" w:color="auto" w:fill="FFFFFF"/>
        </w:rPr>
        <w:t xml:space="preserve"> of both SRC and ORC processing were significantly lower than those of simple sentence processing</w:t>
      </w:r>
      <w:r>
        <w:rPr>
          <w:rFonts w:hint="eastAsia" w:ascii="Times New Roman" w:hAnsi="Times New Roman" w:cs="Times New Roman"/>
          <w:szCs w:val="21"/>
        </w:rPr>
        <w:t xml:space="preserve"> (</w:t>
      </w:r>
      <w:r>
        <w:rPr>
          <w:rFonts w:ascii="Times New Roman" w:hAnsi="Times New Roman" w:cs="Times New Roman"/>
          <w:szCs w:val="21"/>
        </w:rPr>
        <w:t>|</w:t>
      </w:r>
      <w:r>
        <w:rPr>
          <w:rFonts w:ascii="Times New Roman" w:hAnsi="Times New Roman" w:cs="Times New Roman"/>
          <w:i/>
          <w:iCs/>
          <w:szCs w:val="21"/>
        </w:rPr>
        <w:t>t|</w:t>
      </w:r>
      <w:r>
        <w:rPr>
          <w:rFonts w:ascii="Times New Roman" w:hAnsi="Times New Roman" w:cs="Times New Roman"/>
          <w:szCs w:val="21"/>
        </w:rPr>
        <w:t xml:space="preserve">s </w:t>
      </w:r>
      <w:r>
        <w:rPr>
          <w:rFonts w:ascii="Times New Roman" w:hAnsi="Times New Roman" w:eastAsia="宋体" w:cs="Times New Roman"/>
          <w:szCs w:val="21"/>
        </w:rPr>
        <w:t xml:space="preserve">≥ 3.831, </w:t>
      </w:r>
      <w:r>
        <w:rPr>
          <w:rFonts w:ascii="Times New Roman" w:hAnsi="Times New Roman" w:cs="Times New Roman"/>
          <w:i/>
          <w:iCs/>
          <w:szCs w:val="21"/>
        </w:rPr>
        <w:t>p</w:t>
      </w:r>
      <w:r>
        <w:rPr>
          <w:rFonts w:ascii="Times New Roman" w:hAnsi="Times New Roman" w:cs="Times New Roman"/>
          <w:szCs w:val="21"/>
        </w:rPr>
        <w:t xml:space="preserve">s </w:t>
      </w:r>
      <w:r>
        <w:rPr>
          <w:rFonts w:ascii="Times New Roman" w:hAnsi="Times New Roman" w:eastAsia="宋体" w:cs="Times New Roman"/>
          <w:szCs w:val="21"/>
        </w:rPr>
        <w:t>≤ 0.001</w:t>
      </w:r>
      <w:r>
        <w:rPr>
          <w:rFonts w:hint="eastAsia" w:ascii="Times New Roman" w:hAnsi="Times New Roman" w:cs="Times New Roman"/>
          <w:szCs w:val="21"/>
        </w:rPr>
        <w:t xml:space="preserve">). </w:t>
      </w:r>
      <w:r>
        <w:rPr>
          <w:rFonts w:ascii="Times New Roman" w:hAnsi="Times New Roman" w:eastAsia="Segoe UI" w:cs="Times New Roman"/>
          <w:szCs w:val="21"/>
          <w:shd w:val="clear" w:color="auto" w:fill="FFFFFF"/>
        </w:rPr>
        <w:t>No significant interaction was observed</w:t>
      </w:r>
      <w:r>
        <w:rPr>
          <w:rFonts w:hint="eastAsia" w:ascii="Times New Roman" w:hAnsi="Times New Roman" w:cs="Times New Roman"/>
          <w:szCs w:val="21"/>
        </w:rPr>
        <w:t xml:space="preserve"> </w:t>
      </w:r>
      <w:r>
        <w:rPr>
          <w:rFonts w:ascii="Times New Roman" w:hAnsi="Times New Roman" w:cs="Times New Roman"/>
          <w:szCs w:val="21"/>
        </w:rPr>
        <w:t>between Stimulation region and Structure type (</w:t>
      </w:r>
      <w:r>
        <w:rPr>
          <w:rFonts w:ascii="Times New Roman" w:hAnsi="Times New Roman" w:cs="Times New Roman"/>
          <w:i/>
          <w:iCs/>
          <w:szCs w:val="21"/>
        </w:rPr>
        <w:t xml:space="preserve">F </w:t>
      </w:r>
      <w:r>
        <w:rPr>
          <w:rFonts w:ascii="Times New Roman" w:hAnsi="Times New Roman" w:cs="Times New Roman"/>
          <w:szCs w:val="21"/>
        </w:rPr>
        <w:t xml:space="preserve">(3.02, 105.81) = 1.490, </w:t>
      </w:r>
      <w:r>
        <w:rPr>
          <w:rFonts w:ascii="Times New Roman" w:hAnsi="Times New Roman" w:cs="Times New Roman"/>
          <w:i/>
          <w:iCs/>
          <w:szCs w:val="21"/>
        </w:rPr>
        <w:t>p</w:t>
      </w:r>
      <w:r>
        <w:rPr>
          <w:rFonts w:ascii="Times New Roman" w:hAnsi="Times New Roman" w:cs="Times New Roman"/>
          <w:szCs w:val="21"/>
        </w:rPr>
        <w:t xml:space="preserve"> = 0.221,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0.041).</w:t>
      </w:r>
    </w:p>
    <w:p w14:paraId="65E9C9A6">
      <w:pPr>
        <w:spacing w:line="480" w:lineRule="auto"/>
        <w:rPr>
          <w:rFonts w:ascii="Times New Roman" w:hAnsi="Times New Roman" w:eastAsia="宋体" w:cs="Times New Roman"/>
          <w:szCs w:val="21"/>
          <w:shd w:val="clear" w:color="auto" w:fill="FFFFFF"/>
        </w:rPr>
      </w:pPr>
      <w:r>
        <w:rPr>
          <w:rFonts w:ascii="Times New Roman" w:hAnsi="Times New Roman" w:eastAsia="Segoe UI" w:cs="Times New Roman"/>
          <w:szCs w:val="21"/>
          <w:shd w:val="clear" w:color="auto" w:fill="FFFFFF"/>
        </w:rPr>
        <w:t xml:space="preserve">Consistent with the </w:t>
      </w:r>
      <w:r>
        <w:rPr>
          <w:rFonts w:ascii="Times New Roman" w:hAnsi="Times New Roman" w:eastAsia="Segoe UI" w:cs="Times New Roman"/>
          <w:i/>
          <w:iCs/>
          <w:szCs w:val="21"/>
          <w:shd w:val="clear" w:color="auto" w:fill="FFFFFF"/>
        </w:rPr>
        <w:t>d’</w:t>
      </w:r>
      <w:r>
        <w:rPr>
          <w:rFonts w:ascii="Times New Roman" w:hAnsi="Times New Roman" w:eastAsia="Segoe UI" w:cs="Times New Roman"/>
          <w:szCs w:val="21"/>
          <w:shd w:val="clear" w:color="auto" w:fill="FFFFFF"/>
        </w:rPr>
        <w:t xml:space="preserve"> results, </w:t>
      </w:r>
      <w:r>
        <w:rPr>
          <w:rFonts w:ascii="Times New Roman" w:hAnsi="Times New Roman" w:eastAsia="Segoe UI" w:cs="Times New Roman"/>
          <w:i/>
          <w:iCs/>
          <w:szCs w:val="21"/>
          <w:shd w:val="clear" w:color="auto" w:fill="FFFFFF"/>
        </w:rPr>
        <w:t>RT</w:t>
      </w:r>
      <w:r>
        <w:rPr>
          <w:rFonts w:ascii="Times New Roman" w:hAnsi="Times New Roman" w:eastAsia="Segoe UI" w:cs="Times New Roman"/>
          <w:szCs w:val="21"/>
          <w:shd w:val="clear" w:color="auto" w:fill="FFFFFF"/>
        </w:rPr>
        <w:t>* also showed significant main effects of both Structure type</w:t>
      </w:r>
      <w:r>
        <w:rPr>
          <w:rFonts w:hint="eastAsia" w:ascii="Times New Roman" w:hAnsi="Times New Roman" w:eastAsia="宋体" w:cs="Times New Roman"/>
          <w:szCs w:val="21"/>
          <w:shd w:val="clear" w:color="auto" w:fill="FFFFFF"/>
        </w:rPr>
        <w:t xml:space="preserve"> (</w:t>
      </w:r>
      <w:r>
        <w:rPr>
          <w:rFonts w:ascii="Times New Roman" w:hAnsi="Times New Roman" w:cs="Times New Roman"/>
          <w:i/>
          <w:iCs/>
          <w:szCs w:val="21"/>
        </w:rPr>
        <w:t xml:space="preserve">F </w:t>
      </w:r>
      <w:r>
        <w:rPr>
          <w:rFonts w:ascii="Times New Roman" w:hAnsi="Times New Roman" w:cs="Times New Roman"/>
          <w:szCs w:val="21"/>
        </w:rPr>
        <w:t xml:space="preserve">(1.41, 49.45) = 37.160, </w:t>
      </w:r>
      <w:r>
        <w:rPr>
          <w:rFonts w:ascii="Times New Roman" w:hAnsi="Times New Roman" w:cs="Times New Roman"/>
          <w:i/>
          <w:iCs/>
          <w:szCs w:val="21"/>
        </w:rPr>
        <w:t>p</w:t>
      </w:r>
      <w:r>
        <w:rPr>
          <w:rFonts w:ascii="Times New Roman" w:hAnsi="Times New Roman" w:cs="Times New Roman"/>
          <w:szCs w:val="21"/>
        </w:rPr>
        <w:t xml:space="preserve"> &lt; 0.001,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0.515</w:t>
      </w:r>
      <w:r>
        <w:rPr>
          <w:rFonts w:hint="eastAsia" w:ascii="Times New Roman" w:hAnsi="Times New Roman" w:eastAsia="宋体" w:cs="Times New Roman"/>
          <w:szCs w:val="21"/>
          <w:shd w:val="clear" w:color="auto" w:fill="FFFFFF"/>
        </w:rPr>
        <w:t>)</w:t>
      </w:r>
      <w:r>
        <w:rPr>
          <w:rFonts w:ascii="Times New Roman" w:hAnsi="Times New Roman" w:eastAsia="Segoe UI" w:cs="Times New Roman"/>
          <w:szCs w:val="21"/>
          <w:shd w:val="clear" w:color="auto" w:fill="FFFFFF"/>
        </w:rPr>
        <w:t xml:space="preserve"> and Stimulation region</w:t>
      </w:r>
      <w:r>
        <w:rPr>
          <w:rFonts w:hint="eastAsia" w:ascii="Times New Roman" w:hAnsi="Times New Roman" w:eastAsia="宋体" w:cs="Times New Roman"/>
          <w:szCs w:val="21"/>
          <w:shd w:val="clear" w:color="auto" w:fill="FFFFFF"/>
        </w:rPr>
        <w:t xml:space="preserve"> (</w:t>
      </w:r>
      <w:r>
        <w:rPr>
          <w:rFonts w:ascii="Times New Roman" w:hAnsi="Times New Roman" w:cs="Times New Roman"/>
          <w:i/>
          <w:iCs/>
          <w:szCs w:val="21"/>
        </w:rPr>
        <w:t xml:space="preserve">F </w:t>
      </w:r>
      <w:r>
        <w:rPr>
          <w:rFonts w:ascii="Times New Roman" w:hAnsi="Times New Roman" w:cs="Times New Roman"/>
          <w:szCs w:val="21"/>
        </w:rPr>
        <w:t xml:space="preserve">(1.64, 57.28) = 9.638, </w:t>
      </w:r>
      <w:r>
        <w:rPr>
          <w:rFonts w:ascii="Times New Roman" w:hAnsi="Times New Roman" w:cs="Times New Roman"/>
          <w:i/>
          <w:iCs/>
          <w:szCs w:val="21"/>
        </w:rPr>
        <w:t>p</w:t>
      </w:r>
      <w:r>
        <w:rPr>
          <w:rFonts w:ascii="Times New Roman" w:hAnsi="Times New Roman" w:cs="Times New Roman"/>
          <w:szCs w:val="21"/>
        </w:rPr>
        <w:t xml:space="preserve"> &lt; 0.001,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0.216</w:t>
      </w:r>
      <w:r>
        <w:rPr>
          <w:rFonts w:hint="eastAsia" w:ascii="Times New Roman" w:hAnsi="Times New Roman" w:eastAsia="宋体" w:cs="Times New Roman"/>
          <w:szCs w:val="21"/>
          <w:shd w:val="clear" w:color="auto" w:fill="FFFFFF"/>
        </w:rPr>
        <w:t>)</w:t>
      </w:r>
      <w:r>
        <w:rPr>
          <w:rFonts w:ascii="Times New Roman" w:hAnsi="Times New Roman" w:eastAsia="Segoe UI" w:cs="Times New Roman"/>
          <w:szCs w:val="21"/>
          <w:shd w:val="clear" w:color="auto" w:fill="FFFFFF"/>
        </w:rPr>
        <w:t>, with no significant interaction between the two factors</w:t>
      </w:r>
      <w:r>
        <w:rPr>
          <w:rFonts w:hint="eastAsia" w:ascii="Times New Roman" w:hAnsi="Times New Roman" w:eastAsia="宋体" w:cs="Times New Roman"/>
          <w:szCs w:val="21"/>
          <w:shd w:val="clear" w:color="auto" w:fill="FFFFFF"/>
        </w:rPr>
        <w:t xml:space="preserve"> (</w:t>
      </w:r>
      <w:r>
        <w:rPr>
          <w:rFonts w:ascii="Times New Roman" w:hAnsi="Times New Roman" w:cs="Times New Roman"/>
          <w:i/>
          <w:iCs/>
          <w:szCs w:val="21"/>
        </w:rPr>
        <w:t xml:space="preserve">F </w:t>
      </w:r>
      <w:r>
        <w:rPr>
          <w:rFonts w:ascii="Times New Roman" w:hAnsi="Times New Roman" w:cs="Times New Roman"/>
          <w:szCs w:val="21"/>
        </w:rPr>
        <w:t>(</w:t>
      </w:r>
      <w:r>
        <w:rPr>
          <w:rFonts w:hint="eastAsia" w:ascii="Times New Roman" w:hAnsi="Times New Roman" w:cs="Times New Roman"/>
          <w:szCs w:val="21"/>
        </w:rPr>
        <w:t>4, 140</w:t>
      </w:r>
      <w:r>
        <w:rPr>
          <w:rFonts w:ascii="Times New Roman" w:hAnsi="Times New Roman" w:cs="Times New Roman"/>
          <w:szCs w:val="21"/>
        </w:rPr>
        <w:t xml:space="preserve">) = </w:t>
      </w:r>
      <w:r>
        <w:rPr>
          <w:rFonts w:hint="eastAsia" w:ascii="Times New Roman" w:hAnsi="Times New Roman" w:cs="Times New Roman"/>
          <w:szCs w:val="21"/>
        </w:rPr>
        <w:t>1.584</w:t>
      </w:r>
      <w:r>
        <w:rPr>
          <w:rFonts w:ascii="Times New Roman" w:hAnsi="Times New Roman"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 </w:t>
      </w:r>
      <w:r>
        <w:rPr>
          <w:rFonts w:hint="eastAsia" w:ascii="Times New Roman" w:hAnsi="Times New Roman" w:cs="Times New Roman"/>
          <w:szCs w:val="21"/>
        </w:rPr>
        <w:t>=</w:t>
      </w:r>
      <w:r>
        <w:rPr>
          <w:rFonts w:ascii="Times New Roman" w:hAnsi="Times New Roman" w:cs="Times New Roman"/>
          <w:szCs w:val="21"/>
        </w:rPr>
        <w:t xml:space="preserve"> 0.</w:t>
      </w:r>
      <w:r>
        <w:rPr>
          <w:rFonts w:hint="eastAsia" w:ascii="Times New Roman" w:hAnsi="Times New Roman" w:cs="Times New Roman"/>
          <w:szCs w:val="21"/>
        </w:rPr>
        <w:t>187</w:t>
      </w:r>
      <w:r>
        <w:rPr>
          <w:rFonts w:ascii="Times New Roman" w:hAnsi="Times New Roman" w:cs="Times New Roman"/>
          <w:szCs w:val="21"/>
        </w:rPr>
        <w:t xml:space="preserve">,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w:t>
      </w:r>
      <w:r>
        <w:rPr>
          <w:rFonts w:hint="eastAsia" w:ascii="Times New Roman" w:hAnsi="Times New Roman" w:cs="Times New Roman"/>
          <w:szCs w:val="21"/>
        </w:rPr>
        <w:t>043</w:t>
      </w:r>
      <w:r>
        <w:rPr>
          <w:rFonts w:hint="eastAsia" w:ascii="Times New Roman" w:hAnsi="Times New Roman" w:eastAsia="宋体" w:cs="Times New Roman"/>
          <w:szCs w:val="21"/>
          <w:shd w:val="clear" w:color="auto" w:fill="FFFFFF"/>
        </w:rPr>
        <w:t>)</w:t>
      </w:r>
      <w:r>
        <w:rPr>
          <w:rFonts w:ascii="Times New Roman" w:hAnsi="Times New Roman" w:eastAsia="Segoe UI" w:cs="Times New Roman"/>
          <w:szCs w:val="21"/>
          <w:shd w:val="clear" w:color="auto" w:fill="FFFFFF"/>
        </w:rPr>
        <w:t xml:space="preserve">. Post-hoc analyses revealed that </w:t>
      </w:r>
      <w:r>
        <w:rPr>
          <w:rFonts w:ascii="Times New Roman" w:hAnsi="Times New Roman" w:eastAsia="Segoe UI" w:cs="Times New Roman"/>
          <w:i/>
          <w:iCs/>
          <w:szCs w:val="21"/>
          <w:shd w:val="clear" w:color="auto" w:fill="FFFFFF"/>
        </w:rPr>
        <w:t>RT</w:t>
      </w:r>
      <w:r>
        <w:rPr>
          <w:rFonts w:ascii="Times New Roman" w:hAnsi="Times New Roman" w:eastAsia="Segoe UI" w:cs="Times New Roman"/>
          <w:szCs w:val="21"/>
          <w:shd w:val="clear" w:color="auto" w:fill="FFFFFF"/>
        </w:rPr>
        <w:t>* fo</w:t>
      </w:r>
      <w:r>
        <w:rPr>
          <w:rFonts w:hint="eastAsia" w:ascii="Times New Roman" w:hAnsi="Times New Roman" w:eastAsia="宋体" w:cs="Times New Roman"/>
          <w:szCs w:val="21"/>
          <w:shd w:val="clear" w:color="auto" w:fill="FFFFFF"/>
        </w:rPr>
        <w:t>r</w:t>
      </w:r>
      <w:r>
        <w:rPr>
          <w:rFonts w:ascii="Times New Roman" w:hAnsi="Times New Roman" w:eastAsia="Segoe UI" w:cs="Times New Roman"/>
          <w:szCs w:val="21"/>
          <w:shd w:val="clear" w:color="auto" w:fill="FFFFFF"/>
        </w:rPr>
        <w:t xml:space="preserve"> LIFG TUS was significantly longer than that </w:t>
      </w:r>
      <w:r>
        <w:rPr>
          <w:rFonts w:hint="eastAsia" w:ascii="Times New Roman" w:hAnsi="Times New Roman" w:eastAsia="宋体" w:cs="Times New Roman"/>
          <w:szCs w:val="21"/>
          <w:shd w:val="clear" w:color="auto" w:fill="FFFFFF"/>
        </w:rPr>
        <w:t>for</w:t>
      </w:r>
      <w:r>
        <w:rPr>
          <w:rFonts w:ascii="Times New Roman" w:hAnsi="Times New Roman" w:eastAsia="Segoe UI" w:cs="Times New Roman"/>
          <w:szCs w:val="21"/>
          <w:shd w:val="clear" w:color="auto" w:fill="FFFFFF"/>
        </w:rPr>
        <w:t xml:space="preserve"> LpTL and vertex stimulation (</w:t>
      </w:r>
      <w:r>
        <w:rPr>
          <w:rFonts w:ascii="Times New Roman" w:hAnsi="Times New Roman" w:cs="Times New Roman"/>
          <w:szCs w:val="21"/>
        </w:rPr>
        <w:t>|</w:t>
      </w:r>
      <w:r>
        <w:rPr>
          <w:rFonts w:ascii="Times New Roman" w:hAnsi="Times New Roman" w:cs="Times New Roman"/>
          <w:i/>
          <w:iCs/>
          <w:szCs w:val="21"/>
        </w:rPr>
        <w:t>t|</w:t>
      </w:r>
      <w:r>
        <w:rPr>
          <w:rFonts w:ascii="Times New Roman" w:hAnsi="Times New Roman" w:cs="Times New Roman"/>
          <w:szCs w:val="21"/>
        </w:rPr>
        <w:t>s</w:t>
      </w:r>
      <w:r>
        <w:rPr>
          <w:rFonts w:ascii="Times New Roman" w:hAnsi="Times New Roman" w:cs="Times New Roman"/>
          <w:i/>
          <w:iCs/>
          <w:szCs w:val="21"/>
        </w:rPr>
        <w:t xml:space="preserve"> </w:t>
      </w:r>
      <w:r>
        <w:rPr>
          <w:rFonts w:ascii="Times New Roman" w:hAnsi="Times New Roman" w:eastAsia="宋体" w:cs="Times New Roman"/>
          <w:szCs w:val="21"/>
        </w:rPr>
        <w:t>≥</w:t>
      </w:r>
      <w:r>
        <w:rPr>
          <w:rFonts w:hint="eastAsia" w:ascii="Times New Roman" w:hAnsi="Times New Roman" w:cs="Times New Roman"/>
          <w:szCs w:val="21"/>
        </w:rPr>
        <w:t xml:space="preserve"> 3.679, </w:t>
      </w:r>
      <w:r>
        <w:rPr>
          <w:rFonts w:ascii="Times New Roman" w:hAnsi="Times New Roman" w:cs="Times New Roman"/>
          <w:i/>
          <w:iCs/>
          <w:szCs w:val="21"/>
        </w:rPr>
        <w:t>p</w:t>
      </w:r>
      <w:r>
        <w:rPr>
          <w:rFonts w:ascii="Times New Roman" w:hAnsi="Times New Roman" w:cs="Times New Roman"/>
          <w:szCs w:val="21"/>
        </w:rPr>
        <w:t xml:space="preserve">s </w:t>
      </w:r>
      <w:r>
        <w:rPr>
          <w:rFonts w:ascii="Times New Roman" w:hAnsi="Times New Roman" w:eastAsia="宋体" w:cs="Times New Roman"/>
          <w:szCs w:val="21"/>
        </w:rPr>
        <w:t>≤</w:t>
      </w:r>
      <w:r>
        <w:rPr>
          <w:rFonts w:hint="eastAsia" w:ascii="Times New Roman" w:hAnsi="Times New Roman" w:cs="Times New Roman"/>
          <w:szCs w:val="21"/>
        </w:rPr>
        <w:t xml:space="preserve"> 0.001</w:t>
      </w:r>
      <w:r>
        <w:rPr>
          <w:rFonts w:ascii="Times New Roman" w:hAnsi="Times New Roman" w:eastAsia="Segoe UI" w:cs="Times New Roman"/>
          <w:szCs w:val="21"/>
          <w:shd w:val="clear" w:color="auto" w:fill="FFFFFF"/>
        </w:rPr>
        <w:t xml:space="preserve">), whereas no significant difference in </w:t>
      </w:r>
      <w:r>
        <w:rPr>
          <w:rFonts w:ascii="Times New Roman" w:hAnsi="Times New Roman" w:eastAsia="Segoe UI" w:cs="Times New Roman"/>
          <w:i/>
          <w:iCs/>
          <w:szCs w:val="21"/>
          <w:shd w:val="clear" w:color="auto" w:fill="FFFFFF"/>
        </w:rPr>
        <w:t>RT</w:t>
      </w:r>
      <w:r>
        <w:rPr>
          <w:rFonts w:ascii="Times New Roman" w:hAnsi="Times New Roman" w:eastAsia="Segoe UI" w:cs="Times New Roman"/>
          <w:szCs w:val="21"/>
          <w:shd w:val="clear" w:color="auto" w:fill="FFFFFF"/>
        </w:rPr>
        <w:t>* was observed between LpTL and vertex (</w:t>
      </w:r>
      <w:r>
        <w:rPr>
          <w:rFonts w:hint="eastAsia" w:ascii="Times New Roman" w:hAnsi="Times New Roman" w:eastAsia="宋体" w:cs="Times New Roman"/>
          <w:i/>
          <w:iCs/>
          <w:szCs w:val="21"/>
          <w:shd w:val="clear" w:color="auto" w:fill="FFFFFF"/>
        </w:rPr>
        <w:t>t</w:t>
      </w:r>
      <w:r>
        <w:rPr>
          <w:rFonts w:hint="eastAsia" w:ascii="Times New Roman" w:hAnsi="Times New Roman" w:eastAsia="宋体" w:cs="Times New Roman"/>
          <w:szCs w:val="21"/>
          <w:shd w:val="clear" w:color="auto" w:fill="FFFFFF"/>
        </w:rPr>
        <w:t xml:space="preserve"> = -0.235, </w:t>
      </w:r>
      <w:r>
        <w:rPr>
          <w:rFonts w:hint="eastAsia" w:ascii="Times New Roman" w:hAnsi="Times New Roman" w:eastAsia="宋体" w:cs="Times New Roman"/>
          <w:i/>
          <w:iCs/>
          <w:szCs w:val="21"/>
          <w:shd w:val="clear" w:color="auto" w:fill="FFFFFF"/>
        </w:rPr>
        <w:t>p</w:t>
      </w:r>
      <w:r>
        <w:rPr>
          <w:rFonts w:hint="eastAsia" w:ascii="Times New Roman" w:hAnsi="Times New Roman" w:eastAsia="宋体" w:cs="Times New Roman"/>
          <w:szCs w:val="21"/>
          <w:shd w:val="clear" w:color="auto" w:fill="FFFFFF"/>
        </w:rPr>
        <w:t xml:space="preserve"> = 1.000</w:t>
      </w:r>
      <w:r>
        <w:rPr>
          <w:rFonts w:ascii="Times New Roman" w:hAnsi="Times New Roman" w:eastAsia="Segoe UI" w:cs="Times New Roman"/>
          <w:szCs w:val="21"/>
          <w:shd w:val="clear" w:color="auto" w:fill="FFFFFF"/>
        </w:rPr>
        <w:t xml:space="preserve">). Additionally, the </w:t>
      </w:r>
      <w:r>
        <w:rPr>
          <w:rFonts w:ascii="Times New Roman" w:hAnsi="Times New Roman" w:eastAsia="Segoe UI" w:cs="Times New Roman"/>
          <w:i/>
          <w:iCs/>
          <w:szCs w:val="21"/>
          <w:shd w:val="clear" w:color="auto" w:fill="FFFFFF"/>
        </w:rPr>
        <w:t>RT</w:t>
      </w:r>
      <w:r>
        <w:rPr>
          <w:rFonts w:ascii="Times New Roman" w:hAnsi="Times New Roman" w:eastAsia="Segoe UI" w:cs="Times New Roman"/>
          <w:szCs w:val="21"/>
          <w:shd w:val="clear" w:color="auto" w:fill="FFFFFF"/>
        </w:rPr>
        <w:t>* for both SRC and ORC processing were significantly longer than those for simple sentence processing</w:t>
      </w:r>
      <w:r>
        <w:rPr>
          <w:rFonts w:hint="eastAsia" w:ascii="Times New Roman" w:hAnsi="Times New Roman" w:eastAsia="宋体" w:cs="Times New Roman"/>
          <w:szCs w:val="21"/>
          <w:shd w:val="clear" w:color="auto" w:fill="FFFFFF"/>
        </w:rPr>
        <w:t xml:space="preserve"> (</w:t>
      </w:r>
      <w:r>
        <w:rPr>
          <w:rFonts w:ascii="Times New Roman" w:hAnsi="Times New Roman" w:cs="Times New Roman"/>
          <w:szCs w:val="21"/>
        </w:rPr>
        <w:t>|</w:t>
      </w:r>
      <w:r>
        <w:rPr>
          <w:rFonts w:ascii="Times New Roman" w:hAnsi="Times New Roman" w:cs="Times New Roman"/>
          <w:i/>
          <w:iCs/>
          <w:szCs w:val="21"/>
        </w:rPr>
        <w:t>t|</w:t>
      </w:r>
      <w:r>
        <w:rPr>
          <w:rFonts w:ascii="Times New Roman" w:hAnsi="Times New Roman" w:cs="Times New Roman"/>
          <w:szCs w:val="21"/>
        </w:rPr>
        <w:t xml:space="preserve">s </w:t>
      </w:r>
      <w:r>
        <w:rPr>
          <w:rFonts w:ascii="Times New Roman" w:hAnsi="Times New Roman" w:eastAsia="宋体" w:cs="Times New Roman"/>
          <w:szCs w:val="21"/>
        </w:rPr>
        <w:t xml:space="preserve">≥ </w:t>
      </w:r>
      <w:r>
        <w:rPr>
          <w:rFonts w:hint="eastAsia" w:ascii="Times New Roman" w:hAnsi="Times New Roman" w:eastAsia="宋体" w:cs="Times New Roman"/>
          <w:szCs w:val="21"/>
        </w:rPr>
        <w:t>6.251</w:t>
      </w:r>
      <w:r>
        <w:rPr>
          <w:rFonts w:ascii="Times New Roman" w:hAnsi="Times New Roman" w:eastAsia="宋体"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s </w:t>
      </w:r>
      <w:r>
        <w:rPr>
          <w:rFonts w:ascii="Times New Roman" w:hAnsi="Times New Roman" w:eastAsia="宋体" w:cs="Times New Roman"/>
          <w:szCs w:val="21"/>
        </w:rPr>
        <w:t>≤ 0.001</w:t>
      </w:r>
      <w:r>
        <w:rPr>
          <w:rFonts w:hint="eastAsia" w:ascii="Times New Roman" w:hAnsi="Times New Roman" w:eastAsia="宋体" w:cs="Times New Roman"/>
          <w:szCs w:val="21"/>
          <w:shd w:val="clear" w:color="auto" w:fill="FFFFFF"/>
        </w:rPr>
        <w:t>)</w:t>
      </w:r>
      <w:r>
        <w:rPr>
          <w:rFonts w:ascii="Times New Roman" w:hAnsi="Times New Roman" w:eastAsia="Segoe UI" w:cs="Times New Roman"/>
          <w:szCs w:val="21"/>
          <w:shd w:val="clear" w:color="auto" w:fill="FFFFFF"/>
        </w:rPr>
        <w:t>.</w:t>
      </w:r>
      <w:r>
        <w:rPr>
          <w:rFonts w:hint="eastAsia" w:ascii="Times New Roman" w:hAnsi="Times New Roman" w:eastAsia="宋体" w:cs="Times New Roman"/>
          <w:szCs w:val="21"/>
          <w:shd w:val="clear" w:color="auto" w:fill="FFFFFF"/>
        </w:rPr>
        <w:t xml:space="preserve"> </w:t>
      </w:r>
    </w:p>
    <w:p w14:paraId="54E9CC2E">
      <w:pPr>
        <w:spacing w:line="480" w:lineRule="auto"/>
        <w:rPr>
          <w:rFonts w:ascii="Times New Roman" w:hAnsi="Times New Roman" w:cs="Times New Roman"/>
          <w:szCs w:val="21"/>
        </w:rPr>
      </w:pPr>
      <w:r>
        <w:rPr>
          <w:rFonts w:ascii="Times New Roman" w:hAnsi="Times New Roman" w:eastAsia="Segoe UI" w:cs="Times New Roman"/>
          <w:szCs w:val="21"/>
          <w:shd w:val="clear" w:color="auto" w:fill="FFFFFF"/>
        </w:rPr>
        <w:t xml:space="preserve">Regarding </w:t>
      </w:r>
      <w:r>
        <w:rPr>
          <w:rFonts w:ascii="Times New Roman" w:hAnsi="Times New Roman" w:eastAsia="Segoe UI" w:cs="Times New Roman"/>
          <w:i/>
          <w:iCs/>
          <w:szCs w:val="21"/>
          <w:shd w:val="clear" w:color="auto" w:fill="FFFFFF"/>
        </w:rPr>
        <w:t>CV</w:t>
      </w:r>
      <w:r>
        <w:rPr>
          <w:rFonts w:ascii="Times New Roman" w:hAnsi="Times New Roman" w:eastAsia="Segoe UI" w:cs="Times New Roman"/>
          <w:szCs w:val="21"/>
          <w:shd w:val="clear" w:color="auto" w:fill="FFFFFF"/>
        </w:rPr>
        <w:t>, there were no significant main effects of Structure type (</w:t>
      </w:r>
      <w:r>
        <w:rPr>
          <w:rFonts w:ascii="Times New Roman" w:hAnsi="Times New Roman" w:cs="Times New Roman"/>
          <w:i/>
          <w:iCs/>
          <w:szCs w:val="21"/>
        </w:rPr>
        <w:t xml:space="preserve">F </w:t>
      </w:r>
      <w:r>
        <w:rPr>
          <w:rFonts w:ascii="Times New Roman" w:hAnsi="Times New Roman" w:cs="Times New Roman"/>
          <w:szCs w:val="21"/>
        </w:rPr>
        <w:t>(</w:t>
      </w:r>
      <w:r>
        <w:rPr>
          <w:rFonts w:hint="eastAsia" w:ascii="Times New Roman" w:hAnsi="Times New Roman" w:cs="Times New Roman"/>
          <w:szCs w:val="21"/>
        </w:rPr>
        <w:t>1.69</w:t>
      </w:r>
      <w:r>
        <w:rPr>
          <w:rFonts w:ascii="Times New Roman" w:hAnsi="Times New Roman" w:cs="Times New Roman"/>
          <w:szCs w:val="21"/>
        </w:rPr>
        <w:t xml:space="preserve">, </w:t>
      </w:r>
      <w:r>
        <w:rPr>
          <w:rFonts w:hint="eastAsia" w:ascii="Times New Roman" w:hAnsi="Times New Roman" w:cs="Times New Roman"/>
          <w:szCs w:val="21"/>
        </w:rPr>
        <w:t>59.15</w:t>
      </w:r>
      <w:r>
        <w:rPr>
          <w:rFonts w:ascii="Times New Roman" w:hAnsi="Times New Roman" w:cs="Times New Roman"/>
          <w:szCs w:val="21"/>
        </w:rPr>
        <w:t xml:space="preserve">) = </w:t>
      </w:r>
      <w:r>
        <w:rPr>
          <w:rFonts w:hint="eastAsia" w:ascii="Times New Roman" w:hAnsi="Times New Roman" w:cs="Times New Roman"/>
          <w:szCs w:val="21"/>
        </w:rPr>
        <w:t>0.552</w:t>
      </w:r>
      <w:r>
        <w:rPr>
          <w:rFonts w:ascii="Times New Roman" w:hAnsi="Times New Roman"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 = 0.</w:t>
      </w:r>
      <w:r>
        <w:rPr>
          <w:rFonts w:hint="eastAsia" w:ascii="Times New Roman" w:hAnsi="Times New Roman" w:cs="Times New Roman"/>
          <w:szCs w:val="21"/>
        </w:rPr>
        <w:t>550</w:t>
      </w:r>
      <w:r>
        <w:rPr>
          <w:rFonts w:ascii="Times New Roman" w:hAnsi="Times New Roman" w:cs="Times New Roman"/>
          <w:szCs w:val="21"/>
        </w:rPr>
        <w:t xml:space="preserve">,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0.0</w:t>
      </w:r>
      <w:r>
        <w:rPr>
          <w:rFonts w:hint="eastAsia" w:ascii="Times New Roman" w:hAnsi="Times New Roman" w:cs="Times New Roman"/>
          <w:szCs w:val="21"/>
        </w:rPr>
        <w:t>16</w:t>
      </w:r>
      <w:r>
        <w:rPr>
          <w:rFonts w:ascii="Times New Roman" w:hAnsi="Times New Roman" w:eastAsia="Segoe UI" w:cs="Times New Roman"/>
          <w:szCs w:val="21"/>
          <w:shd w:val="clear" w:color="auto" w:fill="FFFFFF"/>
        </w:rPr>
        <w:t>) or Stimulation region (</w:t>
      </w:r>
      <w:r>
        <w:rPr>
          <w:rFonts w:ascii="Times New Roman" w:hAnsi="Times New Roman" w:cs="Times New Roman"/>
          <w:i/>
          <w:iCs/>
          <w:szCs w:val="21"/>
        </w:rPr>
        <w:t xml:space="preserve">F </w:t>
      </w: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 xml:space="preserve">, </w:t>
      </w:r>
      <w:r>
        <w:rPr>
          <w:rFonts w:hint="eastAsia" w:ascii="Times New Roman" w:hAnsi="Times New Roman" w:cs="Times New Roman"/>
          <w:szCs w:val="21"/>
        </w:rPr>
        <w:t>70</w:t>
      </w:r>
      <w:r>
        <w:rPr>
          <w:rFonts w:ascii="Times New Roman" w:hAnsi="Times New Roman" w:cs="Times New Roman"/>
          <w:szCs w:val="21"/>
        </w:rPr>
        <w:t>) = 1.</w:t>
      </w:r>
      <w:r>
        <w:rPr>
          <w:rFonts w:hint="eastAsia" w:ascii="Times New Roman" w:hAnsi="Times New Roman" w:cs="Times New Roman"/>
          <w:szCs w:val="21"/>
        </w:rPr>
        <w:t>795</w:t>
      </w:r>
      <w:r>
        <w:rPr>
          <w:rFonts w:ascii="Times New Roman" w:hAnsi="Times New Roman"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 = 0.</w:t>
      </w:r>
      <w:r>
        <w:rPr>
          <w:rFonts w:hint="eastAsia" w:ascii="Times New Roman" w:hAnsi="Times New Roman" w:cs="Times New Roman"/>
          <w:szCs w:val="21"/>
        </w:rPr>
        <w:t>174</w:t>
      </w:r>
      <w:r>
        <w:rPr>
          <w:rFonts w:ascii="Times New Roman" w:hAnsi="Times New Roman" w:cs="Times New Roman"/>
          <w:szCs w:val="21"/>
        </w:rPr>
        <w:t xml:space="preserve">,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0.04</w:t>
      </w:r>
      <w:r>
        <w:rPr>
          <w:rFonts w:hint="eastAsia" w:ascii="Times New Roman" w:hAnsi="Times New Roman" w:cs="Times New Roman"/>
          <w:szCs w:val="21"/>
        </w:rPr>
        <w:t>9</w:t>
      </w:r>
      <w:r>
        <w:rPr>
          <w:rFonts w:ascii="Times New Roman" w:hAnsi="Times New Roman" w:eastAsia="Segoe UI" w:cs="Times New Roman"/>
          <w:szCs w:val="21"/>
          <w:shd w:val="clear" w:color="auto" w:fill="FFFFFF"/>
        </w:rPr>
        <w:t>), and no significant interaction between the two factors (</w:t>
      </w:r>
      <w:r>
        <w:rPr>
          <w:rFonts w:ascii="Times New Roman" w:hAnsi="Times New Roman" w:cs="Times New Roman"/>
          <w:i/>
          <w:iCs/>
          <w:szCs w:val="21"/>
        </w:rPr>
        <w:t xml:space="preserve">F </w:t>
      </w:r>
      <w:r>
        <w:rPr>
          <w:rFonts w:ascii="Times New Roman" w:hAnsi="Times New Roman" w:cs="Times New Roman"/>
          <w:szCs w:val="21"/>
        </w:rPr>
        <w:t>(</w:t>
      </w:r>
      <w:r>
        <w:rPr>
          <w:rFonts w:hint="eastAsia" w:ascii="Times New Roman" w:hAnsi="Times New Roman" w:cs="Times New Roman"/>
          <w:szCs w:val="21"/>
        </w:rPr>
        <w:t>4</w:t>
      </w:r>
      <w:r>
        <w:rPr>
          <w:rFonts w:ascii="Times New Roman" w:hAnsi="Times New Roman" w:cs="Times New Roman"/>
          <w:szCs w:val="21"/>
        </w:rPr>
        <w:t>, 1</w:t>
      </w:r>
      <w:r>
        <w:rPr>
          <w:rFonts w:hint="eastAsia" w:ascii="Times New Roman" w:hAnsi="Times New Roman" w:cs="Times New Roman"/>
          <w:szCs w:val="21"/>
        </w:rPr>
        <w:t>40</w:t>
      </w:r>
      <w:r>
        <w:rPr>
          <w:rFonts w:ascii="Times New Roman" w:hAnsi="Times New Roman" w:cs="Times New Roman"/>
          <w:szCs w:val="21"/>
        </w:rPr>
        <w:t xml:space="preserve">) = </w:t>
      </w:r>
      <w:r>
        <w:rPr>
          <w:rFonts w:hint="eastAsia" w:ascii="Times New Roman" w:hAnsi="Times New Roman" w:cs="Times New Roman"/>
          <w:szCs w:val="21"/>
        </w:rPr>
        <w:t>0.421</w:t>
      </w:r>
      <w:r>
        <w:rPr>
          <w:rFonts w:ascii="Times New Roman" w:hAnsi="Times New Roman"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 = 0.</w:t>
      </w:r>
      <w:r>
        <w:rPr>
          <w:rFonts w:hint="eastAsia" w:ascii="Times New Roman" w:hAnsi="Times New Roman" w:cs="Times New Roman"/>
          <w:szCs w:val="21"/>
        </w:rPr>
        <w:t>794</w:t>
      </w:r>
      <w:r>
        <w:rPr>
          <w:rFonts w:ascii="Times New Roman" w:hAnsi="Times New Roman" w:cs="Times New Roman"/>
          <w:szCs w:val="21"/>
        </w:rPr>
        <w:t xml:space="preserve">, </w:t>
      </w:r>
      <w:r>
        <w:rPr>
          <w:rFonts w:ascii="Times New Roman" w:hAnsi="Times New Roman" w:eastAsia="宋体" w:cs="Times New Roman"/>
          <w:i/>
          <w:iCs/>
          <w:szCs w:val="21"/>
        </w:rPr>
        <w:t>η</w:t>
      </w:r>
      <w:r>
        <w:rPr>
          <w:rFonts w:ascii="Times New Roman" w:hAnsi="Times New Roman" w:eastAsia="宋体" w:cs="Times New Roman"/>
          <w:i/>
          <w:iCs/>
          <w:szCs w:val="21"/>
          <w:vertAlign w:val="subscript"/>
        </w:rPr>
        <w:t>p</w:t>
      </w:r>
      <w:r>
        <w:rPr>
          <w:rFonts w:ascii="Times New Roman" w:hAnsi="Times New Roman" w:eastAsia="宋体" w:cs="Times New Roman"/>
          <w:szCs w:val="21"/>
          <w:vertAlign w:val="superscript"/>
        </w:rPr>
        <w:t>2</w:t>
      </w:r>
      <w:r>
        <w:rPr>
          <w:rFonts w:ascii="Times New Roman" w:hAnsi="Times New Roman" w:cs="Times New Roman"/>
          <w:szCs w:val="21"/>
        </w:rPr>
        <w:t xml:space="preserve"> = 0.0</w:t>
      </w:r>
      <w:r>
        <w:rPr>
          <w:rFonts w:hint="eastAsia" w:ascii="Times New Roman" w:hAnsi="Times New Roman" w:cs="Times New Roman"/>
          <w:szCs w:val="21"/>
        </w:rPr>
        <w:t>12</w:t>
      </w:r>
      <w:r>
        <w:rPr>
          <w:rFonts w:ascii="Times New Roman" w:hAnsi="Times New Roman" w:eastAsia="Segoe UI" w:cs="Times New Roman"/>
          <w:szCs w:val="21"/>
          <w:shd w:val="clear" w:color="auto" w:fill="FFFFFF"/>
        </w:rPr>
        <w:t>).</w:t>
      </w:r>
      <w:r>
        <w:rPr>
          <w:rFonts w:hint="eastAsia" w:ascii="Times New Roman" w:hAnsi="Times New Roman" w:eastAsia="宋体" w:cs="Times New Roman"/>
          <w:szCs w:val="21"/>
          <w:shd w:val="clear" w:color="auto" w:fill="FFFFFF"/>
        </w:rPr>
        <w:t xml:space="preserve"> </w:t>
      </w:r>
      <w:r>
        <w:rPr>
          <w:rFonts w:ascii="Times New Roman" w:hAnsi="Times New Roman" w:cs="Times New Roman"/>
          <w:szCs w:val="21"/>
        </w:rPr>
        <w:t xml:space="preserve">The distributions of </w:t>
      </w:r>
      <w:r>
        <w:rPr>
          <w:rFonts w:ascii="Times New Roman" w:hAnsi="Times New Roman" w:cs="Times New Roman"/>
          <w:i/>
          <w:iCs/>
          <w:szCs w:val="21"/>
        </w:rPr>
        <w:t>d′</w:t>
      </w:r>
      <w:r>
        <w:rPr>
          <w:rFonts w:ascii="Times New Roman" w:hAnsi="Times New Roman" w:cs="Times New Roman"/>
          <w:szCs w:val="21"/>
        </w:rPr>
        <w:t xml:space="preserve">, and </w:t>
      </w:r>
      <w:r>
        <w:rPr>
          <w:rFonts w:ascii="Times New Roman" w:hAnsi="Times New Roman" w:cs="Times New Roman"/>
          <w:i/>
          <w:iCs/>
          <w:szCs w:val="21"/>
        </w:rPr>
        <w:t>RT*</w:t>
      </w:r>
      <w:r>
        <w:rPr>
          <w:rFonts w:ascii="Times New Roman" w:hAnsi="Times New Roman" w:cs="Times New Roman"/>
          <w:szCs w:val="21"/>
        </w:rPr>
        <w:t xml:space="preserve"> across sentence structures</w:t>
      </w:r>
      <w:r>
        <w:rPr>
          <w:rFonts w:hint="eastAsia" w:ascii="Times New Roman" w:hAnsi="Times New Roman" w:cs="Times New Roman"/>
          <w:szCs w:val="21"/>
        </w:rPr>
        <w:t xml:space="preserve"> (SRC, ORC and simple sentence)</w:t>
      </w:r>
      <w:r>
        <w:rPr>
          <w:rFonts w:ascii="Times New Roman" w:hAnsi="Times New Roman" w:cs="Times New Roman"/>
          <w:szCs w:val="21"/>
        </w:rPr>
        <w:t xml:space="preserve"> are </w:t>
      </w:r>
      <w:r>
        <w:rPr>
          <w:rFonts w:hint="eastAsia" w:ascii="Times New Roman" w:hAnsi="Times New Roman" w:cs="Times New Roman"/>
          <w:szCs w:val="21"/>
        </w:rPr>
        <w:t>shown</w:t>
      </w:r>
      <w:r>
        <w:rPr>
          <w:rFonts w:ascii="Times New Roman" w:hAnsi="Times New Roman" w:cs="Times New Roman"/>
          <w:szCs w:val="21"/>
        </w:rPr>
        <w:t xml:space="preserve"> i</w:t>
      </w:r>
      <w:r>
        <w:rPr>
          <w:rFonts w:ascii="Times New Roman" w:hAnsi="Times New Roman" w:eastAsia="Segoe UI" w:cs="Times New Roman"/>
          <w:szCs w:val="21"/>
          <w:shd w:val="clear" w:color="auto" w:fill="FFFFFF"/>
        </w:rPr>
        <w:t>n Figure S</w:t>
      </w:r>
      <w:r>
        <w:rPr>
          <w:rFonts w:hint="eastAsia" w:ascii="Times New Roman" w:hAnsi="Times New Roman" w:eastAsia="Segoe UI" w:cs="Times New Roman"/>
          <w:szCs w:val="21"/>
          <w:shd w:val="clear" w:color="auto" w:fill="FFFFFF"/>
        </w:rPr>
        <w:t>3</w:t>
      </w:r>
      <w:r>
        <w:rPr>
          <w:rFonts w:ascii="Times New Roman" w:hAnsi="Times New Roman" w:eastAsia="Segoe UI" w:cs="Times New Roman"/>
          <w:szCs w:val="21"/>
          <w:shd w:val="clear" w:color="auto" w:fill="FFFFFF"/>
        </w:rPr>
        <w:t>.</w:t>
      </w:r>
    </w:p>
    <w:p w14:paraId="284AE99D">
      <w:pPr>
        <w:spacing w:line="480" w:lineRule="auto"/>
        <w:rPr>
          <w:rFonts w:ascii="Times New Roman" w:hAnsi="Times New Roman" w:cs="Times New Roman"/>
          <w:szCs w:val="21"/>
        </w:rPr>
      </w:pPr>
      <w:r>
        <w:rPr>
          <w:rFonts w:hint="eastAsia" w:ascii="Times New Roman" w:hAnsi="Times New Roman" w:cs="Times New Roman"/>
          <w:szCs w:val="21"/>
        </w:rPr>
        <w:t xml:space="preserve">Whether the regions would be sensitive to the syntactic complexity effect? </w:t>
      </w:r>
    </w:p>
    <w:p w14:paraId="5CF0EAE6">
      <w:pPr>
        <w:spacing w:line="480" w:lineRule="auto"/>
        <w:rPr>
          <w:rFonts w:ascii="Times New Roman" w:hAnsi="Times New Roman" w:cs="Times New Roman"/>
          <w:szCs w:val="21"/>
        </w:rPr>
      </w:pPr>
      <w:r>
        <w:rPr>
          <w:rFonts w:hint="eastAsia" w:ascii="Times New Roman" w:hAnsi="Times New Roman" w:cs="Times New Roman"/>
          <w:szCs w:val="21"/>
        </w:rPr>
        <w:t>A</w:t>
      </w:r>
      <w:r>
        <w:rPr>
          <w:rFonts w:ascii="Times New Roman" w:hAnsi="Times New Roman" w:cs="Times New Roman"/>
          <w:szCs w:val="21"/>
        </w:rPr>
        <w:t xml:space="preserve">lthough for both </w:t>
      </w:r>
      <w:r>
        <w:rPr>
          <w:rFonts w:ascii="Times New Roman" w:hAnsi="Times New Roman" w:cs="Times New Roman"/>
          <w:i/>
          <w:iCs/>
          <w:szCs w:val="21"/>
        </w:rPr>
        <w:t>d’</w:t>
      </w:r>
      <w:r>
        <w:rPr>
          <w:rFonts w:ascii="Times New Roman" w:hAnsi="Times New Roman" w:cs="Times New Roman"/>
          <w:szCs w:val="21"/>
        </w:rPr>
        <w:t xml:space="preserve"> and </w:t>
      </w:r>
      <w:r>
        <w:rPr>
          <w:rFonts w:ascii="Times New Roman" w:hAnsi="Times New Roman" w:cs="Times New Roman"/>
          <w:i/>
          <w:iCs/>
          <w:szCs w:val="21"/>
        </w:rPr>
        <w:t>RT</w:t>
      </w:r>
      <w:r>
        <w:rPr>
          <w:rFonts w:ascii="Times New Roman" w:hAnsi="Times New Roman" w:cs="Times New Roman"/>
          <w:szCs w:val="21"/>
        </w:rPr>
        <w:t xml:space="preserve">*, Stimulation region and Structure type did not show significant interaction effects, as an exploration, we performed the </w:t>
      </w:r>
      <w:r>
        <w:rPr>
          <w:rFonts w:hint="eastAsia" w:ascii="Times New Roman" w:hAnsi="Times New Roman" w:cs="Times New Roman"/>
          <w:szCs w:val="21"/>
        </w:rPr>
        <w:t>one-</w:t>
      </w:r>
      <w:r>
        <w:rPr>
          <w:rFonts w:ascii="Times New Roman" w:hAnsi="Times New Roman" w:cs="Times New Roman"/>
          <w:szCs w:val="21"/>
        </w:rPr>
        <w:t xml:space="preserve">repeated measures ANOVA for complex and simple sentence processing separately to test whether for all the structures, the TUS effects on LIFG, LpTL, and vertex might differ (in </w:t>
      </w:r>
      <w:r>
        <w:rPr>
          <w:rFonts w:ascii="Times New Roman" w:hAnsi="Times New Roman" w:cs="Times New Roman"/>
          <w:i/>
          <w:iCs/>
          <w:szCs w:val="21"/>
        </w:rPr>
        <w:t>d’</w:t>
      </w:r>
      <w:r>
        <w:rPr>
          <w:rFonts w:ascii="Times New Roman" w:hAnsi="Times New Roman" w:cs="Times New Roman"/>
          <w:szCs w:val="21"/>
        </w:rPr>
        <w:t xml:space="preserve">s or </w:t>
      </w:r>
      <w:r>
        <w:rPr>
          <w:rFonts w:ascii="Times New Roman" w:hAnsi="Times New Roman" w:cs="Times New Roman"/>
          <w:i/>
          <w:iCs/>
          <w:szCs w:val="21"/>
        </w:rPr>
        <w:t>RT</w:t>
      </w:r>
      <w:r>
        <w:rPr>
          <w:rFonts w:ascii="Times New Roman" w:hAnsi="Times New Roman" w:cs="Times New Roman"/>
          <w:szCs w:val="21"/>
        </w:rPr>
        <w:t xml:space="preserve">*s). Intriguingly, for complex sentences, LIFG TUS induced longer </w:t>
      </w:r>
      <w:r>
        <w:rPr>
          <w:rFonts w:ascii="Times New Roman" w:hAnsi="Times New Roman" w:cs="Times New Roman"/>
          <w:i/>
          <w:iCs/>
          <w:szCs w:val="21"/>
        </w:rPr>
        <w:t>RT</w:t>
      </w:r>
      <w:r>
        <w:rPr>
          <w:rFonts w:ascii="Times New Roman" w:hAnsi="Times New Roman" w:cs="Times New Roman"/>
          <w:szCs w:val="21"/>
        </w:rPr>
        <w:t xml:space="preserve">* </w:t>
      </w:r>
      <w:r>
        <w:rPr>
          <w:rFonts w:hint="eastAsia" w:ascii="Times New Roman" w:hAnsi="Times New Roman" w:cs="Times New Roman"/>
          <w:szCs w:val="21"/>
        </w:rPr>
        <w:t xml:space="preserve">and lower </w:t>
      </w:r>
      <w:r>
        <w:rPr>
          <w:rFonts w:hint="eastAsia" w:ascii="Times New Roman" w:hAnsi="Times New Roman" w:cs="Times New Roman"/>
          <w:i/>
          <w:iCs/>
          <w:szCs w:val="21"/>
        </w:rPr>
        <w:t>d</w:t>
      </w:r>
      <w:r>
        <w:rPr>
          <w:rFonts w:ascii="Times New Roman" w:hAnsi="Times New Roman" w:cs="Times New Roman"/>
          <w:i/>
          <w:iCs/>
          <w:szCs w:val="21"/>
        </w:rPr>
        <w:t>’</w:t>
      </w:r>
      <w:r>
        <w:rPr>
          <w:rFonts w:hint="eastAsia" w:ascii="Times New Roman" w:hAnsi="Times New Roman" w:cs="Times New Roman"/>
          <w:szCs w:val="21"/>
        </w:rPr>
        <w:t xml:space="preserve"> </w:t>
      </w:r>
      <w:r>
        <w:rPr>
          <w:rFonts w:ascii="Times New Roman" w:hAnsi="Times New Roman" w:cs="Times New Roman"/>
          <w:szCs w:val="21"/>
        </w:rPr>
        <w:t>than LpTL TUS (|</w:t>
      </w:r>
      <w:r>
        <w:rPr>
          <w:rFonts w:ascii="Times New Roman" w:hAnsi="Times New Roman" w:cs="Times New Roman"/>
          <w:i/>
          <w:iCs/>
          <w:szCs w:val="21"/>
        </w:rPr>
        <w:t>t|</w:t>
      </w:r>
      <w:r>
        <w:rPr>
          <w:rFonts w:ascii="Times New Roman" w:hAnsi="Times New Roman" w:cs="Times New Roman"/>
          <w:szCs w:val="21"/>
        </w:rPr>
        <w:t xml:space="preserve">s </w:t>
      </w:r>
      <w:r>
        <w:rPr>
          <w:rFonts w:ascii="Times New Roman" w:hAnsi="Times New Roman" w:eastAsia="宋体" w:cs="Times New Roman"/>
          <w:szCs w:val="21"/>
        </w:rPr>
        <w:t xml:space="preserve">≥ </w:t>
      </w:r>
      <w:r>
        <w:rPr>
          <w:rFonts w:hint="eastAsia" w:ascii="Times New Roman" w:hAnsi="Times New Roman" w:eastAsia="宋体" w:cs="Times New Roman"/>
          <w:szCs w:val="21"/>
        </w:rPr>
        <w:t>2.657</w:t>
      </w:r>
      <w:r>
        <w:rPr>
          <w:rFonts w:ascii="Times New Roman" w:hAnsi="Times New Roman" w:eastAsia="宋体"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s </w:t>
      </w:r>
      <w:r>
        <w:rPr>
          <w:rFonts w:ascii="Times New Roman" w:hAnsi="Times New Roman" w:eastAsia="宋体" w:cs="Times New Roman"/>
          <w:szCs w:val="21"/>
        </w:rPr>
        <w:t>≤ 0.0</w:t>
      </w:r>
      <w:r>
        <w:rPr>
          <w:rFonts w:hint="eastAsia" w:ascii="Times New Roman" w:hAnsi="Times New Roman" w:eastAsia="宋体" w:cs="Times New Roman"/>
          <w:szCs w:val="21"/>
        </w:rPr>
        <w:t>29</w:t>
      </w:r>
      <w:r>
        <w:rPr>
          <w:rFonts w:ascii="Times New Roman" w:hAnsi="Times New Roman" w:cs="Times New Roman"/>
          <w:szCs w:val="21"/>
        </w:rPr>
        <w:t>) and vertex TUS (|</w:t>
      </w:r>
      <w:r>
        <w:rPr>
          <w:rFonts w:ascii="Times New Roman" w:hAnsi="Times New Roman" w:cs="Times New Roman"/>
          <w:i/>
          <w:iCs/>
          <w:szCs w:val="21"/>
        </w:rPr>
        <w:t>t|</w:t>
      </w:r>
      <w:r>
        <w:rPr>
          <w:rFonts w:ascii="Times New Roman" w:hAnsi="Times New Roman" w:cs="Times New Roman"/>
          <w:szCs w:val="21"/>
        </w:rPr>
        <w:t xml:space="preserve">s </w:t>
      </w:r>
      <w:r>
        <w:rPr>
          <w:rFonts w:ascii="Times New Roman" w:hAnsi="Times New Roman" w:eastAsia="宋体" w:cs="Times New Roman"/>
          <w:szCs w:val="21"/>
        </w:rPr>
        <w:t xml:space="preserve">≤ </w:t>
      </w:r>
      <w:r>
        <w:rPr>
          <w:rFonts w:hint="eastAsia" w:ascii="Times New Roman" w:hAnsi="Times New Roman" w:eastAsia="宋体" w:cs="Times New Roman"/>
          <w:szCs w:val="21"/>
        </w:rPr>
        <w:t>0.626</w:t>
      </w:r>
      <w:r>
        <w:rPr>
          <w:rFonts w:ascii="Times New Roman" w:hAnsi="Times New Roman" w:eastAsia="宋体"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s </w:t>
      </w:r>
      <w:r>
        <w:rPr>
          <w:rFonts w:hint="eastAsia" w:ascii="Times New Roman" w:hAnsi="Times New Roman" w:cs="Times New Roman"/>
          <w:szCs w:val="21"/>
        </w:rPr>
        <w:t>=</w:t>
      </w:r>
      <w:r>
        <w:rPr>
          <w:rFonts w:ascii="Times New Roman" w:hAnsi="Times New Roman" w:eastAsia="宋体" w:cs="Times New Roman"/>
          <w:szCs w:val="21"/>
        </w:rPr>
        <w:t xml:space="preserve"> </w:t>
      </w:r>
      <w:r>
        <w:rPr>
          <w:rFonts w:hint="eastAsia" w:ascii="Times New Roman" w:hAnsi="Times New Roman" w:eastAsia="宋体" w:cs="Times New Roman"/>
          <w:szCs w:val="21"/>
        </w:rPr>
        <w:t>1.000</w:t>
      </w:r>
      <w:r>
        <w:rPr>
          <w:rFonts w:ascii="Times New Roman" w:hAnsi="Times New Roman" w:cs="Times New Roman"/>
          <w:szCs w:val="21"/>
        </w:rPr>
        <w:t>)</w:t>
      </w:r>
      <w:r>
        <w:rPr>
          <w:rFonts w:hint="eastAsia" w:ascii="Times New Roman" w:hAnsi="Times New Roman" w:cs="Times New Roman"/>
          <w:szCs w:val="21"/>
        </w:rPr>
        <w:t xml:space="preserve">. For simple sentences, the </w:t>
      </w:r>
      <w:r>
        <w:rPr>
          <w:rFonts w:hint="eastAsia" w:ascii="Times New Roman" w:hAnsi="Times New Roman" w:cs="Times New Roman"/>
          <w:i/>
          <w:iCs/>
          <w:szCs w:val="21"/>
        </w:rPr>
        <w:t>RT</w:t>
      </w:r>
      <w:r>
        <w:rPr>
          <w:rFonts w:hint="eastAsia" w:ascii="Times New Roman" w:hAnsi="Times New Roman" w:cs="Times New Roman"/>
          <w:szCs w:val="21"/>
        </w:rPr>
        <w:t>* of LIFG TUS could be differentiated from that of LpTL TUS and vertex TUS (</w:t>
      </w:r>
      <w:r>
        <w:rPr>
          <w:rFonts w:ascii="Times New Roman" w:hAnsi="Times New Roman" w:cs="Times New Roman"/>
          <w:szCs w:val="21"/>
        </w:rPr>
        <w:t>|</w:t>
      </w:r>
      <w:r>
        <w:rPr>
          <w:rFonts w:ascii="Times New Roman" w:hAnsi="Times New Roman" w:cs="Times New Roman"/>
          <w:i/>
          <w:iCs/>
          <w:szCs w:val="21"/>
        </w:rPr>
        <w:t>t|</w:t>
      </w:r>
      <w:r>
        <w:rPr>
          <w:rFonts w:ascii="Times New Roman" w:hAnsi="Times New Roman" w:cs="Times New Roman"/>
          <w:szCs w:val="21"/>
        </w:rPr>
        <w:t xml:space="preserve">s </w:t>
      </w:r>
      <w:r>
        <w:rPr>
          <w:rFonts w:ascii="Times New Roman" w:hAnsi="Times New Roman" w:eastAsia="宋体" w:cs="Times New Roman"/>
          <w:szCs w:val="21"/>
        </w:rPr>
        <w:t xml:space="preserve">≥ </w:t>
      </w:r>
      <w:r>
        <w:rPr>
          <w:rFonts w:hint="eastAsia" w:ascii="Times New Roman" w:hAnsi="Times New Roman" w:eastAsia="宋体" w:cs="Times New Roman"/>
          <w:szCs w:val="21"/>
        </w:rPr>
        <w:t>3.457</w:t>
      </w:r>
      <w:r>
        <w:rPr>
          <w:rFonts w:ascii="Times New Roman" w:hAnsi="Times New Roman" w:eastAsia="宋体" w:cs="Times New Roman"/>
          <w:szCs w:val="21"/>
        </w:rPr>
        <w:t xml:space="preserve">, </w:t>
      </w:r>
      <w:r>
        <w:rPr>
          <w:rFonts w:ascii="Times New Roman" w:hAnsi="Times New Roman" w:cs="Times New Roman"/>
          <w:i/>
          <w:iCs/>
          <w:szCs w:val="21"/>
        </w:rPr>
        <w:t>p</w:t>
      </w:r>
      <w:r>
        <w:rPr>
          <w:rFonts w:ascii="Times New Roman" w:hAnsi="Times New Roman" w:cs="Times New Roman"/>
          <w:szCs w:val="21"/>
        </w:rPr>
        <w:t xml:space="preserve">s </w:t>
      </w:r>
      <w:r>
        <w:rPr>
          <w:rFonts w:ascii="Times New Roman" w:hAnsi="Times New Roman" w:eastAsia="宋体" w:cs="Times New Roman"/>
          <w:szCs w:val="21"/>
        </w:rPr>
        <w:t>≤ 0.0</w:t>
      </w:r>
      <w:r>
        <w:rPr>
          <w:rFonts w:hint="eastAsia" w:ascii="Times New Roman" w:hAnsi="Times New Roman" w:eastAsia="宋体" w:cs="Times New Roman"/>
          <w:szCs w:val="21"/>
        </w:rPr>
        <w:t>03</w:t>
      </w:r>
      <w:r>
        <w:rPr>
          <w:rFonts w:hint="eastAsia" w:ascii="Times New Roman" w:hAnsi="Times New Roman" w:cs="Times New Roman"/>
          <w:szCs w:val="21"/>
        </w:rPr>
        <w:t xml:space="preserve">). However, regarding </w:t>
      </w:r>
      <w:r>
        <w:rPr>
          <w:rFonts w:hint="eastAsia" w:ascii="Times New Roman" w:hAnsi="Times New Roman" w:cs="Times New Roman"/>
          <w:i/>
          <w:iCs/>
          <w:szCs w:val="21"/>
        </w:rPr>
        <w:t>d</w:t>
      </w:r>
      <w:r>
        <w:rPr>
          <w:rFonts w:ascii="Times New Roman" w:hAnsi="Times New Roman" w:cs="Times New Roman"/>
          <w:i/>
          <w:iCs/>
          <w:szCs w:val="21"/>
        </w:rPr>
        <w:t>’</w:t>
      </w:r>
      <w:r>
        <w:rPr>
          <w:rFonts w:hint="eastAsia" w:ascii="Times New Roman" w:hAnsi="Times New Roman" w:cs="Times New Roman"/>
          <w:szCs w:val="21"/>
        </w:rPr>
        <w:t>, only LIFG TUS was marginally significantly smaller than that of vertex TUS (</w:t>
      </w:r>
      <w:r>
        <w:rPr>
          <w:rFonts w:hint="eastAsia" w:ascii="Times New Roman" w:hAnsi="Times New Roman" w:cs="Times New Roman"/>
          <w:i/>
          <w:iCs/>
          <w:szCs w:val="21"/>
        </w:rPr>
        <w:t>t</w:t>
      </w:r>
      <w:r>
        <w:rPr>
          <w:rFonts w:hint="eastAsia" w:ascii="Times New Roman" w:hAnsi="Times New Roman" w:cs="Times New Roman"/>
          <w:szCs w:val="21"/>
        </w:rPr>
        <w:t xml:space="preserve"> = -2.225, </w:t>
      </w:r>
      <w:r>
        <w:rPr>
          <w:rFonts w:hint="eastAsia" w:ascii="Times New Roman" w:hAnsi="Times New Roman" w:cs="Times New Roman"/>
          <w:i/>
          <w:iCs/>
          <w:szCs w:val="21"/>
        </w:rPr>
        <w:t>p</w:t>
      </w:r>
      <w:r>
        <w:rPr>
          <w:rFonts w:hint="eastAsia" w:ascii="Times New Roman" w:hAnsi="Times New Roman" w:cs="Times New Roman"/>
          <w:szCs w:val="21"/>
        </w:rPr>
        <w:t xml:space="preserve"> = 0.088). </w:t>
      </w:r>
      <w:r>
        <w:rPr>
          <w:rFonts w:ascii="Times New Roman" w:hAnsi="Times New Roman" w:cs="Times New Roman"/>
          <w:szCs w:val="21"/>
        </w:rPr>
        <w:t xml:space="preserve">The distributions of </w:t>
      </w:r>
      <w:r>
        <w:rPr>
          <w:rFonts w:ascii="Times New Roman" w:hAnsi="Times New Roman" w:cs="Times New Roman"/>
          <w:i/>
          <w:iCs/>
          <w:szCs w:val="21"/>
        </w:rPr>
        <w:t>d′</w:t>
      </w:r>
      <w:r>
        <w:rPr>
          <w:rFonts w:ascii="Times New Roman" w:hAnsi="Times New Roman" w:cs="Times New Roman"/>
          <w:szCs w:val="21"/>
        </w:rPr>
        <w:t xml:space="preserve">, and </w:t>
      </w:r>
      <w:r>
        <w:rPr>
          <w:rFonts w:ascii="Times New Roman" w:hAnsi="Times New Roman" w:cs="Times New Roman"/>
          <w:i/>
          <w:iCs/>
          <w:szCs w:val="21"/>
        </w:rPr>
        <w:t>RT*</w:t>
      </w:r>
      <w:r>
        <w:rPr>
          <w:rFonts w:ascii="Times New Roman" w:hAnsi="Times New Roman" w:cs="Times New Roman"/>
          <w:szCs w:val="21"/>
        </w:rPr>
        <w:t xml:space="preserve"> across sentence structures</w:t>
      </w:r>
      <w:r>
        <w:rPr>
          <w:rFonts w:hint="eastAsia" w:ascii="Times New Roman" w:hAnsi="Times New Roman" w:cs="Times New Roman"/>
          <w:szCs w:val="21"/>
        </w:rPr>
        <w:t xml:space="preserve"> (complex sentence and simple sentence)</w:t>
      </w:r>
      <w:r>
        <w:rPr>
          <w:rFonts w:ascii="Times New Roman" w:hAnsi="Times New Roman" w:cs="Times New Roman"/>
          <w:szCs w:val="21"/>
        </w:rPr>
        <w:t xml:space="preserve"> are </w:t>
      </w:r>
      <w:r>
        <w:rPr>
          <w:rFonts w:hint="eastAsia" w:ascii="Times New Roman" w:hAnsi="Times New Roman" w:cs="Times New Roman"/>
          <w:szCs w:val="21"/>
        </w:rPr>
        <w:t>shown</w:t>
      </w:r>
      <w:r>
        <w:rPr>
          <w:rFonts w:ascii="Times New Roman" w:hAnsi="Times New Roman" w:cs="Times New Roman"/>
          <w:szCs w:val="21"/>
        </w:rPr>
        <w:t xml:space="preserve"> in Figure S</w:t>
      </w:r>
      <w:r>
        <w:rPr>
          <w:rFonts w:hint="eastAsia" w:ascii="Times New Roman" w:hAnsi="Times New Roman" w:cs="Times New Roman"/>
          <w:szCs w:val="21"/>
        </w:rPr>
        <w:t>4</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Taken together, these results demonstrated that LIFG TUS</w:t>
      </w:r>
      <w:r>
        <w:rPr>
          <w:rFonts w:hint="eastAsia" w:ascii="Times New Roman" w:hAnsi="Times New Roman" w:cs="Times New Roman"/>
          <w:szCs w:val="21"/>
        </w:rPr>
        <w:t>,</w:t>
      </w:r>
      <w:r>
        <w:rPr>
          <w:rFonts w:ascii="Times New Roman" w:hAnsi="Times New Roman" w:cs="Times New Roman"/>
          <w:szCs w:val="21"/>
        </w:rPr>
        <w:t xml:space="preserve"> rather than LpTL</w:t>
      </w:r>
      <w:r>
        <w:rPr>
          <w:rFonts w:hint="eastAsia" w:ascii="Times New Roman" w:hAnsi="Times New Roman" w:cs="Times New Roman"/>
          <w:szCs w:val="21"/>
        </w:rPr>
        <w:t>,</w:t>
      </w:r>
      <w:r>
        <w:rPr>
          <w:rFonts w:ascii="Times New Roman" w:hAnsi="Times New Roman" w:cs="Times New Roman"/>
          <w:szCs w:val="21"/>
        </w:rPr>
        <w:t xml:space="preserve"> should </w:t>
      </w:r>
      <w:r>
        <w:rPr>
          <w:rFonts w:hint="eastAsia" w:ascii="Times New Roman" w:hAnsi="Times New Roman" w:cs="Times New Roman"/>
          <w:szCs w:val="21"/>
        </w:rPr>
        <w:t>show a trend of sensitivity</w:t>
      </w:r>
      <w:r>
        <w:rPr>
          <w:rFonts w:ascii="Times New Roman" w:hAnsi="Times New Roman" w:cs="Times New Roman"/>
          <w:szCs w:val="21"/>
        </w:rPr>
        <w:t xml:space="preserve"> to the </w:t>
      </w:r>
      <w:r>
        <w:rPr>
          <w:rFonts w:hint="eastAsia" w:ascii="Times New Roman" w:hAnsi="Times New Roman" w:cs="Times New Roman"/>
          <w:szCs w:val="21"/>
        </w:rPr>
        <w:t xml:space="preserve">syntactic complexity of sentence </w:t>
      </w:r>
      <w:r>
        <w:rPr>
          <w:rFonts w:ascii="Times New Roman" w:hAnsi="Times New Roman" w:cs="Times New Roman"/>
          <w:szCs w:val="21"/>
        </w:rPr>
        <w:t>processing.</w:t>
      </w:r>
    </w:p>
    <w:p w14:paraId="2170629B">
      <w:pPr>
        <w:spacing w:line="480" w:lineRule="auto"/>
        <w:rPr>
          <w:rFonts w:ascii="Times New Roman" w:hAnsi="Times New Roman" w:cs="Times New Roman"/>
          <w:szCs w:val="21"/>
        </w:rPr>
      </w:pPr>
      <w:r>
        <w:rPr>
          <w:rFonts w:hint="eastAsia" w:ascii="Times New Roman" w:hAnsi="Times New Roman"/>
          <w:szCs w:val="21"/>
        </w:rPr>
        <w:t>As for the model comparison results of HDDM, f</w:t>
      </w:r>
      <w:r>
        <w:rPr>
          <w:rFonts w:ascii="Times New Roman" w:hAnsi="Times New Roman"/>
          <w:szCs w:val="21"/>
        </w:rPr>
        <w:t>or transparency, convergence diagnostics for the primary drift-rate contrasts are summarized in Table S</w:t>
      </w:r>
      <w:r>
        <w:rPr>
          <w:rFonts w:hint="eastAsia" w:ascii="Times New Roman" w:hAnsi="Times New Roman"/>
          <w:szCs w:val="21"/>
        </w:rPr>
        <w:t>5</w:t>
      </w:r>
      <w:r>
        <w:rPr>
          <w:rFonts w:ascii="Times New Roman" w:hAnsi="Times New Roman"/>
          <w:szCs w:val="21"/>
        </w:rPr>
        <w:t>.</w:t>
      </w:r>
    </w:p>
    <w:p w14:paraId="6F83A11C">
      <w:pPr>
        <w:spacing w:line="480" w:lineRule="auto"/>
        <w:rPr>
          <w:rFonts w:ascii="Times New Roman" w:hAnsi="Times New Roman" w:cs="Times New Roman"/>
          <w:szCs w:val="21"/>
        </w:rPr>
      </w:pPr>
    </w:p>
    <w:p w14:paraId="27C88FFB">
      <w:pPr>
        <w:spacing w:line="480" w:lineRule="auto"/>
        <w:jc w:val="center"/>
        <w:rPr>
          <w:rFonts w:ascii="Times New Roman" w:hAnsi="Times New Roman" w:cs="Times New Roman"/>
          <w:b/>
          <w:bCs/>
          <w:szCs w:val="21"/>
        </w:rPr>
      </w:pPr>
      <w:r>
        <w:rPr>
          <w:rFonts w:hint="eastAsia" w:ascii="Times New Roman" w:hAnsi="Times New Roman" w:cs="Times New Roman"/>
          <w:b/>
          <w:bCs/>
          <w:szCs w:val="21"/>
        </w:rPr>
        <w:t>References</w:t>
      </w:r>
    </w:p>
    <w:p w14:paraId="5C4C8B51">
      <w:pPr>
        <w:pStyle w:val="22"/>
        <w:spacing w:line="480" w:lineRule="auto"/>
        <w:rPr>
          <w:rFonts w:ascii="Times New Roman" w:hAnsi="Times New Roman" w:cs="Times New Roman"/>
        </w:rPr>
      </w:pPr>
      <w:r>
        <w:rPr>
          <w:rFonts w:hint="eastAsia"/>
          <w:b/>
          <w:bCs/>
          <w:szCs w:val="21"/>
        </w:rPr>
        <w:fldChar w:fldCharType="begin"/>
      </w:r>
      <w:r>
        <w:rPr>
          <w:b/>
          <w:bCs/>
          <w:szCs w:val="21"/>
        </w:rPr>
        <w:instrText xml:space="preserve"> ADDIN ZOTERO_BIBL {"uncited":[],"omitted":[],"custom":[]} CSL_BIBLIOGRAPHY </w:instrText>
      </w:r>
      <w:r>
        <w:rPr>
          <w:rFonts w:hint="eastAsia"/>
          <w:b/>
          <w:bCs/>
          <w:szCs w:val="21"/>
        </w:rPr>
        <w:fldChar w:fldCharType="separate"/>
      </w:r>
      <w:r>
        <w:rPr>
          <w:rFonts w:ascii="Times New Roman" w:hAnsi="Times New Roman" w:cs="Times New Roman"/>
        </w:rPr>
        <w:t>1.</w:t>
      </w:r>
      <w:r>
        <w:rPr>
          <w:rFonts w:ascii="Times New Roman" w:hAnsi="Times New Roman" w:cs="Times New Roman"/>
        </w:rPr>
        <w:tab/>
      </w:r>
      <w:r>
        <w:rPr>
          <w:rFonts w:ascii="Times New Roman" w:hAnsi="Times New Roman" w:cs="Times New Roman"/>
        </w:rPr>
        <w:t xml:space="preserve">Chen, L. </w:t>
      </w:r>
      <w:r>
        <w:rPr>
          <w:rFonts w:ascii="Times New Roman" w:hAnsi="Times New Roman" w:cs="Times New Roman"/>
          <w:i/>
          <w:iCs/>
        </w:rPr>
        <w:t>et al.</w:t>
      </w:r>
      <w:r>
        <w:rPr>
          <w:rFonts w:ascii="Times New Roman" w:hAnsi="Times New Roman" w:cs="Times New Roman"/>
        </w:rPr>
        <w:t xml:space="preserve"> Frontotemporal effective connectivity revealed a language-general syntactic network for Mandarin Chinese. </w:t>
      </w:r>
      <w:r>
        <w:rPr>
          <w:rFonts w:ascii="Times New Roman" w:hAnsi="Times New Roman" w:cs="Times New Roman"/>
          <w:i/>
          <w:iCs/>
        </w:rPr>
        <w:t>Journal of Neurolinguistics</w:t>
      </w:r>
      <w:r>
        <w:rPr>
          <w:rFonts w:ascii="Times New Roman" w:hAnsi="Times New Roman" w:cs="Times New Roman"/>
        </w:rPr>
        <w:t xml:space="preserve"> </w:t>
      </w:r>
      <w:r>
        <w:rPr>
          <w:rFonts w:ascii="Times New Roman" w:hAnsi="Times New Roman" w:cs="Times New Roman"/>
          <w:b/>
          <w:bCs/>
        </w:rPr>
        <w:t>66</w:t>
      </w:r>
      <w:r>
        <w:rPr>
          <w:rFonts w:ascii="Times New Roman" w:hAnsi="Times New Roman" w:cs="Times New Roman"/>
        </w:rPr>
        <w:t>, 101127 (2023).</w:t>
      </w:r>
    </w:p>
    <w:p w14:paraId="7F8998F5">
      <w:pPr>
        <w:pStyle w:val="22"/>
        <w:spacing w:line="48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 xml:space="preserve">Klomjai, W., Katz, R. &amp; Lackmy-Vallée, A. Basic principles of transcranial magnetic stimulation (TMS) and repetitive TMS (rTMS). </w:t>
      </w:r>
      <w:r>
        <w:rPr>
          <w:rFonts w:ascii="Times New Roman" w:hAnsi="Times New Roman" w:cs="Times New Roman"/>
          <w:i/>
          <w:iCs/>
        </w:rPr>
        <w:t>Annals of Physical and Rehabilitation Medicine</w:t>
      </w:r>
      <w:r>
        <w:rPr>
          <w:rFonts w:ascii="Times New Roman" w:hAnsi="Times New Roman" w:cs="Times New Roman"/>
        </w:rPr>
        <w:t xml:space="preserve"> </w:t>
      </w:r>
      <w:r>
        <w:rPr>
          <w:rFonts w:ascii="Times New Roman" w:hAnsi="Times New Roman" w:cs="Times New Roman"/>
          <w:b/>
          <w:bCs/>
        </w:rPr>
        <w:t>58</w:t>
      </w:r>
      <w:r>
        <w:rPr>
          <w:rFonts w:ascii="Times New Roman" w:hAnsi="Times New Roman" w:cs="Times New Roman"/>
        </w:rPr>
        <w:t>, 208–213 (2015).</w:t>
      </w:r>
    </w:p>
    <w:p w14:paraId="5CBDFCD7">
      <w:pPr>
        <w:pStyle w:val="22"/>
        <w:spacing w:line="48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 xml:space="preserve">Pitcher, D., Parkin, B. &amp; Walsh, V. Transcranial Magnetic Stimulation and the Understanding of Behavior. </w:t>
      </w:r>
      <w:r>
        <w:rPr>
          <w:rFonts w:ascii="Times New Roman" w:hAnsi="Times New Roman" w:cs="Times New Roman"/>
          <w:i/>
          <w:iCs/>
        </w:rPr>
        <w:t>Annu. Rev. Psychol.</w:t>
      </w:r>
      <w:r>
        <w:rPr>
          <w:rFonts w:ascii="Times New Roman" w:hAnsi="Times New Roman" w:cs="Times New Roman"/>
        </w:rPr>
        <w:t xml:space="preserve"> </w:t>
      </w:r>
      <w:r>
        <w:rPr>
          <w:rFonts w:ascii="Times New Roman" w:hAnsi="Times New Roman" w:cs="Times New Roman"/>
          <w:b/>
          <w:bCs/>
        </w:rPr>
        <w:t>72</w:t>
      </w:r>
      <w:r>
        <w:rPr>
          <w:rFonts w:ascii="Times New Roman" w:hAnsi="Times New Roman" w:cs="Times New Roman"/>
        </w:rPr>
        <w:t>, 97–121 (2021).</w:t>
      </w:r>
    </w:p>
    <w:p w14:paraId="7F99BE76">
      <w:pPr>
        <w:pStyle w:val="22"/>
        <w:spacing w:line="48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 xml:space="preserve">Wu, J. </w:t>
      </w:r>
      <w:r>
        <w:rPr>
          <w:rFonts w:ascii="Times New Roman" w:hAnsi="Times New Roman" w:cs="Times New Roman"/>
          <w:i/>
          <w:iCs/>
        </w:rPr>
        <w:t>et al.</w:t>
      </w:r>
      <w:r>
        <w:rPr>
          <w:rFonts w:ascii="Times New Roman" w:hAnsi="Times New Roman" w:cs="Times New Roman"/>
        </w:rPr>
        <w:t xml:space="preserve"> Continuous theta-burst stimulation on the left posterior inferior frontal gyrus perturbs complex syntactic processing stability in mandarin Chinese. </w:t>
      </w:r>
      <w:r>
        <w:rPr>
          <w:rFonts w:ascii="Times New Roman" w:hAnsi="Times New Roman" w:cs="Times New Roman"/>
          <w:i/>
          <w:iCs/>
        </w:rPr>
        <w:t>Neurobiology of Language</w:t>
      </w:r>
      <w:r>
        <w:rPr>
          <w:rFonts w:ascii="Times New Roman" w:hAnsi="Times New Roman" w:cs="Times New Roman"/>
        </w:rPr>
        <w:t xml:space="preserve"> </w:t>
      </w:r>
      <w:r>
        <w:rPr>
          <w:rFonts w:ascii="Times New Roman" w:hAnsi="Times New Roman" w:cs="Times New Roman"/>
          <w:b/>
          <w:bCs/>
        </w:rPr>
        <w:t>5</w:t>
      </w:r>
      <w:r>
        <w:rPr>
          <w:rFonts w:ascii="Times New Roman" w:hAnsi="Times New Roman" w:cs="Times New Roman"/>
        </w:rPr>
        <w:t>, 608–627 (2024).</w:t>
      </w:r>
    </w:p>
    <w:p w14:paraId="482CA675">
      <w:pPr>
        <w:pStyle w:val="22"/>
        <w:spacing w:line="48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hAnsi="Times New Roman" w:cs="Times New Roman"/>
        </w:rPr>
        <w:t xml:space="preserve">Zaccarella, E., Schell, M. &amp; Friederici, A. D. Reviewing the functional basis of the syntactic Merge mechanism for language: A coordinate-based activation likelihood estimation meta-analysis. </w:t>
      </w:r>
      <w:r>
        <w:rPr>
          <w:rFonts w:ascii="Times New Roman" w:hAnsi="Times New Roman" w:cs="Times New Roman"/>
          <w:i/>
          <w:iCs/>
        </w:rPr>
        <w:t>Neuroscience &amp; Biobehavioral Reviews</w:t>
      </w:r>
      <w:r>
        <w:rPr>
          <w:rFonts w:ascii="Times New Roman" w:hAnsi="Times New Roman" w:cs="Times New Roman"/>
        </w:rPr>
        <w:t xml:space="preserve"> </w:t>
      </w:r>
      <w:r>
        <w:rPr>
          <w:rFonts w:ascii="Times New Roman" w:hAnsi="Times New Roman" w:cs="Times New Roman"/>
          <w:b/>
          <w:bCs/>
        </w:rPr>
        <w:t>80</w:t>
      </w:r>
      <w:r>
        <w:rPr>
          <w:rFonts w:ascii="Times New Roman" w:hAnsi="Times New Roman" w:cs="Times New Roman"/>
        </w:rPr>
        <w:t>, 646–656 (2017).</w:t>
      </w:r>
    </w:p>
    <w:p w14:paraId="73FABE6D">
      <w:pPr>
        <w:pStyle w:val="22"/>
        <w:spacing w:line="48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rPr>
        <w:t xml:space="preserve">Gao, C. </w:t>
      </w:r>
      <w:r>
        <w:rPr>
          <w:rFonts w:ascii="Times New Roman" w:hAnsi="Times New Roman" w:cs="Times New Roman"/>
          <w:i/>
          <w:iCs/>
        </w:rPr>
        <w:t>et al.</w:t>
      </w:r>
      <w:r>
        <w:rPr>
          <w:rFonts w:ascii="Times New Roman" w:hAnsi="Times New Roman" w:cs="Times New Roman"/>
        </w:rPr>
        <w:t xml:space="preserve"> Continuous theta-burst stimulation demonstrates language-network-specific causal effects on syntactic processing. </w:t>
      </w:r>
      <w:r>
        <w:rPr>
          <w:rFonts w:ascii="Times New Roman" w:hAnsi="Times New Roman" w:cs="Times New Roman"/>
          <w:i/>
          <w:iCs/>
        </w:rPr>
        <w:t>NeuroImage</w:t>
      </w:r>
      <w:r>
        <w:rPr>
          <w:rFonts w:ascii="Times New Roman" w:hAnsi="Times New Roman" w:cs="Times New Roman"/>
        </w:rPr>
        <w:t xml:space="preserve"> </w:t>
      </w:r>
      <w:r>
        <w:rPr>
          <w:rFonts w:ascii="Times New Roman" w:hAnsi="Times New Roman" w:cs="Times New Roman"/>
          <w:b/>
          <w:bCs/>
        </w:rPr>
        <w:t>306</w:t>
      </w:r>
      <w:r>
        <w:rPr>
          <w:rFonts w:ascii="Times New Roman" w:hAnsi="Times New Roman" w:cs="Times New Roman"/>
        </w:rPr>
        <w:t>, 121014 (2025).</w:t>
      </w:r>
    </w:p>
    <w:p w14:paraId="75685953">
      <w:pPr>
        <w:pStyle w:val="22"/>
        <w:spacing w:line="480" w:lineRule="auto"/>
        <w:rPr>
          <w:rFonts w:ascii="Times New Roman" w:hAnsi="Times New Roman" w:cs="Times New Roman"/>
        </w:rPr>
      </w:pPr>
      <w:r>
        <w:rPr>
          <w:rFonts w:ascii="Times New Roman" w:hAnsi="Times New Roman" w:cs="Times New Roman"/>
        </w:rPr>
        <w:t>7.</w:t>
      </w:r>
      <w:r>
        <w:rPr>
          <w:rFonts w:ascii="Times New Roman" w:hAnsi="Times New Roman" w:cs="Times New Roman"/>
        </w:rPr>
        <w:tab/>
      </w:r>
      <w:r>
        <w:rPr>
          <w:rFonts w:ascii="Times New Roman" w:hAnsi="Times New Roman" w:cs="Times New Roman"/>
        </w:rPr>
        <w:t xml:space="preserve">Zhang, Q. </w:t>
      </w:r>
      <w:r>
        <w:rPr>
          <w:rFonts w:ascii="Times New Roman" w:hAnsi="Times New Roman" w:cs="Times New Roman"/>
          <w:i/>
          <w:iCs/>
        </w:rPr>
        <w:t>et al.</w:t>
      </w:r>
      <w:r>
        <w:rPr>
          <w:rFonts w:ascii="Times New Roman" w:hAnsi="Times New Roman" w:cs="Times New Roman"/>
        </w:rPr>
        <w:t xml:space="preserve"> The neural basis of semantic cognition in Mandarin Chinese: A combined fMRI and TMS study. </w:t>
      </w:r>
      <w:r>
        <w:rPr>
          <w:rFonts w:ascii="Times New Roman" w:hAnsi="Times New Roman" w:cs="Times New Roman"/>
          <w:i/>
          <w:iCs/>
        </w:rPr>
        <w:t>Human Brain Mapping</w:t>
      </w:r>
      <w:r>
        <w:rPr>
          <w:rFonts w:ascii="Times New Roman" w:hAnsi="Times New Roman" w:cs="Times New Roman"/>
        </w:rPr>
        <w:t xml:space="preserve"> </w:t>
      </w:r>
      <w:r>
        <w:rPr>
          <w:rFonts w:ascii="Times New Roman" w:hAnsi="Times New Roman" w:cs="Times New Roman"/>
          <w:b/>
          <w:bCs/>
        </w:rPr>
        <w:t>40</w:t>
      </w:r>
      <w:r>
        <w:rPr>
          <w:rFonts w:ascii="Times New Roman" w:hAnsi="Times New Roman" w:cs="Times New Roman"/>
        </w:rPr>
        <w:t>, 5412–5423 (2019).</w:t>
      </w:r>
    </w:p>
    <w:p w14:paraId="3F37BD90">
      <w:pPr>
        <w:pStyle w:val="22"/>
        <w:spacing w:line="480"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ab/>
      </w:r>
      <w:r>
        <w:rPr>
          <w:rFonts w:ascii="Times New Roman" w:hAnsi="Times New Roman" w:cs="Times New Roman"/>
        </w:rPr>
        <w:t xml:space="preserve">Rossini, P. M. </w:t>
      </w:r>
      <w:r>
        <w:rPr>
          <w:rFonts w:ascii="Times New Roman" w:hAnsi="Times New Roman" w:cs="Times New Roman"/>
          <w:i/>
          <w:iCs/>
        </w:rPr>
        <w:t>et al.</w:t>
      </w:r>
      <w:r>
        <w:rPr>
          <w:rFonts w:ascii="Times New Roman" w:hAnsi="Times New Roman" w:cs="Times New Roman"/>
        </w:rPr>
        <w:t xml:space="preserve"> Non-invasive electrical and magnetic stimulation of the brain, spinal cord, roots and peripheral nerves: Basic principles and procedures for routine clinical and research application. An updated report from an I.F.C.N. Committee. </w:t>
      </w:r>
      <w:r>
        <w:rPr>
          <w:rFonts w:ascii="Times New Roman" w:hAnsi="Times New Roman" w:cs="Times New Roman"/>
          <w:i/>
          <w:iCs/>
        </w:rPr>
        <w:t>Clinical Neurophysiology</w:t>
      </w:r>
      <w:r>
        <w:rPr>
          <w:rFonts w:ascii="Times New Roman" w:hAnsi="Times New Roman" w:cs="Times New Roman"/>
        </w:rPr>
        <w:t xml:space="preserve"> </w:t>
      </w:r>
      <w:r>
        <w:rPr>
          <w:rFonts w:ascii="Times New Roman" w:hAnsi="Times New Roman" w:cs="Times New Roman"/>
          <w:b/>
          <w:bCs/>
        </w:rPr>
        <w:t>126</w:t>
      </w:r>
      <w:r>
        <w:rPr>
          <w:rFonts w:ascii="Times New Roman" w:hAnsi="Times New Roman" w:cs="Times New Roman"/>
        </w:rPr>
        <w:t>, 1071–1107 (2015).</w:t>
      </w:r>
    </w:p>
    <w:p w14:paraId="58701341">
      <w:pPr>
        <w:pStyle w:val="22"/>
        <w:spacing w:line="480" w:lineRule="auto"/>
        <w:rPr>
          <w:rFonts w:ascii="Times New Roman" w:hAnsi="Times New Roman" w:cs="Times New Roman"/>
        </w:rPr>
      </w:pPr>
      <w:r>
        <w:rPr>
          <w:rFonts w:ascii="Times New Roman" w:hAnsi="Times New Roman" w:cs="Times New Roman"/>
        </w:rPr>
        <w:t>9.</w:t>
      </w:r>
      <w:r>
        <w:rPr>
          <w:rFonts w:ascii="Times New Roman" w:hAnsi="Times New Roman" w:cs="Times New Roman"/>
        </w:rPr>
        <w:tab/>
      </w:r>
      <w:r>
        <w:rPr>
          <w:rFonts w:ascii="Times New Roman" w:hAnsi="Times New Roman" w:cs="Times New Roman"/>
        </w:rPr>
        <w:t xml:space="preserve">Obeso, I., Robles, N., Muñoz-Marrón, E. &amp; Redolar-Ripoll, D. Dissociating the Role of the pre-SMA in Response Inhibition and Switching: A Combined Online and Offline TMS Approach. </w:t>
      </w:r>
      <w:r>
        <w:rPr>
          <w:rFonts w:ascii="Times New Roman" w:hAnsi="Times New Roman" w:cs="Times New Roman"/>
          <w:i/>
          <w:iCs/>
        </w:rPr>
        <w:t>Front. Hum. Neurosci.</w:t>
      </w:r>
      <w:r>
        <w:rPr>
          <w:rFonts w:ascii="Times New Roman" w:hAnsi="Times New Roman" w:cs="Times New Roman"/>
        </w:rPr>
        <w:t xml:space="preserve"> </w:t>
      </w:r>
      <w:r>
        <w:rPr>
          <w:rFonts w:ascii="Times New Roman" w:hAnsi="Times New Roman" w:cs="Times New Roman"/>
          <w:b/>
          <w:bCs/>
        </w:rPr>
        <w:t>7</w:t>
      </w:r>
      <w:r>
        <w:rPr>
          <w:rFonts w:ascii="Times New Roman" w:hAnsi="Times New Roman" w:cs="Times New Roman"/>
        </w:rPr>
        <w:t>, (2013).</w:t>
      </w:r>
    </w:p>
    <w:p w14:paraId="5E9F8B90">
      <w:pPr>
        <w:pStyle w:val="22"/>
        <w:spacing w:line="480" w:lineRule="auto"/>
        <w:rPr>
          <w:rFonts w:ascii="Times New Roman" w:hAnsi="Times New Roman" w:cs="Times New Roman"/>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 xml:space="preserve">Boux, I. P. &amp; Pulvermüller, F. Does the right temporo-parietal junction play a role in processing indirect speech acts? A transcranial magnetic stimulation study. </w:t>
      </w:r>
      <w:r>
        <w:rPr>
          <w:rFonts w:ascii="Times New Roman" w:hAnsi="Times New Roman" w:cs="Times New Roman"/>
          <w:i/>
          <w:iCs/>
        </w:rPr>
        <w:t>Neuropsychologia</w:t>
      </w:r>
      <w:r>
        <w:rPr>
          <w:rFonts w:ascii="Times New Roman" w:hAnsi="Times New Roman" w:cs="Times New Roman"/>
        </w:rPr>
        <w:t xml:space="preserve"> </w:t>
      </w:r>
      <w:r>
        <w:rPr>
          <w:rFonts w:ascii="Times New Roman" w:hAnsi="Times New Roman" w:cs="Times New Roman"/>
          <w:b/>
          <w:bCs/>
        </w:rPr>
        <w:t>188</w:t>
      </w:r>
      <w:r>
        <w:rPr>
          <w:rFonts w:ascii="Times New Roman" w:hAnsi="Times New Roman" w:cs="Times New Roman"/>
        </w:rPr>
        <w:t>, 108588 (2023).</w:t>
      </w:r>
    </w:p>
    <w:p w14:paraId="29BA032F">
      <w:pPr>
        <w:pStyle w:val="22"/>
        <w:spacing w:line="48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r>
      <w:r>
        <w:rPr>
          <w:rFonts w:ascii="Times New Roman" w:hAnsi="Times New Roman" w:cs="Times New Roman"/>
        </w:rPr>
        <w:t xml:space="preserve">Wu, J. </w:t>
      </w:r>
      <w:r>
        <w:rPr>
          <w:rFonts w:ascii="Times New Roman" w:hAnsi="Times New Roman" w:cs="Times New Roman"/>
          <w:i/>
          <w:iCs/>
        </w:rPr>
        <w:t>et al.</w:t>
      </w:r>
      <w:r>
        <w:rPr>
          <w:rFonts w:ascii="Times New Roman" w:hAnsi="Times New Roman" w:cs="Times New Roman"/>
        </w:rPr>
        <w:t xml:space="preserve"> Transcranial magnetic stimulation of the right inferior frontal gyrus impairs bilinguals’ performance in language-switching tasks. </w:t>
      </w:r>
      <w:r>
        <w:rPr>
          <w:rFonts w:ascii="Times New Roman" w:hAnsi="Times New Roman" w:cs="Times New Roman"/>
          <w:i/>
          <w:iCs/>
        </w:rPr>
        <w:t>Cognition</w:t>
      </w:r>
      <w:r>
        <w:rPr>
          <w:rFonts w:ascii="Times New Roman" w:hAnsi="Times New Roman" w:cs="Times New Roman"/>
        </w:rPr>
        <w:t xml:space="preserve"> </w:t>
      </w:r>
      <w:r>
        <w:rPr>
          <w:rFonts w:ascii="Times New Roman" w:hAnsi="Times New Roman" w:cs="Times New Roman"/>
          <w:b/>
          <w:bCs/>
        </w:rPr>
        <w:t>254</w:t>
      </w:r>
      <w:r>
        <w:rPr>
          <w:rFonts w:ascii="Times New Roman" w:hAnsi="Times New Roman" w:cs="Times New Roman"/>
        </w:rPr>
        <w:t>, 105963 (2025).</w:t>
      </w:r>
    </w:p>
    <w:p w14:paraId="6018DCD1">
      <w:pPr>
        <w:pStyle w:val="22"/>
        <w:spacing w:line="480" w:lineRule="auto"/>
        <w:rPr>
          <w:rFonts w:ascii="Times New Roman" w:hAnsi="Times New Roman" w:cs="Times New Roman"/>
        </w:rPr>
      </w:pPr>
      <w:r>
        <w:rPr>
          <w:rFonts w:ascii="Times New Roman" w:hAnsi="Times New Roman" w:cs="Times New Roman"/>
        </w:rPr>
        <w:t>12.</w:t>
      </w:r>
      <w:r>
        <w:rPr>
          <w:rFonts w:ascii="Times New Roman" w:hAnsi="Times New Roman" w:cs="Times New Roman"/>
        </w:rPr>
        <w:tab/>
      </w:r>
      <w:r>
        <w:rPr>
          <w:rFonts w:ascii="Times New Roman" w:hAnsi="Times New Roman" w:cs="Times New Roman"/>
        </w:rPr>
        <w:t xml:space="preserve">Steel, A. </w:t>
      </w:r>
      <w:r>
        <w:rPr>
          <w:rFonts w:ascii="Times New Roman" w:hAnsi="Times New Roman" w:cs="Times New Roman"/>
          <w:i/>
          <w:iCs/>
        </w:rPr>
        <w:t>et al.</w:t>
      </w:r>
      <w:r>
        <w:rPr>
          <w:rFonts w:ascii="Times New Roman" w:hAnsi="Times New Roman" w:cs="Times New Roman"/>
        </w:rPr>
        <w:t xml:space="preserve"> Shifts in connectivity during procedural learning after motor cortex stimulation: A combined transcranial magnetic stimulation/functional magnetic resonance imaging study. </w:t>
      </w:r>
      <w:r>
        <w:rPr>
          <w:rFonts w:ascii="Times New Roman" w:hAnsi="Times New Roman" w:cs="Times New Roman"/>
          <w:i/>
          <w:iCs/>
        </w:rPr>
        <w:t>Cortex</w:t>
      </w:r>
      <w:r>
        <w:rPr>
          <w:rFonts w:ascii="Times New Roman" w:hAnsi="Times New Roman" w:cs="Times New Roman"/>
        </w:rPr>
        <w:t xml:space="preserve"> </w:t>
      </w:r>
      <w:r>
        <w:rPr>
          <w:rFonts w:ascii="Times New Roman" w:hAnsi="Times New Roman" w:cs="Times New Roman"/>
          <w:b/>
          <w:bCs/>
        </w:rPr>
        <w:t>74</w:t>
      </w:r>
      <w:r>
        <w:rPr>
          <w:rFonts w:ascii="Times New Roman" w:hAnsi="Times New Roman" w:cs="Times New Roman"/>
        </w:rPr>
        <w:t>, 134–148 (2016).</w:t>
      </w:r>
    </w:p>
    <w:p w14:paraId="34DC275A">
      <w:pPr>
        <w:pStyle w:val="22"/>
        <w:spacing w:line="480" w:lineRule="auto"/>
        <w:rPr>
          <w:rFonts w:ascii="Times New Roman" w:hAnsi="Times New Roman" w:cs="Times New Roman"/>
        </w:rPr>
      </w:pPr>
      <w:r>
        <w:rPr>
          <w:rFonts w:ascii="Times New Roman" w:hAnsi="Times New Roman" w:cs="Times New Roman"/>
        </w:rPr>
        <w:t>13.</w:t>
      </w:r>
      <w:r>
        <w:rPr>
          <w:rFonts w:ascii="Times New Roman" w:hAnsi="Times New Roman" w:cs="Times New Roman"/>
        </w:rPr>
        <w:tab/>
      </w:r>
      <w:r>
        <w:rPr>
          <w:rFonts w:ascii="Times New Roman" w:hAnsi="Times New Roman" w:cs="Times New Roman"/>
        </w:rPr>
        <w:t xml:space="preserve">Jung, J. &amp; Lambon Ralph, M. A. Enhancing vs. inhibiting semantic performance with transcranial magnetic stimulation over the anterior temporal lobe: Frequency- and task-specific effects. </w:t>
      </w:r>
      <w:r>
        <w:rPr>
          <w:rFonts w:ascii="Times New Roman" w:hAnsi="Times New Roman" w:cs="Times New Roman"/>
          <w:i/>
          <w:iCs/>
        </w:rPr>
        <w:t>NeuroImage</w:t>
      </w:r>
      <w:r>
        <w:rPr>
          <w:rFonts w:ascii="Times New Roman" w:hAnsi="Times New Roman" w:cs="Times New Roman"/>
        </w:rPr>
        <w:t xml:space="preserve"> </w:t>
      </w:r>
      <w:r>
        <w:rPr>
          <w:rFonts w:ascii="Times New Roman" w:hAnsi="Times New Roman" w:cs="Times New Roman"/>
          <w:b/>
          <w:bCs/>
        </w:rPr>
        <w:t>234</w:t>
      </w:r>
      <w:r>
        <w:rPr>
          <w:rFonts w:ascii="Times New Roman" w:hAnsi="Times New Roman" w:cs="Times New Roman"/>
        </w:rPr>
        <w:t>, 117959 (2021).</w:t>
      </w:r>
    </w:p>
    <w:p w14:paraId="7CDE70F9">
      <w:pPr>
        <w:pStyle w:val="22"/>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r>
      <w:r>
        <w:rPr>
          <w:rFonts w:ascii="Times New Roman" w:hAnsi="Times New Roman" w:cs="Times New Roman"/>
        </w:rPr>
        <w:t xml:space="preserve">Huang, Y.-Z., Edwards, M. J., Rounis, E., Bhatia, K. P. &amp; Rothwell, J. C. Theta Burst Stimulation of the Human Motor Cortex. </w:t>
      </w:r>
      <w:r>
        <w:rPr>
          <w:rFonts w:ascii="Times New Roman" w:hAnsi="Times New Roman" w:cs="Times New Roman"/>
          <w:i/>
          <w:iCs/>
        </w:rPr>
        <w:t>Neuron</w:t>
      </w:r>
      <w:r>
        <w:rPr>
          <w:rFonts w:ascii="Times New Roman" w:hAnsi="Times New Roman" w:cs="Times New Roman"/>
        </w:rPr>
        <w:t xml:space="preserve"> </w:t>
      </w:r>
      <w:r>
        <w:rPr>
          <w:rFonts w:ascii="Times New Roman" w:hAnsi="Times New Roman" w:cs="Times New Roman"/>
          <w:b/>
          <w:bCs/>
        </w:rPr>
        <w:t>45</w:t>
      </w:r>
      <w:r>
        <w:rPr>
          <w:rFonts w:ascii="Times New Roman" w:hAnsi="Times New Roman" w:cs="Times New Roman"/>
        </w:rPr>
        <w:t>, 201–206 (2005).</w:t>
      </w:r>
    </w:p>
    <w:p w14:paraId="7CA0F305">
      <w:pPr>
        <w:pStyle w:val="22"/>
        <w:spacing w:line="480" w:lineRule="auto"/>
        <w:rPr>
          <w:rFonts w:ascii="Times New Roman" w:hAnsi="Times New Roman" w:cs="Times New Roman"/>
        </w:rPr>
      </w:pPr>
      <w:r>
        <w:rPr>
          <w:rFonts w:ascii="Times New Roman" w:hAnsi="Times New Roman" w:cs="Times New Roman"/>
        </w:rPr>
        <w:t>15.</w:t>
      </w:r>
      <w:r>
        <w:rPr>
          <w:rFonts w:ascii="Times New Roman" w:hAnsi="Times New Roman" w:cs="Times New Roman"/>
        </w:rPr>
        <w:tab/>
      </w:r>
      <w:r>
        <w:rPr>
          <w:rFonts w:ascii="Times New Roman" w:hAnsi="Times New Roman" w:cs="Times New Roman"/>
        </w:rPr>
        <w:t xml:space="preserve">Baayen, R. H., Davidson, D. J. &amp; Bates, D. M. Mixed-effects modeling with crossed random effects for subjects and items. </w:t>
      </w:r>
      <w:r>
        <w:rPr>
          <w:rFonts w:ascii="Times New Roman" w:hAnsi="Times New Roman" w:cs="Times New Roman"/>
          <w:i/>
          <w:iCs/>
        </w:rPr>
        <w:t>Journal of memory and language</w:t>
      </w:r>
      <w:r>
        <w:rPr>
          <w:rFonts w:ascii="Times New Roman" w:hAnsi="Times New Roman" w:cs="Times New Roman"/>
        </w:rPr>
        <w:t xml:space="preserve"> </w:t>
      </w:r>
      <w:r>
        <w:rPr>
          <w:rFonts w:ascii="Times New Roman" w:hAnsi="Times New Roman" w:cs="Times New Roman"/>
          <w:b/>
          <w:bCs/>
        </w:rPr>
        <w:t>59</w:t>
      </w:r>
      <w:r>
        <w:rPr>
          <w:rFonts w:ascii="Times New Roman" w:hAnsi="Times New Roman" w:cs="Times New Roman"/>
        </w:rPr>
        <w:t>, 390–412 (2008).</w:t>
      </w:r>
    </w:p>
    <w:p w14:paraId="4597FCAE">
      <w:pPr>
        <w:pStyle w:val="22"/>
        <w:spacing w:line="480" w:lineRule="auto"/>
        <w:rPr>
          <w:rFonts w:ascii="Times New Roman" w:hAnsi="Times New Roman" w:cs="Times New Roman"/>
        </w:rPr>
      </w:pPr>
      <w:r>
        <w:rPr>
          <w:rFonts w:ascii="Times New Roman" w:hAnsi="Times New Roman" w:cs="Times New Roman"/>
        </w:rPr>
        <w:t>16.</w:t>
      </w:r>
      <w:r>
        <w:rPr>
          <w:rFonts w:ascii="Times New Roman" w:hAnsi="Times New Roman" w:cs="Times New Roman"/>
        </w:rPr>
        <w:tab/>
      </w:r>
      <w:r>
        <w:rPr>
          <w:rFonts w:ascii="Times New Roman" w:hAnsi="Times New Roman" w:cs="Times New Roman"/>
        </w:rPr>
        <w:t xml:space="preserve">Jaeger, T. F. Categorical data analysis: Away from ANOVAs (transformation or not) and towards logit mixed models. </w:t>
      </w:r>
      <w:r>
        <w:rPr>
          <w:rFonts w:ascii="Times New Roman" w:hAnsi="Times New Roman" w:cs="Times New Roman"/>
          <w:i/>
          <w:iCs/>
        </w:rPr>
        <w:t>Journal of Memory and Language</w:t>
      </w:r>
      <w:r>
        <w:rPr>
          <w:rFonts w:ascii="Times New Roman" w:hAnsi="Times New Roman" w:cs="Times New Roman"/>
        </w:rPr>
        <w:t xml:space="preserve"> </w:t>
      </w:r>
      <w:r>
        <w:rPr>
          <w:rFonts w:ascii="Times New Roman" w:hAnsi="Times New Roman" w:cs="Times New Roman"/>
          <w:b/>
          <w:bCs/>
        </w:rPr>
        <w:t>59</w:t>
      </w:r>
      <w:r>
        <w:rPr>
          <w:rFonts w:ascii="Times New Roman" w:hAnsi="Times New Roman" w:cs="Times New Roman"/>
        </w:rPr>
        <w:t>, 434–446 (2008).</w:t>
      </w:r>
    </w:p>
    <w:p w14:paraId="72C56E68">
      <w:pPr>
        <w:pStyle w:val="22"/>
        <w:spacing w:line="480" w:lineRule="auto"/>
        <w:rPr>
          <w:rFonts w:ascii="Times New Roman" w:hAnsi="Times New Roman" w:cs="Times New Roman"/>
        </w:rPr>
      </w:pPr>
      <w:r>
        <w:rPr>
          <w:rFonts w:ascii="Times New Roman" w:hAnsi="Times New Roman" w:cs="Times New Roman"/>
        </w:rPr>
        <w:t>17.</w:t>
      </w:r>
      <w:r>
        <w:rPr>
          <w:rFonts w:ascii="Times New Roman" w:hAnsi="Times New Roman" w:cs="Times New Roman"/>
        </w:rPr>
        <w:tab/>
      </w:r>
      <w:r>
        <w:rPr>
          <w:rFonts w:ascii="Times New Roman" w:hAnsi="Times New Roman" w:cs="Times New Roman"/>
        </w:rPr>
        <w:t xml:space="preserve">Barr, D. J. Random effects structure for testing interactions in linear mixed-effects models. </w:t>
      </w:r>
      <w:r>
        <w:rPr>
          <w:rFonts w:ascii="Times New Roman" w:hAnsi="Times New Roman" w:cs="Times New Roman"/>
          <w:i/>
          <w:iCs/>
        </w:rPr>
        <w:t>Front. Psychol.</w:t>
      </w:r>
      <w:r>
        <w:rPr>
          <w:rFonts w:ascii="Times New Roman" w:hAnsi="Times New Roman" w:cs="Times New Roman"/>
        </w:rPr>
        <w:t xml:space="preserve"> </w:t>
      </w:r>
      <w:r>
        <w:rPr>
          <w:rFonts w:ascii="Times New Roman" w:hAnsi="Times New Roman" w:cs="Times New Roman"/>
          <w:b/>
          <w:bCs/>
        </w:rPr>
        <w:t>4</w:t>
      </w:r>
      <w:r>
        <w:rPr>
          <w:rFonts w:ascii="Times New Roman" w:hAnsi="Times New Roman" w:cs="Times New Roman"/>
        </w:rPr>
        <w:t>, (2013).</w:t>
      </w:r>
    </w:p>
    <w:p w14:paraId="1B298BC3">
      <w:pPr>
        <w:pStyle w:val="22"/>
        <w:spacing w:line="480" w:lineRule="auto"/>
        <w:rPr>
          <w:rFonts w:ascii="Times New Roman" w:hAnsi="Times New Roman" w:cs="Times New Roman"/>
        </w:rPr>
      </w:pPr>
      <w:r>
        <w:rPr>
          <w:rFonts w:ascii="Times New Roman" w:hAnsi="Times New Roman" w:cs="Times New Roman"/>
        </w:rPr>
        <w:t>18.</w:t>
      </w:r>
      <w:r>
        <w:rPr>
          <w:rFonts w:ascii="Times New Roman" w:hAnsi="Times New Roman" w:cs="Times New Roman"/>
        </w:rPr>
        <w:tab/>
      </w:r>
      <w:r>
        <w:rPr>
          <w:rFonts w:ascii="Times New Roman" w:hAnsi="Times New Roman" w:cs="Times New Roman"/>
        </w:rPr>
        <w:t xml:space="preserve">Bates, D., Mächler, M., Bolker, B. &amp; Walker, S. Fitting linear mixed-effects models using lme4. </w:t>
      </w:r>
      <w:r>
        <w:rPr>
          <w:rFonts w:ascii="Times New Roman" w:hAnsi="Times New Roman" w:cs="Times New Roman"/>
          <w:i/>
          <w:iCs/>
        </w:rPr>
        <w:t>Journal of statistical software</w:t>
      </w:r>
      <w:r>
        <w:rPr>
          <w:rFonts w:ascii="Times New Roman" w:hAnsi="Times New Roman" w:cs="Times New Roman"/>
        </w:rPr>
        <w:t xml:space="preserve"> </w:t>
      </w:r>
      <w:r>
        <w:rPr>
          <w:rFonts w:ascii="Times New Roman" w:hAnsi="Times New Roman" w:cs="Times New Roman"/>
          <w:b/>
          <w:bCs/>
        </w:rPr>
        <w:t>67</w:t>
      </w:r>
      <w:r>
        <w:rPr>
          <w:rFonts w:ascii="Times New Roman" w:hAnsi="Times New Roman" w:cs="Times New Roman"/>
        </w:rPr>
        <w:t>, 1–48 (2015).</w:t>
      </w:r>
    </w:p>
    <w:p w14:paraId="23E3749C">
      <w:pPr>
        <w:pStyle w:val="22"/>
        <w:spacing w:line="480" w:lineRule="auto"/>
        <w:rPr>
          <w:rFonts w:ascii="Times New Roman" w:hAnsi="Times New Roman" w:cs="Times New Roman"/>
        </w:rPr>
      </w:pPr>
      <w:r>
        <w:rPr>
          <w:rFonts w:ascii="Times New Roman" w:hAnsi="Times New Roman" w:cs="Times New Roman"/>
        </w:rPr>
        <w:t>19.</w:t>
      </w:r>
      <w:r>
        <w:rPr>
          <w:rFonts w:ascii="Times New Roman" w:hAnsi="Times New Roman" w:cs="Times New Roman"/>
        </w:rPr>
        <w:tab/>
      </w:r>
      <w:r>
        <w:rPr>
          <w:rFonts w:ascii="Times New Roman" w:hAnsi="Times New Roman" w:cs="Times New Roman"/>
        </w:rPr>
        <w:t xml:space="preserve">Kuhnke, P., Meyer, L., Friederici, A. D. &amp; Hartwigsen, G. Left posterior inferior frontal gyrus is causally involved in reordering during sentence processing. </w:t>
      </w:r>
      <w:r>
        <w:rPr>
          <w:rFonts w:ascii="Times New Roman" w:hAnsi="Times New Roman" w:cs="Times New Roman"/>
          <w:i/>
          <w:iCs/>
        </w:rPr>
        <w:t>NeuroImage</w:t>
      </w:r>
      <w:r>
        <w:rPr>
          <w:rFonts w:ascii="Times New Roman" w:hAnsi="Times New Roman" w:cs="Times New Roman"/>
        </w:rPr>
        <w:t xml:space="preserve"> </w:t>
      </w:r>
      <w:r>
        <w:rPr>
          <w:rFonts w:ascii="Times New Roman" w:hAnsi="Times New Roman" w:cs="Times New Roman"/>
          <w:b/>
          <w:bCs/>
        </w:rPr>
        <w:t>148</w:t>
      </w:r>
      <w:r>
        <w:rPr>
          <w:rFonts w:ascii="Times New Roman" w:hAnsi="Times New Roman" w:cs="Times New Roman"/>
        </w:rPr>
        <w:t>, 254–263 (2017).</w:t>
      </w:r>
    </w:p>
    <w:p w14:paraId="67FD440F">
      <w:pPr>
        <w:pStyle w:val="22"/>
        <w:spacing w:line="480" w:lineRule="auto"/>
        <w:rPr>
          <w:rFonts w:ascii="Times New Roman" w:hAnsi="Times New Roman" w:cs="Times New Roman"/>
        </w:rPr>
      </w:pPr>
      <w:r>
        <w:rPr>
          <w:rFonts w:ascii="Times New Roman" w:hAnsi="Times New Roman" w:cs="Times New Roman"/>
        </w:rPr>
        <w:t>20.</w:t>
      </w:r>
      <w:r>
        <w:rPr>
          <w:rFonts w:ascii="Times New Roman" w:hAnsi="Times New Roman" w:cs="Times New Roman"/>
        </w:rPr>
        <w:tab/>
      </w:r>
      <w:r>
        <w:rPr>
          <w:rFonts w:ascii="Times New Roman" w:hAnsi="Times New Roman" w:cs="Times New Roman"/>
        </w:rPr>
        <w:t xml:space="preserve">Meyer, L., Elsner, A., Turker, S., Kuhnke, P. &amp; Hartwigsen, G. Perturbation of left posterior prefrontal cortex modulates top-down processing in sentence comprehension. </w:t>
      </w:r>
      <w:r>
        <w:rPr>
          <w:rFonts w:ascii="Times New Roman" w:hAnsi="Times New Roman" w:cs="Times New Roman"/>
          <w:i/>
          <w:iCs/>
        </w:rPr>
        <w:t>NeuroImage</w:t>
      </w:r>
      <w:r>
        <w:rPr>
          <w:rFonts w:ascii="Times New Roman" w:hAnsi="Times New Roman" w:cs="Times New Roman"/>
        </w:rPr>
        <w:t xml:space="preserve"> </w:t>
      </w:r>
      <w:r>
        <w:rPr>
          <w:rFonts w:ascii="Times New Roman" w:hAnsi="Times New Roman" w:cs="Times New Roman"/>
          <w:b/>
          <w:bCs/>
        </w:rPr>
        <w:t>181</w:t>
      </w:r>
      <w:r>
        <w:rPr>
          <w:rFonts w:ascii="Times New Roman" w:hAnsi="Times New Roman" w:cs="Times New Roman"/>
        </w:rPr>
        <w:t>, 598–604 (2018).</w:t>
      </w:r>
    </w:p>
    <w:p w14:paraId="7A28E6E9">
      <w:pPr>
        <w:pStyle w:val="22"/>
        <w:spacing w:line="480" w:lineRule="auto"/>
        <w:rPr>
          <w:rFonts w:ascii="Times New Roman" w:hAnsi="Times New Roman" w:cs="Times New Roman"/>
        </w:rPr>
      </w:pPr>
      <w:r>
        <w:rPr>
          <w:rFonts w:ascii="Times New Roman" w:hAnsi="Times New Roman" w:cs="Times New Roman"/>
        </w:rPr>
        <w:t>21.</w:t>
      </w:r>
      <w:r>
        <w:rPr>
          <w:rFonts w:ascii="Times New Roman" w:hAnsi="Times New Roman" w:cs="Times New Roman"/>
        </w:rPr>
        <w:tab/>
      </w:r>
      <w:r>
        <w:rPr>
          <w:rFonts w:ascii="Times New Roman" w:hAnsi="Times New Roman" w:cs="Times New Roman"/>
        </w:rPr>
        <w:t xml:space="preserve">Sakai, K. L., Noguchi, Y., Takeuchi, T. &amp; Watanabe, E. Selective Priming of Syntactic Processing by Event-Related Transcranial Magnetic Stimulation of Broca’s Area. </w:t>
      </w:r>
      <w:r>
        <w:rPr>
          <w:rFonts w:ascii="Times New Roman" w:hAnsi="Times New Roman" w:cs="Times New Roman"/>
          <w:i/>
          <w:iCs/>
        </w:rPr>
        <w:t>Neuron</w:t>
      </w:r>
      <w:r>
        <w:rPr>
          <w:rFonts w:ascii="Times New Roman" w:hAnsi="Times New Roman" w:cs="Times New Roman"/>
        </w:rPr>
        <w:t xml:space="preserve"> </w:t>
      </w:r>
      <w:r>
        <w:rPr>
          <w:rFonts w:ascii="Times New Roman" w:hAnsi="Times New Roman" w:cs="Times New Roman"/>
          <w:b/>
          <w:bCs/>
        </w:rPr>
        <w:t>35</w:t>
      </w:r>
      <w:r>
        <w:rPr>
          <w:rFonts w:ascii="Times New Roman" w:hAnsi="Times New Roman" w:cs="Times New Roman"/>
        </w:rPr>
        <w:t>, 1177–1182 (2002).</w:t>
      </w:r>
    </w:p>
    <w:p w14:paraId="0E2F7554">
      <w:pPr>
        <w:pStyle w:val="22"/>
        <w:spacing w:line="480" w:lineRule="auto"/>
        <w:rPr>
          <w:rFonts w:ascii="Times New Roman" w:hAnsi="Times New Roman" w:cs="Times New Roman"/>
        </w:rPr>
      </w:pPr>
      <w:r>
        <w:rPr>
          <w:rFonts w:ascii="Times New Roman" w:hAnsi="Times New Roman" w:cs="Times New Roman"/>
        </w:rPr>
        <w:t>22.</w:t>
      </w:r>
      <w:r>
        <w:rPr>
          <w:rFonts w:ascii="Times New Roman" w:hAnsi="Times New Roman" w:cs="Times New Roman"/>
        </w:rPr>
        <w:tab/>
      </w:r>
      <w:r>
        <w:rPr>
          <w:rFonts w:ascii="Times New Roman" w:hAnsi="Times New Roman" w:cs="Times New Roman"/>
        </w:rPr>
        <w:t xml:space="preserve">Uddén, J. </w:t>
      </w:r>
      <w:r>
        <w:rPr>
          <w:rFonts w:ascii="Times New Roman" w:hAnsi="Times New Roman" w:cs="Times New Roman"/>
          <w:i/>
          <w:iCs/>
        </w:rPr>
        <w:t>et al.</w:t>
      </w:r>
      <w:r>
        <w:rPr>
          <w:rFonts w:ascii="Times New Roman" w:hAnsi="Times New Roman" w:cs="Times New Roman"/>
        </w:rPr>
        <w:t xml:space="preserve"> The inferior frontal cortex in artificial syntax processing: An rTMS study. </w:t>
      </w:r>
      <w:r>
        <w:rPr>
          <w:rFonts w:ascii="Times New Roman" w:hAnsi="Times New Roman" w:cs="Times New Roman"/>
          <w:i/>
          <w:iCs/>
        </w:rPr>
        <w:t>Brain Research</w:t>
      </w:r>
      <w:r>
        <w:rPr>
          <w:rFonts w:ascii="Times New Roman" w:hAnsi="Times New Roman" w:cs="Times New Roman"/>
        </w:rPr>
        <w:t xml:space="preserve"> </w:t>
      </w:r>
      <w:r>
        <w:rPr>
          <w:rFonts w:ascii="Times New Roman" w:hAnsi="Times New Roman" w:cs="Times New Roman"/>
          <w:b/>
          <w:bCs/>
        </w:rPr>
        <w:t>1224</w:t>
      </w:r>
      <w:r>
        <w:rPr>
          <w:rFonts w:ascii="Times New Roman" w:hAnsi="Times New Roman" w:cs="Times New Roman"/>
        </w:rPr>
        <w:t>, 69–78 (2008).</w:t>
      </w:r>
    </w:p>
    <w:p w14:paraId="4DB4D495">
      <w:pPr>
        <w:pStyle w:val="22"/>
        <w:spacing w:line="480" w:lineRule="auto"/>
        <w:rPr>
          <w:rFonts w:ascii="Times New Roman" w:hAnsi="Times New Roman" w:cs="Times New Roman"/>
        </w:rPr>
      </w:pPr>
      <w:r>
        <w:rPr>
          <w:rFonts w:ascii="Times New Roman" w:hAnsi="Times New Roman" w:cs="Times New Roman"/>
        </w:rPr>
        <w:t>23.</w:t>
      </w:r>
      <w:r>
        <w:rPr>
          <w:rFonts w:ascii="Times New Roman" w:hAnsi="Times New Roman" w:cs="Times New Roman"/>
        </w:rPr>
        <w:tab/>
      </w:r>
      <w:r>
        <w:rPr>
          <w:rFonts w:ascii="Times New Roman" w:hAnsi="Times New Roman" w:cs="Times New Roman"/>
        </w:rPr>
        <w:t xml:space="preserve">Uddén, J., Ingvar, M., Hagoort, P. &amp; Petersson, K. M. Broca’s region: A causal role in implicit processing of grammars with crossed non-adjacent dependencies. </w:t>
      </w:r>
      <w:r>
        <w:rPr>
          <w:rFonts w:ascii="Times New Roman" w:hAnsi="Times New Roman" w:cs="Times New Roman"/>
          <w:i/>
          <w:iCs/>
        </w:rPr>
        <w:t>Cognition</w:t>
      </w:r>
      <w:r>
        <w:rPr>
          <w:rFonts w:ascii="Times New Roman" w:hAnsi="Times New Roman" w:cs="Times New Roman"/>
        </w:rPr>
        <w:t xml:space="preserve"> </w:t>
      </w:r>
      <w:r>
        <w:rPr>
          <w:rFonts w:ascii="Times New Roman" w:hAnsi="Times New Roman" w:cs="Times New Roman"/>
          <w:b/>
          <w:bCs/>
        </w:rPr>
        <w:t>164</w:t>
      </w:r>
      <w:r>
        <w:rPr>
          <w:rFonts w:ascii="Times New Roman" w:hAnsi="Times New Roman" w:cs="Times New Roman"/>
        </w:rPr>
        <w:t>, 188–198 (2017).</w:t>
      </w:r>
    </w:p>
    <w:p w14:paraId="2D4C3365">
      <w:pPr>
        <w:pStyle w:val="22"/>
        <w:spacing w:line="480" w:lineRule="auto"/>
        <w:rPr>
          <w:rFonts w:ascii="Times New Roman" w:hAnsi="Times New Roman" w:cs="Times New Roman"/>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 xml:space="preserve">Qu, X. </w:t>
      </w:r>
      <w:r>
        <w:rPr>
          <w:rFonts w:ascii="Times New Roman" w:hAnsi="Times New Roman" w:cs="Times New Roman"/>
          <w:i/>
          <w:iCs/>
        </w:rPr>
        <w:t>et al.</w:t>
      </w:r>
      <w:r>
        <w:rPr>
          <w:rFonts w:ascii="Times New Roman" w:hAnsi="Times New Roman" w:cs="Times New Roman"/>
        </w:rPr>
        <w:t xml:space="preserve"> Neuromodulatory effects of transcranial magnetic stimulation on language performance in healthy participants: Systematic review and meta-analysis. </w:t>
      </w:r>
      <w:r>
        <w:rPr>
          <w:rFonts w:ascii="Times New Roman" w:hAnsi="Times New Roman" w:cs="Times New Roman"/>
          <w:i/>
          <w:iCs/>
        </w:rPr>
        <w:t>Front. Hum. Neurosci.</w:t>
      </w:r>
      <w:r>
        <w:rPr>
          <w:rFonts w:ascii="Times New Roman" w:hAnsi="Times New Roman" w:cs="Times New Roman"/>
        </w:rPr>
        <w:t xml:space="preserve"> </w:t>
      </w:r>
      <w:r>
        <w:rPr>
          <w:rFonts w:ascii="Times New Roman" w:hAnsi="Times New Roman" w:cs="Times New Roman"/>
          <w:b/>
          <w:bCs/>
        </w:rPr>
        <w:t>16</w:t>
      </w:r>
      <w:r>
        <w:rPr>
          <w:rFonts w:ascii="Times New Roman" w:hAnsi="Times New Roman" w:cs="Times New Roman"/>
        </w:rPr>
        <w:t>, 1027446 (2022).</w:t>
      </w:r>
    </w:p>
    <w:p w14:paraId="5F5C664F">
      <w:pPr>
        <w:pStyle w:val="22"/>
        <w:spacing w:line="480" w:lineRule="auto"/>
        <w:rPr>
          <w:rFonts w:ascii="Times New Roman" w:hAnsi="Times New Roman" w:cs="Times New Roman"/>
        </w:rPr>
      </w:pPr>
      <w:r>
        <w:rPr>
          <w:rFonts w:ascii="Times New Roman" w:hAnsi="Times New Roman" w:cs="Times New Roman"/>
        </w:rPr>
        <w:t>25.</w:t>
      </w:r>
      <w:r>
        <w:rPr>
          <w:rFonts w:ascii="Times New Roman" w:hAnsi="Times New Roman" w:cs="Times New Roman"/>
        </w:rPr>
        <w:tab/>
      </w:r>
      <w:r>
        <w:rPr>
          <w:rFonts w:ascii="Times New Roman" w:hAnsi="Times New Roman" w:cs="Times New Roman"/>
        </w:rPr>
        <w:t xml:space="preserve">Jeon, H.-A. &amp; Friederici, A. D. Degree of automaticity and the prefrontal cortex. </w:t>
      </w:r>
      <w:r>
        <w:rPr>
          <w:rFonts w:ascii="Times New Roman" w:hAnsi="Times New Roman" w:cs="Times New Roman"/>
          <w:i/>
          <w:iCs/>
        </w:rPr>
        <w:t>Trends in cognitive sciences</w:t>
      </w:r>
      <w:r>
        <w:rPr>
          <w:rFonts w:ascii="Times New Roman" w:hAnsi="Times New Roman" w:cs="Times New Roman"/>
        </w:rPr>
        <w:t xml:space="preserve"> </w:t>
      </w:r>
      <w:r>
        <w:rPr>
          <w:rFonts w:ascii="Times New Roman" w:hAnsi="Times New Roman" w:cs="Times New Roman"/>
          <w:b/>
          <w:bCs/>
        </w:rPr>
        <w:t>19</w:t>
      </w:r>
      <w:r>
        <w:rPr>
          <w:rFonts w:ascii="Times New Roman" w:hAnsi="Times New Roman" w:cs="Times New Roman"/>
        </w:rPr>
        <w:t>, 244–250 (2015).</w:t>
      </w:r>
    </w:p>
    <w:p w14:paraId="76CDBC83">
      <w:pPr>
        <w:pStyle w:val="22"/>
        <w:spacing w:line="480" w:lineRule="auto"/>
        <w:rPr>
          <w:rFonts w:ascii="Times New Roman" w:hAnsi="Times New Roman" w:cs="Times New Roman"/>
        </w:rPr>
      </w:pPr>
      <w:r>
        <w:rPr>
          <w:rFonts w:ascii="Times New Roman" w:hAnsi="Times New Roman" w:cs="Times New Roman"/>
        </w:rPr>
        <w:t>26.</w:t>
      </w:r>
      <w:r>
        <w:rPr>
          <w:rFonts w:ascii="Times New Roman" w:hAnsi="Times New Roman" w:cs="Times New Roman"/>
        </w:rPr>
        <w:tab/>
      </w:r>
      <w:r>
        <w:rPr>
          <w:rFonts w:ascii="Times New Roman" w:hAnsi="Times New Roman" w:cs="Times New Roman"/>
        </w:rPr>
        <w:t xml:space="preserve">Yang, M. </w:t>
      </w:r>
      <w:r>
        <w:rPr>
          <w:rFonts w:ascii="Times New Roman" w:hAnsi="Times New Roman" w:cs="Times New Roman"/>
          <w:i/>
          <w:iCs/>
        </w:rPr>
        <w:t>et al.</w:t>
      </w:r>
      <w:r>
        <w:rPr>
          <w:rFonts w:ascii="Times New Roman" w:hAnsi="Times New Roman" w:cs="Times New Roman"/>
        </w:rPr>
        <w:t xml:space="preserve"> Transcranial photobiomodulation on the left inferior frontal gyrus enhances Mandarin Chinese L1 and L2 complex sentence processing performances. </w:t>
      </w:r>
      <w:r>
        <w:rPr>
          <w:rFonts w:ascii="Times New Roman" w:hAnsi="Times New Roman" w:cs="Times New Roman"/>
          <w:i/>
          <w:iCs/>
        </w:rPr>
        <w:t>Brain and Language</w:t>
      </w:r>
      <w:r>
        <w:rPr>
          <w:rFonts w:ascii="Times New Roman" w:hAnsi="Times New Roman" w:cs="Times New Roman"/>
        </w:rPr>
        <w:t xml:space="preserve"> </w:t>
      </w:r>
      <w:r>
        <w:rPr>
          <w:rFonts w:ascii="Times New Roman" w:hAnsi="Times New Roman" w:cs="Times New Roman"/>
          <w:b/>
          <w:bCs/>
        </w:rPr>
        <w:t>256</w:t>
      </w:r>
      <w:r>
        <w:rPr>
          <w:rFonts w:ascii="Times New Roman" w:hAnsi="Times New Roman" w:cs="Times New Roman"/>
        </w:rPr>
        <w:t>, 105458 (2024).</w:t>
      </w:r>
    </w:p>
    <w:p w14:paraId="4DC5E94C">
      <w:pPr>
        <w:pStyle w:val="22"/>
        <w:spacing w:line="480" w:lineRule="auto"/>
        <w:rPr>
          <w:rFonts w:ascii="Times New Roman" w:hAnsi="Times New Roman" w:cs="Times New Roman"/>
        </w:rPr>
      </w:pPr>
      <w:r>
        <w:rPr>
          <w:rFonts w:ascii="Times New Roman" w:hAnsi="Times New Roman" w:cs="Times New Roman"/>
        </w:rPr>
        <w:t>27.</w:t>
      </w:r>
      <w:r>
        <w:rPr>
          <w:rFonts w:ascii="Times New Roman" w:hAnsi="Times New Roman" w:cs="Times New Roman"/>
        </w:rPr>
        <w:tab/>
      </w:r>
      <w:r>
        <w:rPr>
          <w:rFonts w:ascii="Times New Roman" w:hAnsi="Times New Roman" w:cs="Times New Roman"/>
        </w:rPr>
        <w:t xml:space="preserve">Makuuchi, M., Bahlmann, J., Anwander, A. &amp; Friederici, A. D. Segregating the core computational faculty of human language from working memory. </w:t>
      </w:r>
      <w:r>
        <w:rPr>
          <w:rFonts w:ascii="Times New Roman" w:hAnsi="Times New Roman" w:cs="Times New Roman"/>
          <w:i/>
          <w:iCs/>
        </w:rPr>
        <w:t>Proc. Natl. Acad. Sci. U.S.A.</w:t>
      </w:r>
      <w:r>
        <w:rPr>
          <w:rFonts w:ascii="Times New Roman" w:hAnsi="Times New Roman" w:cs="Times New Roman"/>
        </w:rPr>
        <w:t xml:space="preserve"> </w:t>
      </w:r>
      <w:r>
        <w:rPr>
          <w:rFonts w:ascii="Times New Roman" w:hAnsi="Times New Roman" w:cs="Times New Roman"/>
          <w:b/>
          <w:bCs/>
        </w:rPr>
        <w:t>106</w:t>
      </w:r>
      <w:r>
        <w:rPr>
          <w:rFonts w:ascii="Times New Roman" w:hAnsi="Times New Roman" w:cs="Times New Roman"/>
        </w:rPr>
        <w:t>, 8362–8367 (2009).</w:t>
      </w:r>
    </w:p>
    <w:p w14:paraId="3C93DE41">
      <w:pPr>
        <w:pStyle w:val="22"/>
        <w:spacing w:line="480" w:lineRule="auto"/>
        <w:rPr>
          <w:rFonts w:ascii="Times New Roman" w:hAnsi="Times New Roman" w:cs="Times New Roman"/>
        </w:rPr>
      </w:pPr>
      <w:r>
        <w:rPr>
          <w:rFonts w:ascii="Times New Roman" w:hAnsi="Times New Roman" w:cs="Times New Roman"/>
        </w:rPr>
        <w:t>28.</w:t>
      </w:r>
      <w:r>
        <w:rPr>
          <w:rFonts w:ascii="Times New Roman" w:hAnsi="Times New Roman" w:cs="Times New Roman"/>
        </w:rPr>
        <w:tab/>
      </w:r>
      <w:r>
        <w:rPr>
          <w:rFonts w:ascii="Times New Roman" w:hAnsi="Times New Roman" w:cs="Times New Roman"/>
        </w:rPr>
        <w:t xml:space="preserve">Makuuchi, M., Grodzinsky, Y., Amunts, K., Santi, A. &amp; Friederici, A. D. Processing noncanonical sentences in Broca’s region: reflections of movement distance and type. </w:t>
      </w:r>
      <w:r>
        <w:rPr>
          <w:rFonts w:ascii="Times New Roman" w:hAnsi="Times New Roman" w:cs="Times New Roman"/>
          <w:i/>
          <w:iCs/>
        </w:rPr>
        <w:t>Cerebral cortex</w:t>
      </w:r>
      <w:r>
        <w:rPr>
          <w:rFonts w:ascii="Times New Roman" w:hAnsi="Times New Roman" w:cs="Times New Roman"/>
        </w:rPr>
        <w:t xml:space="preserve"> </w:t>
      </w:r>
      <w:r>
        <w:rPr>
          <w:rFonts w:ascii="Times New Roman" w:hAnsi="Times New Roman" w:cs="Times New Roman"/>
          <w:b/>
          <w:bCs/>
        </w:rPr>
        <w:t>23</w:t>
      </w:r>
      <w:r>
        <w:rPr>
          <w:rFonts w:ascii="Times New Roman" w:hAnsi="Times New Roman" w:cs="Times New Roman"/>
        </w:rPr>
        <w:t>, 694–702 (2013).</w:t>
      </w:r>
    </w:p>
    <w:p w14:paraId="0FC22EB2">
      <w:pPr>
        <w:pStyle w:val="22"/>
        <w:spacing w:line="480" w:lineRule="auto"/>
        <w:rPr>
          <w:rFonts w:ascii="Times New Roman" w:hAnsi="Times New Roman" w:cs="Times New Roman"/>
        </w:rPr>
      </w:pPr>
      <w:r>
        <w:rPr>
          <w:rFonts w:ascii="Times New Roman" w:hAnsi="Times New Roman" w:cs="Times New Roman"/>
        </w:rPr>
        <w:t>29.</w:t>
      </w:r>
      <w:r>
        <w:rPr>
          <w:rFonts w:ascii="Times New Roman" w:hAnsi="Times New Roman" w:cs="Times New Roman"/>
        </w:rPr>
        <w:tab/>
      </w:r>
      <w:r>
        <w:rPr>
          <w:rFonts w:ascii="Times New Roman" w:hAnsi="Times New Roman" w:cs="Times New Roman"/>
        </w:rPr>
        <w:t xml:space="preserve">Hsiao, F. &amp; Gibson, E. Processing relative clauses in Chinese. </w:t>
      </w:r>
      <w:r>
        <w:rPr>
          <w:rFonts w:ascii="Times New Roman" w:hAnsi="Times New Roman" w:cs="Times New Roman"/>
          <w:i/>
          <w:iCs/>
        </w:rPr>
        <w:t>Cognition</w:t>
      </w:r>
      <w:r>
        <w:rPr>
          <w:rFonts w:ascii="Times New Roman" w:hAnsi="Times New Roman" w:cs="Times New Roman"/>
        </w:rPr>
        <w:t xml:space="preserve"> </w:t>
      </w:r>
      <w:r>
        <w:rPr>
          <w:rFonts w:ascii="Times New Roman" w:hAnsi="Times New Roman" w:cs="Times New Roman"/>
          <w:b/>
          <w:bCs/>
        </w:rPr>
        <w:t>90</w:t>
      </w:r>
      <w:r>
        <w:rPr>
          <w:rFonts w:ascii="Times New Roman" w:hAnsi="Times New Roman" w:cs="Times New Roman"/>
        </w:rPr>
        <w:t>, 3–27 (2003).</w:t>
      </w:r>
    </w:p>
    <w:p w14:paraId="2786164B">
      <w:pPr>
        <w:pStyle w:val="22"/>
        <w:spacing w:line="480" w:lineRule="auto"/>
        <w:rPr>
          <w:rFonts w:ascii="Times New Roman" w:hAnsi="Times New Roman" w:cs="Times New Roman"/>
        </w:rPr>
      </w:pPr>
      <w:r>
        <w:rPr>
          <w:rFonts w:ascii="Times New Roman" w:hAnsi="Times New Roman" w:cs="Times New Roman"/>
        </w:rPr>
        <w:t>30.</w:t>
      </w:r>
      <w:r>
        <w:rPr>
          <w:rFonts w:ascii="Times New Roman" w:hAnsi="Times New Roman" w:cs="Times New Roman"/>
        </w:rPr>
        <w:tab/>
      </w:r>
      <w:r>
        <w:rPr>
          <w:rFonts w:ascii="Times New Roman" w:hAnsi="Times New Roman" w:cs="Times New Roman"/>
        </w:rPr>
        <w:t xml:space="preserve">Xu, K., Duann, J.-R., Hung, D. L. &amp; Wu, D. H. Preference for Object Relative Clauses in Chinese Sentence Comprehension: Evidence From Online Self-Paced Reading Time. </w:t>
      </w:r>
      <w:r>
        <w:rPr>
          <w:rFonts w:ascii="Times New Roman" w:hAnsi="Times New Roman" w:cs="Times New Roman"/>
          <w:i/>
          <w:iCs/>
        </w:rPr>
        <w:t>Front. Psychol.</w:t>
      </w:r>
      <w:r>
        <w:rPr>
          <w:rFonts w:ascii="Times New Roman" w:hAnsi="Times New Roman" w:cs="Times New Roman"/>
        </w:rPr>
        <w:t xml:space="preserve"> </w:t>
      </w:r>
      <w:r>
        <w:rPr>
          <w:rFonts w:ascii="Times New Roman" w:hAnsi="Times New Roman" w:cs="Times New Roman"/>
          <w:b/>
          <w:bCs/>
        </w:rPr>
        <w:t>10</w:t>
      </w:r>
      <w:r>
        <w:rPr>
          <w:rFonts w:ascii="Times New Roman" w:hAnsi="Times New Roman" w:cs="Times New Roman"/>
        </w:rPr>
        <w:t>, 2210 (2019).</w:t>
      </w:r>
    </w:p>
    <w:p w14:paraId="5E11F47D">
      <w:pPr>
        <w:pStyle w:val="22"/>
        <w:spacing w:line="480" w:lineRule="auto"/>
        <w:rPr>
          <w:rFonts w:ascii="Times New Roman" w:hAnsi="Times New Roman" w:cs="Times New Roman"/>
        </w:rPr>
      </w:pPr>
      <w:r>
        <w:rPr>
          <w:rFonts w:ascii="Times New Roman" w:hAnsi="Times New Roman" w:cs="Times New Roman"/>
        </w:rPr>
        <w:t>31.</w:t>
      </w:r>
      <w:r>
        <w:rPr>
          <w:rFonts w:ascii="Times New Roman" w:hAnsi="Times New Roman" w:cs="Times New Roman"/>
        </w:rPr>
        <w:tab/>
      </w:r>
      <w:r>
        <w:rPr>
          <w:rFonts w:ascii="Times New Roman" w:hAnsi="Times New Roman" w:cs="Times New Roman"/>
        </w:rPr>
        <w:t xml:space="preserve">Xu, K., Wu, D. H. &amp; Duann, J.-R. Enhanced left inferior frontal to left superior temporal effective connectivity for complex sentence comprehension: fMRI evidence from Chinese relative clause processing. </w:t>
      </w:r>
      <w:r>
        <w:rPr>
          <w:rFonts w:ascii="Times New Roman" w:hAnsi="Times New Roman" w:cs="Times New Roman"/>
          <w:i/>
          <w:iCs/>
        </w:rPr>
        <w:t>Brain and language</w:t>
      </w:r>
      <w:r>
        <w:rPr>
          <w:rFonts w:ascii="Times New Roman" w:hAnsi="Times New Roman" w:cs="Times New Roman"/>
        </w:rPr>
        <w:t xml:space="preserve"> </w:t>
      </w:r>
      <w:r>
        <w:rPr>
          <w:rFonts w:ascii="Times New Roman" w:hAnsi="Times New Roman" w:cs="Times New Roman"/>
          <w:b/>
          <w:bCs/>
        </w:rPr>
        <w:t>200</w:t>
      </w:r>
      <w:r>
        <w:rPr>
          <w:rFonts w:ascii="Times New Roman" w:hAnsi="Times New Roman" w:cs="Times New Roman"/>
        </w:rPr>
        <w:t>, 104712 (2020).</w:t>
      </w:r>
    </w:p>
    <w:p w14:paraId="6B6789A2">
      <w:pPr>
        <w:spacing w:line="480" w:lineRule="auto"/>
        <w:rPr>
          <w:rFonts w:ascii="Times New Roman" w:hAnsi="Times New Roman" w:cs="Times New Roman"/>
          <w:b/>
          <w:bCs/>
          <w:szCs w:val="21"/>
        </w:rPr>
        <w:sectPr>
          <w:footerReference r:id="rId3" w:type="default"/>
          <w:pgSz w:w="11906" w:h="16838"/>
          <w:pgMar w:top="1440" w:right="1800" w:bottom="1440" w:left="1800" w:header="851" w:footer="992" w:gutter="0"/>
          <w:lnNumType w:countBy="1" w:restart="continuous"/>
          <w:cols w:space="425" w:num="1"/>
          <w:docGrid w:type="lines" w:linePitch="312" w:charSpace="0"/>
        </w:sectPr>
      </w:pPr>
      <w:r>
        <w:rPr>
          <w:rFonts w:hint="eastAsia" w:ascii="Times New Roman" w:hAnsi="Times New Roman" w:cs="Times New Roman"/>
          <w:b/>
          <w:bCs/>
          <w:szCs w:val="21"/>
        </w:rPr>
        <w:fldChar w:fldCharType="end"/>
      </w:r>
    </w:p>
    <w:p w14:paraId="7E180382">
      <w:pPr>
        <w:spacing w:line="480" w:lineRule="auto"/>
        <w:jc w:val="center"/>
        <w:rPr>
          <w:rFonts w:ascii="Times New Roman" w:hAnsi="Times New Roman" w:cs="Times New Roman"/>
          <w:b/>
          <w:bCs/>
          <w:szCs w:val="21"/>
        </w:rPr>
      </w:pPr>
      <w:r>
        <w:rPr>
          <w:rFonts w:ascii="Times New Roman" w:hAnsi="Times New Roman" w:cs="Times New Roman"/>
          <w:b/>
          <w:bCs/>
          <w:szCs w:val="21"/>
        </w:rPr>
        <w:t>Table</w:t>
      </w:r>
      <w:r>
        <w:rPr>
          <w:rFonts w:hint="eastAsia" w:ascii="Times New Roman" w:hAnsi="Times New Roman" w:cs="Times New Roman"/>
          <w:b/>
          <w:bCs/>
          <w:szCs w:val="21"/>
        </w:rPr>
        <w:t xml:space="preserve"> S1 </w:t>
      </w:r>
      <w:r>
        <w:rPr>
          <w:rFonts w:ascii="Times New Roman" w:hAnsi="Times New Roman" w:cs="Times New Roman"/>
          <w:b/>
          <w:bCs/>
          <w:i/>
          <w:iCs/>
          <w:szCs w:val="21"/>
        </w:rPr>
        <w:t>Results of the</w:t>
      </w:r>
      <w:r>
        <w:rPr>
          <w:rFonts w:hint="eastAsia" w:ascii="Times New Roman" w:hAnsi="Times New Roman" w:cs="Times New Roman"/>
          <w:b/>
          <w:bCs/>
          <w:i/>
          <w:iCs/>
          <w:szCs w:val="21"/>
        </w:rPr>
        <w:t xml:space="preserve"> </w:t>
      </w:r>
      <w:r>
        <w:rPr>
          <w:rFonts w:ascii="Times New Roman" w:hAnsi="Times New Roman" w:cs="Times New Roman"/>
          <w:b/>
          <w:bCs/>
          <w:i/>
          <w:iCs/>
          <w:szCs w:val="21"/>
        </w:rPr>
        <w:t xml:space="preserve">Linear Mixed-Effects Model for TMS </w:t>
      </w:r>
      <w:r>
        <w:rPr>
          <w:rFonts w:hint="eastAsia" w:ascii="Times New Roman" w:hAnsi="Times New Roman" w:cs="Times New Roman"/>
          <w:b/>
          <w:bCs/>
          <w:i/>
          <w:iCs/>
          <w:szCs w:val="21"/>
        </w:rPr>
        <w:t>RT</w:t>
      </w:r>
    </w:p>
    <w:tbl>
      <w:tblPr>
        <w:tblStyle w:val="7"/>
        <w:tblW w:w="13589"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42"/>
        <w:gridCol w:w="1020"/>
        <w:gridCol w:w="1020"/>
        <w:gridCol w:w="1020"/>
        <w:gridCol w:w="1020"/>
        <w:gridCol w:w="1687"/>
        <w:gridCol w:w="1020"/>
        <w:gridCol w:w="1020"/>
        <w:gridCol w:w="1020"/>
        <w:gridCol w:w="1020"/>
      </w:tblGrid>
      <w:tr w14:paraId="15857A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vMerge w:val="restart"/>
            <w:tcBorders>
              <w:tl2br w:val="nil"/>
              <w:tr2bl w:val="nil"/>
            </w:tcBorders>
            <w:vAlign w:val="center"/>
          </w:tcPr>
          <w:p w14:paraId="7A4B9593">
            <w:pPr>
              <w:spacing w:line="480" w:lineRule="auto"/>
              <w:jc w:val="center"/>
              <w:rPr>
                <w:rFonts w:ascii="Times New Roman" w:hAnsi="Times New Roman" w:cs="Times New Roman"/>
                <w:i/>
                <w:iCs/>
                <w:szCs w:val="21"/>
              </w:rPr>
            </w:pPr>
          </w:p>
        </w:tc>
        <w:tc>
          <w:tcPr>
            <w:tcW w:w="5767" w:type="dxa"/>
            <w:gridSpan w:val="5"/>
            <w:vMerge w:val="restart"/>
            <w:tcBorders>
              <w:tl2br w:val="nil"/>
              <w:tr2bl w:val="nil"/>
            </w:tcBorders>
            <w:vAlign w:val="center"/>
          </w:tcPr>
          <w:p w14:paraId="40B61247">
            <w:pPr>
              <w:spacing w:line="480" w:lineRule="auto"/>
              <w:jc w:val="center"/>
              <w:rPr>
                <w:rFonts w:ascii="Times New Roman" w:hAnsi="Times New Roman" w:cs="Times New Roman"/>
                <w:szCs w:val="21"/>
              </w:rPr>
            </w:pPr>
            <w:r>
              <w:rPr>
                <w:rFonts w:ascii="Times New Roman" w:hAnsi="Times New Roman" w:cs="Times New Roman"/>
                <w:szCs w:val="21"/>
              </w:rPr>
              <w:t>Fixed Effects</w:t>
            </w:r>
          </w:p>
        </w:tc>
        <w:tc>
          <w:tcPr>
            <w:tcW w:w="4080" w:type="dxa"/>
            <w:gridSpan w:val="4"/>
            <w:tcBorders>
              <w:bottom w:val="single" w:color="auto" w:sz="6" w:space="0"/>
              <w:tl2br w:val="nil"/>
              <w:tr2bl w:val="nil"/>
            </w:tcBorders>
            <w:vAlign w:val="center"/>
          </w:tcPr>
          <w:p w14:paraId="23E7FA99">
            <w:pPr>
              <w:spacing w:line="480" w:lineRule="auto"/>
              <w:jc w:val="center"/>
              <w:rPr>
                <w:rFonts w:ascii="Times New Roman" w:hAnsi="Times New Roman" w:cs="Times New Roman"/>
                <w:szCs w:val="21"/>
              </w:rPr>
            </w:pPr>
            <w:r>
              <w:rPr>
                <w:rFonts w:ascii="Times New Roman" w:hAnsi="Times New Roman" w:cs="Times New Roman"/>
                <w:szCs w:val="21"/>
              </w:rPr>
              <w:t>Random Effects</w:t>
            </w:r>
          </w:p>
        </w:tc>
      </w:tr>
      <w:tr w14:paraId="1AC1AC1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vMerge w:val="continue"/>
            <w:tcBorders>
              <w:tl2br w:val="nil"/>
              <w:tr2bl w:val="nil"/>
            </w:tcBorders>
            <w:vAlign w:val="center"/>
          </w:tcPr>
          <w:p w14:paraId="3CA72C18">
            <w:pPr>
              <w:spacing w:line="480" w:lineRule="auto"/>
              <w:rPr>
                <w:rFonts w:ascii="Times New Roman" w:hAnsi="Times New Roman" w:cs="Times New Roman"/>
                <w:i/>
                <w:iCs/>
                <w:szCs w:val="21"/>
              </w:rPr>
            </w:pPr>
          </w:p>
        </w:tc>
        <w:tc>
          <w:tcPr>
            <w:tcW w:w="5767" w:type="dxa"/>
            <w:gridSpan w:val="5"/>
            <w:vMerge w:val="continue"/>
            <w:tcBorders>
              <w:bottom w:val="single" w:color="auto" w:sz="6" w:space="0"/>
              <w:tl2br w:val="nil"/>
              <w:tr2bl w:val="nil"/>
            </w:tcBorders>
            <w:vAlign w:val="center"/>
          </w:tcPr>
          <w:p w14:paraId="74536E7B">
            <w:pPr>
              <w:spacing w:line="480" w:lineRule="auto"/>
              <w:jc w:val="center"/>
              <w:rPr>
                <w:rFonts w:ascii="Times New Roman" w:hAnsi="Times New Roman" w:cs="Times New Roman"/>
                <w:szCs w:val="21"/>
              </w:rPr>
            </w:pPr>
          </w:p>
        </w:tc>
        <w:tc>
          <w:tcPr>
            <w:tcW w:w="2040" w:type="dxa"/>
            <w:gridSpan w:val="2"/>
            <w:tcBorders>
              <w:bottom w:val="single" w:color="auto" w:sz="6" w:space="0"/>
              <w:tl2br w:val="nil"/>
              <w:tr2bl w:val="nil"/>
            </w:tcBorders>
            <w:vAlign w:val="center"/>
          </w:tcPr>
          <w:p w14:paraId="3FC255C0">
            <w:pPr>
              <w:spacing w:line="480" w:lineRule="auto"/>
              <w:jc w:val="center"/>
              <w:rPr>
                <w:rFonts w:ascii="Times New Roman" w:hAnsi="Times New Roman" w:cs="Times New Roman"/>
                <w:szCs w:val="21"/>
              </w:rPr>
            </w:pPr>
            <w:r>
              <w:rPr>
                <w:rFonts w:ascii="Times New Roman" w:hAnsi="Times New Roman" w:cs="Times New Roman"/>
                <w:szCs w:val="21"/>
              </w:rPr>
              <w:t>Subject</w:t>
            </w:r>
          </w:p>
        </w:tc>
        <w:tc>
          <w:tcPr>
            <w:tcW w:w="2040" w:type="dxa"/>
            <w:gridSpan w:val="2"/>
            <w:tcBorders>
              <w:bottom w:val="single" w:color="auto" w:sz="6" w:space="0"/>
              <w:tl2br w:val="nil"/>
              <w:tr2bl w:val="nil"/>
            </w:tcBorders>
            <w:vAlign w:val="center"/>
          </w:tcPr>
          <w:p w14:paraId="1D608456">
            <w:pPr>
              <w:spacing w:line="480" w:lineRule="auto"/>
              <w:jc w:val="center"/>
              <w:rPr>
                <w:rFonts w:ascii="Times New Roman" w:hAnsi="Times New Roman" w:cs="Times New Roman"/>
                <w:szCs w:val="21"/>
              </w:rPr>
            </w:pPr>
            <w:r>
              <w:rPr>
                <w:rFonts w:ascii="Times New Roman" w:hAnsi="Times New Roman" w:cs="Times New Roman"/>
                <w:szCs w:val="21"/>
              </w:rPr>
              <w:t>Item</w:t>
            </w:r>
          </w:p>
        </w:tc>
      </w:tr>
      <w:tr w14:paraId="6D0C118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vMerge w:val="continue"/>
            <w:tcBorders>
              <w:bottom w:val="single" w:color="auto" w:sz="6" w:space="0"/>
              <w:tl2br w:val="nil"/>
              <w:tr2bl w:val="nil"/>
            </w:tcBorders>
            <w:vAlign w:val="center"/>
          </w:tcPr>
          <w:p w14:paraId="12F2ACF8">
            <w:pPr>
              <w:spacing w:line="480" w:lineRule="auto"/>
              <w:rPr>
                <w:rFonts w:ascii="Times New Roman" w:hAnsi="Times New Roman" w:cs="Times New Roman"/>
                <w:i/>
                <w:iCs/>
                <w:szCs w:val="21"/>
              </w:rPr>
            </w:pPr>
          </w:p>
        </w:tc>
        <w:tc>
          <w:tcPr>
            <w:tcW w:w="1020" w:type="dxa"/>
            <w:tcBorders>
              <w:bottom w:val="single" w:color="auto" w:sz="6" w:space="0"/>
              <w:tl2br w:val="nil"/>
              <w:tr2bl w:val="nil"/>
            </w:tcBorders>
            <w:vAlign w:val="center"/>
          </w:tcPr>
          <w:p w14:paraId="02E260B1">
            <w:pPr>
              <w:spacing w:line="480" w:lineRule="auto"/>
              <w:jc w:val="center"/>
              <w:rPr>
                <w:rFonts w:ascii="Times New Roman" w:hAnsi="Times New Roman" w:cs="Times New Roman"/>
                <w:i/>
                <w:iCs/>
                <w:szCs w:val="21"/>
              </w:rPr>
            </w:pPr>
            <w:r>
              <w:rPr>
                <w:rFonts w:ascii="Times New Roman" w:hAnsi="Times New Roman" w:cs="Times New Roman"/>
                <w:i/>
                <w:iCs/>
                <w:szCs w:val="21"/>
              </w:rPr>
              <w:t>b</w:t>
            </w:r>
          </w:p>
        </w:tc>
        <w:tc>
          <w:tcPr>
            <w:tcW w:w="1020" w:type="dxa"/>
            <w:tcBorders>
              <w:bottom w:val="single" w:color="auto" w:sz="6" w:space="0"/>
              <w:tl2br w:val="nil"/>
              <w:tr2bl w:val="nil"/>
            </w:tcBorders>
            <w:vAlign w:val="center"/>
          </w:tcPr>
          <w:p w14:paraId="41A41B6D">
            <w:pPr>
              <w:spacing w:line="480" w:lineRule="auto"/>
              <w:jc w:val="center"/>
              <w:rPr>
                <w:rFonts w:ascii="Times New Roman" w:hAnsi="Times New Roman" w:cs="Times New Roman"/>
                <w:i/>
                <w:iCs/>
                <w:szCs w:val="21"/>
              </w:rPr>
            </w:pPr>
            <w:r>
              <w:rPr>
                <w:rFonts w:ascii="Times New Roman" w:hAnsi="Times New Roman" w:cs="Times New Roman"/>
                <w:i/>
                <w:iCs/>
                <w:szCs w:val="21"/>
              </w:rPr>
              <w:t>SE</w:t>
            </w:r>
          </w:p>
        </w:tc>
        <w:tc>
          <w:tcPr>
            <w:tcW w:w="1020" w:type="dxa"/>
            <w:tcBorders>
              <w:bottom w:val="single" w:color="auto" w:sz="6" w:space="0"/>
              <w:tl2br w:val="nil"/>
              <w:tr2bl w:val="nil"/>
            </w:tcBorders>
            <w:vAlign w:val="center"/>
          </w:tcPr>
          <w:p w14:paraId="4FBCF61F">
            <w:pPr>
              <w:spacing w:line="480" w:lineRule="auto"/>
              <w:jc w:val="center"/>
              <w:rPr>
                <w:rFonts w:ascii="Times New Roman" w:hAnsi="Times New Roman" w:cs="Times New Roman"/>
                <w:i/>
                <w:iCs/>
                <w:szCs w:val="21"/>
              </w:rPr>
            </w:pPr>
            <w:r>
              <w:rPr>
                <w:rFonts w:hint="eastAsia" w:ascii="Times New Roman" w:hAnsi="Times New Roman" w:cs="Times New Roman"/>
                <w:i/>
                <w:iCs/>
                <w:szCs w:val="21"/>
              </w:rPr>
              <w:t>t</w:t>
            </w:r>
          </w:p>
        </w:tc>
        <w:tc>
          <w:tcPr>
            <w:tcW w:w="1020" w:type="dxa"/>
            <w:tcBorders>
              <w:bottom w:val="single" w:color="auto" w:sz="6" w:space="0"/>
              <w:tl2br w:val="nil"/>
              <w:tr2bl w:val="nil"/>
            </w:tcBorders>
            <w:vAlign w:val="center"/>
          </w:tcPr>
          <w:p w14:paraId="1F3AE5B8">
            <w:pPr>
              <w:spacing w:line="480" w:lineRule="auto"/>
              <w:jc w:val="center"/>
              <w:rPr>
                <w:rFonts w:ascii="Times New Roman" w:hAnsi="Times New Roman" w:cs="Times New Roman"/>
                <w:i/>
                <w:iCs/>
                <w:szCs w:val="21"/>
              </w:rPr>
            </w:pPr>
            <w:r>
              <w:rPr>
                <w:rFonts w:ascii="Times New Roman" w:hAnsi="Times New Roman" w:cs="Times New Roman"/>
                <w:i/>
                <w:iCs/>
                <w:szCs w:val="21"/>
              </w:rPr>
              <w:t>p</w:t>
            </w:r>
          </w:p>
        </w:tc>
        <w:tc>
          <w:tcPr>
            <w:tcW w:w="1687" w:type="dxa"/>
            <w:tcBorders>
              <w:bottom w:val="single" w:color="auto" w:sz="6" w:space="0"/>
              <w:tl2br w:val="nil"/>
              <w:tr2bl w:val="nil"/>
            </w:tcBorders>
            <w:vAlign w:val="center"/>
          </w:tcPr>
          <w:p w14:paraId="318B913F">
            <w:pPr>
              <w:spacing w:line="480" w:lineRule="auto"/>
              <w:jc w:val="center"/>
              <w:rPr>
                <w:rFonts w:ascii="Times New Roman" w:hAnsi="Times New Roman" w:cs="Times New Roman"/>
                <w:i/>
                <w:iCs/>
                <w:szCs w:val="21"/>
              </w:rPr>
            </w:pPr>
            <w:r>
              <w:rPr>
                <w:rFonts w:hint="eastAsia" w:ascii="Times New Roman" w:hAnsi="Times New Roman" w:cs="Times New Roman"/>
                <w:szCs w:val="21"/>
              </w:rPr>
              <w:t xml:space="preserve">95% </w:t>
            </w:r>
            <w:r>
              <w:rPr>
                <w:rFonts w:hint="eastAsia" w:ascii="Times New Roman" w:hAnsi="Times New Roman" w:cs="Times New Roman"/>
                <w:i/>
                <w:iCs/>
                <w:szCs w:val="21"/>
              </w:rPr>
              <w:t>CI</w:t>
            </w:r>
          </w:p>
        </w:tc>
        <w:tc>
          <w:tcPr>
            <w:tcW w:w="1020" w:type="dxa"/>
            <w:tcBorders>
              <w:bottom w:val="single" w:color="auto" w:sz="6" w:space="0"/>
              <w:tl2br w:val="nil"/>
              <w:tr2bl w:val="nil"/>
            </w:tcBorders>
            <w:vAlign w:val="center"/>
          </w:tcPr>
          <w:p w14:paraId="524FE9B7">
            <w:pPr>
              <w:spacing w:line="480" w:lineRule="auto"/>
              <w:jc w:val="center"/>
              <w:rPr>
                <w:rFonts w:ascii="Times New Roman" w:hAnsi="Times New Roman" w:cs="Times New Roman"/>
                <w:i/>
                <w:iCs/>
                <w:szCs w:val="21"/>
              </w:rPr>
            </w:pPr>
            <w:r>
              <w:rPr>
                <w:rFonts w:ascii="Times New Roman" w:hAnsi="Times New Roman" w:cs="Times New Roman"/>
                <w:i/>
                <w:iCs/>
                <w:szCs w:val="21"/>
              </w:rPr>
              <w:t>Variance</w:t>
            </w:r>
          </w:p>
        </w:tc>
        <w:tc>
          <w:tcPr>
            <w:tcW w:w="1020" w:type="dxa"/>
            <w:tcBorders>
              <w:bottom w:val="single" w:color="auto" w:sz="6" w:space="0"/>
              <w:tl2br w:val="nil"/>
              <w:tr2bl w:val="nil"/>
            </w:tcBorders>
            <w:vAlign w:val="center"/>
          </w:tcPr>
          <w:p w14:paraId="5EC5E46D">
            <w:pPr>
              <w:spacing w:line="480" w:lineRule="auto"/>
              <w:jc w:val="center"/>
              <w:rPr>
                <w:rFonts w:ascii="Times New Roman" w:hAnsi="Times New Roman" w:cs="Times New Roman"/>
                <w:i/>
                <w:iCs/>
                <w:szCs w:val="21"/>
              </w:rPr>
            </w:pPr>
            <w:r>
              <w:rPr>
                <w:rFonts w:ascii="Times New Roman" w:hAnsi="Times New Roman" w:cs="Times New Roman"/>
                <w:i/>
                <w:iCs/>
                <w:szCs w:val="21"/>
              </w:rPr>
              <w:t>ICC</w:t>
            </w:r>
          </w:p>
        </w:tc>
        <w:tc>
          <w:tcPr>
            <w:tcW w:w="1020" w:type="dxa"/>
            <w:tcBorders>
              <w:bottom w:val="single" w:color="auto" w:sz="6" w:space="0"/>
              <w:tl2br w:val="nil"/>
              <w:tr2bl w:val="nil"/>
            </w:tcBorders>
            <w:vAlign w:val="center"/>
          </w:tcPr>
          <w:p w14:paraId="68D9065B">
            <w:pPr>
              <w:spacing w:line="480" w:lineRule="auto"/>
              <w:jc w:val="center"/>
              <w:rPr>
                <w:rFonts w:ascii="Times New Roman" w:hAnsi="Times New Roman" w:cs="Times New Roman"/>
                <w:i/>
                <w:iCs/>
                <w:szCs w:val="21"/>
              </w:rPr>
            </w:pPr>
            <w:r>
              <w:rPr>
                <w:rFonts w:ascii="Times New Roman" w:hAnsi="Times New Roman" w:cs="Times New Roman"/>
                <w:i/>
                <w:iCs/>
                <w:szCs w:val="21"/>
              </w:rPr>
              <w:t>Variance</w:t>
            </w:r>
          </w:p>
        </w:tc>
        <w:tc>
          <w:tcPr>
            <w:tcW w:w="1020" w:type="dxa"/>
            <w:tcBorders>
              <w:bottom w:val="single" w:color="auto" w:sz="6" w:space="0"/>
              <w:tl2br w:val="nil"/>
              <w:tr2bl w:val="nil"/>
            </w:tcBorders>
            <w:vAlign w:val="center"/>
          </w:tcPr>
          <w:p w14:paraId="68D5CC50">
            <w:pPr>
              <w:spacing w:line="480" w:lineRule="auto"/>
              <w:jc w:val="center"/>
              <w:rPr>
                <w:rFonts w:ascii="Times New Roman" w:hAnsi="Times New Roman" w:cs="Times New Roman"/>
                <w:i/>
                <w:iCs/>
                <w:szCs w:val="21"/>
              </w:rPr>
            </w:pPr>
            <w:r>
              <w:rPr>
                <w:rFonts w:ascii="Times New Roman" w:hAnsi="Times New Roman" w:cs="Times New Roman"/>
                <w:i/>
                <w:iCs/>
                <w:szCs w:val="21"/>
              </w:rPr>
              <w:t>ICC</w:t>
            </w:r>
          </w:p>
        </w:tc>
      </w:tr>
      <w:tr w14:paraId="22B73D5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42" w:type="dxa"/>
            <w:tcBorders>
              <w:top w:val="single" w:color="auto" w:sz="6" w:space="0"/>
            </w:tcBorders>
            <w:vAlign w:val="center"/>
          </w:tcPr>
          <w:p w14:paraId="030A04B3">
            <w:pPr>
              <w:spacing w:line="480" w:lineRule="auto"/>
              <w:rPr>
                <w:rFonts w:ascii="Times New Roman" w:hAnsi="Times New Roman" w:cs="Times New Roman"/>
                <w:szCs w:val="21"/>
              </w:rPr>
            </w:pPr>
            <w:r>
              <w:rPr>
                <w:rFonts w:ascii="Times New Roman" w:hAnsi="Times New Roman" w:cs="Times New Roman"/>
                <w:szCs w:val="21"/>
              </w:rPr>
              <w:t>Intercept</w:t>
            </w:r>
          </w:p>
        </w:tc>
        <w:tc>
          <w:tcPr>
            <w:tcW w:w="1020" w:type="dxa"/>
            <w:tcBorders>
              <w:top w:val="single" w:color="auto" w:sz="6" w:space="0"/>
            </w:tcBorders>
            <w:vAlign w:val="center"/>
          </w:tcPr>
          <w:p w14:paraId="3262FC9A">
            <w:pPr>
              <w:spacing w:line="480" w:lineRule="auto"/>
              <w:rPr>
                <w:rFonts w:ascii="Times New Roman" w:hAnsi="Times New Roman" w:cs="Times New Roman"/>
                <w:szCs w:val="21"/>
              </w:rPr>
            </w:pPr>
            <w:r>
              <w:rPr>
                <w:rFonts w:hint="eastAsia" w:ascii="Times New Roman" w:hAnsi="Times New Roman" w:cs="Times New Roman"/>
                <w:szCs w:val="21"/>
              </w:rPr>
              <w:t>3.070</w:t>
            </w:r>
          </w:p>
        </w:tc>
        <w:tc>
          <w:tcPr>
            <w:tcW w:w="1020" w:type="dxa"/>
            <w:tcBorders>
              <w:top w:val="single" w:color="auto" w:sz="6" w:space="0"/>
            </w:tcBorders>
            <w:vAlign w:val="center"/>
          </w:tcPr>
          <w:p w14:paraId="1A8174EB">
            <w:pPr>
              <w:spacing w:line="480" w:lineRule="auto"/>
              <w:rPr>
                <w:rFonts w:ascii="Times New Roman" w:hAnsi="Times New Roman" w:cs="Times New Roman"/>
                <w:szCs w:val="21"/>
              </w:rPr>
            </w:pPr>
            <w:r>
              <w:rPr>
                <w:rFonts w:hint="eastAsia" w:ascii="Times New Roman" w:hAnsi="Times New Roman" w:cs="Times New Roman"/>
                <w:szCs w:val="21"/>
              </w:rPr>
              <w:t>0.007</w:t>
            </w:r>
          </w:p>
        </w:tc>
        <w:tc>
          <w:tcPr>
            <w:tcW w:w="1020" w:type="dxa"/>
            <w:tcBorders>
              <w:top w:val="single" w:color="auto" w:sz="6" w:space="0"/>
            </w:tcBorders>
            <w:vAlign w:val="center"/>
          </w:tcPr>
          <w:p w14:paraId="736F2519">
            <w:pPr>
              <w:spacing w:line="480" w:lineRule="auto"/>
              <w:rPr>
                <w:rFonts w:ascii="Times New Roman" w:hAnsi="Times New Roman" w:cs="Times New Roman"/>
                <w:szCs w:val="21"/>
              </w:rPr>
            </w:pPr>
            <w:r>
              <w:rPr>
                <w:rFonts w:hint="eastAsia" w:ascii="Times New Roman" w:hAnsi="Times New Roman" w:cs="Times New Roman"/>
                <w:szCs w:val="21"/>
              </w:rPr>
              <w:t>464.17</w:t>
            </w:r>
          </w:p>
        </w:tc>
        <w:tc>
          <w:tcPr>
            <w:tcW w:w="1020" w:type="dxa"/>
            <w:tcBorders>
              <w:top w:val="single" w:color="auto" w:sz="6" w:space="0"/>
            </w:tcBorders>
            <w:vAlign w:val="center"/>
          </w:tcPr>
          <w:p w14:paraId="09EF2619">
            <w:pPr>
              <w:spacing w:line="480" w:lineRule="auto"/>
              <w:rPr>
                <w:rFonts w:ascii="Times New Roman" w:hAnsi="Times New Roman" w:cs="Times New Roman"/>
                <w:szCs w:val="21"/>
              </w:rPr>
            </w:pPr>
            <w:r>
              <w:rPr>
                <w:rFonts w:hint="eastAsia" w:ascii="Times New Roman" w:hAnsi="Times New Roman" w:cs="Times New Roman"/>
                <w:szCs w:val="21"/>
              </w:rPr>
              <w:t>&lt; 0.001</w:t>
            </w:r>
          </w:p>
        </w:tc>
        <w:tc>
          <w:tcPr>
            <w:tcW w:w="1687" w:type="dxa"/>
            <w:tcBorders>
              <w:top w:val="single" w:color="auto" w:sz="6" w:space="0"/>
            </w:tcBorders>
            <w:vAlign w:val="center"/>
          </w:tcPr>
          <w:p w14:paraId="369543DB">
            <w:pPr>
              <w:spacing w:line="480" w:lineRule="auto"/>
              <w:rPr>
                <w:rFonts w:ascii="Times New Roman" w:hAnsi="Times New Roman" w:cs="Times New Roman"/>
                <w:szCs w:val="21"/>
              </w:rPr>
            </w:pPr>
            <w:r>
              <w:rPr>
                <w:rFonts w:hint="eastAsia" w:ascii="Times New Roman" w:hAnsi="Times New Roman" w:cs="Times New Roman"/>
                <w:szCs w:val="21"/>
              </w:rPr>
              <w:t>[3.057, 3.084]</w:t>
            </w:r>
          </w:p>
        </w:tc>
        <w:tc>
          <w:tcPr>
            <w:tcW w:w="1020" w:type="dxa"/>
            <w:tcBorders>
              <w:top w:val="single" w:color="auto" w:sz="6" w:space="0"/>
            </w:tcBorders>
            <w:vAlign w:val="center"/>
          </w:tcPr>
          <w:p w14:paraId="1758F9EF">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0.001</w:t>
            </w:r>
          </w:p>
        </w:tc>
        <w:tc>
          <w:tcPr>
            <w:tcW w:w="1020" w:type="dxa"/>
            <w:tcBorders>
              <w:top w:val="single" w:color="auto" w:sz="6" w:space="0"/>
            </w:tcBorders>
            <w:vAlign w:val="center"/>
          </w:tcPr>
          <w:p w14:paraId="4B790357">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0.147</w:t>
            </w:r>
          </w:p>
        </w:tc>
        <w:tc>
          <w:tcPr>
            <w:tcW w:w="1020" w:type="dxa"/>
            <w:tcBorders>
              <w:top w:val="single" w:color="auto" w:sz="6" w:space="0"/>
            </w:tcBorders>
            <w:vAlign w:val="center"/>
          </w:tcPr>
          <w:p w14:paraId="7C81FF50">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0.000</w:t>
            </w:r>
          </w:p>
        </w:tc>
        <w:tc>
          <w:tcPr>
            <w:tcW w:w="1020" w:type="dxa"/>
            <w:tcBorders>
              <w:top w:val="single" w:color="auto" w:sz="6" w:space="0"/>
            </w:tcBorders>
            <w:vAlign w:val="center"/>
          </w:tcPr>
          <w:p w14:paraId="222C90AF">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0.028</w:t>
            </w:r>
          </w:p>
        </w:tc>
      </w:tr>
      <w:tr w14:paraId="481B3A1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6AB96CE0">
            <w:pPr>
              <w:spacing w:line="480" w:lineRule="auto"/>
              <w:rPr>
                <w:rFonts w:ascii="Times New Roman" w:hAnsi="Times New Roman" w:cs="Times New Roman"/>
                <w:szCs w:val="21"/>
              </w:rPr>
            </w:pP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LIFG</w:t>
            </w:r>
          </w:p>
        </w:tc>
        <w:tc>
          <w:tcPr>
            <w:tcW w:w="1020" w:type="dxa"/>
            <w:tcBorders>
              <w:tl2br w:val="nil"/>
              <w:tr2bl w:val="nil"/>
            </w:tcBorders>
            <w:vAlign w:val="center"/>
          </w:tcPr>
          <w:p w14:paraId="6692BCA4">
            <w:pPr>
              <w:spacing w:line="480" w:lineRule="auto"/>
              <w:rPr>
                <w:rFonts w:ascii="Times New Roman" w:hAnsi="Times New Roman" w:cs="Times New Roman"/>
                <w:szCs w:val="21"/>
              </w:rPr>
            </w:pPr>
            <w:r>
              <w:rPr>
                <w:rFonts w:hint="eastAsia" w:ascii="Times New Roman" w:hAnsi="Times New Roman" w:cs="Times New Roman"/>
                <w:szCs w:val="21"/>
              </w:rPr>
              <w:t>-0.003</w:t>
            </w:r>
          </w:p>
        </w:tc>
        <w:tc>
          <w:tcPr>
            <w:tcW w:w="1020" w:type="dxa"/>
            <w:tcBorders>
              <w:tl2br w:val="nil"/>
              <w:tr2bl w:val="nil"/>
            </w:tcBorders>
            <w:vAlign w:val="center"/>
          </w:tcPr>
          <w:p w14:paraId="265BD5AB">
            <w:pPr>
              <w:spacing w:line="480" w:lineRule="auto"/>
              <w:rPr>
                <w:rFonts w:ascii="Times New Roman" w:hAnsi="Times New Roman" w:cs="Times New Roman"/>
                <w:szCs w:val="21"/>
              </w:rPr>
            </w:pPr>
            <w:r>
              <w:rPr>
                <w:rFonts w:hint="eastAsia" w:ascii="Times New Roman" w:hAnsi="Times New Roman" w:cs="Times New Roman"/>
                <w:szCs w:val="21"/>
              </w:rPr>
              <w:t>0.004</w:t>
            </w:r>
          </w:p>
        </w:tc>
        <w:tc>
          <w:tcPr>
            <w:tcW w:w="1020" w:type="dxa"/>
            <w:tcBorders>
              <w:tl2br w:val="nil"/>
              <w:tr2bl w:val="nil"/>
            </w:tcBorders>
            <w:vAlign w:val="center"/>
          </w:tcPr>
          <w:p w14:paraId="2C20BECA">
            <w:pPr>
              <w:spacing w:line="480" w:lineRule="auto"/>
              <w:rPr>
                <w:rFonts w:ascii="Times New Roman" w:hAnsi="Times New Roman" w:cs="Times New Roman"/>
                <w:szCs w:val="21"/>
              </w:rPr>
            </w:pPr>
            <w:r>
              <w:rPr>
                <w:rFonts w:hint="eastAsia" w:ascii="Times New Roman" w:hAnsi="Times New Roman" w:cs="Times New Roman"/>
                <w:szCs w:val="21"/>
              </w:rPr>
              <w:t>-0.62</w:t>
            </w:r>
          </w:p>
        </w:tc>
        <w:tc>
          <w:tcPr>
            <w:tcW w:w="1020" w:type="dxa"/>
            <w:tcBorders>
              <w:tl2br w:val="nil"/>
              <w:tr2bl w:val="nil"/>
            </w:tcBorders>
            <w:vAlign w:val="center"/>
          </w:tcPr>
          <w:p w14:paraId="7F4411A9">
            <w:pPr>
              <w:spacing w:line="480" w:lineRule="auto"/>
              <w:rPr>
                <w:rFonts w:ascii="Times New Roman" w:hAnsi="Times New Roman" w:cs="Times New Roman"/>
                <w:szCs w:val="21"/>
              </w:rPr>
            </w:pPr>
            <w:r>
              <w:rPr>
                <w:rFonts w:hint="eastAsia" w:ascii="Times New Roman" w:hAnsi="Times New Roman" w:cs="Times New Roman"/>
                <w:szCs w:val="21"/>
              </w:rPr>
              <w:t>0.542</w:t>
            </w:r>
          </w:p>
        </w:tc>
        <w:tc>
          <w:tcPr>
            <w:tcW w:w="1687" w:type="dxa"/>
            <w:tcBorders>
              <w:tl2br w:val="nil"/>
              <w:tr2bl w:val="nil"/>
            </w:tcBorders>
            <w:vAlign w:val="center"/>
          </w:tcPr>
          <w:p w14:paraId="71668F21">
            <w:pPr>
              <w:spacing w:line="480" w:lineRule="auto"/>
              <w:rPr>
                <w:rFonts w:ascii="Times New Roman" w:hAnsi="Times New Roman" w:cs="Times New Roman"/>
                <w:szCs w:val="21"/>
              </w:rPr>
            </w:pPr>
            <w:r>
              <w:rPr>
                <w:rFonts w:hint="eastAsia" w:ascii="Times New Roman" w:hAnsi="Times New Roman" w:cs="Times New Roman"/>
                <w:szCs w:val="21"/>
              </w:rPr>
              <w:t>[-0.011, 0.006]</w:t>
            </w:r>
          </w:p>
        </w:tc>
        <w:tc>
          <w:tcPr>
            <w:tcW w:w="1020" w:type="dxa"/>
            <w:tcBorders>
              <w:tl2br w:val="nil"/>
              <w:tr2bl w:val="nil"/>
            </w:tcBorders>
            <w:vAlign w:val="center"/>
          </w:tcPr>
          <w:p w14:paraId="068DE63E">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0.000</w:t>
            </w:r>
          </w:p>
        </w:tc>
        <w:tc>
          <w:tcPr>
            <w:tcW w:w="1020" w:type="dxa"/>
            <w:tcBorders>
              <w:tl2br w:val="nil"/>
              <w:tr2bl w:val="nil"/>
            </w:tcBorders>
            <w:vAlign w:val="center"/>
          </w:tcPr>
          <w:p w14:paraId="0CC698BE">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39DE57B0">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21D6CA4A">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1F4831B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578F9F6D">
            <w:pPr>
              <w:spacing w:line="480" w:lineRule="auto"/>
              <w:rPr>
                <w:rFonts w:ascii="Times New Roman" w:hAnsi="Times New Roman" w:cs="Times New Roman"/>
                <w:szCs w:val="21"/>
              </w:rPr>
            </w:pPr>
            <w:r>
              <w:rPr>
                <w:rFonts w:hint="eastAsia" w:ascii="Times New Roman" w:hAnsi="Times New Roman" w:cs="Times New Roman"/>
                <w:szCs w:val="21"/>
              </w:rPr>
              <w:t>vertex</w:t>
            </w:r>
            <w:r>
              <w:rPr>
                <w:rFonts w:ascii="Times New Roman" w:hAnsi="Times New Roman" w:cs="Times New Roman"/>
                <w:szCs w:val="21"/>
              </w:rPr>
              <w:t xml:space="preserve"> - </w:t>
            </w:r>
            <w:r>
              <w:rPr>
                <w:rFonts w:hint="eastAsia" w:ascii="Times New Roman" w:hAnsi="Times New Roman" w:cs="Times New Roman"/>
                <w:szCs w:val="21"/>
              </w:rPr>
              <w:t>LpTL</w:t>
            </w:r>
          </w:p>
        </w:tc>
        <w:tc>
          <w:tcPr>
            <w:tcW w:w="1020" w:type="dxa"/>
            <w:tcBorders>
              <w:tl2br w:val="nil"/>
              <w:tr2bl w:val="nil"/>
            </w:tcBorders>
            <w:vAlign w:val="center"/>
          </w:tcPr>
          <w:p w14:paraId="3BE3FF1A">
            <w:pPr>
              <w:spacing w:line="480" w:lineRule="auto"/>
              <w:rPr>
                <w:rFonts w:ascii="Times New Roman" w:hAnsi="Times New Roman" w:cs="Times New Roman"/>
                <w:szCs w:val="21"/>
              </w:rPr>
            </w:pPr>
            <w:r>
              <w:rPr>
                <w:rFonts w:hint="eastAsia" w:ascii="Times New Roman" w:hAnsi="Times New Roman" w:cs="Times New Roman"/>
                <w:szCs w:val="21"/>
              </w:rPr>
              <w:t>0.007</w:t>
            </w:r>
          </w:p>
        </w:tc>
        <w:tc>
          <w:tcPr>
            <w:tcW w:w="1020" w:type="dxa"/>
            <w:tcBorders>
              <w:tl2br w:val="nil"/>
              <w:tr2bl w:val="nil"/>
            </w:tcBorders>
            <w:vAlign w:val="center"/>
          </w:tcPr>
          <w:p w14:paraId="34BE4E81">
            <w:pPr>
              <w:spacing w:line="480" w:lineRule="auto"/>
              <w:rPr>
                <w:rFonts w:ascii="Times New Roman" w:hAnsi="Times New Roman" w:cs="Times New Roman"/>
                <w:szCs w:val="21"/>
              </w:rPr>
            </w:pPr>
            <w:r>
              <w:rPr>
                <w:rFonts w:hint="eastAsia" w:ascii="Times New Roman" w:hAnsi="Times New Roman" w:cs="Times New Roman"/>
                <w:szCs w:val="21"/>
              </w:rPr>
              <w:t>0.005</w:t>
            </w:r>
          </w:p>
        </w:tc>
        <w:tc>
          <w:tcPr>
            <w:tcW w:w="1020" w:type="dxa"/>
            <w:tcBorders>
              <w:tl2br w:val="nil"/>
              <w:tr2bl w:val="nil"/>
            </w:tcBorders>
            <w:vAlign w:val="center"/>
          </w:tcPr>
          <w:p w14:paraId="03D67E56">
            <w:pPr>
              <w:spacing w:line="480" w:lineRule="auto"/>
              <w:rPr>
                <w:rFonts w:ascii="Times New Roman" w:hAnsi="Times New Roman" w:cs="Times New Roman"/>
                <w:szCs w:val="21"/>
              </w:rPr>
            </w:pPr>
            <w:r>
              <w:rPr>
                <w:rFonts w:hint="eastAsia" w:ascii="Times New Roman" w:hAnsi="Times New Roman" w:cs="Times New Roman"/>
                <w:szCs w:val="21"/>
              </w:rPr>
              <w:t>1.34</w:t>
            </w:r>
          </w:p>
        </w:tc>
        <w:tc>
          <w:tcPr>
            <w:tcW w:w="1020" w:type="dxa"/>
            <w:tcBorders>
              <w:tl2br w:val="nil"/>
              <w:tr2bl w:val="nil"/>
            </w:tcBorders>
            <w:vAlign w:val="center"/>
          </w:tcPr>
          <w:p w14:paraId="56B96A0E">
            <w:pPr>
              <w:spacing w:line="480" w:lineRule="auto"/>
              <w:rPr>
                <w:rFonts w:ascii="Times New Roman" w:hAnsi="Times New Roman" w:cs="Times New Roman"/>
                <w:szCs w:val="21"/>
              </w:rPr>
            </w:pPr>
            <w:r>
              <w:rPr>
                <w:rFonts w:hint="eastAsia" w:ascii="Times New Roman" w:hAnsi="Times New Roman" w:cs="Times New Roman"/>
                <w:szCs w:val="21"/>
              </w:rPr>
              <w:t>0.189</w:t>
            </w:r>
          </w:p>
        </w:tc>
        <w:tc>
          <w:tcPr>
            <w:tcW w:w="1687" w:type="dxa"/>
            <w:tcBorders>
              <w:tl2br w:val="nil"/>
              <w:tr2bl w:val="nil"/>
            </w:tcBorders>
            <w:vAlign w:val="center"/>
          </w:tcPr>
          <w:p w14:paraId="2226797F">
            <w:pPr>
              <w:spacing w:line="480" w:lineRule="auto"/>
              <w:rPr>
                <w:rFonts w:ascii="Times New Roman" w:hAnsi="Times New Roman" w:cs="Times New Roman"/>
                <w:szCs w:val="21"/>
              </w:rPr>
            </w:pPr>
            <w:r>
              <w:rPr>
                <w:rFonts w:hint="eastAsia" w:ascii="Times New Roman" w:hAnsi="Times New Roman" w:cs="Times New Roman"/>
                <w:szCs w:val="21"/>
              </w:rPr>
              <w:t>[-0.003, 0.017]</w:t>
            </w:r>
          </w:p>
        </w:tc>
        <w:tc>
          <w:tcPr>
            <w:tcW w:w="1020" w:type="dxa"/>
            <w:tcBorders>
              <w:tl2br w:val="nil"/>
              <w:tr2bl w:val="nil"/>
            </w:tcBorders>
            <w:vAlign w:val="center"/>
          </w:tcPr>
          <w:p w14:paraId="390FD1E2">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0.001</w:t>
            </w:r>
          </w:p>
        </w:tc>
        <w:tc>
          <w:tcPr>
            <w:tcW w:w="1020" w:type="dxa"/>
            <w:tcBorders>
              <w:tl2br w:val="nil"/>
              <w:tr2bl w:val="nil"/>
            </w:tcBorders>
            <w:vAlign w:val="center"/>
          </w:tcPr>
          <w:p w14:paraId="2EF38F4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50CCC899">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5B3870B2">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447E1EF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2FA7CCD0">
            <w:pPr>
              <w:spacing w:line="480" w:lineRule="auto"/>
              <w:rPr>
                <w:rFonts w:ascii="Times New Roman" w:hAnsi="Times New Roman" w:cs="Times New Roman"/>
                <w:szCs w:val="21"/>
              </w:rPr>
            </w:pPr>
            <w:r>
              <w:rPr>
                <w:rFonts w:hint="eastAsia" w:ascii="Times New Roman" w:hAnsi="Times New Roman" w:cs="Times New Roman"/>
                <w:szCs w:val="21"/>
              </w:rPr>
              <w:t>COM</w:t>
            </w:r>
            <w:r>
              <w:rPr>
                <w:rFonts w:ascii="Times New Roman" w:hAnsi="Times New Roman" w:cs="Times New Roman"/>
                <w:szCs w:val="21"/>
              </w:rPr>
              <w:t xml:space="preserve"> - </w:t>
            </w:r>
            <w:r>
              <w:rPr>
                <w:rFonts w:hint="eastAsia" w:ascii="Times New Roman" w:hAnsi="Times New Roman" w:cs="Times New Roman"/>
                <w:szCs w:val="21"/>
              </w:rPr>
              <w:t>SP</w:t>
            </w:r>
          </w:p>
        </w:tc>
        <w:tc>
          <w:tcPr>
            <w:tcW w:w="1020" w:type="dxa"/>
            <w:tcBorders>
              <w:tl2br w:val="nil"/>
              <w:tr2bl w:val="nil"/>
            </w:tcBorders>
            <w:vAlign w:val="center"/>
          </w:tcPr>
          <w:p w14:paraId="53691C28">
            <w:pPr>
              <w:spacing w:line="480" w:lineRule="auto"/>
              <w:rPr>
                <w:rFonts w:ascii="Times New Roman" w:hAnsi="Times New Roman" w:cs="Times New Roman"/>
                <w:szCs w:val="21"/>
              </w:rPr>
            </w:pPr>
            <w:r>
              <w:rPr>
                <w:rFonts w:hint="eastAsia" w:ascii="Times New Roman" w:hAnsi="Times New Roman" w:cs="Times New Roman"/>
                <w:szCs w:val="21"/>
              </w:rPr>
              <w:t>0.013</w:t>
            </w:r>
          </w:p>
        </w:tc>
        <w:tc>
          <w:tcPr>
            <w:tcW w:w="1020" w:type="dxa"/>
            <w:tcBorders>
              <w:tl2br w:val="nil"/>
              <w:tr2bl w:val="nil"/>
            </w:tcBorders>
            <w:vAlign w:val="center"/>
          </w:tcPr>
          <w:p w14:paraId="026A0726">
            <w:pPr>
              <w:spacing w:line="480" w:lineRule="auto"/>
              <w:rPr>
                <w:rFonts w:ascii="Times New Roman" w:hAnsi="Times New Roman" w:cs="Times New Roman"/>
                <w:szCs w:val="21"/>
              </w:rPr>
            </w:pPr>
            <w:r>
              <w:rPr>
                <w:rFonts w:hint="eastAsia" w:ascii="Times New Roman" w:hAnsi="Times New Roman" w:cs="Times New Roman"/>
                <w:szCs w:val="21"/>
              </w:rPr>
              <w:t>0.003</w:t>
            </w:r>
          </w:p>
        </w:tc>
        <w:tc>
          <w:tcPr>
            <w:tcW w:w="1020" w:type="dxa"/>
            <w:tcBorders>
              <w:tl2br w:val="nil"/>
              <w:tr2bl w:val="nil"/>
            </w:tcBorders>
            <w:vAlign w:val="center"/>
          </w:tcPr>
          <w:p w14:paraId="38A0DD66">
            <w:pPr>
              <w:spacing w:line="480" w:lineRule="auto"/>
              <w:rPr>
                <w:rFonts w:ascii="Times New Roman" w:hAnsi="Times New Roman" w:cs="Times New Roman"/>
                <w:szCs w:val="21"/>
              </w:rPr>
            </w:pPr>
            <w:r>
              <w:rPr>
                <w:rFonts w:hint="eastAsia" w:ascii="Times New Roman" w:hAnsi="Times New Roman" w:cs="Times New Roman"/>
                <w:szCs w:val="21"/>
              </w:rPr>
              <w:t>4.87</w:t>
            </w:r>
          </w:p>
        </w:tc>
        <w:tc>
          <w:tcPr>
            <w:tcW w:w="1020" w:type="dxa"/>
            <w:tcBorders>
              <w:tl2br w:val="nil"/>
              <w:tr2bl w:val="nil"/>
            </w:tcBorders>
            <w:vAlign w:val="center"/>
          </w:tcPr>
          <w:p w14:paraId="0E5A6C6D">
            <w:pPr>
              <w:spacing w:line="480" w:lineRule="auto"/>
              <w:rPr>
                <w:rFonts w:ascii="Times New Roman" w:hAnsi="Times New Roman" w:cs="Times New Roman"/>
                <w:szCs w:val="21"/>
              </w:rPr>
            </w:pPr>
            <w:r>
              <w:rPr>
                <w:rFonts w:hint="eastAsia" w:ascii="Times New Roman" w:hAnsi="Times New Roman" w:cs="Times New Roman"/>
                <w:szCs w:val="21"/>
              </w:rPr>
              <w:t>&lt; 0.001</w:t>
            </w:r>
          </w:p>
        </w:tc>
        <w:tc>
          <w:tcPr>
            <w:tcW w:w="1687" w:type="dxa"/>
            <w:tcBorders>
              <w:tl2br w:val="nil"/>
              <w:tr2bl w:val="nil"/>
            </w:tcBorders>
            <w:vAlign w:val="center"/>
          </w:tcPr>
          <w:p w14:paraId="3DFE37F6">
            <w:pPr>
              <w:spacing w:line="480" w:lineRule="auto"/>
              <w:rPr>
                <w:rFonts w:ascii="Times New Roman" w:hAnsi="Times New Roman" w:cs="Times New Roman"/>
                <w:szCs w:val="21"/>
              </w:rPr>
            </w:pPr>
            <w:r>
              <w:rPr>
                <w:rFonts w:hint="eastAsia" w:ascii="Times New Roman" w:hAnsi="Times New Roman" w:cs="Times New Roman"/>
                <w:szCs w:val="21"/>
              </w:rPr>
              <w:t>[0.008, 0.018]</w:t>
            </w:r>
          </w:p>
        </w:tc>
        <w:tc>
          <w:tcPr>
            <w:tcW w:w="1020" w:type="dxa"/>
            <w:tcBorders>
              <w:tl2br w:val="nil"/>
              <w:tr2bl w:val="nil"/>
            </w:tcBorders>
            <w:vAlign w:val="center"/>
          </w:tcPr>
          <w:p w14:paraId="5CB5B234">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0.000</w:t>
            </w:r>
          </w:p>
        </w:tc>
        <w:tc>
          <w:tcPr>
            <w:tcW w:w="1020" w:type="dxa"/>
            <w:tcBorders>
              <w:tl2br w:val="nil"/>
              <w:tr2bl w:val="nil"/>
            </w:tcBorders>
            <w:vAlign w:val="center"/>
          </w:tcPr>
          <w:p w14:paraId="41826CE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4399997D">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76A21EA2">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0B7E3C0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3576DC26">
            <w:pPr>
              <w:spacing w:line="480" w:lineRule="auto"/>
              <w:rPr>
                <w:rFonts w:ascii="Times New Roman" w:hAnsi="Times New Roman" w:cs="Times New Roman"/>
                <w:szCs w:val="21"/>
              </w:rPr>
            </w:pPr>
            <w:r>
              <w:rPr>
                <w:rFonts w:hint="eastAsia" w:ascii="Times New Roman" w:hAnsi="Times New Roman" w:cs="Times New Roman"/>
                <w:szCs w:val="21"/>
              </w:rPr>
              <w:t>WL</w:t>
            </w:r>
            <w:r>
              <w:rPr>
                <w:rFonts w:ascii="Times New Roman" w:hAnsi="Times New Roman" w:cs="Times New Roman"/>
                <w:szCs w:val="21"/>
              </w:rPr>
              <w:t xml:space="preserve"> - </w:t>
            </w:r>
            <w:r>
              <w:rPr>
                <w:rFonts w:hint="eastAsia" w:ascii="Times New Roman" w:hAnsi="Times New Roman" w:cs="Times New Roman"/>
                <w:szCs w:val="21"/>
              </w:rPr>
              <w:t>COM</w:t>
            </w:r>
          </w:p>
        </w:tc>
        <w:tc>
          <w:tcPr>
            <w:tcW w:w="1020" w:type="dxa"/>
            <w:tcBorders>
              <w:tl2br w:val="nil"/>
              <w:tr2bl w:val="nil"/>
            </w:tcBorders>
            <w:vAlign w:val="center"/>
          </w:tcPr>
          <w:p w14:paraId="2BE85F4B">
            <w:pPr>
              <w:spacing w:line="480" w:lineRule="auto"/>
              <w:rPr>
                <w:rFonts w:ascii="Times New Roman" w:hAnsi="Times New Roman" w:cs="Times New Roman"/>
                <w:szCs w:val="21"/>
              </w:rPr>
            </w:pPr>
            <w:r>
              <w:rPr>
                <w:rFonts w:hint="eastAsia" w:ascii="Times New Roman" w:hAnsi="Times New Roman" w:cs="Times New Roman"/>
                <w:szCs w:val="21"/>
              </w:rPr>
              <w:t>-0.055</w:t>
            </w:r>
          </w:p>
        </w:tc>
        <w:tc>
          <w:tcPr>
            <w:tcW w:w="1020" w:type="dxa"/>
            <w:tcBorders>
              <w:tl2br w:val="nil"/>
              <w:tr2bl w:val="nil"/>
            </w:tcBorders>
            <w:vAlign w:val="center"/>
          </w:tcPr>
          <w:p w14:paraId="0C9C90A6">
            <w:pPr>
              <w:spacing w:line="480" w:lineRule="auto"/>
              <w:rPr>
                <w:rFonts w:ascii="Times New Roman" w:hAnsi="Times New Roman" w:cs="Times New Roman"/>
                <w:szCs w:val="21"/>
              </w:rPr>
            </w:pPr>
            <w:r>
              <w:rPr>
                <w:rFonts w:hint="eastAsia" w:ascii="Times New Roman" w:hAnsi="Times New Roman" w:cs="Times New Roman"/>
                <w:szCs w:val="21"/>
              </w:rPr>
              <w:t>0.005</w:t>
            </w:r>
          </w:p>
        </w:tc>
        <w:tc>
          <w:tcPr>
            <w:tcW w:w="1020" w:type="dxa"/>
            <w:tcBorders>
              <w:tl2br w:val="nil"/>
              <w:tr2bl w:val="nil"/>
            </w:tcBorders>
            <w:vAlign w:val="center"/>
          </w:tcPr>
          <w:p w14:paraId="6D65DFF5">
            <w:pPr>
              <w:spacing w:line="480" w:lineRule="auto"/>
              <w:rPr>
                <w:rFonts w:ascii="Times New Roman" w:hAnsi="Times New Roman" w:cs="Times New Roman"/>
                <w:szCs w:val="21"/>
              </w:rPr>
            </w:pPr>
            <w:r>
              <w:rPr>
                <w:rFonts w:hint="eastAsia" w:ascii="Times New Roman" w:hAnsi="Times New Roman" w:cs="Times New Roman"/>
                <w:szCs w:val="21"/>
              </w:rPr>
              <w:t>-10.19</w:t>
            </w:r>
          </w:p>
        </w:tc>
        <w:tc>
          <w:tcPr>
            <w:tcW w:w="1020" w:type="dxa"/>
            <w:tcBorders>
              <w:tl2br w:val="nil"/>
              <w:tr2bl w:val="nil"/>
            </w:tcBorders>
            <w:vAlign w:val="center"/>
          </w:tcPr>
          <w:p w14:paraId="784DA7EC">
            <w:pPr>
              <w:spacing w:line="480" w:lineRule="auto"/>
              <w:rPr>
                <w:rFonts w:ascii="Times New Roman" w:hAnsi="Times New Roman" w:cs="Times New Roman"/>
                <w:szCs w:val="21"/>
              </w:rPr>
            </w:pPr>
            <w:r>
              <w:rPr>
                <w:rFonts w:hint="eastAsia" w:ascii="Times New Roman" w:hAnsi="Times New Roman" w:cs="Times New Roman"/>
                <w:szCs w:val="21"/>
              </w:rPr>
              <w:t>&lt; 0.001</w:t>
            </w:r>
          </w:p>
        </w:tc>
        <w:tc>
          <w:tcPr>
            <w:tcW w:w="1687" w:type="dxa"/>
            <w:tcBorders>
              <w:tl2br w:val="nil"/>
              <w:tr2bl w:val="nil"/>
            </w:tcBorders>
            <w:vAlign w:val="center"/>
          </w:tcPr>
          <w:p w14:paraId="562FF48E">
            <w:pPr>
              <w:spacing w:line="480" w:lineRule="auto"/>
              <w:rPr>
                <w:rFonts w:ascii="Times New Roman" w:hAnsi="Times New Roman" w:cs="Times New Roman"/>
                <w:szCs w:val="21"/>
              </w:rPr>
            </w:pPr>
            <w:r>
              <w:rPr>
                <w:rFonts w:hint="eastAsia" w:ascii="Times New Roman" w:hAnsi="Times New Roman" w:cs="Times New Roman"/>
                <w:szCs w:val="21"/>
              </w:rPr>
              <w:t>[-0.066, -0.044]</w:t>
            </w:r>
          </w:p>
        </w:tc>
        <w:tc>
          <w:tcPr>
            <w:tcW w:w="1020" w:type="dxa"/>
            <w:tcBorders>
              <w:tl2br w:val="nil"/>
              <w:tr2bl w:val="nil"/>
            </w:tcBorders>
            <w:vAlign w:val="center"/>
          </w:tcPr>
          <w:p w14:paraId="08C5D41D">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0.001</w:t>
            </w:r>
          </w:p>
        </w:tc>
        <w:tc>
          <w:tcPr>
            <w:tcW w:w="1020" w:type="dxa"/>
            <w:tcBorders>
              <w:tl2br w:val="nil"/>
              <w:tr2bl w:val="nil"/>
            </w:tcBorders>
            <w:vAlign w:val="center"/>
          </w:tcPr>
          <w:p w14:paraId="28671EEC">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171A1B07">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5F8BA678">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7C306F8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04D10095">
            <w:pPr>
              <w:spacing w:line="480" w:lineRule="auto"/>
              <w:rPr>
                <w:rFonts w:ascii="Times New Roman" w:hAnsi="Times New Roman" w:cs="Times New Roman"/>
                <w:szCs w:val="21"/>
              </w:rPr>
            </w:pP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LIFG</w:t>
            </w:r>
            <w:r>
              <w:rPr>
                <w:rFonts w:ascii="Times New Roman" w:hAnsi="Times New Roman" w:cs="Times New Roman"/>
                <w:szCs w:val="21"/>
              </w:rPr>
              <w:t xml:space="preserve"> : </w:t>
            </w:r>
            <w:r>
              <w:rPr>
                <w:rFonts w:hint="eastAsia" w:ascii="Times New Roman" w:hAnsi="Times New Roman" w:cs="Times New Roman"/>
                <w:szCs w:val="21"/>
              </w:rPr>
              <w:t>COM</w:t>
            </w:r>
            <w:r>
              <w:rPr>
                <w:rFonts w:ascii="Times New Roman" w:hAnsi="Times New Roman" w:cs="Times New Roman"/>
                <w:szCs w:val="21"/>
              </w:rPr>
              <w:t xml:space="preserve"> - </w:t>
            </w:r>
            <w:r>
              <w:rPr>
                <w:rFonts w:hint="eastAsia" w:ascii="Times New Roman" w:hAnsi="Times New Roman" w:cs="Times New Roman"/>
                <w:szCs w:val="21"/>
              </w:rPr>
              <w:t>SP</w:t>
            </w:r>
          </w:p>
        </w:tc>
        <w:tc>
          <w:tcPr>
            <w:tcW w:w="1020" w:type="dxa"/>
            <w:tcBorders>
              <w:tl2br w:val="nil"/>
              <w:tr2bl w:val="nil"/>
            </w:tcBorders>
            <w:vAlign w:val="center"/>
          </w:tcPr>
          <w:p w14:paraId="610FFE29">
            <w:pPr>
              <w:spacing w:line="480" w:lineRule="auto"/>
              <w:rPr>
                <w:rFonts w:ascii="Times New Roman" w:hAnsi="Times New Roman" w:cs="Times New Roman"/>
                <w:szCs w:val="21"/>
              </w:rPr>
            </w:pPr>
            <w:r>
              <w:rPr>
                <w:rFonts w:hint="eastAsia" w:ascii="Times New Roman" w:hAnsi="Times New Roman" w:cs="Times New Roman"/>
                <w:szCs w:val="21"/>
              </w:rPr>
              <w:t>0.001</w:t>
            </w:r>
          </w:p>
        </w:tc>
        <w:tc>
          <w:tcPr>
            <w:tcW w:w="1020" w:type="dxa"/>
            <w:tcBorders>
              <w:tl2br w:val="nil"/>
              <w:tr2bl w:val="nil"/>
            </w:tcBorders>
            <w:vAlign w:val="center"/>
          </w:tcPr>
          <w:p w14:paraId="3D966747">
            <w:pPr>
              <w:spacing w:line="480" w:lineRule="auto"/>
              <w:rPr>
                <w:rFonts w:ascii="Times New Roman" w:hAnsi="Times New Roman" w:cs="Times New Roman"/>
                <w:szCs w:val="21"/>
              </w:rPr>
            </w:pPr>
            <w:r>
              <w:rPr>
                <w:rFonts w:hint="eastAsia" w:ascii="Times New Roman" w:hAnsi="Times New Roman" w:cs="Times New Roman"/>
                <w:szCs w:val="21"/>
              </w:rPr>
              <w:t>0.005</w:t>
            </w:r>
          </w:p>
        </w:tc>
        <w:tc>
          <w:tcPr>
            <w:tcW w:w="1020" w:type="dxa"/>
            <w:tcBorders>
              <w:tl2br w:val="nil"/>
              <w:tr2bl w:val="nil"/>
            </w:tcBorders>
            <w:vAlign w:val="center"/>
          </w:tcPr>
          <w:p w14:paraId="4E04D659">
            <w:pPr>
              <w:spacing w:line="480" w:lineRule="auto"/>
              <w:rPr>
                <w:rFonts w:ascii="Times New Roman" w:hAnsi="Times New Roman" w:cs="Times New Roman"/>
                <w:szCs w:val="21"/>
              </w:rPr>
            </w:pPr>
            <w:r>
              <w:rPr>
                <w:rFonts w:hint="eastAsia" w:ascii="Times New Roman" w:hAnsi="Times New Roman" w:cs="Times New Roman"/>
                <w:szCs w:val="21"/>
              </w:rPr>
              <w:t>0.30</w:t>
            </w:r>
          </w:p>
        </w:tc>
        <w:tc>
          <w:tcPr>
            <w:tcW w:w="1020" w:type="dxa"/>
            <w:tcBorders>
              <w:tl2br w:val="nil"/>
              <w:tr2bl w:val="nil"/>
            </w:tcBorders>
            <w:vAlign w:val="center"/>
          </w:tcPr>
          <w:p w14:paraId="2AA00015">
            <w:pPr>
              <w:spacing w:line="480" w:lineRule="auto"/>
              <w:rPr>
                <w:rFonts w:ascii="Times New Roman" w:hAnsi="Times New Roman" w:cs="Times New Roman"/>
                <w:szCs w:val="21"/>
              </w:rPr>
            </w:pPr>
            <w:r>
              <w:rPr>
                <w:rFonts w:hint="eastAsia" w:ascii="Times New Roman" w:hAnsi="Times New Roman" w:cs="Times New Roman"/>
                <w:szCs w:val="21"/>
              </w:rPr>
              <w:t>0.762</w:t>
            </w:r>
          </w:p>
        </w:tc>
        <w:tc>
          <w:tcPr>
            <w:tcW w:w="1687" w:type="dxa"/>
            <w:tcBorders>
              <w:tl2br w:val="nil"/>
              <w:tr2bl w:val="nil"/>
            </w:tcBorders>
            <w:vAlign w:val="center"/>
          </w:tcPr>
          <w:p w14:paraId="572FE0BF">
            <w:pPr>
              <w:spacing w:line="480" w:lineRule="auto"/>
              <w:rPr>
                <w:rFonts w:ascii="Times New Roman" w:hAnsi="Times New Roman" w:cs="Times New Roman"/>
                <w:szCs w:val="21"/>
              </w:rPr>
            </w:pPr>
            <w:r>
              <w:rPr>
                <w:rFonts w:hint="eastAsia" w:ascii="Times New Roman" w:hAnsi="Times New Roman" w:cs="Times New Roman"/>
                <w:szCs w:val="21"/>
              </w:rPr>
              <w:t>[-0.008, 0.010]</w:t>
            </w:r>
          </w:p>
        </w:tc>
        <w:tc>
          <w:tcPr>
            <w:tcW w:w="1020" w:type="dxa"/>
            <w:tcBorders>
              <w:tl2br w:val="nil"/>
              <w:tr2bl w:val="nil"/>
            </w:tcBorders>
            <w:vAlign w:val="center"/>
          </w:tcPr>
          <w:p w14:paraId="62CDE54A">
            <w:pPr>
              <w:spacing w:line="480" w:lineRule="auto"/>
              <w:rPr>
                <w:rFonts w:ascii="Times New Roman" w:hAnsi="Times New Roman" w:cs="Times New Roman"/>
                <w:szCs w:val="21"/>
              </w:rPr>
            </w:pPr>
            <w:r>
              <w:rPr>
                <w:rFonts w:ascii="Times New Roman" w:hAnsi="Times New Roman" w:eastAsia="宋体" w:cs="Times New Roman"/>
                <w:bCs/>
                <w:sz w:val="24"/>
              </w:rPr>
              <w:t>--</w:t>
            </w:r>
          </w:p>
        </w:tc>
        <w:tc>
          <w:tcPr>
            <w:tcW w:w="1020" w:type="dxa"/>
            <w:tcBorders>
              <w:tl2br w:val="nil"/>
              <w:tr2bl w:val="nil"/>
            </w:tcBorders>
            <w:vAlign w:val="center"/>
          </w:tcPr>
          <w:p w14:paraId="0FE222E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716285CF">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6BB43A60">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56C61F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69339B95">
            <w:pPr>
              <w:spacing w:line="480" w:lineRule="auto"/>
              <w:rPr>
                <w:rFonts w:ascii="Times New Roman" w:hAnsi="Times New Roman" w:cs="Times New Roman"/>
                <w:szCs w:val="21"/>
              </w:rPr>
            </w:pPr>
            <w:r>
              <w:rPr>
                <w:rFonts w:hint="eastAsia" w:ascii="Times New Roman" w:hAnsi="Times New Roman" w:cs="Times New Roman"/>
                <w:szCs w:val="21"/>
              </w:rPr>
              <w:t>vertex</w:t>
            </w:r>
            <w:r>
              <w:rPr>
                <w:rFonts w:ascii="Times New Roman" w:hAnsi="Times New Roman" w:cs="Times New Roman"/>
                <w:szCs w:val="21"/>
              </w:rPr>
              <w:t xml:space="preserve"> - </w:t>
            </w: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COM</w:t>
            </w:r>
            <w:r>
              <w:rPr>
                <w:rFonts w:ascii="Times New Roman" w:hAnsi="Times New Roman" w:cs="Times New Roman"/>
                <w:szCs w:val="21"/>
              </w:rPr>
              <w:t xml:space="preserve"> - </w:t>
            </w:r>
            <w:r>
              <w:rPr>
                <w:rFonts w:hint="eastAsia" w:ascii="Times New Roman" w:hAnsi="Times New Roman" w:cs="Times New Roman"/>
                <w:szCs w:val="21"/>
              </w:rPr>
              <w:t>SP</w:t>
            </w:r>
          </w:p>
        </w:tc>
        <w:tc>
          <w:tcPr>
            <w:tcW w:w="1020" w:type="dxa"/>
            <w:tcBorders>
              <w:tl2br w:val="nil"/>
              <w:tr2bl w:val="nil"/>
            </w:tcBorders>
            <w:vAlign w:val="center"/>
          </w:tcPr>
          <w:p w14:paraId="7BE4819C">
            <w:pPr>
              <w:spacing w:line="480" w:lineRule="auto"/>
              <w:rPr>
                <w:rFonts w:ascii="Times New Roman" w:hAnsi="Times New Roman" w:cs="Times New Roman"/>
                <w:szCs w:val="21"/>
              </w:rPr>
            </w:pPr>
            <w:r>
              <w:rPr>
                <w:rFonts w:hint="eastAsia" w:ascii="Times New Roman" w:hAnsi="Times New Roman" w:cs="Times New Roman"/>
                <w:szCs w:val="21"/>
              </w:rPr>
              <w:t>-0.007</w:t>
            </w:r>
          </w:p>
        </w:tc>
        <w:tc>
          <w:tcPr>
            <w:tcW w:w="1020" w:type="dxa"/>
            <w:tcBorders>
              <w:tl2br w:val="nil"/>
              <w:tr2bl w:val="nil"/>
            </w:tcBorders>
            <w:vAlign w:val="center"/>
          </w:tcPr>
          <w:p w14:paraId="084D3FC0">
            <w:pPr>
              <w:spacing w:line="480" w:lineRule="auto"/>
              <w:rPr>
                <w:rFonts w:ascii="Times New Roman" w:hAnsi="Times New Roman" w:cs="Times New Roman"/>
                <w:szCs w:val="21"/>
              </w:rPr>
            </w:pPr>
            <w:r>
              <w:rPr>
                <w:rFonts w:hint="eastAsia" w:ascii="Times New Roman" w:hAnsi="Times New Roman" w:cs="Times New Roman"/>
                <w:szCs w:val="21"/>
              </w:rPr>
              <w:t>0.005</w:t>
            </w:r>
          </w:p>
        </w:tc>
        <w:tc>
          <w:tcPr>
            <w:tcW w:w="1020" w:type="dxa"/>
            <w:tcBorders>
              <w:tl2br w:val="nil"/>
              <w:tr2bl w:val="nil"/>
            </w:tcBorders>
            <w:vAlign w:val="center"/>
          </w:tcPr>
          <w:p w14:paraId="169368D1">
            <w:pPr>
              <w:spacing w:line="480" w:lineRule="auto"/>
              <w:rPr>
                <w:rFonts w:ascii="Times New Roman" w:hAnsi="Times New Roman" w:cs="Times New Roman"/>
                <w:szCs w:val="21"/>
              </w:rPr>
            </w:pPr>
            <w:r>
              <w:rPr>
                <w:rFonts w:hint="eastAsia" w:ascii="Times New Roman" w:hAnsi="Times New Roman" w:cs="Times New Roman"/>
                <w:szCs w:val="21"/>
              </w:rPr>
              <w:t>-1.50</w:t>
            </w:r>
          </w:p>
        </w:tc>
        <w:tc>
          <w:tcPr>
            <w:tcW w:w="1020" w:type="dxa"/>
            <w:tcBorders>
              <w:tl2br w:val="nil"/>
              <w:tr2bl w:val="nil"/>
            </w:tcBorders>
            <w:vAlign w:val="center"/>
          </w:tcPr>
          <w:p w14:paraId="3028D904">
            <w:pPr>
              <w:spacing w:line="480" w:lineRule="auto"/>
              <w:rPr>
                <w:rFonts w:ascii="Times New Roman" w:hAnsi="Times New Roman" w:cs="Times New Roman"/>
                <w:szCs w:val="21"/>
              </w:rPr>
            </w:pPr>
            <w:r>
              <w:rPr>
                <w:rFonts w:hint="eastAsia" w:ascii="Times New Roman" w:hAnsi="Times New Roman" w:cs="Times New Roman"/>
                <w:szCs w:val="21"/>
              </w:rPr>
              <w:t>0.133</w:t>
            </w:r>
          </w:p>
        </w:tc>
        <w:tc>
          <w:tcPr>
            <w:tcW w:w="1687" w:type="dxa"/>
            <w:tcBorders>
              <w:tl2br w:val="nil"/>
              <w:tr2bl w:val="nil"/>
            </w:tcBorders>
            <w:vAlign w:val="center"/>
          </w:tcPr>
          <w:p w14:paraId="2A1A460C">
            <w:pPr>
              <w:spacing w:line="480" w:lineRule="auto"/>
              <w:rPr>
                <w:rFonts w:ascii="Times New Roman" w:hAnsi="Times New Roman" w:cs="Times New Roman"/>
                <w:szCs w:val="21"/>
              </w:rPr>
            </w:pPr>
            <w:r>
              <w:rPr>
                <w:rFonts w:hint="eastAsia" w:ascii="Times New Roman" w:hAnsi="Times New Roman" w:cs="Times New Roman"/>
                <w:szCs w:val="21"/>
              </w:rPr>
              <w:t>[-0.016, 0.002]</w:t>
            </w:r>
          </w:p>
        </w:tc>
        <w:tc>
          <w:tcPr>
            <w:tcW w:w="1020" w:type="dxa"/>
            <w:tcBorders>
              <w:tl2br w:val="nil"/>
              <w:tr2bl w:val="nil"/>
            </w:tcBorders>
            <w:vAlign w:val="center"/>
          </w:tcPr>
          <w:p w14:paraId="4CFDFACC">
            <w:pPr>
              <w:spacing w:line="480" w:lineRule="auto"/>
              <w:rPr>
                <w:rFonts w:ascii="Times New Roman" w:hAnsi="Times New Roman" w:cs="Times New Roman"/>
                <w:szCs w:val="21"/>
              </w:rPr>
            </w:pPr>
            <w:r>
              <w:rPr>
                <w:rFonts w:ascii="Times New Roman" w:hAnsi="Times New Roman" w:eastAsia="宋体" w:cs="Times New Roman"/>
                <w:bCs/>
                <w:sz w:val="24"/>
              </w:rPr>
              <w:t>--</w:t>
            </w:r>
          </w:p>
        </w:tc>
        <w:tc>
          <w:tcPr>
            <w:tcW w:w="1020" w:type="dxa"/>
            <w:tcBorders>
              <w:tl2br w:val="nil"/>
              <w:tr2bl w:val="nil"/>
            </w:tcBorders>
            <w:vAlign w:val="center"/>
          </w:tcPr>
          <w:p w14:paraId="468B460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680AD6FB">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02E643DD">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5D30A51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09A982F1">
            <w:pPr>
              <w:spacing w:line="480" w:lineRule="auto"/>
              <w:rPr>
                <w:rFonts w:ascii="Times New Roman" w:hAnsi="Times New Roman" w:cs="Times New Roman"/>
                <w:szCs w:val="21"/>
              </w:rPr>
            </w:pP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LIFG</w:t>
            </w:r>
            <w:r>
              <w:rPr>
                <w:rFonts w:ascii="Times New Roman" w:hAnsi="Times New Roman" w:cs="Times New Roman"/>
                <w:szCs w:val="21"/>
              </w:rPr>
              <w:t xml:space="preserve"> : </w:t>
            </w:r>
            <w:r>
              <w:rPr>
                <w:rFonts w:hint="eastAsia" w:ascii="Times New Roman" w:hAnsi="Times New Roman" w:cs="Times New Roman"/>
                <w:szCs w:val="21"/>
              </w:rPr>
              <w:t>WL</w:t>
            </w:r>
            <w:r>
              <w:rPr>
                <w:rFonts w:ascii="Times New Roman" w:hAnsi="Times New Roman" w:cs="Times New Roman"/>
                <w:szCs w:val="21"/>
              </w:rPr>
              <w:t xml:space="preserve"> - </w:t>
            </w:r>
            <w:r>
              <w:rPr>
                <w:rFonts w:hint="eastAsia" w:ascii="Times New Roman" w:hAnsi="Times New Roman" w:cs="Times New Roman"/>
                <w:szCs w:val="21"/>
              </w:rPr>
              <w:t>COM</w:t>
            </w:r>
          </w:p>
        </w:tc>
        <w:tc>
          <w:tcPr>
            <w:tcW w:w="1020" w:type="dxa"/>
            <w:tcBorders>
              <w:tl2br w:val="nil"/>
              <w:tr2bl w:val="nil"/>
            </w:tcBorders>
            <w:vAlign w:val="center"/>
          </w:tcPr>
          <w:p w14:paraId="471113DE">
            <w:pPr>
              <w:spacing w:line="480" w:lineRule="auto"/>
              <w:rPr>
                <w:rFonts w:ascii="Times New Roman" w:hAnsi="Times New Roman" w:cs="Times New Roman"/>
                <w:szCs w:val="21"/>
              </w:rPr>
            </w:pPr>
            <w:r>
              <w:rPr>
                <w:rFonts w:hint="eastAsia" w:ascii="Times New Roman" w:hAnsi="Times New Roman" w:cs="Times New Roman"/>
                <w:szCs w:val="21"/>
              </w:rPr>
              <w:t>-0.002</w:t>
            </w:r>
          </w:p>
        </w:tc>
        <w:tc>
          <w:tcPr>
            <w:tcW w:w="1020" w:type="dxa"/>
            <w:tcBorders>
              <w:tl2br w:val="nil"/>
              <w:tr2bl w:val="nil"/>
            </w:tcBorders>
            <w:vAlign w:val="center"/>
          </w:tcPr>
          <w:p w14:paraId="75340DF4">
            <w:pPr>
              <w:spacing w:line="480" w:lineRule="auto"/>
              <w:rPr>
                <w:rFonts w:ascii="Times New Roman" w:hAnsi="Times New Roman" w:cs="Times New Roman"/>
                <w:szCs w:val="21"/>
              </w:rPr>
            </w:pPr>
            <w:r>
              <w:rPr>
                <w:rFonts w:hint="eastAsia" w:ascii="Times New Roman" w:hAnsi="Times New Roman" w:cs="Times New Roman"/>
                <w:szCs w:val="21"/>
              </w:rPr>
              <w:t>0.005</w:t>
            </w:r>
          </w:p>
        </w:tc>
        <w:tc>
          <w:tcPr>
            <w:tcW w:w="1020" w:type="dxa"/>
            <w:tcBorders>
              <w:tl2br w:val="nil"/>
              <w:tr2bl w:val="nil"/>
            </w:tcBorders>
            <w:vAlign w:val="center"/>
          </w:tcPr>
          <w:p w14:paraId="69082F77">
            <w:pPr>
              <w:spacing w:line="480" w:lineRule="auto"/>
              <w:rPr>
                <w:rFonts w:ascii="Times New Roman" w:hAnsi="Times New Roman" w:cs="Times New Roman"/>
                <w:szCs w:val="21"/>
              </w:rPr>
            </w:pPr>
            <w:r>
              <w:rPr>
                <w:rFonts w:hint="eastAsia" w:ascii="Times New Roman" w:hAnsi="Times New Roman" w:cs="Times New Roman"/>
                <w:szCs w:val="21"/>
              </w:rPr>
              <w:t>-0.34</w:t>
            </w:r>
          </w:p>
        </w:tc>
        <w:tc>
          <w:tcPr>
            <w:tcW w:w="1020" w:type="dxa"/>
            <w:tcBorders>
              <w:tl2br w:val="nil"/>
              <w:tr2bl w:val="nil"/>
            </w:tcBorders>
            <w:vAlign w:val="center"/>
          </w:tcPr>
          <w:p w14:paraId="7A11E2BC">
            <w:pPr>
              <w:spacing w:line="480" w:lineRule="auto"/>
              <w:rPr>
                <w:rFonts w:ascii="Times New Roman" w:hAnsi="Times New Roman" w:cs="Times New Roman"/>
                <w:szCs w:val="21"/>
              </w:rPr>
            </w:pPr>
            <w:r>
              <w:rPr>
                <w:rFonts w:hint="eastAsia" w:ascii="Times New Roman" w:hAnsi="Times New Roman" w:cs="Times New Roman"/>
                <w:szCs w:val="21"/>
              </w:rPr>
              <w:t>0.733</w:t>
            </w:r>
          </w:p>
        </w:tc>
        <w:tc>
          <w:tcPr>
            <w:tcW w:w="1687" w:type="dxa"/>
            <w:tcBorders>
              <w:tl2br w:val="nil"/>
              <w:tr2bl w:val="nil"/>
            </w:tcBorders>
            <w:vAlign w:val="center"/>
          </w:tcPr>
          <w:p w14:paraId="1B3445D4">
            <w:pPr>
              <w:spacing w:line="480" w:lineRule="auto"/>
              <w:rPr>
                <w:rFonts w:ascii="Times New Roman" w:hAnsi="Times New Roman" w:cs="Times New Roman"/>
                <w:szCs w:val="21"/>
              </w:rPr>
            </w:pPr>
            <w:r>
              <w:rPr>
                <w:rFonts w:hint="eastAsia" w:ascii="Times New Roman" w:hAnsi="Times New Roman" w:cs="Times New Roman"/>
                <w:szCs w:val="21"/>
              </w:rPr>
              <w:t>[-0.010, 0.007]</w:t>
            </w:r>
          </w:p>
        </w:tc>
        <w:tc>
          <w:tcPr>
            <w:tcW w:w="1020" w:type="dxa"/>
            <w:tcBorders>
              <w:tl2br w:val="nil"/>
              <w:tr2bl w:val="nil"/>
            </w:tcBorders>
            <w:vAlign w:val="center"/>
          </w:tcPr>
          <w:p w14:paraId="3F678F7C">
            <w:pPr>
              <w:spacing w:line="480" w:lineRule="auto"/>
              <w:rPr>
                <w:rFonts w:ascii="Times New Roman" w:hAnsi="Times New Roman" w:cs="Times New Roman"/>
                <w:szCs w:val="21"/>
              </w:rPr>
            </w:pPr>
            <w:r>
              <w:rPr>
                <w:rFonts w:ascii="Times New Roman" w:hAnsi="Times New Roman" w:eastAsia="宋体" w:cs="Times New Roman"/>
                <w:bCs/>
                <w:sz w:val="24"/>
              </w:rPr>
              <w:t>--</w:t>
            </w:r>
          </w:p>
        </w:tc>
        <w:tc>
          <w:tcPr>
            <w:tcW w:w="1020" w:type="dxa"/>
            <w:tcBorders>
              <w:tl2br w:val="nil"/>
              <w:tr2bl w:val="nil"/>
            </w:tcBorders>
            <w:vAlign w:val="center"/>
          </w:tcPr>
          <w:p w14:paraId="02F86E1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0FA49E0F">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39506B49">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4622069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2E3A2777">
            <w:pPr>
              <w:spacing w:line="480" w:lineRule="auto"/>
              <w:rPr>
                <w:rFonts w:ascii="Times New Roman" w:hAnsi="Times New Roman" w:cs="Times New Roman"/>
                <w:szCs w:val="21"/>
              </w:rPr>
            </w:pPr>
            <w:r>
              <w:rPr>
                <w:rFonts w:hint="eastAsia" w:ascii="Times New Roman" w:hAnsi="Times New Roman" w:cs="Times New Roman"/>
                <w:szCs w:val="21"/>
              </w:rPr>
              <w:t>vertex</w:t>
            </w:r>
            <w:r>
              <w:rPr>
                <w:rFonts w:ascii="Times New Roman" w:hAnsi="Times New Roman" w:cs="Times New Roman"/>
                <w:szCs w:val="21"/>
              </w:rPr>
              <w:t xml:space="preserve"> - </w:t>
            </w: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WL</w:t>
            </w:r>
            <w:r>
              <w:rPr>
                <w:rFonts w:ascii="Times New Roman" w:hAnsi="Times New Roman" w:cs="Times New Roman"/>
                <w:szCs w:val="21"/>
              </w:rPr>
              <w:t xml:space="preserve"> - </w:t>
            </w:r>
            <w:r>
              <w:rPr>
                <w:rFonts w:hint="eastAsia" w:ascii="Times New Roman" w:hAnsi="Times New Roman" w:cs="Times New Roman"/>
                <w:szCs w:val="21"/>
              </w:rPr>
              <w:t>COM</w:t>
            </w:r>
          </w:p>
        </w:tc>
        <w:tc>
          <w:tcPr>
            <w:tcW w:w="1020" w:type="dxa"/>
            <w:tcBorders>
              <w:tl2br w:val="nil"/>
              <w:tr2bl w:val="nil"/>
            </w:tcBorders>
            <w:vAlign w:val="center"/>
          </w:tcPr>
          <w:p w14:paraId="0808DE58">
            <w:pPr>
              <w:spacing w:line="480" w:lineRule="auto"/>
              <w:rPr>
                <w:rFonts w:ascii="Times New Roman" w:hAnsi="Times New Roman" w:cs="Times New Roman"/>
                <w:szCs w:val="21"/>
              </w:rPr>
            </w:pPr>
            <w:r>
              <w:rPr>
                <w:rFonts w:hint="eastAsia" w:ascii="Times New Roman" w:hAnsi="Times New Roman" w:cs="Times New Roman"/>
                <w:szCs w:val="21"/>
              </w:rPr>
              <w:t>-0.001</w:t>
            </w:r>
          </w:p>
        </w:tc>
        <w:tc>
          <w:tcPr>
            <w:tcW w:w="1020" w:type="dxa"/>
            <w:tcBorders>
              <w:tl2br w:val="nil"/>
              <w:tr2bl w:val="nil"/>
            </w:tcBorders>
            <w:vAlign w:val="center"/>
          </w:tcPr>
          <w:p w14:paraId="57468ED7">
            <w:pPr>
              <w:spacing w:line="480" w:lineRule="auto"/>
              <w:rPr>
                <w:rFonts w:ascii="Times New Roman" w:hAnsi="Times New Roman" w:cs="Times New Roman"/>
                <w:szCs w:val="21"/>
              </w:rPr>
            </w:pPr>
            <w:r>
              <w:rPr>
                <w:rFonts w:hint="eastAsia" w:ascii="Times New Roman" w:hAnsi="Times New Roman" w:cs="Times New Roman"/>
                <w:szCs w:val="21"/>
              </w:rPr>
              <w:t>0.005</w:t>
            </w:r>
          </w:p>
        </w:tc>
        <w:tc>
          <w:tcPr>
            <w:tcW w:w="1020" w:type="dxa"/>
            <w:tcBorders>
              <w:tl2br w:val="nil"/>
              <w:tr2bl w:val="nil"/>
            </w:tcBorders>
            <w:vAlign w:val="center"/>
          </w:tcPr>
          <w:p w14:paraId="48E2A2C6">
            <w:pPr>
              <w:spacing w:line="480" w:lineRule="auto"/>
              <w:rPr>
                <w:rFonts w:ascii="Times New Roman" w:hAnsi="Times New Roman" w:cs="Times New Roman"/>
                <w:szCs w:val="21"/>
              </w:rPr>
            </w:pPr>
            <w:r>
              <w:rPr>
                <w:rFonts w:hint="eastAsia" w:ascii="Times New Roman" w:hAnsi="Times New Roman" w:cs="Times New Roman"/>
                <w:szCs w:val="21"/>
              </w:rPr>
              <w:t>-0.27</w:t>
            </w:r>
          </w:p>
        </w:tc>
        <w:tc>
          <w:tcPr>
            <w:tcW w:w="1020" w:type="dxa"/>
            <w:tcBorders>
              <w:tl2br w:val="nil"/>
              <w:tr2bl w:val="nil"/>
            </w:tcBorders>
            <w:vAlign w:val="center"/>
          </w:tcPr>
          <w:p w14:paraId="398B6983">
            <w:pPr>
              <w:spacing w:line="480" w:lineRule="auto"/>
              <w:rPr>
                <w:rFonts w:ascii="Times New Roman" w:hAnsi="Times New Roman" w:cs="Times New Roman"/>
                <w:szCs w:val="21"/>
              </w:rPr>
            </w:pPr>
            <w:r>
              <w:rPr>
                <w:rFonts w:hint="eastAsia" w:ascii="Times New Roman" w:hAnsi="Times New Roman" w:cs="Times New Roman"/>
                <w:szCs w:val="21"/>
              </w:rPr>
              <w:t>0.785</w:t>
            </w:r>
          </w:p>
        </w:tc>
        <w:tc>
          <w:tcPr>
            <w:tcW w:w="1687" w:type="dxa"/>
            <w:tcBorders>
              <w:tl2br w:val="nil"/>
              <w:tr2bl w:val="nil"/>
            </w:tcBorders>
            <w:vAlign w:val="center"/>
          </w:tcPr>
          <w:p w14:paraId="345B896D">
            <w:pPr>
              <w:spacing w:line="480" w:lineRule="auto"/>
              <w:rPr>
                <w:rFonts w:ascii="Times New Roman" w:hAnsi="Times New Roman" w:cs="Times New Roman"/>
                <w:szCs w:val="21"/>
              </w:rPr>
            </w:pPr>
            <w:r>
              <w:rPr>
                <w:rFonts w:hint="eastAsia" w:ascii="Times New Roman" w:hAnsi="Times New Roman" w:cs="Times New Roman"/>
                <w:szCs w:val="21"/>
              </w:rPr>
              <w:t>[-0.010, 0.008]</w:t>
            </w:r>
          </w:p>
        </w:tc>
        <w:tc>
          <w:tcPr>
            <w:tcW w:w="1020" w:type="dxa"/>
            <w:tcBorders>
              <w:tl2br w:val="nil"/>
              <w:tr2bl w:val="nil"/>
            </w:tcBorders>
            <w:vAlign w:val="center"/>
          </w:tcPr>
          <w:p w14:paraId="36B3F556">
            <w:pPr>
              <w:spacing w:line="480" w:lineRule="auto"/>
              <w:rPr>
                <w:rFonts w:ascii="Times New Roman" w:hAnsi="Times New Roman" w:cs="Times New Roman"/>
                <w:szCs w:val="21"/>
              </w:rPr>
            </w:pPr>
            <w:r>
              <w:rPr>
                <w:rFonts w:ascii="Times New Roman" w:hAnsi="Times New Roman" w:eastAsia="宋体" w:cs="Times New Roman"/>
                <w:bCs/>
                <w:sz w:val="24"/>
              </w:rPr>
              <w:t>--</w:t>
            </w:r>
          </w:p>
        </w:tc>
        <w:tc>
          <w:tcPr>
            <w:tcW w:w="1020" w:type="dxa"/>
            <w:tcBorders>
              <w:tl2br w:val="nil"/>
              <w:tr2bl w:val="nil"/>
            </w:tcBorders>
            <w:vAlign w:val="center"/>
          </w:tcPr>
          <w:p w14:paraId="30D7BCCF">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5F731F7F">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5E8C4438">
            <w:pPr>
              <w:spacing w:line="480" w:lineRule="auto"/>
              <w:rPr>
                <w:rFonts w:ascii="Times New Roman" w:hAnsi="Times New Roman" w:cs="Times New Roman"/>
                <w:sz w:val="24"/>
              </w:rPr>
            </w:pPr>
            <w:r>
              <w:rPr>
                <w:rFonts w:ascii="Times New Roman" w:hAnsi="Times New Roman" w:eastAsia="宋体" w:cs="Times New Roman"/>
                <w:bCs/>
                <w:sz w:val="24"/>
              </w:rPr>
              <w:t>--</w:t>
            </w:r>
          </w:p>
        </w:tc>
      </w:tr>
    </w:tbl>
    <w:p w14:paraId="2262A392">
      <w:pPr>
        <w:spacing w:line="480" w:lineRule="auto"/>
        <w:rPr>
          <w:rFonts w:ascii="Times New Roman" w:hAnsi="Times New Roman" w:eastAsia="宋体" w:cs="Times New Roman"/>
          <w:kern w:val="0"/>
          <w:szCs w:val="21"/>
        </w:rPr>
      </w:pPr>
      <w:r>
        <w:rPr>
          <w:rFonts w:ascii="Times New Roman" w:hAnsi="Times New Roman" w:eastAsia="宋体" w:cs="Times New Roman"/>
          <w:i/>
          <w:iCs/>
          <w:kern w:val="0"/>
          <w:szCs w:val="21"/>
        </w:rPr>
        <w:t>Note</w:t>
      </w:r>
      <w:r>
        <w:rPr>
          <w:rFonts w:hint="eastAsia" w:ascii="Times New Roman" w:hAnsi="Times New Roman" w:eastAsia="宋体" w:cs="Times New Roman"/>
          <w:i/>
          <w:iCs/>
          <w:kern w:val="0"/>
          <w:szCs w:val="21"/>
        </w:rPr>
        <w:t>.</w:t>
      </w:r>
      <w:r>
        <w:rPr>
          <w:rFonts w:ascii="Times New Roman" w:hAnsi="Times New Roman" w:eastAsia="宋体" w:cs="Times New Roman"/>
          <w:kern w:val="0"/>
          <w:szCs w:val="21"/>
        </w:rPr>
        <w:t xml:space="preserve"> Model: lmer</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w:t>
      </w:r>
      <w:r>
        <w:rPr>
          <w:rFonts w:hint="eastAsia" w:ascii="Times New Roman" w:hAnsi="Times New Roman" w:eastAsia="宋体" w:cs="Times New Roman"/>
          <w:i/>
          <w:iCs/>
          <w:kern w:val="0"/>
          <w:szCs w:val="21"/>
        </w:rPr>
        <w:t>RT</w:t>
      </w:r>
      <w:r>
        <w:rPr>
          <w:rFonts w:ascii="Times New Roman" w:hAnsi="Times New Roman" w:eastAsia="宋体" w:cs="Times New Roman"/>
          <w:kern w:val="0"/>
          <w:szCs w:val="21"/>
        </w:rPr>
        <w:t xml:space="preserve"> ~ </w:t>
      </w:r>
      <w:r>
        <w:rPr>
          <w:rFonts w:ascii="Times New Roman" w:hAnsi="Times New Roman" w:cs="Times New Roman"/>
          <w:i/>
          <w:iCs/>
          <w:szCs w:val="21"/>
        </w:rPr>
        <w:t>Stimulation region</w:t>
      </w:r>
      <w:r>
        <w:rPr>
          <w:rFonts w:ascii="Times New Roman" w:hAnsi="Times New Roman" w:eastAsia="宋体" w:cs="Times New Roman"/>
          <w:kern w:val="0"/>
          <w:szCs w:val="21"/>
        </w:rPr>
        <w:t xml:space="preserve"> * </w:t>
      </w:r>
      <w:r>
        <w:rPr>
          <w:rFonts w:ascii="Times New Roman" w:hAnsi="Times New Roman" w:cs="Times New Roman"/>
          <w:i/>
          <w:iCs/>
          <w:szCs w:val="21"/>
        </w:rPr>
        <w:t>Structure type</w:t>
      </w:r>
      <w:r>
        <w:rPr>
          <w:rFonts w:ascii="Times New Roman" w:hAnsi="Times New Roman" w:eastAsia="宋体" w:cs="Times New Roman"/>
          <w:kern w:val="0"/>
          <w:szCs w:val="21"/>
        </w:rPr>
        <w:t xml:space="preserve"> + (1</w:t>
      </w:r>
      <w:r>
        <w:rPr>
          <w:rFonts w:hint="eastAsia" w:ascii="Times New Roman" w:hAnsi="Times New Roman" w:eastAsia="宋体" w:cs="Times New Roman"/>
          <w:kern w:val="0"/>
          <w:szCs w:val="21"/>
        </w:rPr>
        <w:t xml:space="preserve"> </w:t>
      </w:r>
      <w:r>
        <w:rPr>
          <w:rFonts w:ascii="Times New Roman" w:hAnsi="Times New Roman" w:cs="Times New Roman"/>
          <w:i/>
          <w:iCs/>
          <w:szCs w:val="21"/>
        </w:rPr>
        <w:t xml:space="preserve">+ Stimulation region </w:t>
      </w:r>
      <w:r>
        <w:rPr>
          <w:rFonts w:hint="eastAsia" w:ascii="Times New Roman" w:hAnsi="Times New Roman" w:cs="Times New Roman"/>
          <w:i/>
          <w:iCs/>
          <w:szCs w:val="21"/>
        </w:rPr>
        <w:t>+</w:t>
      </w:r>
      <w:r>
        <w:rPr>
          <w:rFonts w:ascii="Times New Roman" w:hAnsi="Times New Roman" w:cs="Times New Roman"/>
          <w:i/>
          <w:iCs/>
          <w:szCs w:val="21"/>
        </w:rPr>
        <w:t xml:space="preserve"> Structure type</w:t>
      </w:r>
      <w:r>
        <w:rPr>
          <w:rFonts w:hint="eastAsia" w:ascii="Times New Roman" w:hAnsi="Times New Roman" w:cs="Times New Roman"/>
          <w:i/>
          <w:iCs/>
          <w:szCs w:val="21"/>
        </w:rPr>
        <w:t xml:space="preserve"> </w:t>
      </w:r>
      <w:r>
        <w:rPr>
          <w:rFonts w:ascii="Times New Roman" w:hAnsi="Times New Roman" w:eastAsia="宋体" w:cs="Times New Roman"/>
          <w:kern w:val="0"/>
          <w:szCs w:val="21"/>
        </w:rPr>
        <w:t>|subject) + (1 |item)).</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Abbreviations:</w:t>
      </w:r>
      <w:r>
        <w:rPr>
          <w:rFonts w:hint="eastAsia" w:ascii="Times New Roman" w:hAnsi="Times New Roman" w:eastAsia="宋体" w:cs="Times New Roman"/>
          <w:kern w:val="0"/>
          <w:szCs w:val="21"/>
        </w:rPr>
        <w:t xml:space="preserve"> COM = complex sentence; SP = simple sentence; WL = word list.</w:t>
      </w:r>
      <w:r>
        <w:rPr>
          <w:rFonts w:hint="eastAsia" w:ascii="Times New Roman" w:hAnsi="Times New Roman" w:eastAsia="宋体" w:cs="Times New Roman"/>
          <w:kern w:val="0"/>
          <w:szCs w:val="21"/>
        </w:rPr>
        <w:br w:type="page"/>
      </w:r>
    </w:p>
    <w:p w14:paraId="3D29E909">
      <w:pPr>
        <w:spacing w:line="480" w:lineRule="auto"/>
        <w:jc w:val="center"/>
        <w:rPr>
          <w:rFonts w:ascii="Times New Roman" w:hAnsi="Times New Roman" w:cs="Times New Roman"/>
          <w:b/>
          <w:bCs/>
          <w:szCs w:val="21"/>
        </w:rPr>
      </w:pPr>
      <w:r>
        <w:rPr>
          <w:rFonts w:ascii="Times New Roman" w:hAnsi="Times New Roman" w:cs="Times New Roman"/>
          <w:b/>
          <w:bCs/>
          <w:szCs w:val="21"/>
        </w:rPr>
        <w:t>Table</w:t>
      </w:r>
      <w:r>
        <w:rPr>
          <w:rFonts w:hint="eastAsia" w:ascii="Times New Roman" w:hAnsi="Times New Roman" w:cs="Times New Roman"/>
          <w:b/>
          <w:bCs/>
          <w:szCs w:val="21"/>
        </w:rPr>
        <w:t xml:space="preserve"> S2 </w:t>
      </w:r>
      <w:r>
        <w:rPr>
          <w:rFonts w:ascii="Times New Roman" w:hAnsi="Times New Roman" w:cs="Times New Roman"/>
          <w:b/>
          <w:bCs/>
          <w:i/>
          <w:iCs/>
          <w:szCs w:val="21"/>
        </w:rPr>
        <w:t>Results of the</w:t>
      </w:r>
      <w:r>
        <w:rPr>
          <w:rFonts w:hint="eastAsia" w:ascii="Times New Roman" w:hAnsi="Times New Roman" w:cs="Times New Roman"/>
          <w:b/>
          <w:bCs/>
          <w:i/>
          <w:iCs/>
          <w:szCs w:val="21"/>
        </w:rPr>
        <w:t xml:space="preserve"> </w:t>
      </w:r>
      <w:r>
        <w:rPr>
          <w:rFonts w:ascii="Times New Roman" w:hAnsi="Times New Roman" w:cs="Times New Roman"/>
          <w:b/>
          <w:bCs/>
          <w:i/>
          <w:iCs/>
          <w:szCs w:val="21"/>
        </w:rPr>
        <w:t xml:space="preserve">Generalized Linear Mixed-Effects Model for TMS </w:t>
      </w:r>
      <w:r>
        <w:rPr>
          <w:rFonts w:hint="eastAsia" w:ascii="Times New Roman" w:hAnsi="Times New Roman" w:cs="Times New Roman"/>
          <w:b/>
          <w:bCs/>
          <w:i/>
          <w:iCs/>
          <w:szCs w:val="21"/>
        </w:rPr>
        <w:t>Accuracy</w:t>
      </w:r>
    </w:p>
    <w:tbl>
      <w:tblPr>
        <w:tblStyle w:val="7"/>
        <w:tblW w:w="13589"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42"/>
        <w:gridCol w:w="1020"/>
        <w:gridCol w:w="1020"/>
        <w:gridCol w:w="1020"/>
        <w:gridCol w:w="1020"/>
        <w:gridCol w:w="1687"/>
        <w:gridCol w:w="1020"/>
        <w:gridCol w:w="1020"/>
        <w:gridCol w:w="1020"/>
        <w:gridCol w:w="1020"/>
      </w:tblGrid>
      <w:tr w14:paraId="266108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vMerge w:val="restart"/>
            <w:tcBorders>
              <w:tl2br w:val="nil"/>
              <w:tr2bl w:val="nil"/>
            </w:tcBorders>
            <w:vAlign w:val="center"/>
          </w:tcPr>
          <w:p w14:paraId="0BDDE5AD">
            <w:pPr>
              <w:spacing w:line="480" w:lineRule="auto"/>
              <w:jc w:val="center"/>
              <w:rPr>
                <w:rFonts w:ascii="Times New Roman" w:hAnsi="Times New Roman" w:cs="Times New Roman"/>
                <w:i/>
                <w:iCs/>
                <w:szCs w:val="21"/>
              </w:rPr>
            </w:pPr>
          </w:p>
        </w:tc>
        <w:tc>
          <w:tcPr>
            <w:tcW w:w="5767" w:type="dxa"/>
            <w:gridSpan w:val="5"/>
            <w:vMerge w:val="restart"/>
            <w:tcBorders>
              <w:tl2br w:val="nil"/>
              <w:tr2bl w:val="nil"/>
            </w:tcBorders>
            <w:vAlign w:val="center"/>
          </w:tcPr>
          <w:p w14:paraId="5AC0C46F">
            <w:pPr>
              <w:spacing w:line="480" w:lineRule="auto"/>
              <w:jc w:val="center"/>
              <w:rPr>
                <w:rFonts w:ascii="Times New Roman" w:hAnsi="Times New Roman" w:cs="Times New Roman"/>
                <w:szCs w:val="21"/>
              </w:rPr>
            </w:pPr>
            <w:r>
              <w:rPr>
                <w:rFonts w:ascii="Times New Roman" w:hAnsi="Times New Roman" w:cs="Times New Roman"/>
                <w:szCs w:val="21"/>
              </w:rPr>
              <w:t>Fixed Effects</w:t>
            </w:r>
          </w:p>
        </w:tc>
        <w:tc>
          <w:tcPr>
            <w:tcW w:w="4080" w:type="dxa"/>
            <w:gridSpan w:val="4"/>
            <w:tcBorders>
              <w:bottom w:val="single" w:color="auto" w:sz="6" w:space="0"/>
              <w:tl2br w:val="nil"/>
              <w:tr2bl w:val="nil"/>
            </w:tcBorders>
            <w:vAlign w:val="center"/>
          </w:tcPr>
          <w:p w14:paraId="303CC512">
            <w:pPr>
              <w:spacing w:line="480" w:lineRule="auto"/>
              <w:jc w:val="center"/>
              <w:rPr>
                <w:rFonts w:ascii="Times New Roman" w:hAnsi="Times New Roman" w:cs="Times New Roman"/>
                <w:szCs w:val="21"/>
              </w:rPr>
            </w:pPr>
            <w:r>
              <w:rPr>
                <w:rFonts w:ascii="Times New Roman" w:hAnsi="Times New Roman" w:cs="Times New Roman"/>
                <w:szCs w:val="21"/>
              </w:rPr>
              <w:t>Random Effects</w:t>
            </w:r>
          </w:p>
        </w:tc>
      </w:tr>
      <w:tr w14:paraId="409B11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vMerge w:val="continue"/>
            <w:tcBorders>
              <w:tl2br w:val="nil"/>
              <w:tr2bl w:val="nil"/>
            </w:tcBorders>
            <w:vAlign w:val="center"/>
          </w:tcPr>
          <w:p w14:paraId="739D4758">
            <w:pPr>
              <w:spacing w:line="480" w:lineRule="auto"/>
              <w:rPr>
                <w:rFonts w:ascii="Times New Roman" w:hAnsi="Times New Roman" w:cs="Times New Roman"/>
                <w:i/>
                <w:iCs/>
                <w:szCs w:val="21"/>
              </w:rPr>
            </w:pPr>
          </w:p>
        </w:tc>
        <w:tc>
          <w:tcPr>
            <w:tcW w:w="5767" w:type="dxa"/>
            <w:gridSpan w:val="5"/>
            <w:vMerge w:val="continue"/>
            <w:tcBorders>
              <w:bottom w:val="single" w:color="auto" w:sz="6" w:space="0"/>
              <w:tl2br w:val="nil"/>
              <w:tr2bl w:val="nil"/>
            </w:tcBorders>
            <w:vAlign w:val="center"/>
          </w:tcPr>
          <w:p w14:paraId="73C6E4FD">
            <w:pPr>
              <w:spacing w:line="480" w:lineRule="auto"/>
              <w:jc w:val="center"/>
              <w:rPr>
                <w:rFonts w:ascii="Times New Roman" w:hAnsi="Times New Roman" w:cs="Times New Roman"/>
                <w:szCs w:val="21"/>
              </w:rPr>
            </w:pPr>
          </w:p>
        </w:tc>
        <w:tc>
          <w:tcPr>
            <w:tcW w:w="2040" w:type="dxa"/>
            <w:gridSpan w:val="2"/>
            <w:tcBorders>
              <w:bottom w:val="single" w:color="auto" w:sz="6" w:space="0"/>
              <w:tl2br w:val="nil"/>
              <w:tr2bl w:val="nil"/>
            </w:tcBorders>
            <w:vAlign w:val="center"/>
          </w:tcPr>
          <w:p w14:paraId="304BBF03">
            <w:pPr>
              <w:spacing w:line="480" w:lineRule="auto"/>
              <w:jc w:val="center"/>
              <w:rPr>
                <w:rFonts w:ascii="Times New Roman" w:hAnsi="Times New Roman" w:cs="Times New Roman"/>
                <w:szCs w:val="21"/>
              </w:rPr>
            </w:pPr>
            <w:r>
              <w:rPr>
                <w:rFonts w:ascii="Times New Roman" w:hAnsi="Times New Roman" w:cs="Times New Roman"/>
                <w:szCs w:val="21"/>
              </w:rPr>
              <w:t>Subject</w:t>
            </w:r>
          </w:p>
        </w:tc>
        <w:tc>
          <w:tcPr>
            <w:tcW w:w="2040" w:type="dxa"/>
            <w:gridSpan w:val="2"/>
            <w:tcBorders>
              <w:bottom w:val="single" w:color="auto" w:sz="6" w:space="0"/>
              <w:tl2br w:val="nil"/>
              <w:tr2bl w:val="nil"/>
            </w:tcBorders>
            <w:vAlign w:val="center"/>
          </w:tcPr>
          <w:p w14:paraId="64EBAEBA">
            <w:pPr>
              <w:spacing w:line="480" w:lineRule="auto"/>
              <w:jc w:val="center"/>
              <w:rPr>
                <w:rFonts w:ascii="Times New Roman" w:hAnsi="Times New Roman" w:cs="Times New Roman"/>
                <w:szCs w:val="21"/>
              </w:rPr>
            </w:pPr>
            <w:r>
              <w:rPr>
                <w:rFonts w:ascii="Times New Roman" w:hAnsi="Times New Roman" w:cs="Times New Roman"/>
                <w:szCs w:val="21"/>
              </w:rPr>
              <w:t>Item</w:t>
            </w:r>
          </w:p>
        </w:tc>
      </w:tr>
      <w:tr w14:paraId="0E06AA9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vMerge w:val="continue"/>
            <w:tcBorders>
              <w:bottom w:val="single" w:color="auto" w:sz="6" w:space="0"/>
              <w:tl2br w:val="nil"/>
              <w:tr2bl w:val="nil"/>
            </w:tcBorders>
            <w:vAlign w:val="center"/>
          </w:tcPr>
          <w:p w14:paraId="17EFC67E">
            <w:pPr>
              <w:spacing w:line="480" w:lineRule="auto"/>
              <w:rPr>
                <w:rFonts w:ascii="Times New Roman" w:hAnsi="Times New Roman" w:cs="Times New Roman"/>
                <w:i/>
                <w:iCs/>
                <w:szCs w:val="21"/>
              </w:rPr>
            </w:pPr>
          </w:p>
        </w:tc>
        <w:tc>
          <w:tcPr>
            <w:tcW w:w="1020" w:type="dxa"/>
            <w:tcBorders>
              <w:bottom w:val="single" w:color="auto" w:sz="6" w:space="0"/>
              <w:tl2br w:val="nil"/>
              <w:tr2bl w:val="nil"/>
            </w:tcBorders>
            <w:vAlign w:val="center"/>
          </w:tcPr>
          <w:p w14:paraId="649E9801">
            <w:pPr>
              <w:spacing w:line="480" w:lineRule="auto"/>
              <w:jc w:val="center"/>
              <w:rPr>
                <w:rFonts w:ascii="Times New Roman" w:hAnsi="Times New Roman" w:cs="Times New Roman"/>
                <w:i/>
                <w:iCs/>
                <w:szCs w:val="21"/>
              </w:rPr>
            </w:pPr>
            <w:r>
              <w:rPr>
                <w:rFonts w:ascii="Times New Roman" w:hAnsi="Times New Roman" w:cs="Times New Roman"/>
                <w:i/>
                <w:iCs/>
                <w:szCs w:val="21"/>
              </w:rPr>
              <w:t>b</w:t>
            </w:r>
          </w:p>
        </w:tc>
        <w:tc>
          <w:tcPr>
            <w:tcW w:w="1020" w:type="dxa"/>
            <w:tcBorders>
              <w:bottom w:val="single" w:color="auto" w:sz="6" w:space="0"/>
              <w:tl2br w:val="nil"/>
              <w:tr2bl w:val="nil"/>
            </w:tcBorders>
            <w:vAlign w:val="center"/>
          </w:tcPr>
          <w:p w14:paraId="333A3C1A">
            <w:pPr>
              <w:spacing w:line="480" w:lineRule="auto"/>
              <w:jc w:val="center"/>
              <w:rPr>
                <w:rFonts w:ascii="Times New Roman" w:hAnsi="Times New Roman" w:cs="Times New Roman"/>
                <w:i/>
                <w:iCs/>
                <w:szCs w:val="21"/>
              </w:rPr>
            </w:pPr>
            <w:r>
              <w:rPr>
                <w:rFonts w:ascii="Times New Roman" w:hAnsi="Times New Roman" w:cs="Times New Roman"/>
                <w:i/>
                <w:iCs/>
                <w:szCs w:val="21"/>
              </w:rPr>
              <w:t>SE</w:t>
            </w:r>
          </w:p>
        </w:tc>
        <w:tc>
          <w:tcPr>
            <w:tcW w:w="1020" w:type="dxa"/>
            <w:tcBorders>
              <w:bottom w:val="single" w:color="auto" w:sz="6" w:space="0"/>
              <w:tl2br w:val="nil"/>
              <w:tr2bl w:val="nil"/>
            </w:tcBorders>
            <w:vAlign w:val="center"/>
          </w:tcPr>
          <w:p w14:paraId="5C206DD6">
            <w:pPr>
              <w:spacing w:line="480" w:lineRule="auto"/>
              <w:jc w:val="center"/>
              <w:rPr>
                <w:rFonts w:ascii="Times New Roman" w:hAnsi="Times New Roman" w:cs="Times New Roman"/>
                <w:i/>
                <w:iCs/>
                <w:szCs w:val="21"/>
              </w:rPr>
            </w:pPr>
            <w:r>
              <w:rPr>
                <w:rFonts w:hint="eastAsia" w:ascii="Times New Roman" w:hAnsi="Times New Roman" w:cs="Times New Roman"/>
                <w:i/>
                <w:iCs/>
                <w:szCs w:val="21"/>
              </w:rPr>
              <w:t>z</w:t>
            </w:r>
          </w:p>
        </w:tc>
        <w:tc>
          <w:tcPr>
            <w:tcW w:w="1020" w:type="dxa"/>
            <w:tcBorders>
              <w:bottom w:val="single" w:color="auto" w:sz="6" w:space="0"/>
              <w:tl2br w:val="nil"/>
              <w:tr2bl w:val="nil"/>
            </w:tcBorders>
            <w:vAlign w:val="center"/>
          </w:tcPr>
          <w:p w14:paraId="63229404">
            <w:pPr>
              <w:spacing w:line="480" w:lineRule="auto"/>
              <w:jc w:val="center"/>
              <w:rPr>
                <w:rFonts w:ascii="Times New Roman" w:hAnsi="Times New Roman" w:cs="Times New Roman"/>
                <w:i/>
                <w:iCs/>
                <w:szCs w:val="21"/>
              </w:rPr>
            </w:pPr>
            <w:r>
              <w:rPr>
                <w:rFonts w:ascii="Times New Roman" w:hAnsi="Times New Roman" w:cs="Times New Roman"/>
                <w:i/>
                <w:iCs/>
                <w:szCs w:val="21"/>
              </w:rPr>
              <w:t>p</w:t>
            </w:r>
          </w:p>
        </w:tc>
        <w:tc>
          <w:tcPr>
            <w:tcW w:w="1687" w:type="dxa"/>
            <w:tcBorders>
              <w:bottom w:val="single" w:color="auto" w:sz="6" w:space="0"/>
              <w:tl2br w:val="nil"/>
              <w:tr2bl w:val="nil"/>
            </w:tcBorders>
            <w:vAlign w:val="center"/>
          </w:tcPr>
          <w:p w14:paraId="40953F29">
            <w:pPr>
              <w:spacing w:line="480" w:lineRule="auto"/>
              <w:jc w:val="center"/>
              <w:rPr>
                <w:rFonts w:ascii="Times New Roman" w:hAnsi="Times New Roman" w:cs="Times New Roman"/>
                <w:i/>
                <w:iCs/>
                <w:szCs w:val="21"/>
              </w:rPr>
            </w:pPr>
            <w:r>
              <w:rPr>
                <w:rFonts w:hint="eastAsia" w:ascii="Times New Roman" w:hAnsi="Times New Roman" w:cs="Times New Roman"/>
                <w:szCs w:val="21"/>
              </w:rPr>
              <w:t xml:space="preserve">95% </w:t>
            </w:r>
            <w:r>
              <w:rPr>
                <w:rFonts w:hint="eastAsia" w:ascii="Times New Roman" w:hAnsi="Times New Roman" w:cs="Times New Roman"/>
                <w:i/>
                <w:iCs/>
                <w:szCs w:val="21"/>
              </w:rPr>
              <w:t>CI</w:t>
            </w:r>
          </w:p>
        </w:tc>
        <w:tc>
          <w:tcPr>
            <w:tcW w:w="1020" w:type="dxa"/>
            <w:tcBorders>
              <w:bottom w:val="single" w:color="auto" w:sz="6" w:space="0"/>
              <w:tl2br w:val="nil"/>
              <w:tr2bl w:val="nil"/>
            </w:tcBorders>
            <w:vAlign w:val="center"/>
          </w:tcPr>
          <w:p w14:paraId="38A4DC57">
            <w:pPr>
              <w:spacing w:line="480" w:lineRule="auto"/>
              <w:jc w:val="center"/>
              <w:rPr>
                <w:rFonts w:ascii="Times New Roman" w:hAnsi="Times New Roman" w:cs="Times New Roman"/>
                <w:i/>
                <w:iCs/>
                <w:szCs w:val="21"/>
              </w:rPr>
            </w:pPr>
            <w:r>
              <w:rPr>
                <w:rFonts w:ascii="Times New Roman" w:hAnsi="Times New Roman" w:cs="Times New Roman"/>
                <w:i/>
                <w:iCs/>
                <w:szCs w:val="21"/>
              </w:rPr>
              <w:t>Variance</w:t>
            </w:r>
          </w:p>
        </w:tc>
        <w:tc>
          <w:tcPr>
            <w:tcW w:w="1020" w:type="dxa"/>
            <w:tcBorders>
              <w:bottom w:val="single" w:color="auto" w:sz="6" w:space="0"/>
              <w:tl2br w:val="nil"/>
              <w:tr2bl w:val="nil"/>
            </w:tcBorders>
            <w:vAlign w:val="center"/>
          </w:tcPr>
          <w:p w14:paraId="27A5C448">
            <w:pPr>
              <w:spacing w:line="480" w:lineRule="auto"/>
              <w:jc w:val="center"/>
              <w:rPr>
                <w:rFonts w:ascii="Times New Roman" w:hAnsi="Times New Roman" w:cs="Times New Roman"/>
                <w:i/>
                <w:iCs/>
                <w:szCs w:val="21"/>
              </w:rPr>
            </w:pPr>
            <w:r>
              <w:rPr>
                <w:rFonts w:ascii="Times New Roman" w:hAnsi="Times New Roman" w:cs="Times New Roman"/>
                <w:i/>
                <w:iCs/>
                <w:szCs w:val="21"/>
              </w:rPr>
              <w:t>ICC</w:t>
            </w:r>
          </w:p>
        </w:tc>
        <w:tc>
          <w:tcPr>
            <w:tcW w:w="1020" w:type="dxa"/>
            <w:tcBorders>
              <w:bottom w:val="single" w:color="auto" w:sz="6" w:space="0"/>
              <w:tl2br w:val="nil"/>
              <w:tr2bl w:val="nil"/>
            </w:tcBorders>
            <w:vAlign w:val="center"/>
          </w:tcPr>
          <w:p w14:paraId="1D67CD5C">
            <w:pPr>
              <w:spacing w:line="480" w:lineRule="auto"/>
              <w:jc w:val="center"/>
              <w:rPr>
                <w:rFonts w:ascii="Times New Roman" w:hAnsi="Times New Roman" w:cs="Times New Roman"/>
                <w:i/>
                <w:iCs/>
                <w:szCs w:val="21"/>
              </w:rPr>
            </w:pPr>
            <w:r>
              <w:rPr>
                <w:rFonts w:ascii="Times New Roman" w:hAnsi="Times New Roman" w:cs="Times New Roman"/>
                <w:i/>
                <w:iCs/>
                <w:szCs w:val="21"/>
              </w:rPr>
              <w:t>Variance</w:t>
            </w:r>
          </w:p>
        </w:tc>
        <w:tc>
          <w:tcPr>
            <w:tcW w:w="1020" w:type="dxa"/>
            <w:tcBorders>
              <w:bottom w:val="single" w:color="auto" w:sz="6" w:space="0"/>
              <w:tl2br w:val="nil"/>
              <w:tr2bl w:val="nil"/>
            </w:tcBorders>
            <w:vAlign w:val="center"/>
          </w:tcPr>
          <w:p w14:paraId="323DF5AD">
            <w:pPr>
              <w:spacing w:line="480" w:lineRule="auto"/>
              <w:jc w:val="center"/>
              <w:rPr>
                <w:rFonts w:ascii="Times New Roman" w:hAnsi="Times New Roman" w:cs="Times New Roman"/>
                <w:i/>
                <w:iCs/>
                <w:szCs w:val="21"/>
              </w:rPr>
            </w:pPr>
            <w:r>
              <w:rPr>
                <w:rFonts w:ascii="Times New Roman" w:hAnsi="Times New Roman" w:cs="Times New Roman"/>
                <w:i/>
                <w:iCs/>
                <w:szCs w:val="21"/>
              </w:rPr>
              <w:t>ICC</w:t>
            </w:r>
          </w:p>
        </w:tc>
      </w:tr>
      <w:tr w14:paraId="4B2CFF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42" w:type="dxa"/>
            <w:tcBorders>
              <w:top w:val="single" w:color="auto" w:sz="6" w:space="0"/>
            </w:tcBorders>
            <w:vAlign w:val="center"/>
          </w:tcPr>
          <w:p w14:paraId="30CC2ECA">
            <w:pPr>
              <w:spacing w:line="480" w:lineRule="auto"/>
              <w:rPr>
                <w:rFonts w:ascii="Times New Roman" w:hAnsi="Times New Roman" w:cs="Times New Roman"/>
                <w:szCs w:val="21"/>
              </w:rPr>
            </w:pPr>
            <w:r>
              <w:rPr>
                <w:rFonts w:ascii="Times New Roman" w:hAnsi="Times New Roman" w:cs="Times New Roman"/>
                <w:szCs w:val="21"/>
              </w:rPr>
              <w:t>Intercept</w:t>
            </w:r>
          </w:p>
        </w:tc>
        <w:tc>
          <w:tcPr>
            <w:tcW w:w="1020" w:type="dxa"/>
            <w:tcBorders>
              <w:top w:val="single" w:color="auto" w:sz="6" w:space="0"/>
            </w:tcBorders>
            <w:vAlign w:val="center"/>
          </w:tcPr>
          <w:p w14:paraId="242BC87C">
            <w:pPr>
              <w:spacing w:line="480" w:lineRule="auto"/>
              <w:rPr>
                <w:rFonts w:ascii="Times New Roman" w:hAnsi="Times New Roman" w:cs="Times New Roman"/>
                <w:szCs w:val="21"/>
              </w:rPr>
            </w:pPr>
            <w:r>
              <w:rPr>
                <w:rFonts w:hint="eastAsia" w:ascii="Times New Roman" w:hAnsi="Times New Roman" w:cs="Times New Roman"/>
                <w:szCs w:val="21"/>
              </w:rPr>
              <w:t>1.919</w:t>
            </w:r>
          </w:p>
        </w:tc>
        <w:tc>
          <w:tcPr>
            <w:tcW w:w="1020" w:type="dxa"/>
            <w:tcBorders>
              <w:top w:val="single" w:color="auto" w:sz="6" w:space="0"/>
            </w:tcBorders>
            <w:vAlign w:val="center"/>
          </w:tcPr>
          <w:p w14:paraId="3EB7135D">
            <w:pPr>
              <w:spacing w:line="480" w:lineRule="auto"/>
              <w:rPr>
                <w:rFonts w:ascii="Times New Roman" w:hAnsi="Times New Roman" w:cs="Times New Roman"/>
                <w:szCs w:val="21"/>
              </w:rPr>
            </w:pPr>
            <w:r>
              <w:rPr>
                <w:rFonts w:hint="eastAsia" w:ascii="Times New Roman" w:hAnsi="Times New Roman" w:cs="Times New Roman"/>
                <w:szCs w:val="21"/>
              </w:rPr>
              <w:t>0.211</w:t>
            </w:r>
          </w:p>
        </w:tc>
        <w:tc>
          <w:tcPr>
            <w:tcW w:w="1020" w:type="dxa"/>
            <w:tcBorders>
              <w:top w:val="single" w:color="auto" w:sz="6" w:space="0"/>
            </w:tcBorders>
            <w:vAlign w:val="center"/>
          </w:tcPr>
          <w:p w14:paraId="106EBA38">
            <w:pPr>
              <w:spacing w:line="480" w:lineRule="auto"/>
              <w:rPr>
                <w:rFonts w:ascii="Times New Roman" w:hAnsi="Times New Roman" w:cs="Times New Roman"/>
                <w:szCs w:val="21"/>
              </w:rPr>
            </w:pPr>
            <w:r>
              <w:rPr>
                <w:rFonts w:hint="eastAsia" w:ascii="Times New Roman" w:hAnsi="Times New Roman" w:cs="Times New Roman"/>
                <w:szCs w:val="21"/>
              </w:rPr>
              <w:t>9.08</w:t>
            </w:r>
          </w:p>
        </w:tc>
        <w:tc>
          <w:tcPr>
            <w:tcW w:w="1020" w:type="dxa"/>
            <w:tcBorders>
              <w:top w:val="single" w:color="auto" w:sz="6" w:space="0"/>
            </w:tcBorders>
            <w:vAlign w:val="center"/>
          </w:tcPr>
          <w:p w14:paraId="02EAAB3F">
            <w:pPr>
              <w:spacing w:line="480" w:lineRule="auto"/>
              <w:rPr>
                <w:rFonts w:ascii="Times New Roman" w:hAnsi="Times New Roman" w:cs="Times New Roman"/>
                <w:szCs w:val="21"/>
              </w:rPr>
            </w:pPr>
            <w:r>
              <w:rPr>
                <w:rFonts w:hint="eastAsia" w:ascii="Times New Roman" w:hAnsi="Times New Roman" w:cs="Times New Roman"/>
                <w:szCs w:val="21"/>
              </w:rPr>
              <w:t>&lt; 0.001</w:t>
            </w:r>
          </w:p>
        </w:tc>
        <w:tc>
          <w:tcPr>
            <w:tcW w:w="1687" w:type="dxa"/>
            <w:tcBorders>
              <w:top w:val="single" w:color="auto" w:sz="6" w:space="0"/>
            </w:tcBorders>
            <w:vAlign w:val="center"/>
          </w:tcPr>
          <w:p w14:paraId="7FB84C80">
            <w:pPr>
              <w:spacing w:line="480" w:lineRule="auto"/>
              <w:rPr>
                <w:rFonts w:ascii="Times New Roman" w:hAnsi="Times New Roman" w:cs="Times New Roman"/>
                <w:szCs w:val="21"/>
              </w:rPr>
            </w:pPr>
            <w:r>
              <w:rPr>
                <w:rFonts w:hint="eastAsia" w:ascii="Times New Roman" w:hAnsi="Times New Roman" w:cs="Times New Roman"/>
                <w:szCs w:val="21"/>
              </w:rPr>
              <w:t>[1.505, 2.333]</w:t>
            </w:r>
          </w:p>
        </w:tc>
        <w:tc>
          <w:tcPr>
            <w:tcW w:w="1020" w:type="dxa"/>
            <w:tcBorders>
              <w:top w:val="single" w:color="auto" w:sz="6" w:space="0"/>
            </w:tcBorders>
            <w:vAlign w:val="center"/>
          </w:tcPr>
          <w:p w14:paraId="5C5BC8AE">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1.279</w:t>
            </w:r>
          </w:p>
        </w:tc>
        <w:tc>
          <w:tcPr>
            <w:tcW w:w="1020" w:type="dxa"/>
            <w:tcBorders>
              <w:top w:val="single" w:color="auto" w:sz="6" w:space="0"/>
            </w:tcBorders>
            <w:vAlign w:val="center"/>
          </w:tcPr>
          <w:p w14:paraId="482EA7A2">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0.252</w:t>
            </w:r>
          </w:p>
        </w:tc>
        <w:tc>
          <w:tcPr>
            <w:tcW w:w="1020" w:type="dxa"/>
            <w:tcBorders>
              <w:top w:val="single" w:color="auto" w:sz="6" w:space="0"/>
            </w:tcBorders>
            <w:vAlign w:val="center"/>
          </w:tcPr>
          <w:p w14:paraId="40E1C552">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0.508</w:t>
            </w:r>
          </w:p>
        </w:tc>
        <w:tc>
          <w:tcPr>
            <w:tcW w:w="1020" w:type="dxa"/>
            <w:tcBorders>
              <w:top w:val="single" w:color="auto" w:sz="6" w:space="0"/>
            </w:tcBorders>
            <w:vAlign w:val="center"/>
          </w:tcPr>
          <w:p w14:paraId="305BC1F7">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0.100</w:t>
            </w:r>
          </w:p>
        </w:tc>
      </w:tr>
      <w:tr w14:paraId="20E70D9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1844DCD3">
            <w:pPr>
              <w:spacing w:line="480" w:lineRule="auto"/>
              <w:rPr>
                <w:rFonts w:ascii="Times New Roman" w:hAnsi="Times New Roman" w:cs="Times New Roman"/>
                <w:szCs w:val="21"/>
              </w:rPr>
            </w:pP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LIFG</w:t>
            </w:r>
          </w:p>
        </w:tc>
        <w:tc>
          <w:tcPr>
            <w:tcW w:w="1020" w:type="dxa"/>
            <w:tcBorders>
              <w:tl2br w:val="nil"/>
              <w:tr2bl w:val="nil"/>
            </w:tcBorders>
            <w:vAlign w:val="center"/>
          </w:tcPr>
          <w:p w14:paraId="24D84ED7">
            <w:pPr>
              <w:spacing w:line="480" w:lineRule="auto"/>
              <w:rPr>
                <w:rFonts w:ascii="Times New Roman" w:hAnsi="Times New Roman" w:cs="Times New Roman"/>
                <w:szCs w:val="21"/>
              </w:rPr>
            </w:pPr>
            <w:r>
              <w:rPr>
                <w:rFonts w:hint="eastAsia" w:ascii="Times New Roman" w:hAnsi="Times New Roman" w:cs="Times New Roman"/>
                <w:szCs w:val="21"/>
              </w:rPr>
              <w:t>-0.060</w:t>
            </w:r>
          </w:p>
        </w:tc>
        <w:tc>
          <w:tcPr>
            <w:tcW w:w="1020" w:type="dxa"/>
            <w:tcBorders>
              <w:tl2br w:val="nil"/>
              <w:tr2bl w:val="nil"/>
            </w:tcBorders>
            <w:vAlign w:val="center"/>
          </w:tcPr>
          <w:p w14:paraId="19554CD3">
            <w:pPr>
              <w:spacing w:line="480" w:lineRule="auto"/>
              <w:rPr>
                <w:rFonts w:ascii="Times New Roman" w:hAnsi="Times New Roman" w:cs="Times New Roman"/>
                <w:szCs w:val="21"/>
              </w:rPr>
            </w:pPr>
            <w:r>
              <w:rPr>
                <w:rFonts w:hint="eastAsia" w:ascii="Times New Roman" w:hAnsi="Times New Roman" w:cs="Times New Roman"/>
                <w:szCs w:val="21"/>
              </w:rPr>
              <w:t>0.105</w:t>
            </w:r>
          </w:p>
        </w:tc>
        <w:tc>
          <w:tcPr>
            <w:tcW w:w="1020" w:type="dxa"/>
            <w:tcBorders>
              <w:tl2br w:val="nil"/>
              <w:tr2bl w:val="nil"/>
            </w:tcBorders>
            <w:vAlign w:val="center"/>
          </w:tcPr>
          <w:p w14:paraId="7870EF66">
            <w:pPr>
              <w:spacing w:line="480" w:lineRule="auto"/>
              <w:rPr>
                <w:rFonts w:ascii="Times New Roman" w:hAnsi="Times New Roman" w:cs="Times New Roman"/>
                <w:szCs w:val="21"/>
              </w:rPr>
            </w:pPr>
            <w:r>
              <w:rPr>
                <w:rFonts w:hint="eastAsia" w:ascii="Times New Roman" w:hAnsi="Times New Roman" w:cs="Times New Roman"/>
                <w:szCs w:val="21"/>
              </w:rPr>
              <w:t>-0.57</w:t>
            </w:r>
          </w:p>
        </w:tc>
        <w:tc>
          <w:tcPr>
            <w:tcW w:w="1020" w:type="dxa"/>
            <w:tcBorders>
              <w:tl2br w:val="nil"/>
              <w:tr2bl w:val="nil"/>
            </w:tcBorders>
            <w:vAlign w:val="center"/>
          </w:tcPr>
          <w:p w14:paraId="1F9D1777">
            <w:pPr>
              <w:spacing w:line="480" w:lineRule="auto"/>
              <w:rPr>
                <w:rFonts w:ascii="Times New Roman" w:hAnsi="Times New Roman" w:cs="Times New Roman"/>
                <w:szCs w:val="21"/>
              </w:rPr>
            </w:pPr>
            <w:r>
              <w:rPr>
                <w:rFonts w:hint="eastAsia" w:ascii="Times New Roman" w:hAnsi="Times New Roman" w:cs="Times New Roman"/>
                <w:szCs w:val="21"/>
              </w:rPr>
              <w:t>0.567</w:t>
            </w:r>
          </w:p>
        </w:tc>
        <w:tc>
          <w:tcPr>
            <w:tcW w:w="1687" w:type="dxa"/>
            <w:tcBorders>
              <w:tl2br w:val="nil"/>
              <w:tr2bl w:val="nil"/>
            </w:tcBorders>
            <w:vAlign w:val="center"/>
          </w:tcPr>
          <w:p w14:paraId="6899E9FF">
            <w:pPr>
              <w:spacing w:line="480" w:lineRule="auto"/>
              <w:rPr>
                <w:rFonts w:ascii="Times New Roman" w:hAnsi="Times New Roman" w:cs="Times New Roman"/>
                <w:szCs w:val="21"/>
              </w:rPr>
            </w:pPr>
            <w:r>
              <w:rPr>
                <w:rFonts w:hint="eastAsia" w:ascii="Times New Roman" w:hAnsi="Times New Roman" w:cs="Times New Roman"/>
                <w:szCs w:val="21"/>
              </w:rPr>
              <w:t>[-0.265, 0.145]</w:t>
            </w:r>
          </w:p>
        </w:tc>
        <w:tc>
          <w:tcPr>
            <w:tcW w:w="1020" w:type="dxa"/>
            <w:tcBorders>
              <w:tl2br w:val="nil"/>
              <w:tr2bl w:val="nil"/>
            </w:tcBorders>
            <w:vAlign w:val="center"/>
          </w:tcPr>
          <w:p w14:paraId="73B2DD8F">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0.008</w:t>
            </w:r>
          </w:p>
        </w:tc>
        <w:tc>
          <w:tcPr>
            <w:tcW w:w="1020" w:type="dxa"/>
            <w:tcBorders>
              <w:tl2br w:val="nil"/>
              <w:tr2bl w:val="nil"/>
            </w:tcBorders>
            <w:vAlign w:val="center"/>
          </w:tcPr>
          <w:p w14:paraId="2FEAB5CE">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5A4D673E">
            <w:pPr>
              <w:spacing w:line="480" w:lineRule="auto"/>
              <w:rPr>
                <w:rFonts w:ascii="Times New Roman" w:hAnsi="Times New Roman" w:cs="Times New Roman"/>
                <w:szCs w:val="21"/>
              </w:rPr>
            </w:pPr>
            <w:r>
              <w:rPr>
                <w:rFonts w:hint="eastAsia" w:ascii="Times New Roman" w:hAnsi="Times New Roman" w:cs="Times New Roman"/>
                <w:szCs w:val="21"/>
              </w:rPr>
              <w:t>0.938</w:t>
            </w:r>
          </w:p>
        </w:tc>
        <w:tc>
          <w:tcPr>
            <w:tcW w:w="1020" w:type="dxa"/>
            <w:tcBorders>
              <w:tl2br w:val="nil"/>
              <w:tr2bl w:val="nil"/>
            </w:tcBorders>
            <w:vAlign w:val="center"/>
          </w:tcPr>
          <w:p w14:paraId="667E9355">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1742FE3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5B01B219">
            <w:pPr>
              <w:spacing w:line="480" w:lineRule="auto"/>
              <w:rPr>
                <w:rFonts w:ascii="Times New Roman" w:hAnsi="Times New Roman" w:cs="Times New Roman"/>
                <w:szCs w:val="21"/>
              </w:rPr>
            </w:pPr>
            <w:r>
              <w:rPr>
                <w:rFonts w:hint="eastAsia" w:ascii="Times New Roman" w:hAnsi="Times New Roman" w:cs="Times New Roman"/>
                <w:szCs w:val="21"/>
              </w:rPr>
              <w:t>vertex</w:t>
            </w:r>
            <w:r>
              <w:rPr>
                <w:rFonts w:ascii="Times New Roman" w:hAnsi="Times New Roman" w:cs="Times New Roman"/>
                <w:szCs w:val="21"/>
              </w:rPr>
              <w:t xml:space="preserve"> - </w:t>
            </w:r>
            <w:r>
              <w:rPr>
                <w:rFonts w:hint="eastAsia" w:ascii="Times New Roman" w:hAnsi="Times New Roman" w:cs="Times New Roman"/>
                <w:szCs w:val="21"/>
              </w:rPr>
              <w:t>LpTL</w:t>
            </w:r>
          </w:p>
        </w:tc>
        <w:tc>
          <w:tcPr>
            <w:tcW w:w="1020" w:type="dxa"/>
            <w:tcBorders>
              <w:tl2br w:val="nil"/>
              <w:tr2bl w:val="nil"/>
            </w:tcBorders>
            <w:vAlign w:val="center"/>
          </w:tcPr>
          <w:p w14:paraId="6B1A4B29">
            <w:pPr>
              <w:spacing w:line="480" w:lineRule="auto"/>
              <w:rPr>
                <w:rFonts w:ascii="Times New Roman" w:hAnsi="Times New Roman" w:cs="Times New Roman"/>
                <w:szCs w:val="21"/>
              </w:rPr>
            </w:pPr>
            <w:r>
              <w:rPr>
                <w:rFonts w:hint="eastAsia" w:ascii="Times New Roman" w:hAnsi="Times New Roman" w:cs="Times New Roman"/>
                <w:szCs w:val="21"/>
              </w:rPr>
              <w:t>0.111</w:t>
            </w:r>
          </w:p>
        </w:tc>
        <w:tc>
          <w:tcPr>
            <w:tcW w:w="1020" w:type="dxa"/>
            <w:tcBorders>
              <w:tl2br w:val="nil"/>
              <w:tr2bl w:val="nil"/>
            </w:tcBorders>
            <w:vAlign w:val="center"/>
          </w:tcPr>
          <w:p w14:paraId="6AC25B2E">
            <w:pPr>
              <w:spacing w:line="480" w:lineRule="auto"/>
              <w:rPr>
                <w:rFonts w:ascii="Times New Roman" w:hAnsi="Times New Roman" w:cs="Times New Roman"/>
                <w:szCs w:val="21"/>
              </w:rPr>
            </w:pPr>
            <w:r>
              <w:rPr>
                <w:rFonts w:hint="eastAsia" w:ascii="Times New Roman" w:hAnsi="Times New Roman" w:cs="Times New Roman"/>
                <w:szCs w:val="21"/>
              </w:rPr>
              <w:t>0.106</w:t>
            </w:r>
          </w:p>
        </w:tc>
        <w:tc>
          <w:tcPr>
            <w:tcW w:w="1020" w:type="dxa"/>
            <w:tcBorders>
              <w:tl2br w:val="nil"/>
              <w:tr2bl w:val="nil"/>
            </w:tcBorders>
            <w:vAlign w:val="center"/>
          </w:tcPr>
          <w:p w14:paraId="3D30D425">
            <w:pPr>
              <w:spacing w:line="480" w:lineRule="auto"/>
              <w:rPr>
                <w:rFonts w:ascii="Times New Roman" w:hAnsi="Times New Roman" w:cs="Times New Roman"/>
                <w:szCs w:val="21"/>
              </w:rPr>
            </w:pPr>
            <w:r>
              <w:rPr>
                <w:rFonts w:hint="eastAsia" w:ascii="Times New Roman" w:hAnsi="Times New Roman" w:cs="Times New Roman"/>
                <w:szCs w:val="21"/>
              </w:rPr>
              <w:t>1.05</w:t>
            </w:r>
          </w:p>
        </w:tc>
        <w:tc>
          <w:tcPr>
            <w:tcW w:w="1020" w:type="dxa"/>
            <w:tcBorders>
              <w:tl2br w:val="nil"/>
              <w:tr2bl w:val="nil"/>
            </w:tcBorders>
            <w:vAlign w:val="center"/>
          </w:tcPr>
          <w:p w14:paraId="15476084">
            <w:pPr>
              <w:spacing w:line="480" w:lineRule="auto"/>
              <w:rPr>
                <w:rFonts w:ascii="Times New Roman" w:hAnsi="Times New Roman" w:cs="Times New Roman"/>
                <w:szCs w:val="21"/>
              </w:rPr>
            </w:pPr>
            <w:r>
              <w:rPr>
                <w:rFonts w:hint="eastAsia" w:ascii="Times New Roman" w:hAnsi="Times New Roman" w:cs="Times New Roman"/>
                <w:szCs w:val="21"/>
              </w:rPr>
              <w:t>0.295</w:t>
            </w:r>
          </w:p>
        </w:tc>
        <w:tc>
          <w:tcPr>
            <w:tcW w:w="1687" w:type="dxa"/>
            <w:tcBorders>
              <w:tl2br w:val="nil"/>
              <w:tr2bl w:val="nil"/>
            </w:tcBorders>
            <w:vAlign w:val="center"/>
          </w:tcPr>
          <w:p w14:paraId="6E4E6FF5">
            <w:pPr>
              <w:spacing w:line="480" w:lineRule="auto"/>
              <w:rPr>
                <w:rFonts w:ascii="Times New Roman" w:hAnsi="Times New Roman" w:cs="Times New Roman"/>
                <w:szCs w:val="21"/>
              </w:rPr>
            </w:pPr>
            <w:r>
              <w:rPr>
                <w:rFonts w:hint="eastAsia" w:ascii="Times New Roman" w:hAnsi="Times New Roman" w:cs="Times New Roman"/>
                <w:szCs w:val="21"/>
              </w:rPr>
              <w:t>[-0.097, 0.320]</w:t>
            </w:r>
          </w:p>
        </w:tc>
        <w:tc>
          <w:tcPr>
            <w:tcW w:w="1020" w:type="dxa"/>
            <w:tcBorders>
              <w:tl2br w:val="nil"/>
              <w:tr2bl w:val="nil"/>
            </w:tcBorders>
            <w:vAlign w:val="center"/>
          </w:tcPr>
          <w:p w14:paraId="5229F932">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0.028</w:t>
            </w:r>
          </w:p>
        </w:tc>
        <w:tc>
          <w:tcPr>
            <w:tcW w:w="1020" w:type="dxa"/>
            <w:tcBorders>
              <w:tl2br w:val="nil"/>
              <w:tr2bl w:val="nil"/>
            </w:tcBorders>
            <w:vAlign w:val="center"/>
          </w:tcPr>
          <w:p w14:paraId="2F49E249">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407ACC4F">
            <w:pPr>
              <w:spacing w:line="480" w:lineRule="auto"/>
              <w:rPr>
                <w:rFonts w:ascii="Times New Roman" w:hAnsi="Times New Roman" w:cs="Times New Roman"/>
                <w:szCs w:val="21"/>
              </w:rPr>
            </w:pPr>
            <w:r>
              <w:rPr>
                <w:rFonts w:hint="eastAsia" w:ascii="Times New Roman" w:hAnsi="Times New Roman" w:cs="Times New Roman"/>
                <w:szCs w:val="21"/>
              </w:rPr>
              <w:t>0.394</w:t>
            </w:r>
          </w:p>
        </w:tc>
        <w:tc>
          <w:tcPr>
            <w:tcW w:w="1020" w:type="dxa"/>
            <w:tcBorders>
              <w:tl2br w:val="nil"/>
              <w:tr2bl w:val="nil"/>
            </w:tcBorders>
            <w:vAlign w:val="center"/>
          </w:tcPr>
          <w:p w14:paraId="41FCB89C">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7C15287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001F0050">
            <w:pPr>
              <w:spacing w:line="480" w:lineRule="auto"/>
              <w:rPr>
                <w:rFonts w:ascii="Times New Roman" w:hAnsi="Times New Roman" w:cs="Times New Roman"/>
                <w:szCs w:val="21"/>
              </w:rPr>
            </w:pPr>
            <w:r>
              <w:rPr>
                <w:rFonts w:hint="eastAsia" w:ascii="Times New Roman" w:hAnsi="Times New Roman" w:cs="Times New Roman"/>
                <w:szCs w:val="21"/>
              </w:rPr>
              <w:t>COM</w:t>
            </w:r>
            <w:r>
              <w:rPr>
                <w:rFonts w:ascii="Times New Roman" w:hAnsi="Times New Roman" w:cs="Times New Roman"/>
                <w:szCs w:val="21"/>
              </w:rPr>
              <w:t xml:space="preserve"> - </w:t>
            </w:r>
            <w:r>
              <w:rPr>
                <w:rFonts w:hint="eastAsia" w:ascii="Times New Roman" w:hAnsi="Times New Roman" w:cs="Times New Roman"/>
                <w:szCs w:val="21"/>
              </w:rPr>
              <w:t>SP</w:t>
            </w:r>
          </w:p>
        </w:tc>
        <w:tc>
          <w:tcPr>
            <w:tcW w:w="1020" w:type="dxa"/>
            <w:tcBorders>
              <w:tl2br w:val="nil"/>
              <w:tr2bl w:val="nil"/>
            </w:tcBorders>
            <w:vAlign w:val="center"/>
          </w:tcPr>
          <w:p w14:paraId="405BB45C">
            <w:pPr>
              <w:spacing w:line="480" w:lineRule="auto"/>
              <w:rPr>
                <w:rFonts w:ascii="Times New Roman" w:hAnsi="Times New Roman" w:cs="Times New Roman"/>
                <w:szCs w:val="21"/>
              </w:rPr>
            </w:pPr>
            <w:r>
              <w:rPr>
                <w:rFonts w:hint="eastAsia" w:ascii="Times New Roman" w:hAnsi="Times New Roman" w:cs="Times New Roman"/>
                <w:szCs w:val="21"/>
              </w:rPr>
              <w:t>-0.210</w:t>
            </w:r>
          </w:p>
        </w:tc>
        <w:tc>
          <w:tcPr>
            <w:tcW w:w="1020" w:type="dxa"/>
            <w:tcBorders>
              <w:tl2br w:val="nil"/>
              <w:tr2bl w:val="nil"/>
            </w:tcBorders>
            <w:vAlign w:val="center"/>
          </w:tcPr>
          <w:p w14:paraId="19230937">
            <w:pPr>
              <w:spacing w:line="480" w:lineRule="auto"/>
              <w:rPr>
                <w:rFonts w:ascii="Times New Roman" w:hAnsi="Times New Roman" w:cs="Times New Roman"/>
                <w:szCs w:val="21"/>
              </w:rPr>
            </w:pPr>
            <w:r>
              <w:rPr>
                <w:rFonts w:hint="eastAsia" w:ascii="Times New Roman" w:hAnsi="Times New Roman" w:cs="Times New Roman"/>
                <w:szCs w:val="21"/>
              </w:rPr>
              <w:t>0.099</w:t>
            </w:r>
          </w:p>
        </w:tc>
        <w:tc>
          <w:tcPr>
            <w:tcW w:w="1020" w:type="dxa"/>
            <w:tcBorders>
              <w:tl2br w:val="nil"/>
              <w:tr2bl w:val="nil"/>
            </w:tcBorders>
            <w:vAlign w:val="center"/>
          </w:tcPr>
          <w:p w14:paraId="70253208">
            <w:pPr>
              <w:spacing w:line="480" w:lineRule="auto"/>
              <w:rPr>
                <w:rFonts w:ascii="Times New Roman" w:hAnsi="Times New Roman" w:cs="Times New Roman"/>
                <w:szCs w:val="21"/>
              </w:rPr>
            </w:pPr>
            <w:r>
              <w:rPr>
                <w:rFonts w:hint="eastAsia" w:ascii="Times New Roman" w:hAnsi="Times New Roman" w:cs="Times New Roman"/>
                <w:szCs w:val="21"/>
              </w:rPr>
              <w:t>-2.12</w:t>
            </w:r>
          </w:p>
        </w:tc>
        <w:tc>
          <w:tcPr>
            <w:tcW w:w="1020" w:type="dxa"/>
            <w:tcBorders>
              <w:tl2br w:val="nil"/>
              <w:tr2bl w:val="nil"/>
            </w:tcBorders>
            <w:vAlign w:val="center"/>
          </w:tcPr>
          <w:p w14:paraId="5DFD5FCE">
            <w:pPr>
              <w:spacing w:line="480" w:lineRule="auto"/>
              <w:rPr>
                <w:rFonts w:ascii="Times New Roman" w:hAnsi="Times New Roman" w:cs="Times New Roman"/>
                <w:szCs w:val="21"/>
              </w:rPr>
            </w:pPr>
            <w:r>
              <w:rPr>
                <w:rFonts w:hint="eastAsia" w:ascii="Times New Roman" w:hAnsi="Times New Roman" w:cs="Times New Roman"/>
                <w:szCs w:val="21"/>
              </w:rPr>
              <w:t>0.034</w:t>
            </w:r>
          </w:p>
        </w:tc>
        <w:tc>
          <w:tcPr>
            <w:tcW w:w="1687" w:type="dxa"/>
            <w:tcBorders>
              <w:tl2br w:val="nil"/>
              <w:tr2bl w:val="nil"/>
            </w:tcBorders>
            <w:vAlign w:val="center"/>
          </w:tcPr>
          <w:p w14:paraId="5C514843">
            <w:pPr>
              <w:spacing w:line="480" w:lineRule="auto"/>
              <w:rPr>
                <w:rFonts w:ascii="Times New Roman" w:hAnsi="Times New Roman" w:cs="Times New Roman"/>
                <w:szCs w:val="21"/>
              </w:rPr>
            </w:pPr>
            <w:r>
              <w:rPr>
                <w:rFonts w:hint="eastAsia" w:ascii="Times New Roman" w:hAnsi="Times New Roman" w:cs="Times New Roman"/>
                <w:szCs w:val="21"/>
              </w:rPr>
              <w:t>[-0.405, -0.016]</w:t>
            </w:r>
          </w:p>
        </w:tc>
        <w:tc>
          <w:tcPr>
            <w:tcW w:w="1020" w:type="dxa"/>
            <w:tcBorders>
              <w:tl2br w:val="nil"/>
              <w:tr2bl w:val="nil"/>
            </w:tcBorders>
            <w:vAlign w:val="center"/>
          </w:tcPr>
          <w:p w14:paraId="354E17CB">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0.107</w:t>
            </w:r>
          </w:p>
        </w:tc>
        <w:tc>
          <w:tcPr>
            <w:tcW w:w="1020" w:type="dxa"/>
            <w:tcBorders>
              <w:tl2br w:val="nil"/>
              <w:tr2bl w:val="nil"/>
            </w:tcBorders>
            <w:vAlign w:val="center"/>
          </w:tcPr>
          <w:p w14:paraId="0FF39E57">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100E300C">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0B55F7EE">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4DFCF51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52BD8617">
            <w:pPr>
              <w:spacing w:line="480" w:lineRule="auto"/>
              <w:rPr>
                <w:rFonts w:ascii="Times New Roman" w:hAnsi="Times New Roman" w:cs="Times New Roman"/>
                <w:szCs w:val="21"/>
              </w:rPr>
            </w:pPr>
            <w:r>
              <w:rPr>
                <w:rFonts w:hint="eastAsia" w:ascii="Times New Roman" w:hAnsi="Times New Roman" w:cs="Times New Roman"/>
                <w:szCs w:val="21"/>
              </w:rPr>
              <w:t>WL</w:t>
            </w:r>
            <w:r>
              <w:rPr>
                <w:rFonts w:ascii="Times New Roman" w:hAnsi="Times New Roman" w:cs="Times New Roman"/>
                <w:szCs w:val="21"/>
              </w:rPr>
              <w:t xml:space="preserve"> - </w:t>
            </w:r>
            <w:r>
              <w:rPr>
                <w:rFonts w:hint="eastAsia" w:ascii="Times New Roman" w:hAnsi="Times New Roman" w:cs="Times New Roman"/>
                <w:szCs w:val="21"/>
              </w:rPr>
              <w:t>COM</w:t>
            </w:r>
          </w:p>
        </w:tc>
        <w:tc>
          <w:tcPr>
            <w:tcW w:w="1020" w:type="dxa"/>
            <w:tcBorders>
              <w:tl2br w:val="nil"/>
              <w:tr2bl w:val="nil"/>
            </w:tcBorders>
            <w:vAlign w:val="center"/>
          </w:tcPr>
          <w:p w14:paraId="4BCDF0C1">
            <w:pPr>
              <w:spacing w:line="480" w:lineRule="auto"/>
              <w:rPr>
                <w:rFonts w:ascii="Times New Roman" w:hAnsi="Times New Roman" w:cs="Times New Roman"/>
                <w:szCs w:val="21"/>
              </w:rPr>
            </w:pPr>
            <w:r>
              <w:rPr>
                <w:rFonts w:hint="eastAsia" w:ascii="Times New Roman" w:hAnsi="Times New Roman" w:cs="Times New Roman"/>
                <w:szCs w:val="21"/>
              </w:rPr>
              <w:t>-0.171</w:t>
            </w:r>
          </w:p>
        </w:tc>
        <w:tc>
          <w:tcPr>
            <w:tcW w:w="1020" w:type="dxa"/>
            <w:tcBorders>
              <w:tl2br w:val="nil"/>
              <w:tr2bl w:val="nil"/>
            </w:tcBorders>
            <w:vAlign w:val="center"/>
          </w:tcPr>
          <w:p w14:paraId="3699F222">
            <w:pPr>
              <w:spacing w:line="480" w:lineRule="auto"/>
              <w:rPr>
                <w:rFonts w:ascii="Times New Roman" w:hAnsi="Times New Roman" w:cs="Times New Roman"/>
                <w:szCs w:val="21"/>
              </w:rPr>
            </w:pPr>
            <w:r>
              <w:rPr>
                <w:rFonts w:hint="eastAsia" w:ascii="Times New Roman" w:hAnsi="Times New Roman" w:cs="Times New Roman"/>
                <w:szCs w:val="21"/>
              </w:rPr>
              <w:t>0.094</w:t>
            </w:r>
          </w:p>
        </w:tc>
        <w:tc>
          <w:tcPr>
            <w:tcW w:w="1020" w:type="dxa"/>
            <w:tcBorders>
              <w:tl2br w:val="nil"/>
              <w:tr2bl w:val="nil"/>
            </w:tcBorders>
            <w:vAlign w:val="center"/>
          </w:tcPr>
          <w:p w14:paraId="4AEAC9E8">
            <w:pPr>
              <w:spacing w:line="480" w:lineRule="auto"/>
              <w:rPr>
                <w:rFonts w:ascii="Times New Roman" w:hAnsi="Times New Roman" w:cs="Times New Roman"/>
                <w:szCs w:val="21"/>
              </w:rPr>
            </w:pPr>
            <w:r>
              <w:rPr>
                <w:rFonts w:hint="eastAsia" w:ascii="Times New Roman" w:hAnsi="Times New Roman" w:cs="Times New Roman"/>
                <w:szCs w:val="21"/>
              </w:rPr>
              <w:t>-1.82</w:t>
            </w:r>
          </w:p>
        </w:tc>
        <w:tc>
          <w:tcPr>
            <w:tcW w:w="1020" w:type="dxa"/>
            <w:tcBorders>
              <w:tl2br w:val="nil"/>
              <w:tr2bl w:val="nil"/>
            </w:tcBorders>
            <w:vAlign w:val="center"/>
          </w:tcPr>
          <w:p w14:paraId="2C50B508">
            <w:pPr>
              <w:spacing w:line="480" w:lineRule="auto"/>
              <w:rPr>
                <w:rFonts w:ascii="Times New Roman" w:hAnsi="Times New Roman" w:cs="Times New Roman"/>
                <w:szCs w:val="21"/>
              </w:rPr>
            </w:pPr>
            <w:r>
              <w:rPr>
                <w:rFonts w:hint="eastAsia" w:ascii="Times New Roman" w:hAnsi="Times New Roman" w:cs="Times New Roman"/>
                <w:szCs w:val="21"/>
              </w:rPr>
              <w:t>0.069</w:t>
            </w:r>
          </w:p>
        </w:tc>
        <w:tc>
          <w:tcPr>
            <w:tcW w:w="1687" w:type="dxa"/>
            <w:tcBorders>
              <w:tl2br w:val="nil"/>
              <w:tr2bl w:val="nil"/>
            </w:tcBorders>
            <w:vAlign w:val="center"/>
          </w:tcPr>
          <w:p w14:paraId="2F3DAF07">
            <w:pPr>
              <w:spacing w:line="480" w:lineRule="auto"/>
              <w:rPr>
                <w:rFonts w:ascii="Times New Roman" w:hAnsi="Times New Roman" w:cs="Times New Roman"/>
                <w:szCs w:val="21"/>
              </w:rPr>
            </w:pPr>
            <w:r>
              <w:rPr>
                <w:rFonts w:hint="eastAsia" w:ascii="Times New Roman" w:hAnsi="Times New Roman" w:cs="Times New Roman"/>
                <w:szCs w:val="21"/>
              </w:rPr>
              <w:t>[-0.355, 0.013]</w:t>
            </w:r>
          </w:p>
        </w:tc>
        <w:tc>
          <w:tcPr>
            <w:tcW w:w="1020" w:type="dxa"/>
            <w:tcBorders>
              <w:tl2br w:val="nil"/>
              <w:tr2bl w:val="nil"/>
            </w:tcBorders>
            <w:vAlign w:val="center"/>
          </w:tcPr>
          <w:p w14:paraId="6C705F14">
            <w:pPr>
              <w:spacing w:line="480" w:lineRule="auto"/>
              <w:rPr>
                <w:rFonts w:ascii="Times New Roman" w:hAnsi="Times New Roman" w:eastAsia="宋体" w:cs="Times New Roman"/>
                <w:bCs/>
                <w:szCs w:val="21"/>
              </w:rPr>
            </w:pPr>
            <w:r>
              <w:rPr>
                <w:rFonts w:hint="eastAsia" w:ascii="Times New Roman" w:hAnsi="Times New Roman" w:eastAsia="宋体" w:cs="Times New Roman"/>
                <w:bCs/>
                <w:szCs w:val="21"/>
              </w:rPr>
              <w:t>0.094</w:t>
            </w:r>
          </w:p>
        </w:tc>
        <w:tc>
          <w:tcPr>
            <w:tcW w:w="1020" w:type="dxa"/>
            <w:tcBorders>
              <w:tl2br w:val="nil"/>
              <w:tr2bl w:val="nil"/>
            </w:tcBorders>
            <w:vAlign w:val="center"/>
          </w:tcPr>
          <w:p w14:paraId="2DFC83AB">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4B540545">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715B1336">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14BBAB7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7C52E0D8">
            <w:pPr>
              <w:spacing w:line="480" w:lineRule="auto"/>
              <w:rPr>
                <w:rFonts w:ascii="Times New Roman" w:hAnsi="Times New Roman" w:cs="Times New Roman"/>
                <w:szCs w:val="21"/>
              </w:rPr>
            </w:pP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LIFG</w:t>
            </w:r>
            <w:r>
              <w:rPr>
                <w:rFonts w:ascii="Times New Roman" w:hAnsi="Times New Roman" w:cs="Times New Roman"/>
                <w:szCs w:val="21"/>
              </w:rPr>
              <w:t xml:space="preserve"> : </w:t>
            </w:r>
            <w:r>
              <w:rPr>
                <w:rFonts w:hint="eastAsia" w:ascii="Times New Roman" w:hAnsi="Times New Roman" w:cs="Times New Roman"/>
                <w:szCs w:val="21"/>
              </w:rPr>
              <w:t>COM</w:t>
            </w:r>
            <w:r>
              <w:rPr>
                <w:rFonts w:ascii="Times New Roman" w:hAnsi="Times New Roman" w:cs="Times New Roman"/>
                <w:szCs w:val="21"/>
              </w:rPr>
              <w:t xml:space="preserve"> - </w:t>
            </w:r>
            <w:r>
              <w:rPr>
                <w:rFonts w:hint="eastAsia" w:ascii="Times New Roman" w:hAnsi="Times New Roman" w:cs="Times New Roman"/>
                <w:szCs w:val="21"/>
              </w:rPr>
              <w:t>SP</w:t>
            </w:r>
          </w:p>
        </w:tc>
        <w:tc>
          <w:tcPr>
            <w:tcW w:w="1020" w:type="dxa"/>
            <w:tcBorders>
              <w:tl2br w:val="nil"/>
              <w:tr2bl w:val="nil"/>
            </w:tcBorders>
            <w:vAlign w:val="center"/>
          </w:tcPr>
          <w:p w14:paraId="1288C3D8">
            <w:pPr>
              <w:spacing w:line="480" w:lineRule="auto"/>
              <w:rPr>
                <w:rFonts w:ascii="Times New Roman" w:hAnsi="Times New Roman" w:cs="Times New Roman"/>
                <w:szCs w:val="21"/>
              </w:rPr>
            </w:pPr>
            <w:r>
              <w:rPr>
                <w:rFonts w:hint="eastAsia" w:ascii="Times New Roman" w:hAnsi="Times New Roman" w:cs="Times New Roman"/>
                <w:szCs w:val="21"/>
              </w:rPr>
              <w:t>0.188</w:t>
            </w:r>
          </w:p>
        </w:tc>
        <w:tc>
          <w:tcPr>
            <w:tcW w:w="1020" w:type="dxa"/>
            <w:tcBorders>
              <w:tl2br w:val="nil"/>
              <w:tr2bl w:val="nil"/>
            </w:tcBorders>
            <w:vAlign w:val="center"/>
          </w:tcPr>
          <w:p w14:paraId="23CDF53C">
            <w:pPr>
              <w:spacing w:line="480" w:lineRule="auto"/>
              <w:rPr>
                <w:rFonts w:ascii="Times New Roman" w:hAnsi="Times New Roman" w:cs="Times New Roman"/>
                <w:szCs w:val="21"/>
              </w:rPr>
            </w:pPr>
            <w:r>
              <w:rPr>
                <w:rFonts w:hint="eastAsia" w:ascii="Times New Roman" w:hAnsi="Times New Roman" w:cs="Times New Roman"/>
                <w:szCs w:val="21"/>
              </w:rPr>
              <w:t>0.174</w:t>
            </w:r>
          </w:p>
        </w:tc>
        <w:tc>
          <w:tcPr>
            <w:tcW w:w="1020" w:type="dxa"/>
            <w:tcBorders>
              <w:tl2br w:val="nil"/>
              <w:tr2bl w:val="nil"/>
            </w:tcBorders>
            <w:vAlign w:val="center"/>
          </w:tcPr>
          <w:p w14:paraId="2F45C861">
            <w:pPr>
              <w:spacing w:line="480" w:lineRule="auto"/>
              <w:rPr>
                <w:rFonts w:ascii="Times New Roman" w:hAnsi="Times New Roman" w:cs="Times New Roman"/>
                <w:szCs w:val="21"/>
              </w:rPr>
            </w:pPr>
            <w:r>
              <w:rPr>
                <w:rFonts w:hint="eastAsia" w:ascii="Times New Roman" w:hAnsi="Times New Roman" w:cs="Times New Roman"/>
                <w:szCs w:val="21"/>
              </w:rPr>
              <w:t>1.08</w:t>
            </w:r>
          </w:p>
        </w:tc>
        <w:tc>
          <w:tcPr>
            <w:tcW w:w="1020" w:type="dxa"/>
            <w:tcBorders>
              <w:tl2br w:val="nil"/>
              <w:tr2bl w:val="nil"/>
            </w:tcBorders>
            <w:vAlign w:val="center"/>
          </w:tcPr>
          <w:p w14:paraId="2324F2F4">
            <w:pPr>
              <w:spacing w:line="480" w:lineRule="auto"/>
              <w:rPr>
                <w:rFonts w:ascii="Times New Roman" w:hAnsi="Times New Roman" w:cs="Times New Roman"/>
                <w:szCs w:val="21"/>
              </w:rPr>
            </w:pPr>
            <w:r>
              <w:rPr>
                <w:rFonts w:hint="eastAsia" w:ascii="Times New Roman" w:hAnsi="Times New Roman" w:cs="Times New Roman"/>
                <w:szCs w:val="21"/>
              </w:rPr>
              <w:t>0.280</w:t>
            </w:r>
          </w:p>
        </w:tc>
        <w:tc>
          <w:tcPr>
            <w:tcW w:w="1687" w:type="dxa"/>
            <w:tcBorders>
              <w:tl2br w:val="nil"/>
              <w:tr2bl w:val="nil"/>
            </w:tcBorders>
            <w:vAlign w:val="center"/>
          </w:tcPr>
          <w:p w14:paraId="5B893994">
            <w:pPr>
              <w:spacing w:line="480" w:lineRule="auto"/>
              <w:rPr>
                <w:rFonts w:ascii="Times New Roman" w:hAnsi="Times New Roman" w:cs="Times New Roman"/>
                <w:szCs w:val="21"/>
              </w:rPr>
            </w:pPr>
            <w:r>
              <w:rPr>
                <w:rFonts w:hint="eastAsia" w:ascii="Times New Roman" w:hAnsi="Times New Roman" w:cs="Times New Roman"/>
                <w:szCs w:val="21"/>
              </w:rPr>
              <w:t>[-0.153, 0.528]</w:t>
            </w:r>
          </w:p>
        </w:tc>
        <w:tc>
          <w:tcPr>
            <w:tcW w:w="1020" w:type="dxa"/>
            <w:tcBorders>
              <w:tl2br w:val="nil"/>
              <w:tr2bl w:val="nil"/>
            </w:tcBorders>
            <w:vAlign w:val="center"/>
          </w:tcPr>
          <w:p w14:paraId="3A72D2C9">
            <w:pPr>
              <w:spacing w:line="480" w:lineRule="auto"/>
              <w:rPr>
                <w:rFonts w:ascii="Times New Roman" w:hAnsi="Times New Roman" w:cs="Times New Roman"/>
                <w:szCs w:val="21"/>
              </w:rPr>
            </w:pPr>
            <w:r>
              <w:rPr>
                <w:rFonts w:ascii="Times New Roman" w:hAnsi="Times New Roman" w:eastAsia="宋体" w:cs="Times New Roman"/>
                <w:bCs/>
                <w:sz w:val="24"/>
              </w:rPr>
              <w:t>--</w:t>
            </w:r>
          </w:p>
        </w:tc>
        <w:tc>
          <w:tcPr>
            <w:tcW w:w="1020" w:type="dxa"/>
            <w:tcBorders>
              <w:tl2br w:val="nil"/>
              <w:tr2bl w:val="nil"/>
            </w:tcBorders>
            <w:vAlign w:val="center"/>
          </w:tcPr>
          <w:p w14:paraId="620D31B3">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2F388136">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25C1BEA6">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3F59668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7EADC0CE">
            <w:pPr>
              <w:spacing w:line="480" w:lineRule="auto"/>
              <w:rPr>
                <w:rFonts w:ascii="Times New Roman" w:hAnsi="Times New Roman" w:cs="Times New Roman"/>
                <w:szCs w:val="21"/>
              </w:rPr>
            </w:pPr>
            <w:r>
              <w:rPr>
                <w:rFonts w:hint="eastAsia" w:ascii="Times New Roman" w:hAnsi="Times New Roman" w:cs="Times New Roman"/>
                <w:szCs w:val="21"/>
              </w:rPr>
              <w:t>vertex</w:t>
            </w:r>
            <w:r>
              <w:rPr>
                <w:rFonts w:ascii="Times New Roman" w:hAnsi="Times New Roman" w:cs="Times New Roman"/>
                <w:szCs w:val="21"/>
              </w:rPr>
              <w:t xml:space="preserve"> - </w:t>
            </w: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COM</w:t>
            </w:r>
            <w:r>
              <w:rPr>
                <w:rFonts w:ascii="Times New Roman" w:hAnsi="Times New Roman" w:cs="Times New Roman"/>
                <w:szCs w:val="21"/>
              </w:rPr>
              <w:t xml:space="preserve"> - </w:t>
            </w:r>
            <w:r>
              <w:rPr>
                <w:rFonts w:hint="eastAsia" w:ascii="Times New Roman" w:hAnsi="Times New Roman" w:cs="Times New Roman"/>
                <w:szCs w:val="21"/>
              </w:rPr>
              <w:t>SP</w:t>
            </w:r>
          </w:p>
        </w:tc>
        <w:tc>
          <w:tcPr>
            <w:tcW w:w="1020" w:type="dxa"/>
            <w:tcBorders>
              <w:tl2br w:val="nil"/>
              <w:tr2bl w:val="nil"/>
            </w:tcBorders>
            <w:vAlign w:val="center"/>
          </w:tcPr>
          <w:p w14:paraId="6ACA9119">
            <w:pPr>
              <w:spacing w:line="480" w:lineRule="auto"/>
              <w:rPr>
                <w:rFonts w:ascii="Times New Roman" w:hAnsi="Times New Roman" w:cs="Times New Roman"/>
                <w:szCs w:val="21"/>
              </w:rPr>
            </w:pPr>
            <w:r>
              <w:rPr>
                <w:rFonts w:hint="eastAsia" w:ascii="Times New Roman" w:hAnsi="Times New Roman" w:cs="Times New Roman"/>
                <w:szCs w:val="21"/>
              </w:rPr>
              <w:t>-0.079</w:t>
            </w:r>
          </w:p>
        </w:tc>
        <w:tc>
          <w:tcPr>
            <w:tcW w:w="1020" w:type="dxa"/>
            <w:tcBorders>
              <w:tl2br w:val="nil"/>
              <w:tr2bl w:val="nil"/>
            </w:tcBorders>
            <w:vAlign w:val="center"/>
          </w:tcPr>
          <w:p w14:paraId="782D6C6E">
            <w:pPr>
              <w:spacing w:line="480" w:lineRule="auto"/>
              <w:rPr>
                <w:rFonts w:ascii="Times New Roman" w:hAnsi="Times New Roman" w:cs="Times New Roman"/>
                <w:szCs w:val="21"/>
              </w:rPr>
            </w:pPr>
            <w:r>
              <w:rPr>
                <w:rFonts w:hint="eastAsia" w:ascii="Times New Roman" w:hAnsi="Times New Roman" w:cs="Times New Roman"/>
                <w:szCs w:val="21"/>
              </w:rPr>
              <w:t>0.172</w:t>
            </w:r>
          </w:p>
        </w:tc>
        <w:tc>
          <w:tcPr>
            <w:tcW w:w="1020" w:type="dxa"/>
            <w:tcBorders>
              <w:tl2br w:val="nil"/>
              <w:tr2bl w:val="nil"/>
            </w:tcBorders>
            <w:vAlign w:val="center"/>
          </w:tcPr>
          <w:p w14:paraId="01A5BE03">
            <w:pPr>
              <w:spacing w:line="480" w:lineRule="auto"/>
              <w:rPr>
                <w:rFonts w:ascii="Times New Roman" w:hAnsi="Times New Roman" w:cs="Times New Roman"/>
                <w:szCs w:val="21"/>
              </w:rPr>
            </w:pPr>
            <w:r>
              <w:rPr>
                <w:rFonts w:hint="eastAsia" w:ascii="Times New Roman" w:hAnsi="Times New Roman" w:cs="Times New Roman"/>
                <w:szCs w:val="21"/>
              </w:rPr>
              <w:t>-0.46</w:t>
            </w:r>
          </w:p>
        </w:tc>
        <w:tc>
          <w:tcPr>
            <w:tcW w:w="1020" w:type="dxa"/>
            <w:tcBorders>
              <w:tl2br w:val="nil"/>
              <w:tr2bl w:val="nil"/>
            </w:tcBorders>
            <w:vAlign w:val="center"/>
          </w:tcPr>
          <w:p w14:paraId="4E772AEB">
            <w:pPr>
              <w:spacing w:line="480" w:lineRule="auto"/>
              <w:rPr>
                <w:rFonts w:ascii="Times New Roman" w:hAnsi="Times New Roman" w:cs="Times New Roman"/>
                <w:szCs w:val="21"/>
              </w:rPr>
            </w:pPr>
            <w:r>
              <w:rPr>
                <w:rFonts w:hint="eastAsia" w:ascii="Times New Roman" w:hAnsi="Times New Roman" w:cs="Times New Roman"/>
                <w:szCs w:val="21"/>
              </w:rPr>
              <w:t>0.645</w:t>
            </w:r>
          </w:p>
        </w:tc>
        <w:tc>
          <w:tcPr>
            <w:tcW w:w="1687" w:type="dxa"/>
            <w:tcBorders>
              <w:tl2br w:val="nil"/>
              <w:tr2bl w:val="nil"/>
            </w:tcBorders>
            <w:vAlign w:val="center"/>
          </w:tcPr>
          <w:p w14:paraId="4CB64B32">
            <w:pPr>
              <w:spacing w:line="480" w:lineRule="auto"/>
              <w:rPr>
                <w:rFonts w:ascii="Times New Roman" w:hAnsi="Times New Roman" w:cs="Times New Roman"/>
                <w:szCs w:val="21"/>
              </w:rPr>
            </w:pPr>
            <w:r>
              <w:rPr>
                <w:rFonts w:hint="eastAsia" w:ascii="Times New Roman" w:hAnsi="Times New Roman" w:cs="Times New Roman"/>
                <w:szCs w:val="21"/>
              </w:rPr>
              <w:t>[-0.416, 0.258]</w:t>
            </w:r>
          </w:p>
        </w:tc>
        <w:tc>
          <w:tcPr>
            <w:tcW w:w="1020" w:type="dxa"/>
            <w:tcBorders>
              <w:tl2br w:val="nil"/>
              <w:tr2bl w:val="nil"/>
            </w:tcBorders>
            <w:vAlign w:val="center"/>
          </w:tcPr>
          <w:p w14:paraId="086F8998">
            <w:pPr>
              <w:spacing w:line="480" w:lineRule="auto"/>
              <w:rPr>
                <w:rFonts w:ascii="Times New Roman" w:hAnsi="Times New Roman" w:cs="Times New Roman"/>
                <w:szCs w:val="21"/>
              </w:rPr>
            </w:pPr>
            <w:r>
              <w:rPr>
                <w:rFonts w:ascii="Times New Roman" w:hAnsi="Times New Roman" w:eastAsia="宋体" w:cs="Times New Roman"/>
                <w:bCs/>
                <w:sz w:val="24"/>
              </w:rPr>
              <w:t>--</w:t>
            </w:r>
          </w:p>
        </w:tc>
        <w:tc>
          <w:tcPr>
            <w:tcW w:w="1020" w:type="dxa"/>
            <w:tcBorders>
              <w:tl2br w:val="nil"/>
              <w:tr2bl w:val="nil"/>
            </w:tcBorders>
            <w:vAlign w:val="center"/>
          </w:tcPr>
          <w:p w14:paraId="39FE4A2F">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6B70CF3A">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61CAE253">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439B8DD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63BF948C">
            <w:pPr>
              <w:spacing w:line="480" w:lineRule="auto"/>
              <w:rPr>
                <w:rFonts w:ascii="Times New Roman" w:hAnsi="Times New Roman" w:cs="Times New Roman"/>
                <w:szCs w:val="21"/>
              </w:rPr>
            </w:pP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LIFG</w:t>
            </w:r>
            <w:r>
              <w:rPr>
                <w:rFonts w:ascii="Times New Roman" w:hAnsi="Times New Roman" w:cs="Times New Roman"/>
                <w:szCs w:val="21"/>
              </w:rPr>
              <w:t xml:space="preserve"> : </w:t>
            </w:r>
            <w:r>
              <w:rPr>
                <w:rFonts w:hint="eastAsia" w:ascii="Times New Roman" w:hAnsi="Times New Roman" w:cs="Times New Roman"/>
                <w:szCs w:val="21"/>
              </w:rPr>
              <w:t>WL</w:t>
            </w:r>
            <w:r>
              <w:rPr>
                <w:rFonts w:ascii="Times New Roman" w:hAnsi="Times New Roman" w:cs="Times New Roman"/>
                <w:szCs w:val="21"/>
              </w:rPr>
              <w:t xml:space="preserve"> - </w:t>
            </w:r>
            <w:r>
              <w:rPr>
                <w:rFonts w:hint="eastAsia" w:ascii="Times New Roman" w:hAnsi="Times New Roman" w:cs="Times New Roman"/>
                <w:szCs w:val="21"/>
              </w:rPr>
              <w:t>COM</w:t>
            </w:r>
          </w:p>
        </w:tc>
        <w:tc>
          <w:tcPr>
            <w:tcW w:w="1020" w:type="dxa"/>
            <w:tcBorders>
              <w:tl2br w:val="nil"/>
              <w:tr2bl w:val="nil"/>
            </w:tcBorders>
            <w:vAlign w:val="center"/>
          </w:tcPr>
          <w:p w14:paraId="47B2A596">
            <w:pPr>
              <w:spacing w:line="480" w:lineRule="auto"/>
              <w:rPr>
                <w:rFonts w:ascii="Times New Roman" w:hAnsi="Times New Roman" w:cs="Times New Roman"/>
                <w:szCs w:val="21"/>
              </w:rPr>
            </w:pPr>
            <w:r>
              <w:rPr>
                <w:rFonts w:hint="eastAsia" w:ascii="Times New Roman" w:hAnsi="Times New Roman" w:cs="Times New Roman"/>
                <w:szCs w:val="21"/>
              </w:rPr>
              <w:t>0.009</w:t>
            </w:r>
          </w:p>
        </w:tc>
        <w:tc>
          <w:tcPr>
            <w:tcW w:w="1020" w:type="dxa"/>
            <w:tcBorders>
              <w:tl2br w:val="nil"/>
              <w:tr2bl w:val="nil"/>
            </w:tcBorders>
            <w:vAlign w:val="center"/>
          </w:tcPr>
          <w:p w14:paraId="2B874675">
            <w:pPr>
              <w:spacing w:line="480" w:lineRule="auto"/>
              <w:rPr>
                <w:rFonts w:ascii="Times New Roman" w:hAnsi="Times New Roman" w:cs="Times New Roman"/>
                <w:szCs w:val="21"/>
              </w:rPr>
            </w:pPr>
            <w:r>
              <w:rPr>
                <w:rFonts w:hint="eastAsia" w:ascii="Times New Roman" w:hAnsi="Times New Roman" w:cs="Times New Roman"/>
                <w:szCs w:val="21"/>
              </w:rPr>
              <w:t>0.170</w:t>
            </w:r>
          </w:p>
        </w:tc>
        <w:tc>
          <w:tcPr>
            <w:tcW w:w="1020" w:type="dxa"/>
            <w:tcBorders>
              <w:tl2br w:val="nil"/>
              <w:tr2bl w:val="nil"/>
            </w:tcBorders>
            <w:vAlign w:val="center"/>
          </w:tcPr>
          <w:p w14:paraId="7FA6BD9B">
            <w:pPr>
              <w:spacing w:line="480" w:lineRule="auto"/>
              <w:rPr>
                <w:rFonts w:ascii="Times New Roman" w:hAnsi="Times New Roman" w:cs="Times New Roman"/>
                <w:szCs w:val="21"/>
              </w:rPr>
            </w:pPr>
            <w:r>
              <w:rPr>
                <w:rFonts w:hint="eastAsia" w:ascii="Times New Roman" w:hAnsi="Times New Roman" w:cs="Times New Roman"/>
                <w:szCs w:val="21"/>
              </w:rPr>
              <w:t>0.05</w:t>
            </w:r>
          </w:p>
        </w:tc>
        <w:tc>
          <w:tcPr>
            <w:tcW w:w="1020" w:type="dxa"/>
            <w:tcBorders>
              <w:tl2br w:val="nil"/>
              <w:tr2bl w:val="nil"/>
            </w:tcBorders>
            <w:vAlign w:val="center"/>
          </w:tcPr>
          <w:p w14:paraId="3AC4F1F9">
            <w:pPr>
              <w:spacing w:line="480" w:lineRule="auto"/>
              <w:rPr>
                <w:rFonts w:ascii="Times New Roman" w:hAnsi="Times New Roman" w:cs="Times New Roman"/>
                <w:szCs w:val="21"/>
              </w:rPr>
            </w:pPr>
            <w:r>
              <w:rPr>
                <w:rFonts w:hint="eastAsia" w:ascii="Times New Roman" w:hAnsi="Times New Roman" w:cs="Times New Roman"/>
                <w:szCs w:val="21"/>
              </w:rPr>
              <w:t>0.960</w:t>
            </w:r>
          </w:p>
        </w:tc>
        <w:tc>
          <w:tcPr>
            <w:tcW w:w="1687" w:type="dxa"/>
            <w:tcBorders>
              <w:tl2br w:val="nil"/>
              <w:tr2bl w:val="nil"/>
            </w:tcBorders>
            <w:vAlign w:val="center"/>
          </w:tcPr>
          <w:p w14:paraId="3083B14E">
            <w:pPr>
              <w:spacing w:line="480" w:lineRule="auto"/>
              <w:rPr>
                <w:rFonts w:ascii="Times New Roman" w:hAnsi="Times New Roman" w:cs="Times New Roman"/>
                <w:szCs w:val="21"/>
              </w:rPr>
            </w:pPr>
            <w:r>
              <w:rPr>
                <w:rFonts w:hint="eastAsia" w:ascii="Times New Roman" w:hAnsi="Times New Roman" w:cs="Times New Roman"/>
                <w:szCs w:val="21"/>
              </w:rPr>
              <w:t>[-0.326, 0.343]</w:t>
            </w:r>
          </w:p>
        </w:tc>
        <w:tc>
          <w:tcPr>
            <w:tcW w:w="1020" w:type="dxa"/>
            <w:tcBorders>
              <w:tl2br w:val="nil"/>
              <w:tr2bl w:val="nil"/>
            </w:tcBorders>
            <w:vAlign w:val="center"/>
          </w:tcPr>
          <w:p w14:paraId="4735BAA1">
            <w:pPr>
              <w:spacing w:line="480" w:lineRule="auto"/>
              <w:rPr>
                <w:rFonts w:ascii="Times New Roman" w:hAnsi="Times New Roman" w:cs="Times New Roman"/>
                <w:szCs w:val="21"/>
              </w:rPr>
            </w:pPr>
            <w:r>
              <w:rPr>
                <w:rFonts w:ascii="Times New Roman" w:hAnsi="Times New Roman" w:eastAsia="宋体" w:cs="Times New Roman"/>
                <w:bCs/>
                <w:sz w:val="24"/>
              </w:rPr>
              <w:t>--</w:t>
            </w:r>
          </w:p>
        </w:tc>
        <w:tc>
          <w:tcPr>
            <w:tcW w:w="1020" w:type="dxa"/>
            <w:tcBorders>
              <w:tl2br w:val="nil"/>
              <w:tr2bl w:val="nil"/>
            </w:tcBorders>
            <w:vAlign w:val="center"/>
          </w:tcPr>
          <w:p w14:paraId="73457C4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4BBE1FDD">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57D93A39">
            <w:pPr>
              <w:spacing w:line="480" w:lineRule="auto"/>
              <w:rPr>
                <w:rFonts w:ascii="Times New Roman" w:hAnsi="Times New Roman" w:cs="Times New Roman"/>
                <w:sz w:val="24"/>
              </w:rPr>
            </w:pPr>
            <w:r>
              <w:rPr>
                <w:rFonts w:ascii="Times New Roman" w:hAnsi="Times New Roman" w:eastAsia="宋体" w:cs="Times New Roman"/>
                <w:bCs/>
                <w:sz w:val="24"/>
              </w:rPr>
              <w:t>--</w:t>
            </w:r>
          </w:p>
        </w:tc>
      </w:tr>
      <w:tr w14:paraId="1DDA234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42" w:type="dxa"/>
            <w:tcBorders>
              <w:tl2br w:val="nil"/>
              <w:tr2bl w:val="nil"/>
            </w:tcBorders>
            <w:vAlign w:val="center"/>
          </w:tcPr>
          <w:p w14:paraId="419DA250">
            <w:pPr>
              <w:spacing w:line="480" w:lineRule="auto"/>
              <w:rPr>
                <w:rFonts w:ascii="Times New Roman" w:hAnsi="Times New Roman" w:cs="Times New Roman"/>
                <w:szCs w:val="21"/>
              </w:rPr>
            </w:pPr>
            <w:r>
              <w:rPr>
                <w:rFonts w:hint="eastAsia" w:ascii="Times New Roman" w:hAnsi="Times New Roman" w:cs="Times New Roman"/>
                <w:szCs w:val="21"/>
              </w:rPr>
              <w:t>vertex</w:t>
            </w:r>
            <w:r>
              <w:rPr>
                <w:rFonts w:ascii="Times New Roman" w:hAnsi="Times New Roman" w:cs="Times New Roman"/>
                <w:szCs w:val="21"/>
              </w:rPr>
              <w:t xml:space="preserve"> - </w:t>
            </w:r>
            <w:r>
              <w:rPr>
                <w:rFonts w:hint="eastAsia" w:ascii="Times New Roman" w:hAnsi="Times New Roman" w:cs="Times New Roman"/>
                <w:szCs w:val="21"/>
              </w:rPr>
              <w:t>LpTL</w:t>
            </w:r>
            <w:r>
              <w:rPr>
                <w:rFonts w:ascii="Times New Roman" w:hAnsi="Times New Roman" w:cs="Times New Roman"/>
                <w:szCs w:val="21"/>
              </w:rPr>
              <w:t xml:space="preserve"> : </w:t>
            </w:r>
            <w:r>
              <w:rPr>
                <w:rFonts w:hint="eastAsia" w:ascii="Times New Roman" w:hAnsi="Times New Roman" w:cs="Times New Roman"/>
                <w:szCs w:val="21"/>
              </w:rPr>
              <w:t>WL</w:t>
            </w:r>
            <w:r>
              <w:rPr>
                <w:rFonts w:ascii="Times New Roman" w:hAnsi="Times New Roman" w:cs="Times New Roman"/>
                <w:szCs w:val="21"/>
              </w:rPr>
              <w:t xml:space="preserve"> - </w:t>
            </w:r>
            <w:r>
              <w:rPr>
                <w:rFonts w:hint="eastAsia" w:ascii="Times New Roman" w:hAnsi="Times New Roman" w:cs="Times New Roman"/>
                <w:szCs w:val="21"/>
              </w:rPr>
              <w:t>COM</w:t>
            </w:r>
          </w:p>
        </w:tc>
        <w:tc>
          <w:tcPr>
            <w:tcW w:w="1020" w:type="dxa"/>
            <w:tcBorders>
              <w:tl2br w:val="nil"/>
              <w:tr2bl w:val="nil"/>
            </w:tcBorders>
            <w:vAlign w:val="center"/>
          </w:tcPr>
          <w:p w14:paraId="5768A0CA">
            <w:pPr>
              <w:spacing w:line="480" w:lineRule="auto"/>
              <w:rPr>
                <w:rFonts w:ascii="Times New Roman" w:hAnsi="Times New Roman" w:cs="Times New Roman"/>
                <w:szCs w:val="21"/>
              </w:rPr>
            </w:pPr>
            <w:r>
              <w:rPr>
                <w:rFonts w:hint="eastAsia" w:ascii="Times New Roman" w:hAnsi="Times New Roman" w:cs="Times New Roman"/>
                <w:szCs w:val="21"/>
              </w:rPr>
              <w:t>0.000</w:t>
            </w:r>
          </w:p>
        </w:tc>
        <w:tc>
          <w:tcPr>
            <w:tcW w:w="1020" w:type="dxa"/>
            <w:tcBorders>
              <w:tl2br w:val="nil"/>
              <w:tr2bl w:val="nil"/>
            </w:tcBorders>
            <w:vAlign w:val="center"/>
          </w:tcPr>
          <w:p w14:paraId="63ED5B65">
            <w:pPr>
              <w:spacing w:line="480" w:lineRule="auto"/>
              <w:rPr>
                <w:rFonts w:ascii="Times New Roman" w:hAnsi="Times New Roman" w:cs="Times New Roman"/>
                <w:szCs w:val="21"/>
              </w:rPr>
            </w:pPr>
            <w:r>
              <w:rPr>
                <w:rFonts w:hint="eastAsia" w:ascii="Times New Roman" w:hAnsi="Times New Roman" w:cs="Times New Roman"/>
                <w:szCs w:val="21"/>
              </w:rPr>
              <w:t>0.170</w:t>
            </w:r>
          </w:p>
        </w:tc>
        <w:tc>
          <w:tcPr>
            <w:tcW w:w="1020" w:type="dxa"/>
            <w:tcBorders>
              <w:tl2br w:val="nil"/>
              <w:tr2bl w:val="nil"/>
            </w:tcBorders>
            <w:vAlign w:val="center"/>
          </w:tcPr>
          <w:p w14:paraId="23D80EC1">
            <w:pPr>
              <w:spacing w:line="480" w:lineRule="auto"/>
              <w:rPr>
                <w:rFonts w:ascii="Times New Roman" w:hAnsi="Times New Roman" w:cs="Times New Roman"/>
                <w:szCs w:val="21"/>
              </w:rPr>
            </w:pPr>
            <w:r>
              <w:rPr>
                <w:rFonts w:hint="eastAsia" w:ascii="Times New Roman" w:hAnsi="Times New Roman" w:cs="Times New Roman"/>
                <w:szCs w:val="21"/>
              </w:rPr>
              <w:t>0.00</w:t>
            </w:r>
          </w:p>
        </w:tc>
        <w:tc>
          <w:tcPr>
            <w:tcW w:w="1020" w:type="dxa"/>
            <w:tcBorders>
              <w:tl2br w:val="nil"/>
              <w:tr2bl w:val="nil"/>
            </w:tcBorders>
            <w:vAlign w:val="center"/>
          </w:tcPr>
          <w:p w14:paraId="32BACC85">
            <w:pPr>
              <w:spacing w:line="480" w:lineRule="auto"/>
              <w:rPr>
                <w:rFonts w:ascii="Times New Roman" w:hAnsi="Times New Roman" w:cs="Times New Roman"/>
                <w:szCs w:val="21"/>
              </w:rPr>
            </w:pPr>
            <w:r>
              <w:rPr>
                <w:rFonts w:hint="eastAsia" w:ascii="Times New Roman" w:hAnsi="Times New Roman" w:cs="Times New Roman"/>
                <w:szCs w:val="21"/>
              </w:rPr>
              <w:t>0.999</w:t>
            </w:r>
          </w:p>
        </w:tc>
        <w:tc>
          <w:tcPr>
            <w:tcW w:w="1687" w:type="dxa"/>
            <w:tcBorders>
              <w:tl2br w:val="nil"/>
              <w:tr2bl w:val="nil"/>
            </w:tcBorders>
            <w:vAlign w:val="center"/>
          </w:tcPr>
          <w:p w14:paraId="4344CBF4">
            <w:pPr>
              <w:spacing w:line="480" w:lineRule="auto"/>
              <w:rPr>
                <w:rFonts w:ascii="Times New Roman" w:hAnsi="Times New Roman" w:cs="Times New Roman"/>
                <w:szCs w:val="21"/>
              </w:rPr>
            </w:pPr>
            <w:r>
              <w:rPr>
                <w:rFonts w:hint="eastAsia" w:ascii="Times New Roman" w:hAnsi="Times New Roman" w:cs="Times New Roman"/>
                <w:szCs w:val="21"/>
              </w:rPr>
              <w:t>[-0.333, 0.333]</w:t>
            </w:r>
          </w:p>
        </w:tc>
        <w:tc>
          <w:tcPr>
            <w:tcW w:w="1020" w:type="dxa"/>
            <w:tcBorders>
              <w:tl2br w:val="nil"/>
              <w:tr2bl w:val="nil"/>
            </w:tcBorders>
            <w:vAlign w:val="center"/>
          </w:tcPr>
          <w:p w14:paraId="41512DFA">
            <w:pPr>
              <w:spacing w:line="480" w:lineRule="auto"/>
              <w:rPr>
                <w:rFonts w:ascii="Times New Roman" w:hAnsi="Times New Roman" w:cs="Times New Roman"/>
                <w:szCs w:val="21"/>
              </w:rPr>
            </w:pPr>
            <w:r>
              <w:rPr>
                <w:rFonts w:ascii="Times New Roman" w:hAnsi="Times New Roman" w:eastAsia="宋体" w:cs="Times New Roman"/>
                <w:bCs/>
                <w:sz w:val="24"/>
              </w:rPr>
              <w:t>--</w:t>
            </w:r>
          </w:p>
        </w:tc>
        <w:tc>
          <w:tcPr>
            <w:tcW w:w="1020" w:type="dxa"/>
            <w:tcBorders>
              <w:tl2br w:val="nil"/>
              <w:tr2bl w:val="nil"/>
            </w:tcBorders>
            <w:vAlign w:val="center"/>
          </w:tcPr>
          <w:p w14:paraId="625D9D98">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1020" w:type="dxa"/>
            <w:tcBorders>
              <w:tl2br w:val="nil"/>
              <w:tr2bl w:val="nil"/>
            </w:tcBorders>
            <w:vAlign w:val="center"/>
          </w:tcPr>
          <w:p w14:paraId="3C73BEE3">
            <w:pPr>
              <w:spacing w:line="480" w:lineRule="auto"/>
              <w:rPr>
                <w:rFonts w:ascii="Times New Roman" w:hAnsi="Times New Roman" w:cs="Times New Roman"/>
                <w:sz w:val="24"/>
              </w:rPr>
            </w:pPr>
            <w:r>
              <w:rPr>
                <w:rFonts w:ascii="Times New Roman" w:hAnsi="Times New Roman" w:eastAsia="宋体" w:cs="Times New Roman"/>
                <w:bCs/>
                <w:sz w:val="24"/>
              </w:rPr>
              <w:t>--</w:t>
            </w:r>
          </w:p>
        </w:tc>
        <w:tc>
          <w:tcPr>
            <w:tcW w:w="1020" w:type="dxa"/>
            <w:tcBorders>
              <w:tl2br w:val="nil"/>
              <w:tr2bl w:val="nil"/>
            </w:tcBorders>
            <w:vAlign w:val="center"/>
          </w:tcPr>
          <w:p w14:paraId="3F6EEF2B">
            <w:pPr>
              <w:spacing w:line="480" w:lineRule="auto"/>
              <w:rPr>
                <w:rFonts w:ascii="Times New Roman" w:hAnsi="Times New Roman" w:cs="Times New Roman"/>
                <w:sz w:val="24"/>
              </w:rPr>
            </w:pPr>
            <w:r>
              <w:rPr>
                <w:rFonts w:ascii="Times New Roman" w:hAnsi="Times New Roman" w:eastAsia="宋体" w:cs="Times New Roman"/>
                <w:bCs/>
                <w:sz w:val="24"/>
              </w:rPr>
              <w:t>--</w:t>
            </w:r>
          </w:p>
        </w:tc>
      </w:tr>
    </w:tbl>
    <w:p w14:paraId="54875E43">
      <w:pPr>
        <w:spacing w:line="480" w:lineRule="auto"/>
        <w:rPr>
          <w:rFonts w:ascii="Times New Roman" w:hAnsi="Times New Roman" w:cs="Times New Roman"/>
          <w:color w:val="0070C0"/>
        </w:rPr>
        <w:sectPr>
          <w:pgSz w:w="16838" w:h="11906" w:orient="landscape"/>
          <w:pgMar w:top="1800" w:right="1440" w:bottom="1800" w:left="1440" w:header="851" w:footer="992" w:gutter="0"/>
          <w:lnNumType w:countBy="1" w:restart="continuous"/>
          <w:cols w:space="425" w:num="1"/>
          <w:docGrid w:type="lines" w:linePitch="312" w:charSpace="0"/>
        </w:sectPr>
      </w:pPr>
      <w:r>
        <w:rPr>
          <w:rFonts w:ascii="Times New Roman" w:hAnsi="Times New Roman" w:eastAsia="宋体" w:cs="Times New Roman"/>
          <w:i/>
          <w:iCs/>
          <w:kern w:val="0"/>
          <w:szCs w:val="21"/>
        </w:rPr>
        <w:t>Note</w:t>
      </w:r>
      <w:r>
        <w:rPr>
          <w:rFonts w:hint="eastAsia" w:ascii="Times New Roman" w:hAnsi="Times New Roman" w:eastAsia="宋体" w:cs="Times New Roman"/>
          <w:i/>
          <w:iCs/>
          <w:kern w:val="0"/>
          <w:szCs w:val="21"/>
        </w:rPr>
        <w:t>.</w:t>
      </w:r>
      <w:r>
        <w:rPr>
          <w:rFonts w:ascii="Times New Roman" w:hAnsi="Times New Roman" w:eastAsia="宋体" w:cs="Times New Roman"/>
          <w:kern w:val="0"/>
          <w:szCs w:val="21"/>
        </w:rPr>
        <w:t xml:space="preserve"> Model: </w:t>
      </w:r>
      <w:r>
        <w:rPr>
          <w:rFonts w:hint="eastAsia" w:ascii="Times New Roman" w:hAnsi="Times New Roman" w:eastAsia="宋体" w:cs="Times New Roman"/>
          <w:kern w:val="0"/>
          <w:szCs w:val="21"/>
        </w:rPr>
        <w:t>g</w:t>
      </w:r>
      <w:r>
        <w:rPr>
          <w:rFonts w:ascii="Times New Roman" w:hAnsi="Times New Roman" w:eastAsia="宋体" w:cs="Times New Roman"/>
          <w:kern w:val="0"/>
          <w:szCs w:val="21"/>
        </w:rPr>
        <w:t>lmer</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w:t>
      </w:r>
      <w:r>
        <w:rPr>
          <w:rFonts w:hint="eastAsia" w:ascii="Times New Roman" w:hAnsi="Times New Roman" w:eastAsia="宋体" w:cs="Times New Roman"/>
          <w:i/>
          <w:iCs/>
          <w:kern w:val="0"/>
          <w:szCs w:val="21"/>
        </w:rPr>
        <w:t>ACC</w:t>
      </w:r>
      <w:r>
        <w:rPr>
          <w:rFonts w:ascii="Times New Roman" w:hAnsi="Times New Roman" w:eastAsia="宋体" w:cs="Times New Roman"/>
          <w:kern w:val="0"/>
          <w:szCs w:val="21"/>
        </w:rPr>
        <w:t xml:space="preserve"> ~ </w:t>
      </w:r>
      <w:r>
        <w:rPr>
          <w:rFonts w:ascii="Times New Roman" w:hAnsi="Times New Roman" w:cs="Times New Roman"/>
          <w:i/>
          <w:iCs/>
          <w:szCs w:val="21"/>
        </w:rPr>
        <w:t>Stimulation region</w:t>
      </w:r>
      <w:r>
        <w:rPr>
          <w:rFonts w:ascii="Times New Roman" w:hAnsi="Times New Roman" w:eastAsia="宋体" w:cs="Times New Roman"/>
          <w:kern w:val="0"/>
          <w:szCs w:val="21"/>
        </w:rPr>
        <w:t xml:space="preserve"> * </w:t>
      </w:r>
      <w:r>
        <w:rPr>
          <w:rFonts w:ascii="Times New Roman" w:hAnsi="Times New Roman" w:cs="Times New Roman"/>
          <w:i/>
          <w:iCs/>
          <w:szCs w:val="21"/>
        </w:rPr>
        <w:t>Structure type</w:t>
      </w:r>
      <w:r>
        <w:rPr>
          <w:rFonts w:ascii="Times New Roman" w:hAnsi="Times New Roman" w:eastAsia="宋体" w:cs="Times New Roman"/>
          <w:kern w:val="0"/>
          <w:szCs w:val="21"/>
        </w:rPr>
        <w:t xml:space="preserve"> + (1</w:t>
      </w:r>
      <w:r>
        <w:rPr>
          <w:rFonts w:hint="eastAsia" w:ascii="Times New Roman" w:hAnsi="Times New Roman" w:eastAsia="宋体" w:cs="Times New Roman"/>
          <w:kern w:val="0"/>
          <w:szCs w:val="21"/>
        </w:rPr>
        <w:t xml:space="preserve"> </w:t>
      </w:r>
      <w:r>
        <w:rPr>
          <w:rFonts w:ascii="Times New Roman" w:hAnsi="Times New Roman" w:cs="Times New Roman"/>
          <w:i/>
          <w:iCs/>
          <w:szCs w:val="21"/>
        </w:rPr>
        <w:t xml:space="preserve">+ Stimulation region </w:t>
      </w:r>
      <w:r>
        <w:rPr>
          <w:rFonts w:hint="eastAsia" w:ascii="Times New Roman" w:hAnsi="Times New Roman" w:cs="Times New Roman"/>
          <w:i/>
          <w:iCs/>
          <w:szCs w:val="21"/>
        </w:rPr>
        <w:t>+</w:t>
      </w:r>
      <w:r>
        <w:rPr>
          <w:rFonts w:ascii="Times New Roman" w:hAnsi="Times New Roman" w:cs="Times New Roman"/>
          <w:i/>
          <w:iCs/>
          <w:szCs w:val="21"/>
        </w:rPr>
        <w:t xml:space="preserve"> Structure type</w:t>
      </w:r>
      <w:r>
        <w:rPr>
          <w:rFonts w:hint="eastAsia" w:ascii="Times New Roman" w:hAnsi="Times New Roman" w:cs="Times New Roman"/>
          <w:i/>
          <w:iCs/>
          <w:szCs w:val="21"/>
        </w:rPr>
        <w:t xml:space="preserve"> </w:t>
      </w:r>
      <w:r>
        <w:rPr>
          <w:rFonts w:ascii="Times New Roman" w:hAnsi="Times New Roman" w:eastAsia="宋体" w:cs="Times New Roman"/>
          <w:kern w:val="0"/>
          <w:szCs w:val="21"/>
        </w:rPr>
        <w:t>|subject) + (1</w:t>
      </w:r>
      <w:r>
        <w:rPr>
          <w:rFonts w:hint="eastAsia" w:ascii="Times New Roman" w:hAnsi="Times New Roman" w:eastAsia="宋体" w:cs="Times New Roman"/>
          <w:kern w:val="0"/>
          <w:szCs w:val="21"/>
        </w:rPr>
        <w:t xml:space="preserve"> </w:t>
      </w:r>
      <w:r>
        <w:rPr>
          <w:rFonts w:ascii="Times New Roman" w:hAnsi="Times New Roman" w:cs="Times New Roman"/>
          <w:i/>
          <w:iCs/>
          <w:szCs w:val="21"/>
        </w:rPr>
        <w:t>+ Stimulation region</w:t>
      </w:r>
      <w:r>
        <w:rPr>
          <w:rFonts w:ascii="Times New Roman" w:hAnsi="Times New Roman" w:eastAsia="宋体" w:cs="Times New Roman"/>
          <w:kern w:val="0"/>
          <w:szCs w:val="21"/>
        </w:rPr>
        <w:t xml:space="preserve"> |item)).</w:t>
      </w:r>
    </w:p>
    <w:p w14:paraId="68380E86">
      <w:pPr>
        <w:spacing w:line="480" w:lineRule="auto"/>
        <w:jc w:val="center"/>
        <w:rPr>
          <w:rFonts w:ascii="Times New Roman" w:hAnsi="Times New Roman" w:cs="Times New Roman"/>
          <w:b/>
          <w:bCs/>
          <w:szCs w:val="21"/>
        </w:rPr>
      </w:pPr>
      <w:r>
        <w:rPr>
          <w:rFonts w:ascii="Times New Roman" w:hAnsi="Times New Roman" w:cs="Times New Roman"/>
          <w:b/>
          <w:bCs/>
          <w:szCs w:val="21"/>
        </w:rPr>
        <w:t>Table</w:t>
      </w:r>
      <w:r>
        <w:rPr>
          <w:rFonts w:hint="eastAsia" w:ascii="Times New Roman" w:hAnsi="Times New Roman" w:cs="Times New Roman"/>
          <w:b/>
          <w:bCs/>
          <w:szCs w:val="21"/>
        </w:rPr>
        <w:t xml:space="preserve"> S3 </w:t>
      </w:r>
      <w:r>
        <w:rPr>
          <w:rFonts w:ascii="Times New Roman" w:hAnsi="Times New Roman" w:cs="Times New Roman"/>
          <w:b/>
          <w:bCs/>
          <w:i/>
          <w:iCs/>
          <w:szCs w:val="21"/>
        </w:rPr>
        <w:t>Results of the</w:t>
      </w:r>
      <w:r>
        <w:rPr>
          <w:rFonts w:hint="eastAsia" w:ascii="Times New Roman" w:hAnsi="Times New Roman" w:cs="Times New Roman"/>
          <w:b/>
          <w:bCs/>
          <w:i/>
          <w:iCs/>
          <w:szCs w:val="21"/>
        </w:rPr>
        <w:t xml:space="preserve"> </w:t>
      </w:r>
      <w:r>
        <w:rPr>
          <w:rFonts w:ascii="Times New Roman" w:hAnsi="Times New Roman" w:cs="Times New Roman"/>
          <w:b/>
          <w:bCs/>
          <w:i/>
          <w:iCs/>
          <w:szCs w:val="21"/>
        </w:rPr>
        <w:t>Linear Mixed-Effects Model for T</w:t>
      </w:r>
      <w:r>
        <w:rPr>
          <w:rFonts w:hint="eastAsia" w:ascii="Times New Roman" w:hAnsi="Times New Roman" w:cs="Times New Roman"/>
          <w:b/>
          <w:bCs/>
          <w:i/>
          <w:iCs/>
          <w:szCs w:val="21"/>
        </w:rPr>
        <w:t>U</w:t>
      </w:r>
      <w:r>
        <w:rPr>
          <w:rFonts w:ascii="Times New Roman" w:hAnsi="Times New Roman" w:cs="Times New Roman"/>
          <w:b/>
          <w:bCs/>
          <w:i/>
          <w:iCs/>
          <w:szCs w:val="21"/>
        </w:rPr>
        <w:t xml:space="preserve">S </w:t>
      </w:r>
      <w:r>
        <w:rPr>
          <w:rFonts w:hint="eastAsia" w:ascii="Times New Roman" w:hAnsi="Times New Roman" w:cs="Times New Roman"/>
          <w:b/>
          <w:bCs/>
          <w:i/>
          <w:iCs/>
          <w:szCs w:val="21"/>
        </w:rPr>
        <w:t>RT</w:t>
      </w:r>
    </w:p>
    <w:tbl>
      <w:tblPr>
        <w:tblStyle w:val="6"/>
        <w:tblW w:w="13150" w:type="dxa"/>
        <w:jc w:val="center"/>
        <w:tblLayout w:type="autofit"/>
        <w:tblCellMar>
          <w:top w:w="0" w:type="dxa"/>
          <w:left w:w="108" w:type="dxa"/>
          <w:bottom w:w="0" w:type="dxa"/>
          <w:right w:w="108" w:type="dxa"/>
        </w:tblCellMar>
      </w:tblPr>
      <w:tblGrid>
        <w:gridCol w:w="3130"/>
        <w:gridCol w:w="960"/>
        <w:gridCol w:w="959"/>
        <w:gridCol w:w="960"/>
        <w:gridCol w:w="959"/>
        <w:gridCol w:w="2337"/>
        <w:gridCol w:w="963"/>
        <w:gridCol w:w="959"/>
        <w:gridCol w:w="963"/>
        <w:gridCol w:w="960"/>
      </w:tblGrid>
      <w:tr w14:paraId="6F5DEBA7">
        <w:tblPrEx>
          <w:tblCellMar>
            <w:top w:w="0" w:type="dxa"/>
            <w:left w:w="108" w:type="dxa"/>
            <w:bottom w:w="0" w:type="dxa"/>
            <w:right w:w="108" w:type="dxa"/>
          </w:tblCellMar>
        </w:tblPrEx>
        <w:trPr>
          <w:trHeight w:val="340" w:hRule="atLeast"/>
          <w:jc w:val="center"/>
        </w:trPr>
        <w:tc>
          <w:tcPr>
            <w:tcW w:w="3130" w:type="dxa"/>
            <w:vMerge w:val="restart"/>
            <w:tcBorders>
              <w:top w:val="single" w:color="000000" w:sz="12" w:space="0"/>
              <w:left w:val="nil"/>
              <w:bottom w:val="nil"/>
              <w:right w:val="nil"/>
            </w:tcBorders>
            <w:noWrap/>
            <w:vAlign w:val="center"/>
          </w:tcPr>
          <w:p w14:paraId="499210E2">
            <w:pPr>
              <w:widowControl/>
              <w:spacing w:line="480" w:lineRule="auto"/>
              <w:jc w:val="left"/>
              <w:rPr>
                <w:rFonts w:ascii="Times New Roman" w:hAnsi="Times New Roman" w:eastAsia="Times New Roman" w:cs="Times New Roman"/>
                <w:kern w:val="0"/>
                <w:sz w:val="20"/>
                <w:szCs w:val="20"/>
              </w:rPr>
            </w:pPr>
          </w:p>
        </w:tc>
        <w:tc>
          <w:tcPr>
            <w:tcW w:w="6180" w:type="dxa"/>
            <w:gridSpan w:val="5"/>
            <w:vMerge w:val="restart"/>
            <w:tcBorders>
              <w:top w:val="single" w:color="000000" w:sz="12" w:space="0"/>
              <w:left w:val="nil"/>
              <w:bottom w:val="nil"/>
              <w:right w:val="nil"/>
            </w:tcBorders>
            <w:vAlign w:val="center"/>
          </w:tcPr>
          <w:p w14:paraId="039E7EA7">
            <w:pPr>
              <w:spacing w:line="480" w:lineRule="auto"/>
              <w:jc w:val="center"/>
              <w:rPr>
                <w:rFonts w:ascii="Times New Roman" w:hAnsi="Times New Roman" w:eastAsia="宋体" w:cs="Times New Roman"/>
                <w:color w:val="000000"/>
                <w:kern w:val="0"/>
                <w:szCs w:val="21"/>
              </w:rPr>
            </w:pPr>
            <w:r>
              <w:rPr>
                <w:rFonts w:ascii="Times New Roman" w:hAnsi="Times New Roman" w:cs="Times New Roman"/>
                <w:szCs w:val="21"/>
              </w:rPr>
              <w:t>Fixed Effects</w:t>
            </w:r>
          </w:p>
        </w:tc>
        <w:tc>
          <w:tcPr>
            <w:tcW w:w="3840" w:type="dxa"/>
            <w:gridSpan w:val="4"/>
            <w:tcBorders>
              <w:top w:val="single" w:color="000000" w:sz="12" w:space="0"/>
              <w:left w:val="nil"/>
              <w:bottom w:val="single" w:color="000000" w:sz="8" w:space="0"/>
              <w:right w:val="nil"/>
            </w:tcBorders>
            <w:vAlign w:val="center"/>
          </w:tcPr>
          <w:p w14:paraId="726D8A42">
            <w:pPr>
              <w:spacing w:line="480" w:lineRule="auto"/>
              <w:jc w:val="center"/>
              <w:rPr>
                <w:rFonts w:ascii="Times New Roman" w:hAnsi="Times New Roman" w:cs="Times New Roman"/>
                <w:szCs w:val="21"/>
              </w:rPr>
            </w:pPr>
            <w:r>
              <w:rPr>
                <w:rFonts w:ascii="Times New Roman" w:hAnsi="Times New Roman" w:cs="Times New Roman"/>
                <w:szCs w:val="21"/>
              </w:rPr>
              <w:t>Random Effects</w:t>
            </w:r>
          </w:p>
        </w:tc>
      </w:tr>
      <w:tr w14:paraId="5371E47F">
        <w:tblPrEx>
          <w:tblCellMar>
            <w:top w:w="0" w:type="dxa"/>
            <w:left w:w="108" w:type="dxa"/>
            <w:bottom w:w="0" w:type="dxa"/>
            <w:right w:w="108" w:type="dxa"/>
          </w:tblCellMar>
        </w:tblPrEx>
        <w:trPr>
          <w:trHeight w:val="340" w:hRule="atLeast"/>
          <w:jc w:val="center"/>
        </w:trPr>
        <w:tc>
          <w:tcPr>
            <w:tcW w:w="3130" w:type="dxa"/>
            <w:vMerge w:val="continue"/>
            <w:tcBorders>
              <w:top w:val="single" w:color="000000" w:sz="12" w:space="0"/>
              <w:left w:val="nil"/>
              <w:bottom w:val="nil"/>
              <w:right w:val="nil"/>
            </w:tcBorders>
            <w:vAlign w:val="center"/>
          </w:tcPr>
          <w:p w14:paraId="0126523E">
            <w:pPr>
              <w:widowControl/>
              <w:spacing w:line="480" w:lineRule="auto"/>
              <w:jc w:val="left"/>
              <w:rPr>
                <w:rFonts w:ascii="Times New Roman" w:hAnsi="Times New Roman" w:eastAsia="Times New Roman" w:cs="Times New Roman"/>
                <w:kern w:val="0"/>
                <w:sz w:val="20"/>
                <w:szCs w:val="20"/>
              </w:rPr>
            </w:pPr>
          </w:p>
        </w:tc>
        <w:tc>
          <w:tcPr>
            <w:tcW w:w="6180" w:type="dxa"/>
            <w:gridSpan w:val="5"/>
            <w:vMerge w:val="continue"/>
            <w:tcBorders>
              <w:top w:val="single" w:color="000000" w:sz="12" w:space="0"/>
              <w:left w:val="nil"/>
              <w:bottom w:val="nil"/>
              <w:right w:val="nil"/>
            </w:tcBorders>
            <w:vAlign w:val="center"/>
          </w:tcPr>
          <w:p w14:paraId="362DCFA5">
            <w:pPr>
              <w:widowControl/>
              <w:spacing w:line="480" w:lineRule="auto"/>
              <w:jc w:val="left"/>
              <w:rPr>
                <w:rFonts w:ascii="Times New Roman" w:hAnsi="Times New Roman" w:eastAsia="宋体" w:cs="Times New Roman"/>
                <w:color w:val="000000"/>
                <w:kern w:val="0"/>
                <w:szCs w:val="21"/>
              </w:rPr>
            </w:pPr>
          </w:p>
        </w:tc>
        <w:tc>
          <w:tcPr>
            <w:tcW w:w="1920" w:type="dxa"/>
            <w:gridSpan w:val="2"/>
            <w:tcBorders>
              <w:top w:val="nil"/>
              <w:left w:val="nil"/>
              <w:bottom w:val="single" w:color="000000" w:sz="8" w:space="0"/>
              <w:right w:val="nil"/>
            </w:tcBorders>
            <w:vAlign w:val="center"/>
          </w:tcPr>
          <w:p w14:paraId="1683AC7C">
            <w:pPr>
              <w:spacing w:line="480" w:lineRule="auto"/>
              <w:jc w:val="center"/>
              <w:rPr>
                <w:rFonts w:ascii="Times New Roman" w:hAnsi="Times New Roman" w:cs="Times New Roman"/>
                <w:szCs w:val="21"/>
              </w:rPr>
            </w:pPr>
            <w:r>
              <w:rPr>
                <w:rFonts w:ascii="Times New Roman" w:hAnsi="Times New Roman" w:cs="Times New Roman"/>
                <w:szCs w:val="21"/>
              </w:rPr>
              <w:t>Subject</w:t>
            </w:r>
          </w:p>
        </w:tc>
        <w:tc>
          <w:tcPr>
            <w:tcW w:w="1920" w:type="dxa"/>
            <w:gridSpan w:val="2"/>
            <w:tcBorders>
              <w:top w:val="nil"/>
              <w:left w:val="nil"/>
              <w:bottom w:val="single" w:color="000000" w:sz="8" w:space="0"/>
              <w:right w:val="nil"/>
            </w:tcBorders>
            <w:vAlign w:val="center"/>
          </w:tcPr>
          <w:p w14:paraId="547CD12F">
            <w:pPr>
              <w:spacing w:line="480" w:lineRule="auto"/>
              <w:jc w:val="center"/>
              <w:rPr>
                <w:rFonts w:ascii="Times New Roman" w:hAnsi="Times New Roman" w:cs="Times New Roman"/>
                <w:szCs w:val="21"/>
              </w:rPr>
            </w:pPr>
            <w:r>
              <w:rPr>
                <w:rFonts w:ascii="Times New Roman" w:hAnsi="Times New Roman" w:cs="Times New Roman"/>
                <w:szCs w:val="21"/>
              </w:rPr>
              <w:t>Item</w:t>
            </w:r>
          </w:p>
        </w:tc>
      </w:tr>
      <w:tr w14:paraId="125D863A">
        <w:tblPrEx>
          <w:tblCellMar>
            <w:top w:w="0" w:type="dxa"/>
            <w:left w:w="108" w:type="dxa"/>
            <w:bottom w:w="0" w:type="dxa"/>
            <w:right w:w="108" w:type="dxa"/>
          </w:tblCellMar>
        </w:tblPrEx>
        <w:trPr>
          <w:trHeight w:val="310" w:hRule="atLeast"/>
          <w:jc w:val="center"/>
        </w:trPr>
        <w:tc>
          <w:tcPr>
            <w:tcW w:w="3130" w:type="dxa"/>
            <w:vMerge w:val="continue"/>
            <w:tcBorders>
              <w:top w:val="single" w:color="000000" w:sz="12" w:space="0"/>
              <w:left w:val="nil"/>
              <w:bottom w:val="nil"/>
              <w:right w:val="nil"/>
            </w:tcBorders>
            <w:vAlign w:val="center"/>
          </w:tcPr>
          <w:p w14:paraId="5357AF9B">
            <w:pPr>
              <w:widowControl/>
              <w:spacing w:line="480" w:lineRule="auto"/>
              <w:jc w:val="left"/>
              <w:rPr>
                <w:rFonts w:ascii="Times New Roman" w:hAnsi="Times New Roman" w:eastAsia="Times New Roman" w:cs="Times New Roman"/>
                <w:kern w:val="0"/>
                <w:sz w:val="20"/>
                <w:szCs w:val="20"/>
              </w:rPr>
            </w:pPr>
          </w:p>
        </w:tc>
        <w:tc>
          <w:tcPr>
            <w:tcW w:w="960" w:type="dxa"/>
            <w:tcBorders>
              <w:top w:val="nil"/>
              <w:left w:val="nil"/>
              <w:bottom w:val="single" w:color="000000" w:sz="8" w:space="0"/>
              <w:right w:val="nil"/>
            </w:tcBorders>
            <w:vAlign w:val="center"/>
          </w:tcPr>
          <w:p w14:paraId="65F8B47C">
            <w:pPr>
              <w:spacing w:line="480" w:lineRule="auto"/>
              <w:jc w:val="center"/>
              <w:rPr>
                <w:rFonts w:ascii="Times New Roman" w:hAnsi="Times New Roman" w:cs="Times New Roman"/>
                <w:i/>
                <w:iCs/>
                <w:szCs w:val="21"/>
              </w:rPr>
            </w:pPr>
            <w:r>
              <w:rPr>
                <w:rFonts w:ascii="Times New Roman" w:hAnsi="Times New Roman" w:cs="Times New Roman"/>
                <w:i/>
                <w:iCs/>
                <w:szCs w:val="21"/>
              </w:rPr>
              <w:t>b</w:t>
            </w:r>
          </w:p>
        </w:tc>
        <w:tc>
          <w:tcPr>
            <w:tcW w:w="960" w:type="dxa"/>
            <w:tcBorders>
              <w:top w:val="nil"/>
              <w:left w:val="nil"/>
              <w:bottom w:val="single" w:color="000000" w:sz="8" w:space="0"/>
              <w:right w:val="nil"/>
            </w:tcBorders>
            <w:vAlign w:val="center"/>
          </w:tcPr>
          <w:p w14:paraId="1130D776">
            <w:pPr>
              <w:spacing w:line="480" w:lineRule="auto"/>
              <w:jc w:val="center"/>
              <w:rPr>
                <w:rFonts w:ascii="Times New Roman" w:hAnsi="Times New Roman" w:cs="Times New Roman"/>
                <w:i/>
                <w:iCs/>
                <w:szCs w:val="21"/>
              </w:rPr>
            </w:pPr>
            <w:r>
              <w:rPr>
                <w:rFonts w:ascii="Times New Roman" w:hAnsi="Times New Roman" w:cs="Times New Roman"/>
                <w:i/>
                <w:iCs/>
                <w:szCs w:val="21"/>
              </w:rPr>
              <w:t>SE</w:t>
            </w:r>
          </w:p>
        </w:tc>
        <w:tc>
          <w:tcPr>
            <w:tcW w:w="960" w:type="dxa"/>
            <w:tcBorders>
              <w:top w:val="nil"/>
              <w:left w:val="nil"/>
              <w:bottom w:val="single" w:color="000000" w:sz="8" w:space="0"/>
              <w:right w:val="nil"/>
            </w:tcBorders>
            <w:vAlign w:val="center"/>
          </w:tcPr>
          <w:p w14:paraId="19C67840">
            <w:pPr>
              <w:spacing w:line="480" w:lineRule="auto"/>
              <w:jc w:val="center"/>
              <w:rPr>
                <w:rFonts w:ascii="Times New Roman" w:hAnsi="Times New Roman" w:cs="Times New Roman"/>
                <w:i/>
                <w:iCs/>
                <w:szCs w:val="21"/>
              </w:rPr>
            </w:pPr>
            <w:r>
              <w:rPr>
                <w:rFonts w:ascii="Times New Roman" w:hAnsi="Times New Roman" w:cs="Times New Roman"/>
                <w:i/>
                <w:iCs/>
                <w:szCs w:val="21"/>
              </w:rPr>
              <w:t>t</w:t>
            </w:r>
          </w:p>
        </w:tc>
        <w:tc>
          <w:tcPr>
            <w:tcW w:w="960" w:type="dxa"/>
            <w:tcBorders>
              <w:top w:val="nil"/>
              <w:left w:val="nil"/>
              <w:bottom w:val="single" w:color="000000" w:sz="8" w:space="0"/>
              <w:right w:val="nil"/>
            </w:tcBorders>
            <w:vAlign w:val="center"/>
          </w:tcPr>
          <w:p w14:paraId="6DFFF36F">
            <w:pPr>
              <w:spacing w:line="480" w:lineRule="auto"/>
              <w:jc w:val="center"/>
              <w:rPr>
                <w:rFonts w:ascii="Times New Roman" w:hAnsi="Times New Roman" w:cs="Times New Roman"/>
                <w:i/>
                <w:iCs/>
                <w:szCs w:val="21"/>
              </w:rPr>
            </w:pPr>
            <w:r>
              <w:rPr>
                <w:rFonts w:ascii="Times New Roman" w:hAnsi="Times New Roman" w:cs="Times New Roman"/>
                <w:i/>
                <w:iCs/>
                <w:szCs w:val="21"/>
              </w:rPr>
              <w:t>p</w:t>
            </w:r>
          </w:p>
        </w:tc>
        <w:tc>
          <w:tcPr>
            <w:tcW w:w="2340" w:type="dxa"/>
            <w:tcBorders>
              <w:top w:val="nil"/>
              <w:left w:val="nil"/>
              <w:bottom w:val="single" w:color="000000" w:sz="8" w:space="0"/>
              <w:right w:val="nil"/>
            </w:tcBorders>
            <w:vAlign w:val="center"/>
          </w:tcPr>
          <w:p w14:paraId="0F2ACE68">
            <w:pPr>
              <w:spacing w:line="480" w:lineRule="auto"/>
              <w:jc w:val="center"/>
              <w:rPr>
                <w:rFonts w:ascii="Times New Roman" w:hAnsi="Times New Roman" w:cs="Times New Roman"/>
                <w:i/>
                <w:iCs/>
                <w:szCs w:val="21"/>
              </w:rPr>
            </w:pPr>
            <w:r>
              <w:rPr>
                <w:rFonts w:ascii="Times New Roman" w:hAnsi="Times New Roman" w:cs="Times New Roman"/>
                <w:szCs w:val="21"/>
              </w:rPr>
              <w:t>95%</w:t>
            </w:r>
            <w:r>
              <w:rPr>
                <w:rFonts w:ascii="Times New Roman" w:hAnsi="Times New Roman" w:cs="Times New Roman"/>
                <w:i/>
                <w:iCs/>
                <w:szCs w:val="21"/>
              </w:rPr>
              <w:t xml:space="preserve"> CI</w:t>
            </w:r>
          </w:p>
        </w:tc>
        <w:tc>
          <w:tcPr>
            <w:tcW w:w="960" w:type="dxa"/>
            <w:tcBorders>
              <w:top w:val="nil"/>
              <w:left w:val="nil"/>
              <w:bottom w:val="single" w:color="000000" w:sz="8" w:space="0"/>
              <w:right w:val="nil"/>
            </w:tcBorders>
            <w:vAlign w:val="center"/>
          </w:tcPr>
          <w:p w14:paraId="783D209A">
            <w:pPr>
              <w:spacing w:line="480" w:lineRule="auto"/>
              <w:jc w:val="center"/>
              <w:rPr>
                <w:rFonts w:ascii="Times New Roman" w:hAnsi="Times New Roman" w:cs="Times New Roman"/>
                <w:i/>
                <w:iCs/>
                <w:szCs w:val="21"/>
              </w:rPr>
            </w:pPr>
            <w:r>
              <w:rPr>
                <w:rFonts w:ascii="Times New Roman" w:hAnsi="Times New Roman" w:cs="Times New Roman"/>
                <w:i/>
                <w:iCs/>
                <w:szCs w:val="21"/>
              </w:rPr>
              <w:t>Variance</w:t>
            </w:r>
          </w:p>
        </w:tc>
        <w:tc>
          <w:tcPr>
            <w:tcW w:w="960" w:type="dxa"/>
            <w:tcBorders>
              <w:top w:val="nil"/>
              <w:left w:val="nil"/>
              <w:bottom w:val="single" w:color="000000" w:sz="8" w:space="0"/>
              <w:right w:val="nil"/>
            </w:tcBorders>
            <w:vAlign w:val="center"/>
          </w:tcPr>
          <w:p w14:paraId="5C18B652">
            <w:pPr>
              <w:spacing w:line="480" w:lineRule="auto"/>
              <w:jc w:val="center"/>
              <w:rPr>
                <w:rFonts w:ascii="Times New Roman" w:hAnsi="Times New Roman" w:cs="Times New Roman"/>
                <w:i/>
                <w:iCs/>
                <w:szCs w:val="21"/>
              </w:rPr>
            </w:pPr>
            <w:r>
              <w:rPr>
                <w:rFonts w:ascii="Times New Roman" w:hAnsi="Times New Roman" w:cs="Times New Roman"/>
                <w:i/>
                <w:iCs/>
                <w:szCs w:val="21"/>
              </w:rPr>
              <w:t>ICC</w:t>
            </w:r>
          </w:p>
        </w:tc>
        <w:tc>
          <w:tcPr>
            <w:tcW w:w="960" w:type="dxa"/>
            <w:tcBorders>
              <w:top w:val="nil"/>
              <w:left w:val="nil"/>
              <w:bottom w:val="single" w:color="000000" w:sz="8" w:space="0"/>
              <w:right w:val="nil"/>
            </w:tcBorders>
            <w:vAlign w:val="center"/>
          </w:tcPr>
          <w:p w14:paraId="3B1743BA">
            <w:pPr>
              <w:spacing w:line="480" w:lineRule="auto"/>
              <w:jc w:val="center"/>
              <w:rPr>
                <w:rFonts w:ascii="Times New Roman" w:hAnsi="Times New Roman" w:cs="Times New Roman"/>
                <w:i/>
                <w:iCs/>
                <w:szCs w:val="21"/>
              </w:rPr>
            </w:pPr>
            <w:r>
              <w:rPr>
                <w:rFonts w:ascii="Times New Roman" w:hAnsi="Times New Roman" w:cs="Times New Roman"/>
                <w:i/>
                <w:iCs/>
                <w:szCs w:val="21"/>
              </w:rPr>
              <w:t>Variance</w:t>
            </w:r>
          </w:p>
        </w:tc>
        <w:tc>
          <w:tcPr>
            <w:tcW w:w="960" w:type="dxa"/>
            <w:tcBorders>
              <w:top w:val="nil"/>
              <w:left w:val="nil"/>
              <w:bottom w:val="single" w:color="000000" w:sz="8" w:space="0"/>
              <w:right w:val="nil"/>
            </w:tcBorders>
            <w:vAlign w:val="center"/>
          </w:tcPr>
          <w:p w14:paraId="068E0B8B">
            <w:pPr>
              <w:spacing w:line="480" w:lineRule="auto"/>
              <w:jc w:val="center"/>
              <w:rPr>
                <w:rFonts w:ascii="Times New Roman" w:hAnsi="Times New Roman" w:cs="Times New Roman"/>
                <w:i/>
                <w:iCs/>
                <w:szCs w:val="21"/>
              </w:rPr>
            </w:pPr>
            <w:r>
              <w:rPr>
                <w:rFonts w:ascii="Times New Roman" w:hAnsi="Times New Roman" w:cs="Times New Roman"/>
                <w:i/>
                <w:iCs/>
                <w:szCs w:val="21"/>
              </w:rPr>
              <w:t>ICC</w:t>
            </w:r>
          </w:p>
        </w:tc>
      </w:tr>
      <w:tr w14:paraId="2E0E932B">
        <w:tblPrEx>
          <w:tblCellMar>
            <w:top w:w="0" w:type="dxa"/>
            <w:left w:w="108" w:type="dxa"/>
            <w:bottom w:w="0" w:type="dxa"/>
            <w:right w:w="108" w:type="dxa"/>
          </w:tblCellMar>
        </w:tblPrEx>
        <w:trPr>
          <w:trHeight w:val="280" w:hRule="atLeast"/>
          <w:jc w:val="center"/>
        </w:trPr>
        <w:tc>
          <w:tcPr>
            <w:tcW w:w="3130" w:type="dxa"/>
            <w:tcBorders>
              <w:top w:val="nil"/>
              <w:left w:val="nil"/>
              <w:bottom w:val="nil"/>
              <w:right w:val="nil"/>
            </w:tcBorders>
            <w:vAlign w:val="center"/>
          </w:tcPr>
          <w:p w14:paraId="28F3116D">
            <w:pPr>
              <w:spacing w:line="480" w:lineRule="auto"/>
              <w:rPr>
                <w:rFonts w:ascii="Times New Roman" w:hAnsi="Times New Roman" w:cs="Times New Roman"/>
                <w:szCs w:val="21"/>
              </w:rPr>
            </w:pPr>
            <w:r>
              <w:rPr>
                <w:rFonts w:ascii="Times New Roman" w:hAnsi="Times New Roman" w:cs="Times New Roman"/>
                <w:szCs w:val="21"/>
              </w:rPr>
              <w:t>Intercept</w:t>
            </w:r>
          </w:p>
        </w:tc>
        <w:tc>
          <w:tcPr>
            <w:tcW w:w="960" w:type="dxa"/>
            <w:tcBorders>
              <w:top w:val="nil"/>
              <w:left w:val="nil"/>
              <w:bottom w:val="nil"/>
              <w:right w:val="nil"/>
            </w:tcBorders>
            <w:vAlign w:val="center"/>
          </w:tcPr>
          <w:p w14:paraId="0FF03879">
            <w:pPr>
              <w:spacing w:line="480" w:lineRule="auto"/>
              <w:rPr>
                <w:rFonts w:ascii="Times New Roman" w:hAnsi="Times New Roman" w:cs="Times New Roman"/>
                <w:szCs w:val="21"/>
              </w:rPr>
            </w:pPr>
            <w:r>
              <w:rPr>
                <w:rFonts w:ascii="Times New Roman" w:hAnsi="Times New Roman" w:cs="Times New Roman"/>
                <w:szCs w:val="21"/>
              </w:rPr>
              <w:t>3.168</w:t>
            </w:r>
          </w:p>
        </w:tc>
        <w:tc>
          <w:tcPr>
            <w:tcW w:w="960" w:type="dxa"/>
            <w:tcBorders>
              <w:top w:val="nil"/>
              <w:left w:val="nil"/>
              <w:bottom w:val="nil"/>
              <w:right w:val="nil"/>
            </w:tcBorders>
            <w:vAlign w:val="center"/>
          </w:tcPr>
          <w:p w14:paraId="0DB34470">
            <w:pPr>
              <w:spacing w:line="480" w:lineRule="auto"/>
              <w:rPr>
                <w:rFonts w:ascii="Times New Roman" w:hAnsi="Times New Roman" w:cs="Times New Roman"/>
                <w:szCs w:val="21"/>
              </w:rPr>
            </w:pPr>
            <w:r>
              <w:rPr>
                <w:rFonts w:ascii="Times New Roman" w:hAnsi="Times New Roman" w:cs="Times New Roman"/>
                <w:szCs w:val="21"/>
              </w:rPr>
              <w:t>0.008</w:t>
            </w:r>
          </w:p>
        </w:tc>
        <w:tc>
          <w:tcPr>
            <w:tcW w:w="960" w:type="dxa"/>
            <w:tcBorders>
              <w:top w:val="nil"/>
              <w:left w:val="nil"/>
              <w:bottom w:val="nil"/>
              <w:right w:val="nil"/>
            </w:tcBorders>
            <w:vAlign w:val="center"/>
          </w:tcPr>
          <w:p w14:paraId="3155454B">
            <w:pPr>
              <w:spacing w:line="480" w:lineRule="auto"/>
              <w:rPr>
                <w:rFonts w:ascii="Times New Roman" w:hAnsi="Times New Roman" w:cs="Times New Roman"/>
                <w:szCs w:val="21"/>
              </w:rPr>
            </w:pPr>
            <w:r>
              <w:rPr>
                <w:rFonts w:ascii="Times New Roman" w:hAnsi="Times New Roman" w:cs="Times New Roman"/>
                <w:szCs w:val="21"/>
              </w:rPr>
              <w:t>406.44</w:t>
            </w:r>
          </w:p>
        </w:tc>
        <w:tc>
          <w:tcPr>
            <w:tcW w:w="960" w:type="dxa"/>
            <w:tcBorders>
              <w:top w:val="nil"/>
              <w:left w:val="nil"/>
              <w:bottom w:val="nil"/>
              <w:right w:val="nil"/>
            </w:tcBorders>
            <w:vAlign w:val="center"/>
          </w:tcPr>
          <w:p w14:paraId="2F502876">
            <w:pPr>
              <w:spacing w:line="480" w:lineRule="auto"/>
              <w:rPr>
                <w:rFonts w:ascii="Times New Roman" w:hAnsi="Times New Roman" w:cs="Times New Roman"/>
                <w:szCs w:val="21"/>
              </w:rPr>
            </w:pPr>
            <w:r>
              <w:rPr>
                <w:rFonts w:ascii="Times New Roman" w:hAnsi="Times New Roman" w:cs="Times New Roman"/>
                <w:szCs w:val="21"/>
              </w:rPr>
              <w:t>&lt; 0.001</w:t>
            </w:r>
          </w:p>
        </w:tc>
        <w:tc>
          <w:tcPr>
            <w:tcW w:w="2340" w:type="dxa"/>
            <w:tcBorders>
              <w:top w:val="nil"/>
              <w:left w:val="nil"/>
              <w:bottom w:val="nil"/>
              <w:right w:val="nil"/>
            </w:tcBorders>
            <w:vAlign w:val="center"/>
          </w:tcPr>
          <w:p w14:paraId="312D0505">
            <w:pPr>
              <w:spacing w:line="480" w:lineRule="auto"/>
              <w:rPr>
                <w:rFonts w:ascii="Times New Roman" w:hAnsi="Times New Roman" w:cs="Times New Roman"/>
                <w:szCs w:val="21"/>
              </w:rPr>
            </w:pPr>
            <w:r>
              <w:rPr>
                <w:rFonts w:ascii="Times New Roman" w:hAnsi="Times New Roman" w:cs="Times New Roman"/>
                <w:szCs w:val="21"/>
              </w:rPr>
              <w:t>[3.153, 3.184]</w:t>
            </w:r>
          </w:p>
        </w:tc>
        <w:tc>
          <w:tcPr>
            <w:tcW w:w="960" w:type="dxa"/>
            <w:tcBorders>
              <w:top w:val="nil"/>
              <w:left w:val="nil"/>
              <w:bottom w:val="nil"/>
              <w:right w:val="nil"/>
            </w:tcBorders>
            <w:vAlign w:val="center"/>
          </w:tcPr>
          <w:p w14:paraId="2726559A">
            <w:pPr>
              <w:spacing w:line="480" w:lineRule="auto"/>
              <w:rPr>
                <w:rFonts w:ascii="Times New Roman" w:hAnsi="Times New Roman" w:cs="Times New Roman"/>
                <w:szCs w:val="21"/>
              </w:rPr>
            </w:pPr>
            <w:r>
              <w:rPr>
                <w:rFonts w:ascii="Times New Roman" w:hAnsi="Times New Roman" w:cs="Times New Roman"/>
                <w:szCs w:val="21"/>
              </w:rPr>
              <w:t>0.002</w:t>
            </w:r>
          </w:p>
        </w:tc>
        <w:tc>
          <w:tcPr>
            <w:tcW w:w="960" w:type="dxa"/>
            <w:tcBorders>
              <w:top w:val="nil"/>
              <w:left w:val="nil"/>
              <w:bottom w:val="nil"/>
              <w:right w:val="nil"/>
            </w:tcBorders>
            <w:vAlign w:val="center"/>
          </w:tcPr>
          <w:p w14:paraId="04AEC50C">
            <w:pPr>
              <w:spacing w:line="480" w:lineRule="auto"/>
              <w:rPr>
                <w:rFonts w:ascii="Times New Roman" w:hAnsi="Times New Roman" w:cs="Times New Roman"/>
                <w:szCs w:val="21"/>
              </w:rPr>
            </w:pPr>
            <w:r>
              <w:rPr>
                <w:rFonts w:ascii="Times New Roman" w:hAnsi="Times New Roman" w:cs="Times New Roman"/>
                <w:szCs w:val="21"/>
              </w:rPr>
              <w:t>0.127</w:t>
            </w:r>
          </w:p>
        </w:tc>
        <w:tc>
          <w:tcPr>
            <w:tcW w:w="960" w:type="dxa"/>
            <w:tcBorders>
              <w:top w:val="nil"/>
              <w:left w:val="nil"/>
              <w:bottom w:val="nil"/>
              <w:right w:val="nil"/>
            </w:tcBorders>
            <w:vAlign w:val="center"/>
          </w:tcPr>
          <w:p w14:paraId="3FCA1781">
            <w:pPr>
              <w:spacing w:line="480" w:lineRule="auto"/>
              <w:rPr>
                <w:rFonts w:ascii="Times New Roman" w:hAnsi="Times New Roman" w:cs="Times New Roman"/>
                <w:szCs w:val="21"/>
              </w:rPr>
            </w:pPr>
            <w:r>
              <w:rPr>
                <w:rFonts w:ascii="Times New Roman" w:hAnsi="Times New Roman" w:cs="Times New Roman"/>
                <w:szCs w:val="21"/>
              </w:rPr>
              <w:t>0.001</w:t>
            </w:r>
          </w:p>
        </w:tc>
        <w:tc>
          <w:tcPr>
            <w:tcW w:w="960" w:type="dxa"/>
            <w:tcBorders>
              <w:top w:val="nil"/>
              <w:left w:val="nil"/>
              <w:bottom w:val="nil"/>
              <w:right w:val="nil"/>
            </w:tcBorders>
            <w:vAlign w:val="center"/>
          </w:tcPr>
          <w:p w14:paraId="46F487E7">
            <w:pPr>
              <w:spacing w:line="480" w:lineRule="auto"/>
              <w:rPr>
                <w:rFonts w:ascii="Times New Roman" w:hAnsi="Times New Roman" w:cs="Times New Roman"/>
                <w:szCs w:val="21"/>
              </w:rPr>
            </w:pPr>
            <w:r>
              <w:rPr>
                <w:rFonts w:ascii="Times New Roman" w:hAnsi="Times New Roman" w:cs="Times New Roman"/>
                <w:szCs w:val="21"/>
              </w:rPr>
              <w:t>0.068</w:t>
            </w:r>
          </w:p>
        </w:tc>
      </w:tr>
      <w:tr w14:paraId="4A99514F">
        <w:tblPrEx>
          <w:tblCellMar>
            <w:top w:w="0" w:type="dxa"/>
            <w:left w:w="108" w:type="dxa"/>
            <w:bottom w:w="0" w:type="dxa"/>
            <w:right w:w="108" w:type="dxa"/>
          </w:tblCellMar>
        </w:tblPrEx>
        <w:trPr>
          <w:trHeight w:val="310" w:hRule="atLeast"/>
          <w:jc w:val="center"/>
        </w:trPr>
        <w:tc>
          <w:tcPr>
            <w:tcW w:w="3130" w:type="dxa"/>
            <w:tcBorders>
              <w:top w:val="nil"/>
              <w:left w:val="nil"/>
              <w:bottom w:val="nil"/>
              <w:right w:val="nil"/>
            </w:tcBorders>
            <w:vAlign w:val="center"/>
          </w:tcPr>
          <w:p w14:paraId="0030A1D5">
            <w:pPr>
              <w:spacing w:line="480" w:lineRule="auto"/>
              <w:rPr>
                <w:rFonts w:ascii="Times New Roman" w:hAnsi="Times New Roman" w:cs="Times New Roman"/>
                <w:szCs w:val="21"/>
              </w:rPr>
            </w:pPr>
            <w:r>
              <w:rPr>
                <w:rFonts w:ascii="Times New Roman" w:hAnsi="Times New Roman" w:cs="Times New Roman"/>
                <w:szCs w:val="21"/>
              </w:rPr>
              <w:t>LpTL - LIFG</w:t>
            </w:r>
          </w:p>
        </w:tc>
        <w:tc>
          <w:tcPr>
            <w:tcW w:w="960" w:type="dxa"/>
            <w:tcBorders>
              <w:top w:val="nil"/>
              <w:left w:val="nil"/>
              <w:bottom w:val="nil"/>
              <w:right w:val="nil"/>
            </w:tcBorders>
            <w:vAlign w:val="center"/>
          </w:tcPr>
          <w:p w14:paraId="64BD073F">
            <w:pPr>
              <w:spacing w:line="480" w:lineRule="auto"/>
              <w:rPr>
                <w:rFonts w:ascii="Times New Roman" w:hAnsi="Times New Roman" w:cs="Times New Roman"/>
                <w:szCs w:val="21"/>
              </w:rPr>
            </w:pPr>
            <w:r>
              <w:rPr>
                <w:rFonts w:ascii="Times New Roman" w:hAnsi="Times New Roman" w:cs="Times New Roman"/>
                <w:szCs w:val="21"/>
              </w:rPr>
              <w:t>-0.014</w:t>
            </w:r>
          </w:p>
        </w:tc>
        <w:tc>
          <w:tcPr>
            <w:tcW w:w="960" w:type="dxa"/>
            <w:tcBorders>
              <w:top w:val="nil"/>
              <w:left w:val="nil"/>
              <w:bottom w:val="nil"/>
              <w:right w:val="nil"/>
            </w:tcBorders>
            <w:vAlign w:val="center"/>
          </w:tcPr>
          <w:p w14:paraId="42CBF5CC">
            <w:pPr>
              <w:spacing w:line="480" w:lineRule="auto"/>
              <w:rPr>
                <w:rFonts w:ascii="Times New Roman" w:hAnsi="Times New Roman" w:cs="Times New Roman"/>
                <w:szCs w:val="21"/>
              </w:rPr>
            </w:pPr>
            <w:r>
              <w:rPr>
                <w:rFonts w:ascii="Times New Roman" w:hAnsi="Times New Roman" w:cs="Times New Roman"/>
                <w:szCs w:val="21"/>
              </w:rPr>
              <w:t>0.006</w:t>
            </w:r>
          </w:p>
        </w:tc>
        <w:tc>
          <w:tcPr>
            <w:tcW w:w="960" w:type="dxa"/>
            <w:tcBorders>
              <w:top w:val="nil"/>
              <w:left w:val="nil"/>
              <w:bottom w:val="nil"/>
              <w:right w:val="nil"/>
            </w:tcBorders>
            <w:vAlign w:val="center"/>
          </w:tcPr>
          <w:p w14:paraId="25A16947">
            <w:pPr>
              <w:spacing w:line="480" w:lineRule="auto"/>
              <w:rPr>
                <w:rFonts w:ascii="Times New Roman" w:hAnsi="Times New Roman" w:cs="Times New Roman"/>
                <w:szCs w:val="21"/>
              </w:rPr>
            </w:pPr>
            <w:r>
              <w:rPr>
                <w:rFonts w:ascii="Times New Roman" w:hAnsi="Times New Roman" w:cs="Times New Roman"/>
                <w:szCs w:val="21"/>
              </w:rPr>
              <w:t xml:space="preserve">-2.30 </w:t>
            </w:r>
          </w:p>
        </w:tc>
        <w:tc>
          <w:tcPr>
            <w:tcW w:w="960" w:type="dxa"/>
            <w:tcBorders>
              <w:top w:val="nil"/>
              <w:left w:val="nil"/>
              <w:bottom w:val="nil"/>
              <w:right w:val="nil"/>
            </w:tcBorders>
            <w:vAlign w:val="center"/>
          </w:tcPr>
          <w:p w14:paraId="3C509E49">
            <w:pPr>
              <w:spacing w:line="480" w:lineRule="auto"/>
              <w:rPr>
                <w:rFonts w:ascii="Times New Roman" w:hAnsi="Times New Roman" w:cs="Times New Roman"/>
                <w:szCs w:val="21"/>
              </w:rPr>
            </w:pPr>
            <w:r>
              <w:rPr>
                <w:rFonts w:ascii="Times New Roman" w:hAnsi="Times New Roman" w:cs="Times New Roman"/>
                <w:szCs w:val="21"/>
              </w:rPr>
              <w:t>0.027</w:t>
            </w:r>
          </w:p>
        </w:tc>
        <w:tc>
          <w:tcPr>
            <w:tcW w:w="2340" w:type="dxa"/>
            <w:tcBorders>
              <w:top w:val="nil"/>
              <w:left w:val="nil"/>
              <w:bottom w:val="nil"/>
              <w:right w:val="nil"/>
            </w:tcBorders>
            <w:vAlign w:val="center"/>
          </w:tcPr>
          <w:p w14:paraId="7BD53A05">
            <w:pPr>
              <w:spacing w:line="480" w:lineRule="auto"/>
              <w:rPr>
                <w:rFonts w:ascii="Times New Roman" w:hAnsi="Times New Roman" w:cs="Times New Roman"/>
                <w:szCs w:val="21"/>
              </w:rPr>
            </w:pPr>
            <w:r>
              <w:rPr>
                <w:rFonts w:ascii="Times New Roman" w:hAnsi="Times New Roman" w:cs="Times New Roman"/>
                <w:szCs w:val="21"/>
              </w:rPr>
              <w:t>[-0.027, -0.002]</w:t>
            </w:r>
          </w:p>
        </w:tc>
        <w:tc>
          <w:tcPr>
            <w:tcW w:w="960" w:type="dxa"/>
            <w:tcBorders>
              <w:top w:val="nil"/>
              <w:left w:val="nil"/>
              <w:bottom w:val="nil"/>
              <w:right w:val="nil"/>
            </w:tcBorders>
            <w:vAlign w:val="center"/>
          </w:tcPr>
          <w:p w14:paraId="3E1FDA69">
            <w:pPr>
              <w:spacing w:line="480" w:lineRule="auto"/>
              <w:rPr>
                <w:rFonts w:ascii="Times New Roman" w:hAnsi="Times New Roman" w:cs="Times New Roman"/>
                <w:szCs w:val="21"/>
              </w:rPr>
            </w:pPr>
            <w:r>
              <w:rPr>
                <w:rFonts w:ascii="Times New Roman" w:hAnsi="Times New Roman" w:cs="Times New Roman"/>
                <w:szCs w:val="21"/>
              </w:rPr>
              <w:t>0.001</w:t>
            </w:r>
          </w:p>
        </w:tc>
        <w:tc>
          <w:tcPr>
            <w:tcW w:w="960" w:type="dxa"/>
            <w:tcBorders>
              <w:top w:val="nil"/>
              <w:left w:val="nil"/>
              <w:bottom w:val="nil"/>
              <w:right w:val="nil"/>
            </w:tcBorders>
            <w:vAlign w:val="center"/>
          </w:tcPr>
          <w:p w14:paraId="670ACD14">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246A576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1EA8BE4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609FFE2B">
        <w:tblPrEx>
          <w:tblCellMar>
            <w:top w:w="0" w:type="dxa"/>
            <w:left w:w="108" w:type="dxa"/>
            <w:bottom w:w="0" w:type="dxa"/>
            <w:right w:w="108" w:type="dxa"/>
          </w:tblCellMar>
        </w:tblPrEx>
        <w:trPr>
          <w:trHeight w:val="310" w:hRule="atLeast"/>
          <w:jc w:val="center"/>
        </w:trPr>
        <w:tc>
          <w:tcPr>
            <w:tcW w:w="3130" w:type="dxa"/>
            <w:tcBorders>
              <w:top w:val="nil"/>
              <w:left w:val="nil"/>
              <w:bottom w:val="nil"/>
              <w:right w:val="nil"/>
            </w:tcBorders>
            <w:vAlign w:val="center"/>
          </w:tcPr>
          <w:p w14:paraId="76D12C85">
            <w:pPr>
              <w:spacing w:line="480" w:lineRule="auto"/>
              <w:rPr>
                <w:rFonts w:ascii="Times New Roman" w:hAnsi="Times New Roman" w:cs="Times New Roman"/>
                <w:szCs w:val="21"/>
              </w:rPr>
            </w:pPr>
            <w:r>
              <w:rPr>
                <w:rFonts w:ascii="Times New Roman" w:hAnsi="Times New Roman" w:cs="Times New Roman"/>
                <w:szCs w:val="21"/>
              </w:rPr>
              <w:t>vertex - LpTL</w:t>
            </w:r>
          </w:p>
        </w:tc>
        <w:tc>
          <w:tcPr>
            <w:tcW w:w="960" w:type="dxa"/>
            <w:tcBorders>
              <w:top w:val="nil"/>
              <w:left w:val="nil"/>
              <w:bottom w:val="nil"/>
              <w:right w:val="nil"/>
            </w:tcBorders>
            <w:vAlign w:val="center"/>
          </w:tcPr>
          <w:p w14:paraId="51A5EEF0">
            <w:pPr>
              <w:spacing w:line="480" w:lineRule="auto"/>
              <w:rPr>
                <w:rFonts w:ascii="Times New Roman" w:hAnsi="Times New Roman" w:cs="Times New Roman"/>
                <w:szCs w:val="21"/>
              </w:rPr>
            </w:pPr>
            <w:r>
              <w:rPr>
                <w:rFonts w:ascii="Times New Roman" w:hAnsi="Times New Roman" w:cs="Times New Roman"/>
                <w:szCs w:val="21"/>
              </w:rPr>
              <w:t>0.007</w:t>
            </w:r>
          </w:p>
        </w:tc>
        <w:tc>
          <w:tcPr>
            <w:tcW w:w="960" w:type="dxa"/>
            <w:tcBorders>
              <w:top w:val="nil"/>
              <w:left w:val="nil"/>
              <w:bottom w:val="nil"/>
              <w:right w:val="nil"/>
            </w:tcBorders>
            <w:vAlign w:val="center"/>
          </w:tcPr>
          <w:p w14:paraId="65CC5A82">
            <w:pPr>
              <w:spacing w:line="480" w:lineRule="auto"/>
              <w:rPr>
                <w:rFonts w:ascii="Times New Roman" w:hAnsi="Times New Roman" w:cs="Times New Roman"/>
                <w:szCs w:val="21"/>
              </w:rPr>
            </w:pPr>
            <w:r>
              <w:rPr>
                <w:rFonts w:ascii="Times New Roman" w:hAnsi="Times New Roman" w:cs="Times New Roman"/>
                <w:szCs w:val="21"/>
              </w:rPr>
              <w:t>0.005</w:t>
            </w:r>
          </w:p>
        </w:tc>
        <w:tc>
          <w:tcPr>
            <w:tcW w:w="960" w:type="dxa"/>
            <w:tcBorders>
              <w:top w:val="nil"/>
              <w:left w:val="nil"/>
              <w:bottom w:val="nil"/>
              <w:right w:val="nil"/>
            </w:tcBorders>
            <w:vAlign w:val="center"/>
          </w:tcPr>
          <w:p w14:paraId="6BB90796">
            <w:pPr>
              <w:spacing w:line="480" w:lineRule="auto"/>
              <w:rPr>
                <w:rFonts w:ascii="Times New Roman" w:hAnsi="Times New Roman" w:cs="Times New Roman"/>
                <w:szCs w:val="21"/>
              </w:rPr>
            </w:pPr>
            <w:r>
              <w:rPr>
                <w:rFonts w:ascii="Times New Roman" w:hAnsi="Times New Roman" w:cs="Times New Roman"/>
                <w:szCs w:val="21"/>
              </w:rPr>
              <w:t>-1.05</w:t>
            </w:r>
          </w:p>
        </w:tc>
        <w:tc>
          <w:tcPr>
            <w:tcW w:w="960" w:type="dxa"/>
            <w:tcBorders>
              <w:top w:val="nil"/>
              <w:left w:val="nil"/>
              <w:bottom w:val="nil"/>
              <w:right w:val="nil"/>
            </w:tcBorders>
            <w:vAlign w:val="center"/>
          </w:tcPr>
          <w:p w14:paraId="346507F2">
            <w:pPr>
              <w:spacing w:line="480" w:lineRule="auto"/>
              <w:rPr>
                <w:rFonts w:ascii="Times New Roman" w:hAnsi="Times New Roman" w:cs="Times New Roman"/>
                <w:szCs w:val="21"/>
              </w:rPr>
            </w:pPr>
            <w:r>
              <w:rPr>
                <w:rFonts w:ascii="Times New Roman" w:hAnsi="Times New Roman" w:cs="Times New Roman"/>
                <w:szCs w:val="21"/>
              </w:rPr>
              <w:t>0.298</w:t>
            </w:r>
          </w:p>
        </w:tc>
        <w:tc>
          <w:tcPr>
            <w:tcW w:w="2340" w:type="dxa"/>
            <w:tcBorders>
              <w:top w:val="nil"/>
              <w:left w:val="nil"/>
              <w:bottom w:val="nil"/>
              <w:right w:val="nil"/>
            </w:tcBorders>
            <w:vAlign w:val="center"/>
          </w:tcPr>
          <w:p w14:paraId="22EE8B88">
            <w:pPr>
              <w:spacing w:line="480" w:lineRule="auto"/>
              <w:rPr>
                <w:rFonts w:ascii="Times New Roman" w:hAnsi="Times New Roman" w:cs="Times New Roman"/>
                <w:szCs w:val="21"/>
              </w:rPr>
            </w:pPr>
            <w:r>
              <w:rPr>
                <w:rFonts w:ascii="Times New Roman" w:hAnsi="Times New Roman" w:cs="Times New Roman"/>
                <w:szCs w:val="21"/>
              </w:rPr>
              <w:t>[-0.016, 0.005]</w:t>
            </w:r>
          </w:p>
        </w:tc>
        <w:tc>
          <w:tcPr>
            <w:tcW w:w="960" w:type="dxa"/>
            <w:tcBorders>
              <w:top w:val="nil"/>
              <w:left w:val="nil"/>
              <w:bottom w:val="nil"/>
              <w:right w:val="nil"/>
            </w:tcBorders>
            <w:vAlign w:val="center"/>
          </w:tcPr>
          <w:p w14:paraId="346BB839">
            <w:pPr>
              <w:spacing w:line="480" w:lineRule="auto"/>
              <w:rPr>
                <w:rFonts w:ascii="Times New Roman" w:hAnsi="Times New Roman" w:cs="Times New Roman"/>
                <w:szCs w:val="21"/>
              </w:rPr>
            </w:pPr>
            <w:r>
              <w:rPr>
                <w:rFonts w:ascii="Times New Roman" w:hAnsi="Times New Roman" w:cs="Times New Roman"/>
                <w:szCs w:val="21"/>
              </w:rPr>
              <w:t>0.001</w:t>
            </w:r>
          </w:p>
        </w:tc>
        <w:tc>
          <w:tcPr>
            <w:tcW w:w="960" w:type="dxa"/>
            <w:tcBorders>
              <w:top w:val="nil"/>
              <w:left w:val="nil"/>
              <w:bottom w:val="nil"/>
              <w:right w:val="nil"/>
            </w:tcBorders>
            <w:vAlign w:val="center"/>
          </w:tcPr>
          <w:p w14:paraId="2387380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157E204B">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22A9A15C">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1A82CA47">
        <w:tblPrEx>
          <w:tblCellMar>
            <w:top w:w="0" w:type="dxa"/>
            <w:left w:w="108" w:type="dxa"/>
            <w:bottom w:w="0" w:type="dxa"/>
            <w:right w:w="108" w:type="dxa"/>
          </w:tblCellMar>
        </w:tblPrEx>
        <w:trPr>
          <w:trHeight w:val="310" w:hRule="atLeast"/>
          <w:jc w:val="center"/>
        </w:trPr>
        <w:tc>
          <w:tcPr>
            <w:tcW w:w="3130" w:type="dxa"/>
            <w:tcBorders>
              <w:top w:val="nil"/>
              <w:left w:val="nil"/>
              <w:bottom w:val="nil"/>
              <w:right w:val="nil"/>
            </w:tcBorders>
            <w:vAlign w:val="center"/>
          </w:tcPr>
          <w:p w14:paraId="74E696DA">
            <w:pPr>
              <w:spacing w:line="480" w:lineRule="auto"/>
              <w:rPr>
                <w:rFonts w:ascii="Times New Roman" w:hAnsi="Times New Roman" w:cs="Times New Roman"/>
                <w:szCs w:val="21"/>
              </w:rPr>
            </w:pPr>
            <w:r>
              <w:rPr>
                <w:rFonts w:ascii="Times New Roman" w:hAnsi="Times New Roman" w:cs="Times New Roman"/>
                <w:szCs w:val="21"/>
              </w:rPr>
              <w:t>ORC - SRC</w:t>
            </w:r>
          </w:p>
        </w:tc>
        <w:tc>
          <w:tcPr>
            <w:tcW w:w="960" w:type="dxa"/>
            <w:tcBorders>
              <w:top w:val="nil"/>
              <w:left w:val="nil"/>
              <w:bottom w:val="nil"/>
              <w:right w:val="nil"/>
            </w:tcBorders>
            <w:vAlign w:val="center"/>
          </w:tcPr>
          <w:p w14:paraId="4D36243A">
            <w:pPr>
              <w:spacing w:line="480" w:lineRule="auto"/>
              <w:rPr>
                <w:rFonts w:ascii="Times New Roman" w:hAnsi="Times New Roman" w:cs="Times New Roman"/>
                <w:szCs w:val="21"/>
              </w:rPr>
            </w:pPr>
            <w:r>
              <w:rPr>
                <w:rFonts w:ascii="Times New Roman" w:hAnsi="Times New Roman" w:cs="Times New Roman"/>
                <w:szCs w:val="21"/>
              </w:rPr>
              <w:t>-0.012</w:t>
            </w:r>
          </w:p>
        </w:tc>
        <w:tc>
          <w:tcPr>
            <w:tcW w:w="960" w:type="dxa"/>
            <w:tcBorders>
              <w:top w:val="nil"/>
              <w:left w:val="nil"/>
              <w:bottom w:val="nil"/>
              <w:right w:val="nil"/>
            </w:tcBorders>
            <w:vAlign w:val="center"/>
          </w:tcPr>
          <w:p w14:paraId="3118A8CD">
            <w:pPr>
              <w:spacing w:line="480" w:lineRule="auto"/>
              <w:rPr>
                <w:rFonts w:ascii="Times New Roman" w:hAnsi="Times New Roman" w:cs="Times New Roman"/>
                <w:szCs w:val="21"/>
              </w:rPr>
            </w:pPr>
            <w:r>
              <w:rPr>
                <w:rFonts w:ascii="Times New Roman" w:hAnsi="Times New Roman" w:cs="Times New Roman"/>
                <w:szCs w:val="21"/>
              </w:rPr>
              <w:t>0.005</w:t>
            </w:r>
          </w:p>
        </w:tc>
        <w:tc>
          <w:tcPr>
            <w:tcW w:w="960" w:type="dxa"/>
            <w:tcBorders>
              <w:top w:val="nil"/>
              <w:left w:val="nil"/>
              <w:bottom w:val="nil"/>
              <w:right w:val="nil"/>
            </w:tcBorders>
            <w:vAlign w:val="center"/>
          </w:tcPr>
          <w:p w14:paraId="1A10913F">
            <w:pPr>
              <w:spacing w:line="480" w:lineRule="auto"/>
              <w:rPr>
                <w:rFonts w:ascii="Times New Roman" w:hAnsi="Times New Roman" w:cs="Times New Roman"/>
                <w:szCs w:val="21"/>
              </w:rPr>
            </w:pPr>
            <w:r>
              <w:rPr>
                <w:rFonts w:ascii="Times New Roman" w:hAnsi="Times New Roman" w:cs="Times New Roman"/>
                <w:szCs w:val="21"/>
              </w:rPr>
              <w:t>-2.58</w:t>
            </w:r>
          </w:p>
        </w:tc>
        <w:tc>
          <w:tcPr>
            <w:tcW w:w="960" w:type="dxa"/>
            <w:tcBorders>
              <w:top w:val="nil"/>
              <w:left w:val="nil"/>
              <w:bottom w:val="nil"/>
              <w:right w:val="nil"/>
            </w:tcBorders>
            <w:vAlign w:val="center"/>
          </w:tcPr>
          <w:p w14:paraId="08A0F063">
            <w:pPr>
              <w:spacing w:line="480" w:lineRule="auto"/>
              <w:rPr>
                <w:rFonts w:ascii="Times New Roman" w:hAnsi="Times New Roman" w:cs="Times New Roman"/>
                <w:szCs w:val="21"/>
              </w:rPr>
            </w:pPr>
            <w:r>
              <w:rPr>
                <w:rFonts w:ascii="Times New Roman" w:hAnsi="Times New Roman" w:cs="Times New Roman"/>
                <w:szCs w:val="21"/>
              </w:rPr>
              <w:t>0.01</w:t>
            </w:r>
          </w:p>
        </w:tc>
        <w:tc>
          <w:tcPr>
            <w:tcW w:w="2340" w:type="dxa"/>
            <w:tcBorders>
              <w:top w:val="nil"/>
              <w:left w:val="nil"/>
              <w:bottom w:val="nil"/>
              <w:right w:val="nil"/>
            </w:tcBorders>
            <w:vAlign w:val="center"/>
          </w:tcPr>
          <w:p w14:paraId="2132B8EB">
            <w:pPr>
              <w:spacing w:line="480" w:lineRule="auto"/>
              <w:rPr>
                <w:rFonts w:ascii="Times New Roman" w:hAnsi="Times New Roman" w:cs="Times New Roman"/>
                <w:szCs w:val="21"/>
              </w:rPr>
            </w:pPr>
            <w:r>
              <w:rPr>
                <w:rFonts w:ascii="Times New Roman" w:hAnsi="Times New Roman" w:cs="Times New Roman"/>
                <w:szCs w:val="21"/>
              </w:rPr>
              <w:t>[-0.021, -0.003]</w:t>
            </w:r>
          </w:p>
        </w:tc>
        <w:tc>
          <w:tcPr>
            <w:tcW w:w="960" w:type="dxa"/>
            <w:tcBorders>
              <w:top w:val="nil"/>
              <w:left w:val="nil"/>
              <w:bottom w:val="nil"/>
              <w:right w:val="nil"/>
            </w:tcBorders>
            <w:vAlign w:val="center"/>
          </w:tcPr>
          <w:p w14:paraId="31ECD6A1">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65F2AE5C">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2A17F164">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7394475E">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27EE7AF1">
        <w:tblPrEx>
          <w:tblCellMar>
            <w:top w:w="0" w:type="dxa"/>
            <w:left w:w="108" w:type="dxa"/>
            <w:bottom w:w="0" w:type="dxa"/>
            <w:right w:w="108" w:type="dxa"/>
          </w:tblCellMar>
        </w:tblPrEx>
        <w:trPr>
          <w:trHeight w:val="310" w:hRule="atLeast"/>
          <w:jc w:val="center"/>
        </w:trPr>
        <w:tc>
          <w:tcPr>
            <w:tcW w:w="3130" w:type="dxa"/>
            <w:tcBorders>
              <w:top w:val="nil"/>
              <w:left w:val="nil"/>
              <w:bottom w:val="nil"/>
              <w:right w:val="nil"/>
            </w:tcBorders>
            <w:vAlign w:val="center"/>
          </w:tcPr>
          <w:p w14:paraId="2696B347">
            <w:pPr>
              <w:spacing w:line="480" w:lineRule="auto"/>
              <w:rPr>
                <w:rFonts w:ascii="Times New Roman" w:hAnsi="Times New Roman" w:cs="Times New Roman"/>
                <w:szCs w:val="21"/>
              </w:rPr>
            </w:pPr>
            <w:r>
              <w:rPr>
                <w:rFonts w:ascii="Times New Roman" w:hAnsi="Times New Roman" w:cs="Times New Roman"/>
                <w:szCs w:val="21"/>
              </w:rPr>
              <w:t>SP - ORC</w:t>
            </w:r>
          </w:p>
        </w:tc>
        <w:tc>
          <w:tcPr>
            <w:tcW w:w="960" w:type="dxa"/>
            <w:tcBorders>
              <w:top w:val="nil"/>
              <w:left w:val="nil"/>
              <w:bottom w:val="nil"/>
              <w:right w:val="nil"/>
            </w:tcBorders>
            <w:vAlign w:val="center"/>
          </w:tcPr>
          <w:p w14:paraId="7E686815">
            <w:pPr>
              <w:spacing w:line="480" w:lineRule="auto"/>
              <w:rPr>
                <w:rFonts w:ascii="Times New Roman" w:hAnsi="Times New Roman" w:cs="Times New Roman"/>
                <w:szCs w:val="21"/>
              </w:rPr>
            </w:pPr>
            <w:r>
              <w:rPr>
                <w:rFonts w:ascii="Times New Roman" w:hAnsi="Times New Roman" w:cs="Times New Roman"/>
                <w:szCs w:val="21"/>
              </w:rPr>
              <w:t>-0.043</w:t>
            </w:r>
          </w:p>
        </w:tc>
        <w:tc>
          <w:tcPr>
            <w:tcW w:w="960" w:type="dxa"/>
            <w:tcBorders>
              <w:top w:val="nil"/>
              <w:left w:val="nil"/>
              <w:bottom w:val="nil"/>
              <w:right w:val="nil"/>
            </w:tcBorders>
            <w:vAlign w:val="center"/>
          </w:tcPr>
          <w:p w14:paraId="066DDDCD">
            <w:pPr>
              <w:spacing w:line="480" w:lineRule="auto"/>
              <w:rPr>
                <w:rFonts w:ascii="Times New Roman" w:hAnsi="Times New Roman" w:cs="Times New Roman"/>
                <w:szCs w:val="21"/>
              </w:rPr>
            </w:pPr>
            <w:r>
              <w:rPr>
                <w:rFonts w:ascii="Times New Roman" w:hAnsi="Times New Roman" w:cs="Times New Roman"/>
                <w:szCs w:val="21"/>
              </w:rPr>
              <w:t>0.004</w:t>
            </w:r>
          </w:p>
        </w:tc>
        <w:tc>
          <w:tcPr>
            <w:tcW w:w="960" w:type="dxa"/>
            <w:tcBorders>
              <w:top w:val="nil"/>
              <w:left w:val="nil"/>
              <w:bottom w:val="nil"/>
              <w:right w:val="nil"/>
            </w:tcBorders>
            <w:vAlign w:val="center"/>
          </w:tcPr>
          <w:p w14:paraId="3FE2B1CD">
            <w:pPr>
              <w:spacing w:line="480" w:lineRule="auto"/>
              <w:rPr>
                <w:rFonts w:ascii="Times New Roman" w:hAnsi="Times New Roman" w:cs="Times New Roman"/>
                <w:szCs w:val="21"/>
              </w:rPr>
            </w:pPr>
            <w:r>
              <w:rPr>
                <w:rFonts w:ascii="Times New Roman" w:hAnsi="Times New Roman" w:cs="Times New Roman"/>
                <w:szCs w:val="21"/>
              </w:rPr>
              <w:t xml:space="preserve">-10.70 </w:t>
            </w:r>
          </w:p>
        </w:tc>
        <w:tc>
          <w:tcPr>
            <w:tcW w:w="960" w:type="dxa"/>
            <w:tcBorders>
              <w:top w:val="nil"/>
              <w:left w:val="nil"/>
              <w:bottom w:val="nil"/>
              <w:right w:val="nil"/>
            </w:tcBorders>
            <w:vAlign w:val="center"/>
          </w:tcPr>
          <w:p w14:paraId="76CBE561">
            <w:pPr>
              <w:spacing w:line="480" w:lineRule="auto"/>
              <w:rPr>
                <w:rFonts w:ascii="Times New Roman" w:hAnsi="Times New Roman" w:cs="Times New Roman"/>
                <w:szCs w:val="21"/>
              </w:rPr>
            </w:pPr>
            <w:r>
              <w:rPr>
                <w:rFonts w:ascii="Times New Roman" w:hAnsi="Times New Roman" w:cs="Times New Roman"/>
                <w:szCs w:val="21"/>
              </w:rPr>
              <w:t>&lt; 0.001</w:t>
            </w:r>
          </w:p>
        </w:tc>
        <w:tc>
          <w:tcPr>
            <w:tcW w:w="2340" w:type="dxa"/>
            <w:tcBorders>
              <w:top w:val="nil"/>
              <w:left w:val="nil"/>
              <w:bottom w:val="nil"/>
              <w:right w:val="nil"/>
            </w:tcBorders>
            <w:vAlign w:val="center"/>
          </w:tcPr>
          <w:p w14:paraId="072BA743">
            <w:pPr>
              <w:spacing w:line="480" w:lineRule="auto"/>
              <w:rPr>
                <w:rFonts w:ascii="Times New Roman" w:hAnsi="Times New Roman" w:cs="Times New Roman"/>
                <w:szCs w:val="21"/>
              </w:rPr>
            </w:pPr>
            <w:r>
              <w:rPr>
                <w:rFonts w:ascii="Times New Roman" w:hAnsi="Times New Roman" w:cs="Times New Roman"/>
                <w:szCs w:val="21"/>
              </w:rPr>
              <w:t>[-0.051, -0.035]</w:t>
            </w:r>
          </w:p>
        </w:tc>
        <w:tc>
          <w:tcPr>
            <w:tcW w:w="960" w:type="dxa"/>
            <w:tcBorders>
              <w:top w:val="nil"/>
              <w:left w:val="nil"/>
              <w:bottom w:val="nil"/>
              <w:right w:val="nil"/>
            </w:tcBorders>
            <w:vAlign w:val="center"/>
          </w:tcPr>
          <w:p w14:paraId="30BC73E8">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48B75875">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3CC95DC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141FEDB2">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5BFAA06E">
        <w:tblPrEx>
          <w:tblCellMar>
            <w:top w:w="0" w:type="dxa"/>
            <w:left w:w="108" w:type="dxa"/>
            <w:bottom w:w="0" w:type="dxa"/>
            <w:right w:w="108" w:type="dxa"/>
          </w:tblCellMar>
        </w:tblPrEx>
        <w:trPr>
          <w:trHeight w:val="310" w:hRule="atLeast"/>
          <w:jc w:val="center"/>
        </w:trPr>
        <w:tc>
          <w:tcPr>
            <w:tcW w:w="3130" w:type="dxa"/>
            <w:tcBorders>
              <w:top w:val="nil"/>
              <w:left w:val="nil"/>
              <w:bottom w:val="nil"/>
              <w:right w:val="nil"/>
            </w:tcBorders>
            <w:vAlign w:val="center"/>
          </w:tcPr>
          <w:p w14:paraId="02EF28A6">
            <w:pPr>
              <w:spacing w:line="480" w:lineRule="auto"/>
              <w:rPr>
                <w:rFonts w:ascii="Times New Roman" w:hAnsi="Times New Roman" w:cs="Times New Roman"/>
                <w:szCs w:val="21"/>
              </w:rPr>
            </w:pPr>
            <w:r>
              <w:rPr>
                <w:rFonts w:ascii="Times New Roman" w:hAnsi="Times New Roman" w:cs="Times New Roman"/>
                <w:szCs w:val="21"/>
              </w:rPr>
              <w:t>LpTL - LIFG : ORC - SRC</w:t>
            </w:r>
          </w:p>
        </w:tc>
        <w:tc>
          <w:tcPr>
            <w:tcW w:w="960" w:type="dxa"/>
            <w:tcBorders>
              <w:top w:val="nil"/>
              <w:left w:val="nil"/>
              <w:bottom w:val="nil"/>
              <w:right w:val="nil"/>
            </w:tcBorders>
            <w:vAlign w:val="center"/>
          </w:tcPr>
          <w:p w14:paraId="2BF72B84">
            <w:pPr>
              <w:spacing w:line="480" w:lineRule="auto"/>
              <w:rPr>
                <w:rFonts w:ascii="Times New Roman" w:hAnsi="Times New Roman" w:cs="Times New Roman"/>
                <w:szCs w:val="21"/>
              </w:rPr>
            </w:pPr>
            <w:r>
              <w:rPr>
                <w:rFonts w:ascii="Times New Roman" w:hAnsi="Times New Roman" w:cs="Times New Roman"/>
                <w:szCs w:val="21"/>
              </w:rPr>
              <w:t>-0.012</w:t>
            </w:r>
          </w:p>
        </w:tc>
        <w:tc>
          <w:tcPr>
            <w:tcW w:w="960" w:type="dxa"/>
            <w:tcBorders>
              <w:top w:val="nil"/>
              <w:left w:val="nil"/>
              <w:bottom w:val="nil"/>
              <w:right w:val="nil"/>
            </w:tcBorders>
            <w:vAlign w:val="center"/>
          </w:tcPr>
          <w:p w14:paraId="444D3E2C">
            <w:pPr>
              <w:spacing w:line="480" w:lineRule="auto"/>
              <w:rPr>
                <w:rFonts w:ascii="Times New Roman" w:hAnsi="Times New Roman" w:cs="Times New Roman"/>
                <w:szCs w:val="21"/>
              </w:rPr>
            </w:pPr>
            <w:r>
              <w:rPr>
                <w:rFonts w:ascii="Times New Roman" w:hAnsi="Times New Roman" w:cs="Times New Roman"/>
                <w:szCs w:val="21"/>
              </w:rPr>
              <w:t>0.007</w:t>
            </w:r>
          </w:p>
        </w:tc>
        <w:tc>
          <w:tcPr>
            <w:tcW w:w="960" w:type="dxa"/>
            <w:tcBorders>
              <w:top w:val="nil"/>
              <w:left w:val="nil"/>
              <w:bottom w:val="nil"/>
              <w:right w:val="nil"/>
            </w:tcBorders>
            <w:vAlign w:val="center"/>
          </w:tcPr>
          <w:p w14:paraId="6256F8F2">
            <w:pPr>
              <w:spacing w:line="480" w:lineRule="auto"/>
              <w:rPr>
                <w:rFonts w:ascii="Times New Roman" w:hAnsi="Times New Roman" w:cs="Times New Roman"/>
                <w:szCs w:val="21"/>
              </w:rPr>
            </w:pPr>
            <w:r>
              <w:rPr>
                <w:rFonts w:ascii="Times New Roman" w:hAnsi="Times New Roman" w:cs="Times New Roman"/>
                <w:szCs w:val="21"/>
              </w:rPr>
              <w:t>-1.73</w:t>
            </w:r>
          </w:p>
        </w:tc>
        <w:tc>
          <w:tcPr>
            <w:tcW w:w="960" w:type="dxa"/>
            <w:tcBorders>
              <w:top w:val="nil"/>
              <w:left w:val="nil"/>
              <w:bottom w:val="nil"/>
              <w:right w:val="nil"/>
            </w:tcBorders>
            <w:vAlign w:val="center"/>
          </w:tcPr>
          <w:p w14:paraId="3D994963">
            <w:pPr>
              <w:spacing w:line="480" w:lineRule="auto"/>
              <w:rPr>
                <w:rFonts w:ascii="Times New Roman" w:hAnsi="Times New Roman" w:cs="Times New Roman"/>
                <w:szCs w:val="21"/>
              </w:rPr>
            </w:pPr>
            <w:r>
              <w:rPr>
                <w:rFonts w:ascii="Times New Roman" w:hAnsi="Times New Roman" w:cs="Times New Roman"/>
                <w:szCs w:val="21"/>
              </w:rPr>
              <w:t>0.084</w:t>
            </w:r>
          </w:p>
        </w:tc>
        <w:tc>
          <w:tcPr>
            <w:tcW w:w="2340" w:type="dxa"/>
            <w:tcBorders>
              <w:top w:val="nil"/>
              <w:left w:val="nil"/>
              <w:bottom w:val="nil"/>
              <w:right w:val="nil"/>
            </w:tcBorders>
            <w:vAlign w:val="center"/>
          </w:tcPr>
          <w:p w14:paraId="3CA11CE7">
            <w:pPr>
              <w:spacing w:line="480" w:lineRule="auto"/>
              <w:rPr>
                <w:rFonts w:ascii="Times New Roman" w:hAnsi="Times New Roman" w:cs="Times New Roman"/>
                <w:szCs w:val="21"/>
              </w:rPr>
            </w:pPr>
            <w:r>
              <w:rPr>
                <w:rFonts w:ascii="Times New Roman" w:hAnsi="Times New Roman" w:cs="Times New Roman"/>
                <w:szCs w:val="21"/>
              </w:rPr>
              <w:t>[-0.025, 0.002]</w:t>
            </w:r>
          </w:p>
        </w:tc>
        <w:tc>
          <w:tcPr>
            <w:tcW w:w="960" w:type="dxa"/>
            <w:tcBorders>
              <w:top w:val="nil"/>
              <w:left w:val="nil"/>
              <w:bottom w:val="nil"/>
              <w:right w:val="nil"/>
            </w:tcBorders>
            <w:vAlign w:val="center"/>
          </w:tcPr>
          <w:p w14:paraId="0BDE9DC4">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7657257E">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084642F2">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0A82EE3F">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544408FC">
        <w:tblPrEx>
          <w:tblCellMar>
            <w:top w:w="0" w:type="dxa"/>
            <w:left w:w="108" w:type="dxa"/>
            <w:bottom w:w="0" w:type="dxa"/>
            <w:right w:w="108" w:type="dxa"/>
          </w:tblCellMar>
        </w:tblPrEx>
        <w:trPr>
          <w:trHeight w:val="310" w:hRule="atLeast"/>
          <w:jc w:val="center"/>
        </w:trPr>
        <w:tc>
          <w:tcPr>
            <w:tcW w:w="3130" w:type="dxa"/>
            <w:tcBorders>
              <w:top w:val="nil"/>
              <w:left w:val="nil"/>
              <w:right w:val="nil"/>
            </w:tcBorders>
            <w:vAlign w:val="center"/>
          </w:tcPr>
          <w:p w14:paraId="38E988FB">
            <w:pPr>
              <w:spacing w:line="480" w:lineRule="auto"/>
              <w:rPr>
                <w:rFonts w:ascii="Times New Roman" w:hAnsi="Times New Roman" w:cs="Times New Roman"/>
                <w:szCs w:val="21"/>
              </w:rPr>
            </w:pPr>
            <w:r>
              <w:rPr>
                <w:rFonts w:ascii="Times New Roman" w:hAnsi="Times New Roman" w:cs="Times New Roman"/>
                <w:szCs w:val="21"/>
              </w:rPr>
              <w:t>vertex - LpTL : ORC - SRC</w:t>
            </w:r>
          </w:p>
        </w:tc>
        <w:tc>
          <w:tcPr>
            <w:tcW w:w="960" w:type="dxa"/>
            <w:tcBorders>
              <w:top w:val="nil"/>
              <w:left w:val="nil"/>
              <w:right w:val="nil"/>
            </w:tcBorders>
            <w:vAlign w:val="center"/>
          </w:tcPr>
          <w:p w14:paraId="7238EA09">
            <w:pPr>
              <w:spacing w:line="480" w:lineRule="auto"/>
              <w:rPr>
                <w:rFonts w:ascii="Times New Roman" w:hAnsi="Times New Roman" w:cs="Times New Roman"/>
                <w:szCs w:val="21"/>
              </w:rPr>
            </w:pPr>
            <w:r>
              <w:rPr>
                <w:rFonts w:ascii="Times New Roman" w:hAnsi="Times New Roman" w:cs="Times New Roman"/>
                <w:szCs w:val="21"/>
              </w:rPr>
              <w:t>0.011</w:t>
            </w:r>
          </w:p>
        </w:tc>
        <w:tc>
          <w:tcPr>
            <w:tcW w:w="960" w:type="dxa"/>
            <w:tcBorders>
              <w:top w:val="nil"/>
              <w:left w:val="nil"/>
              <w:right w:val="nil"/>
            </w:tcBorders>
            <w:vAlign w:val="center"/>
          </w:tcPr>
          <w:p w14:paraId="0C7747D8">
            <w:pPr>
              <w:spacing w:line="480" w:lineRule="auto"/>
              <w:rPr>
                <w:rFonts w:ascii="Times New Roman" w:hAnsi="Times New Roman" w:cs="Times New Roman"/>
                <w:szCs w:val="21"/>
              </w:rPr>
            </w:pPr>
            <w:r>
              <w:rPr>
                <w:rFonts w:ascii="Times New Roman" w:hAnsi="Times New Roman" w:cs="Times New Roman"/>
                <w:szCs w:val="21"/>
              </w:rPr>
              <w:t>0.007</w:t>
            </w:r>
          </w:p>
        </w:tc>
        <w:tc>
          <w:tcPr>
            <w:tcW w:w="960" w:type="dxa"/>
            <w:tcBorders>
              <w:top w:val="nil"/>
              <w:left w:val="nil"/>
              <w:right w:val="nil"/>
            </w:tcBorders>
            <w:vAlign w:val="center"/>
          </w:tcPr>
          <w:p w14:paraId="570BE496">
            <w:pPr>
              <w:spacing w:line="480" w:lineRule="auto"/>
              <w:rPr>
                <w:rFonts w:ascii="Times New Roman" w:hAnsi="Times New Roman" w:cs="Times New Roman"/>
                <w:szCs w:val="21"/>
              </w:rPr>
            </w:pPr>
            <w:r>
              <w:rPr>
                <w:rFonts w:ascii="Times New Roman" w:hAnsi="Times New Roman" w:cs="Times New Roman"/>
                <w:szCs w:val="21"/>
              </w:rPr>
              <w:t>1.73</w:t>
            </w:r>
          </w:p>
        </w:tc>
        <w:tc>
          <w:tcPr>
            <w:tcW w:w="960" w:type="dxa"/>
            <w:tcBorders>
              <w:top w:val="nil"/>
              <w:left w:val="nil"/>
              <w:right w:val="nil"/>
            </w:tcBorders>
            <w:vAlign w:val="center"/>
          </w:tcPr>
          <w:p w14:paraId="7E4D3464">
            <w:pPr>
              <w:spacing w:line="480" w:lineRule="auto"/>
              <w:rPr>
                <w:rFonts w:ascii="Times New Roman" w:hAnsi="Times New Roman" w:cs="Times New Roman"/>
                <w:szCs w:val="21"/>
              </w:rPr>
            </w:pPr>
            <w:r>
              <w:rPr>
                <w:rFonts w:ascii="Times New Roman" w:hAnsi="Times New Roman" w:cs="Times New Roman"/>
                <w:szCs w:val="21"/>
              </w:rPr>
              <w:t>0.083</w:t>
            </w:r>
          </w:p>
        </w:tc>
        <w:tc>
          <w:tcPr>
            <w:tcW w:w="2340" w:type="dxa"/>
            <w:tcBorders>
              <w:top w:val="nil"/>
              <w:left w:val="nil"/>
              <w:right w:val="nil"/>
            </w:tcBorders>
            <w:vAlign w:val="center"/>
          </w:tcPr>
          <w:p w14:paraId="72DFE1BA">
            <w:pPr>
              <w:spacing w:line="480" w:lineRule="auto"/>
              <w:rPr>
                <w:rFonts w:ascii="Times New Roman" w:hAnsi="Times New Roman" w:cs="Times New Roman"/>
                <w:szCs w:val="21"/>
              </w:rPr>
            </w:pPr>
            <w:r>
              <w:rPr>
                <w:rFonts w:ascii="Times New Roman" w:hAnsi="Times New Roman" w:cs="Times New Roman"/>
                <w:szCs w:val="21"/>
              </w:rPr>
              <w:t>[-0.002, 0.024]</w:t>
            </w:r>
          </w:p>
        </w:tc>
        <w:tc>
          <w:tcPr>
            <w:tcW w:w="960" w:type="dxa"/>
            <w:tcBorders>
              <w:top w:val="nil"/>
              <w:left w:val="nil"/>
              <w:right w:val="nil"/>
            </w:tcBorders>
            <w:vAlign w:val="center"/>
          </w:tcPr>
          <w:p w14:paraId="11E39116">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right w:val="nil"/>
            </w:tcBorders>
            <w:vAlign w:val="center"/>
          </w:tcPr>
          <w:p w14:paraId="6241BDD9">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right w:val="nil"/>
            </w:tcBorders>
            <w:vAlign w:val="center"/>
          </w:tcPr>
          <w:p w14:paraId="0F1D2B44">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right w:val="nil"/>
            </w:tcBorders>
            <w:vAlign w:val="center"/>
          </w:tcPr>
          <w:p w14:paraId="6D1185B9">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27FFC680">
        <w:tblPrEx>
          <w:tblCellMar>
            <w:top w:w="0" w:type="dxa"/>
            <w:left w:w="108" w:type="dxa"/>
            <w:bottom w:w="0" w:type="dxa"/>
            <w:right w:w="108" w:type="dxa"/>
          </w:tblCellMar>
        </w:tblPrEx>
        <w:trPr>
          <w:trHeight w:val="310" w:hRule="atLeast"/>
          <w:jc w:val="center"/>
        </w:trPr>
        <w:tc>
          <w:tcPr>
            <w:tcW w:w="3130" w:type="dxa"/>
            <w:tcBorders>
              <w:top w:val="nil"/>
              <w:left w:val="nil"/>
              <w:right w:val="nil"/>
            </w:tcBorders>
            <w:vAlign w:val="center"/>
          </w:tcPr>
          <w:p w14:paraId="51199246">
            <w:pPr>
              <w:spacing w:line="480" w:lineRule="auto"/>
              <w:rPr>
                <w:rFonts w:ascii="Times New Roman" w:hAnsi="Times New Roman" w:cs="Times New Roman"/>
                <w:szCs w:val="21"/>
              </w:rPr>
            </w:pPr>
            <w:r>
              <w:rPr>
                <w:rFonts w:ascii="Times New Roman" w:hAnsi="Times New Roman" w:cs="Times New Roman"/>
                <w:szCs w:val="21"/>
              </w:rPr>
              <w:t>LpTL - LIFG : SP - ORC</w:t>
            </w:r>
          </w:p>
        </w:tc>
        <w:tc>
          <w:tcPr>
            <w:tcW w:w="960" w:type="dxa"/>
            <w:tcBorders>
              <w:top w:val="nil"/>
              <w:left w:val="nil"/>
              <w:right w:val="nil"/>
            </w:tcBorders>
            <w:vAlign w:val="center"/>
          </w:tcPr>
          <w:p w14:paraId="5D0D6264">
            <w:pPr>
              <w:spacing w:line="480" w:lineRule="auto"/>
              <w:rPr>
                <w:rFonts w:ascii="Times New Roman" w:hAnsi="Times New Roman" w:cs="Times New Roman"/>
                <w:szCs w:val="21"/>
              </w:rPr>
            </w:pPr>
            <w:r>
              <w:rPr>
                <w:rFonts w:ascii="Times New Roman" w:hAnsi="Times New Roman" w:cs="Times New Roman"/>
                <w:szCs w:val="21"/>
              </w:rPr>
              <w:t>0.007</w:t>
            </w:r>
          </w:p>
        </w:tc>
        <w:tc>
          <w:tcPr>
            <w:tcW w:w="960" w:type="dxa"/>
            <w:tcBorders>
              <w:top w:val="nil"/>
              <w:left w:val="nil"/>
              <w:right w:val="nil"/>
            </w:tcBorders>
            <w:vAlign w:val="center"/>
          </w:tcPr>
          <w:p w14:paraId="658483CC">
            <w:pPr>
              <w:spacing w:line="480" w:lineRule="auto"/>
              <w:rPr>
                <w:rFonts w:ascii="Times New Roman" w:hAnsi="Times New Roman" w:cs="Times New Roman"/>
                <w:szCs w:val="21"/>
              </w:rPr>
            </w:pPr>
            <w:r>
              <w:rPr>
                <w:rFonts w:ascii="Times New Roman" w:hAnsi="Times New Roman" w:cs="Times New Roman"/>
                <w:szCs w:val="21"/>
              </w:rPr>
              <w:t>0.006</w:t>
            </w:r>
          </w:p>
        </w:tc>
        <w:tc>
          <w:tcPr>
            <w:tcW w:w="960" w:type="dxa"/>
            <w:tcBorders>
              <w:top w:val="nil"/>
              <w:left w:val="nil"/>
              <w:right w:val="nil"/>
            </w:tcBorders>
            <w:vAlign w:val="center"/>
          </w:tcPr>
          <w:p w14:paraId="27C11169">
            <w:pPr>
              <w:spacing w:line="480" w:lineRule="auto"/>
              <w:rPr>
                <w:rFonts w:ascii="Times New Roman" w:hAnsi="Times New Roman" w:cs="Times New Roman"/>
                <w:szCs w:val="21"/>
              </w:rPr>
            </w:pPr>
            <w:r>
              <w:rPr>
                <w:rFonts w:ascii="Times New Roman" w:hAnsi="Times New Roman" w:cs="Times New Roman"/>
                <w:szCs w:val="21"/>
              </w:rPr>
              <w:t xml:space="preserve">1.30 </w:t>
            </w:r>
          </w:p>
        </w:tc>
        <w:tc>
          <w:tcPr>
            <w:tcW w:w="960" w:type="dxa"/>
            <w:tcBorders>
              <w:top w:val="nil"/>
              <w:left w:val="nil"/>
              <w:right w:val="nil"/>
            </w:tcBorders>
            <w:vAlign w:val="center"/>
          </w:tcPr>
          <w:p w14:paraId="34C5BCFE">
            <w:pPr>
              <w:spacing w:line="480" w:lineRule="auto"/>
              <w:rPr>
                <w:rFonts w:ascii="Times New Roman" w:hAnsi="Times New Roman" w:cs="Times New Roman"/>
                <w:szCs w:val="21"/>
              </w:rPr>
            </w:pPr>
            <w:r>
              <w:rPr>
                <w:rFonts w:ascii="Times New Roman" w:hAnsi="Times New Roman" w:cs="Times New Roman"/>
                <w:szCs w:val="21"/>
              </w:rPr>
              <w:t>0.194</w:t>
            </w:r>
          </w:p>
        </w:tc>
        <w:tc>
          <w:tcPr>
            <w:tcW w:w="2340" w:type="dxa"/>
            <w:tcBorders>
              <w:top w:val="nil"/>
              <w:left w:val="nil"/>
              <w:right w:val="nil"/>
            </w:tcBorders>
            <w:vAlign w:val="center"/>
          </w:tcPr>
          <w:p w14:paraId="20F01991">
            <w:pPr>
              <w:spacing w:line="480" w:lineRule="auto"/>
              <w:rPr>
                <w:rFonts w:ascii="Times New Roman" w:hAnsi="Times New Roman" w:cs="Times New Roman"/>
                <w:szCs w:val="21"/>
              </w:rPr>
            </w:pPr>
            <w:r>
              <w:rPr>
                <w:rFonts w:ascii="Times New Roman" w:hAnsi="Times New Roman" w:cs="Times New Roman"/>
                <w:szCs w:val="21"/>
              </w:rPr>
              <w:t>[-0.004, 0.019]</w:t>
            </w:r>
          </w:p>
        </w:tc>
        <w:tc>
          <w:tcPr>
            <w:tcW w:w="960" w:type="dxa"/>
            <w:tcBorders>
              <w:top w:val="nil"/>
              <w:left w:val="nil"/>
              <w:right w:val="nil"/>
            </w:tcBorders>
            <w:vAlign w:val="center"/>
          </w:tcPr>
          <w:p w14:paraId="3611997B">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right w:val="nil"/>
            </w:tcBorders>
            <w:vAlign w:val="center"/>
          </w:tcPr>
          <w:p w14:paraId="5C39DA4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right w:val="nil"/>
            </w:tcBorders>
            <w:vAlign w:val="center"/>
          </w:tcPr>
          <w:p w14:paraId="327894E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right w:val="nil"/>
            </w:tcBorders>
            <w:vAlign w:val="center"/>
          </w:tcPr>
          <w:p w14:paraId="56F59FC9">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10832934">
        <w:tblPrEx>
          <w:tblCellMar>
            <w:top w:w="0" w:type="dxa"/>
            <w:left w:w="108" w:type="dxa"/>
            <w:bottom w:w="0" w:type="dxa"/>
            <w:right w:w="108" w:type="dxa"/>
          </w:tblCellMar>
        </w:tblPrEx>
        <w:trPr>
          <w:trHeight w:val="325" w:hRule="atLeast"/>
          <w:jc w:val="center"/>
        </w:trPr>
        <w:tc>
          <w:tcPr>
            <w:tcW w:w="3130" w:type="dxa"/>
            <w:tcBorders>
              <w:left w:val="nil"/>
              <w:bottom w:val="single" w:color="000000" w:sz="12" w:space="0"/>
              <w:right w:val="nil"/>
            </w:tcBorders>
            <w:vAlign w:val="center"/>
          </w:tcPr>
          <w:p w14:paraId="1A6EE63B">
            <w:pPr>
              <w:spacing w:line="480" w:lineRule="auto"/>
              <w:rPr>
                <w:rFonts w:ascii="Times New Roman" w:hAnsi="Times New Roman" w:cs="Times New Roman"/>
                <w:szCs w:val="21"/>
              </w:rPr>
            </w:pPr>
            <w:r>
              <w:rPr>
                <w:rFonts w:ascii="Times New Roman" w:hAnsi="Times New Roman" w:cs="Times New Roman"/>
                <w:szCs w:val="21"/>
              </w:rPr>
              <w:t>vertex - LpTL : SP - ORC</w:t>
            </w:r>
          </w:p>
        </w:tc>
        <w:tc>
          <w:tcPr>
            <w:tcW w:w="960" w:type="dxa"/>
            <w:tcBorders>
              <w:left w:val="nil"/>
              <w:bottom w:val="single" w:color="000000" w:sz="12" w:space="0"/>
              <w:right w:val="nil"/>
            </w:tcBorders>
            <w:vAlign w:val="center"/>
          </w:tcPr>
          <w:p w14:paraId="2B833515">
            <w:pPr>
              <w:spacing w:line="480" w:lineRule="auto"/>
              <w:rPr>
                <w:rFonts w:ascii="Times New Roman" w:hAnsi="Times New Roman" w:cs="Times New Roman"/>
                <w:szCs w:val="21"/>
              </w:rPr>
            </w:pPr>
            <w:r>
              <w:rPr>
                <w:rFonts w:ascii="Times New Roman" w:hAnsi="Times New Roman" w:cs="Times New Roman"/>
                <w:szCs w:val="21"/>
              </w:rPr>
              <w:t xml:space="preserve">-0.010 </w:t>
            </w:r>
          </w:p>
        </w:tc>
        <w:tc>
          <w:tcPr>
            <w:tcW w:w="960" w:type="dxa"/>
            <w:tcBorders>
              <w:left w:val="nil"/>
              <w:bottom w:val="single" w:color="000000" w:sz="12" w:space="0"/>
              <w:right w:val="nil"/>
            </w:tcBorders>
            <w:vAlign w:val="center"/>
          </w:tcPr>
          <w:p w14:paraId="639843B0">
            <w:pPr>
              <w:spacing w:line="480" w:lineRule="auto"/>
              <w:rPr>
                <w:rFonts w:ascii="Times New Roman" w:hAnsi="Times New Roman" w:cs="Times New Roman"/>
                <w:szCs w:val="21"/>
              </w:rPr>
            </w:pPr>
            <w:r>
              <w:rPr>
                <w:rFonts w:ascii="Times New Roman" w:hAnsi="Times New Roman" w:cs="Times New Roman"/>
                <w:szCs w:val="21"/>
              </w:rPr>
              <w:t>0.006</w:t>
            </w:r>
          </w:p>
        </w:tc>
        <w:tc>
          <w:tcPr>
            <w:tcW w:w="960" w:type="dxa"/>
            <w:tcBorders>
              <w:left w:val="nil"/>
              <w:bottom w:val="single" w:color="000000" w:sz="12" w:space="0"/>
              <w:right w:val="nil"/>
            </w:tcBorders>
            <w:vAlign w:val="center"/>
          </w:tcPr>
          <w:p w14:paraId="6369A7B4">
            <w:pPr>
              <w:spacing w:line="480" w:lineRule="auto"/>
              <w:rPr>
                <w:rFonts w:ascii="Times New Roman" w:hAnsi="Times New Roman" w:cs="Times New Roman"/>
                <w:szCs w:val="21"/>
              </w:rPr>
            </w:pPr>
            <w:r>
              <w:rPr>
                <w:rFonts w:ascii="Times New Roman" w:hAnsi="Times New Roman" w:cs="Times New Roman"/>
                <w:szCs w:val="21"/>
              </w:rPr>
              <w:t>-1.82</w:t>
            </w:r>
          </w:p>
        </w:tc>
        <w:tc>
          <w:tcPr>
            <w:tcW w:w="960" w:type="dxa"/>
            <w:tcBorders>
              <w:left w:val="nil"/>
              <w:bottom w:val="single" w:color="000000" w:sz="12" w:space="0"/>
              <w:right w:val="nil"/>
            </w:tcBorders>
            <w:vAlign w:val="center"/>
          </w:tcPr>
          <w:p w14:paraId="67538C64">
            <w:pPr>
              <w:spacing w:line="480" w:lineRule="auto"/>
              <w:rPr>
                <w:rFonts w:ascii="Times New Roman" w:hAnsi="Times New Roman" w:cs="Times New Roman"/>
                <w:szCs w:val="21"/>
              </w:rPr>
            </w:pPr>
            <w:r>
              <w:rPr>
                <w:rFonts w:ascii="Times New Roman" w:hAnsi="Times New Roman" w:cs="Times New Roman"/>
                <w:szCs w:val="21"/>
              </w:rPr>
              <w:t>0.069</w:t>
            </w:r>
          </w:p>
        </w:tc>
        <w:tc>
          <w:tcPr>
            <w:tcW w:w="2340" w:type="dxa"/>
            <w:tcBorders>
              <w:left w:val="nil"/>
              <w:bottom w:val="single" w:color="000000" w:sz="12" w:space="0"/>
              <w:right w:val="nil"/>
            </w:tcBorders>
            <w:vAlign w:val="center"/>
          </w:tcPr>
          <w:p w14:paraId="0B3DB6AB">
            <w:pPr>
              <w:spacing w:line="480" w:lineRule="auto"/>
              <w:rPr>
                <w:rFonts w:ascii="Times New Roman" w:hAnsi="Times New Roman" w:cs="Times New Roman"/>
                <w:szCs w:val="21"/>
              </w:rPr>
            </w:pPr>
            <w:r>
              <w:rPr>
                <w:rFonts w:ascii="Times New Roman" w:hAnsi="Times New Roman" w:cs="Times New Roman"/>
                <w:szCs w:val="21"/>
              </w:rPr>
              <w:t>[-0.021, 0.001]</w:t>
            </w:r>
          </w:p>
        </w:tc>
        <w:tc>
          <w:tcPr>
            <w:tcW w:w="960" w:type="dxa"/>
            <w:tcBorders>
              <w:left w:val="nil"/>
              <w:bottom w:val="single" w:color="000000" w:sz="12" w:space="0"/>
              <w:right w:val="nil"/>
            </w:tcBorders>
            <w:vAlign w:val="center"/>
          </w:tcPr>
          <w:p w14:paraId="59956588">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left w:val="nil"/>
              <w:bottom w:val="single" w:color="000000" w:sz="12" w:space="0"/>
              <w:right w:val="nil"/>
            </w:tcBorders>
            <w:vAlign w:val="center"/>
          </w:tcPr>
          <w:p w14:paraId="53650113">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left w:val="nil"/>
              <w:bottom w:val="single" w:color="000000" w:sz="12" w:space="0"/>
              <w:right w:val="nil"/>
            </w:tcBorders>
            <w:vAlign w:val="center"/>
          </w:tcPr>
          <w:p w14:paraId="64E71A9B">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left w:val="nil"/>
              <w:bottom w:val="single" w:color="000000" w:sz="12" w:space="0"/>
              <w:right w:val="nil"/>
            </w:tcBorders>
            <w:vAlign w:val="center"/>
          </w:tcPr>
          <w:p w14:paraId="10F48AF2">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bl>
    <w:p w14:paraId="12D067B7">
      <w:pPr>
        <w:spacing w:line="480" w:lineRule="auto"/>
        <w:rPr>
          <w:rFonts w:ascii="Times New Roman" w:hAnsi="Times New Roman" w:cs="Times New Roman"/>
          <w:color w:val="0070C0"/>
        </w:rPr>
      </w:pPr>
      <w:r>
        <w:rPr>
          <w:rFonts w:ascii="Times New Roman" w:hAnsi="Times New Roman" w:eastAsia="宋体" w:cs="Times New Roman"/>
          <w:i/>
          <w:iCs/>
          <w:kern w:val="0"/>
          <w:szCs w:val="21"/>
        </w:rPr>
        <w:t>Note</w:t>
      </w:r>
      <w:r>
        <w:rPr>
          <w:rFonts w:hint="eastAsia" w:ascii="Times New Roman" w:hAnsi="Times New Roman" w:eastAsia="宋体" w:cs="Times New Roman"/>
          <w:i/>
          <w:iCs/>
          <w:kern w:val="0"/>
          <w:szCs w:val="21"/>
        </w:rPr>
        <w:t>.</w:t>
      </w:r>
      <w:r>
        <w:rPr>
          <w:rFonts w:ascii="Times New Roman" w:hAnsi="Times New Roman" w:eastAsia="宋体" w:cs="Times New Roman"/>
          <w:kern w:val="0"/>
          <w:szCs w:val="21"/>
        </w:rPr>
        <w:t xml:space="preserve"> Model: lmer</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w:t>
      </w:r>
      <w:r>
        <w:rPr>
          <w:rFonts w:hint="eastAsia" w:ascii="Times New Roman" w:hAnsi="Times New Roman" w:eastAsia="宋体" w:cs="Times New Roman"/>
          <w:i/>
          <w:iCs/>
          <w:kern w:val="0"/>
          <w:szCs w:val="21"/>
        </w:rPr>
        <w:t>RT</w:t>
      </w:r>
      <w:r>
        <w:rPr>
          <w:rFonts w:ascii="Times New Roman" w:hAnsi="Times New Roman" w:eastAsia="宋体" w:cs="Times New Roman"/>
          <w:kern w:val="0"/>
          <w:szCs w:val="21"/>
        </w:rPr>
        <w:t xml:space="preserve"> ~ </w:t>
      </w:r>
      <w:r>
        <w:rPr>
          <w:rFonts w:ascii="Times New Roman" w:hAnsi="Times New Roman" w:cs="Times New Roman"/>
          <w:i/>
          <w:iCs/>
          <w:szCs w:val="21"/>
        </w:rPr>
        <w:t>Stimulation region</w:t>
      </w:r>
      <w:r>
        <w:rPr>
          <w:rFonts w:ascii="Times New Roman" w:hAnsi="Times New Roman" w:eastAsia="宋体" w:cs="Times New Roman"/>
          <w:kern w:val="0"/>
          <w:szCs w:val="21"/>
        </w:rPr>
        <w:t xml:space="preserve"> * </w:t>
      </w:r>
      <w:r>
        <w:rPr>
          <w:rFonts w:ascii="Times New Roman" w:hAnsi="Times New Roman" w:cs="Times New Roman"/>
          <w:i/>
          <w:iCs/>
          <w:szCs w:val="21"/>
        </w:rPr>
        <w:t>Structure type</w:t>
      </w:r>
      <w:r>
        <w:rPr>
          <w:rFonts w:ascii="Times New Roman" w:hAnsi="Times New Roman" w:eastAsia="宋体" w:cs="Times New Roman"/>
          <w:kern w:val="0"/>
          <w:szCs w:val="21"/>
        </w:rPr>
        <w:t xml:space="preserve"> + (1</w:t>
      </w:r>
      <w:r>
        <w:rPr>
          <w:rFonts w:hint="eastAsia" w:ascii="Times New Roman" w:hAnsi="Times New Roman" w:eastAsia="宋体" w:cs="Times New Roman"/>
          <w:kern w:val="0"/>
          <w:szCs w:val="21"/>
        </w:rPr>
        <w:t xml:space="preserve"> </w:t>
      </w:r>
      <w:r>
        <w:rPr>
          <w:rFonts w:ascii="Times New Roman" w:hAnsi="Times New Roman" w:cs="Times New Roman"/>
          <w:i/>
          <w:iCs/>
          <w:szCs w:val="21"/>
        </w:rPr>
        <w:t xml:space="preserve">+ Stimulation region </w:t>
      </w:r>
      <w:r>
        <w:rPr>
          <w:rFonts w:ascii="Times New Roman" w:hAnsi="Times New Roman" w:eastAsia="宋体" w:cs="Times New Roman"/>
          <w:kern w:val="0"/>
          <w:szCs w:val="21"/>
        </w:rPr>
        <w:t>|subject) + (1 |item))</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Abbreviations:</w:t>
      </w:r>
      <w:r>
        <w:rPr>
          <w:rFonts w:hint="eastAsia" w:ascii="Times New Roman" w:hAnsi="Times New Roman" w:eastAsia="宋体" w:cs="Times New Roman"/>
          <w:kern w:val="0"/>
          <w:szCs w:val="21"/>
        </w:rPr>
        <w:t xml:space="preserve"> SRC = </w:t>
      </w:r>
      <w:r>
        <w:rPr>
          <w:rFonts w:ascii="Times New Roman" w:hAnsi="Times New Roman" w:cs="Times New Roman"/>
          <w:szCs w:val="21"/>
        </w:rPr>
        <w:t>subject relative clause</w:t>
      </w:r>
      <w:r>
        <w:rPr>
          <w:rFonts w:hint="eastAsia" w:ascii="Times New Roman" w:hAnsi="Times New Roman" w:eastAsia="宋体" w:cs="Times New Roman"/>
          <w:kern w:val="0"/>
          <w:szCs w:val="21"/>
        </w:rPr>
        <w:t>; ORC = o</w:t>
      </w:r>
      <w:r>
        <w:rPr>
          <w:rFonts w:ascii="Times New Roman" w:hAnsi="Times New Roman" w:cs="Times New Roman"/>
          <w:szCs w:val="21"/>
        </w:rPr>
        <w:t>bject relative clause</w:t>
      </w:r>
      <w:r>
        <w:rPr>
          <w:rFonts w:hint="eastAsia" w:ascii="Times New Roman" w:hAnsi="Times New Roman" w:eastAsia="宋体" w:cs="Times New Roman"/>
          <w:kern w:val="0"/>
          <w:szCs w:val="21"/>
        </w:rPr>
        <w:t>; SP = simple sentence.</w:t>
      </w:r>
      <w:r>
        <w:rPr>
          <w:rFonts w:ascii="Times New Roman" w:hAnsi="Times New Roman" w:cs="Times New Roman"/>
          <w:color w:val="0070C0"/>
        </w:rPr>
        <w:br w:type="page"/>
      </w:r>
    </w:p>
    <w:p w14:paraId="60279751">
      <w:pPr>
        <w:spacing w:line="480" w:lineRule="auto"/>
        <w:jc w:val="center"/>
        <w:rPr>
          <w:rFonts w:ascii="Times New Roman" w:hAnsi="Times New Roman" w:cs="Times New Roman"/>
          <w:b/>
          <w:bCs/>
          <w:szCs w:val="21"/>
        </w:rPr>
      </w:pPr>
      <w:r>
        <w:rPr>
          <w:rFonts w:ascii="Times New Roman" w:hAnsi="Times New Roman" w:cs="Times New Roman"/>
          <w:b/>
          <w:bCs/>
          <w:szCs w:val="21"/>
        </w:rPr>
        <w:t>Table</w:t>
      </w:r>
      <w:r>
        <w:rPr>
          <w:rFonts w:hint="eastAsia" w:ascii="Times New Roman" w:hAnsi="Times New Roman" w:cs="Times New Roman"/>
          <w:b/>
          <w:bCs/>
          <w:szCs w:val="21"/>
        </w:rPr>
        <w:t xml:space="preserve"> S4 </w:t>
      </w:r>
      <w:r>
        <w:rPr>
          <w:rFonts w:ascii="Times New Roman" w:hAnsi="Times New Roman" w:cs="Times New Roman"/>
          <w:b/>
          <w:bCs/>
          <w:i/>
          <w:iCs/>
          <w:szCs w:val="21"/>
        </w:rPr>
        <w:t>Results of the Generalized Linear Mixed-Effects Model for T</w:t>
      </w:r>
      <w:r>
        <w:rPr>
          <w:rFonts w:hint="eastAsia" w:ascii="Times New Roman" w:hAnsi="Times New Roman" w:cs="Times New Roman"/>
          <w:b/>
          <w:bCs/>
          <w:i/>
          <w:iCs/>
          <w:szCs w:val="21"/>
        </w:rPr>
        <w:t>U</w:t>
      </w:r>
      <w:r>
        <w:rPr>
          <w:rFonts w:ascii="Times New Roman" w:hAnsi="Times New Roman" w:cs="Times New Roman"/>
          <w:b/>
          <w:bCs/>
          <w:i/>
          <w:iCs/>
          <w:szCs w:val="21"/>
        </w:rPr>
        <w:t>S Accuracy</w:t>
      </w:r>
    </w:p>
    <w:tbl>
      <w:tblPr>
        <w:tblStyle w:val="6"/>
        <w:tblW w:w="13150" w:type="dxa"/>
        <w:tblInd w:w="0" w:type="dxa"/>
        <w:tblLayout w:type="autofit"/>
        <w:tblCellMar>
          <w:top w:w="0" w:type="dxa"/>
          <w:left w:w="108" w:type="dxa"/>
          <w:bottom w:w="0" w:type="dxa"/>
          <w:right w:w="108" w:type="dxa"/>
        </w:tblCellMar>
      </w:tblPr>
      <w:tblGrid>
        <w:gridCol w:w="3130"/>
        <w:gridCol w:w="959"/>
        <w:gridCol w:w="960"/>
        <w:gridCol w:w="960"/>
        <w:gridCol w:w="960"/>
        <w:gridCol w:w="2337"/>
        <w:gridCol w:w="963"/>
        <w:gridCol w:w="959"/>
        <w:gridCol w:w="963"/>
        <w:gridCol w:w="959"/>
      </w:tblGrid>
      <w:tr w14:paraId="2050239B">
        <w:tblPrEx>
          <w:tblCellMar>
            <w:top w:w="0" w:type="dxa"/>
            <w:left w:w="108" w:type="dxa"/>
            <w:bottom w:w="0" w:type="dxa"/>
            <w:right w:w="108" w:type="dxa"/>
          </w:tblCellMar>
        </w:tblPrEx>
        <w:trPr>
          <w:trHeight w:val="310" w:hRule="atLeast"/>
        </w:trPr>
        <w:tc>
          <w:tcPr>
            <w:tcW w:w="3130" w:type="dxa"/>
            <w:vMerge w:val="restart"/>
            <w:tcBorders>
              <w:top w:val="single" w:color="000000" w:sz="12" w:space="0"/>
              <w:left w:val="nil"/>
              <w:bottom w:val="single" w:color="auto" w:sz="4" w:space="0"/>
              <w:right w:val="nil"/>
            </w:tcBorders>
            <w:noWrap/>
            <w:vAlign w:val="center"/>
          </w:tcPr>
          <w:p w14:paraId="69E4F556">
            <w:pPr>
              <w:widowControl/>
              <w:spacing w:line="480" w:lineRule="auto"/>
              <w:jc w:val="left"/>
              <w:rPr>
                <w:rFonts w:ascii="Times New Roman" w:hAnsi="Times New Roman" w:eastAsia="Times New Roman" w:cs="Times New Roman"/>
                <w:kern w:val="0"/>
                <w:sz w:val="20"/>
                <w:szCs w:val="20"/>
              </w:rPr>
            </w:pPr>
          </w:p>
        </w:tc>
        <w:tc>
          <w:tcPr>
            <w:tcW w:w="6180" w:type="dxa"/>
            <w:gridSpan w:val="5"/>
            <w:vMerge w:val="restart"/>
            <w:tcBorders>
              <w:top w:val="single" w:color="000000" w:sz="12" w:space="0"/>
              <w:left w:val="nil"/>
              <w:bottom w:val="single" w:color="auto" w:sz="4" w:space="0"/>
              <w:right w:val="nil"/>
            </w:tcBorders>
            <w:vAlign w:val="center"/>
          </w:tcPr>
          <w:p w14:paraId="0FA4C833">
            <w:pPr>
              <w:widowControl/>
              <w:spacing w:line="48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Fixed Effects</w:t>
            </w:r>
          </w:p>
        </w:tc>
        <w:tc>
          <w:tcPr>
            <w:tcW w:w="3840" w:type="dxa"/>
            <w:gridSpan w:val="4"/>
            <w:tcBorders>
              <w:top w:val="single" w:color="000000" w:sz="12" w:space="0"/>
              <w:left w:val="nil"/>
              <w:bottom w:val="single" w:color="auto" w:sz="4" w:space="0"/>
              <w:right w:val="nil"/>
            </w:tcBorders>
            <w:vAlign w:val="center"/>
          </w:tcPr>
          <w:p w14:paraId="3FA10BD8">
            <w:pPr>
              <w:spacing w:line="480" w:lineRule="auto"/>
              <w:jc w:val="center"/>
              <w:rPr>
                <w:rFonts w:ascii="Times New Roman" w:hAnsi="Times New Roman" w:cs="Times New Roman"/>
                <w:szCs w:val="21"/>
              </w:rPr>
            </w:pPr>
            <w:r>
              <w:rPr>
                <w:rFonts w:ascii="Times New Roman" w:hAnsi="Times New Roman" w:cs="Times New Roman"/>
                <w:szCs w:val="21"/>
              </w:rPr>
              <w:t>Random Effects</w:t>
            </w:r>
          </w:p>
        </w:tc>
      </w:tr>
      <w:tr w14:paraId="75E3509D">
        <w:tblPrEx>
          <w:tblCellMar>
            <w:top w:w="0" w:type="dxa"/>
            <w:left w:w="108" w:type="dxa"/>
            <w:bottom w:w="0" w:type="dxa"/>
            <w:right w:w="108" w:type="dxa"/>
          </w:tblCellMar>
        </w:tblPrEx>
        <w:trPr>
          <w:trHeight w:val="310" w:hRule="atLeast"/>
        </w:trPr>
        <w:tc>
          <w:tcPr>
            <w:tcW w:w="3130" w:type="dxa"/>
            <w:vMerge w:val="continue"/>
            <w:tcBorders>
              <w:top w:val="single" w:color="000000" w:sz="12" w:space="0"/>
              <w:left w:val="nil"/>
              <w:bottom w:val="single" w:color="auto" w:sz="4" w:space="0"/>
              <w:right w:val="nil"/>
            </w:tcBorders>
            <w:vAlign w:val="center"/>
          </w:tcPr>
          <w:p w14:paraId="3D72A562">
            <w:pPr>
              <w:widowControl/>
              <w:spacing w:line="480" w:lineRule="auto"/>
              <w:jc w:val="left"/>
              <w:rPr>
                <w:rFonts w:ascii="Times New Roman" w:hAnsi="Times New Roman" w:eastAsia="Times New Roman" w:cs="Times New Roman"/>
                <w:kern w:val="0"/>
                <w:sz w:val="20"/>
                <w:szCs w:val="20"/>
              </w:rPr>
            </w:pPr>
          </w:p>
        </w:tc>
        <w:tc>
          <w:tcPr>
            <w:tcW w:w="6180" w:type="dxa"/>
            <w:gridSpan w:val="5"/>
            <w:vMerge w:val="continue"/>
            <w:tcBorders>
              <w:top w:val="single" w:color="000000" w:sz="12" w:space="0"/>
              <w:left w:val="nil"/>
              <w:bottom w:val="single" w:color="auto" w:sz="4" w:space="0"/>
              <w:right w:val="nil"/>
            </w:tcBorders>
            <w:vAlign w:val="center"/>
          </w:tcPr>
          <w:p w14:paraId="723F83A7">
            <w:pPr>
              <w:widowControl/>
              <w:spacing w:line="480" w:lineRule="auto"/>
              <w:jc w:val="left"/>
              <w:rPr>
                <w:rFonts w:ascii="Times New Roman" w:hAnsi="Times New Roman" w:eastAsia="宋体" w:cs="Times New Roman"/>
                <w:color w:val="000000"/>
                <w:kern w:val="0"/>
                <w:szCs w:val="21"/>
              </w:rPr>
            </w:pPr>
          </w:p>
        </w:tc>
        <w:tc>
          <w:tcPr>
            <w:tcW w:w="1920" w:type="dxa"/>
            <w:gridSpan w:val="2"/>
            <w:tcBorders>
              <w:top w:val="single" w:color="auto" w:sz="4" w:space="0"/>
              <w:left w:val="nil"/>
              <w:bottom w:val="single" w:color="auto" w:sz="4" w:space="0"/>
              <w:right w:val="nil"/>
            </w:tcBorders>
            <w:vAlign w:val="center"/>
          </w:tcPr>
          <w:p w14:paraId="09AAA2D2">
            <w:pPr>
              <w:spacing w:line="480" w:lineRule="auto"/>
              <w:jc w:val="center"/>
              <w:rPr>
                <w:rFonts w:ascii="Times New Roman" w:hAnsi="Times New Roman" w:cs="Times New Roman"/>
                <w:szCs w:val="21"/>
              </w:rPr>
            </w:pPr>
            <w:r>
              <w:rPr>
                <w:rFonts w:ascii="Times New Roman" w:hAnsi="Times New Roman" w:cs="Times New Roman"/>
                <w:szCs w:val="21"/>
              </w:rPr>
              <w:t>Subject</w:t>
            </w:r>
          </w:p>
        </w:tc>
        <w:tc>
          <w:tcPr>
            <w:tcW w:w="1920" w:type="dxa"/>
            <w:gridSpan w:val="2"/>
            <w:tcBorders>
              <w:top w:val="single" w:color="auto" w:sz="4" w:space="0"/>
              <w:left w:val="nil"/>
              <w:bottom w:val="single" w:color="auto" w:sz="4" w:space="0"/>
              <w:right w:val="nil"/>
            </w:tcBorders>
            <w:vAlign w:val="center"/>
          </w:tcPr>
          <w:p w14:paraId="7234FD38">
            <w:pPr>
              <w:spacing w:line="480" w:lineRule="auto"/>
              <w:jc w:val="center"/>
              <w:rPr>
                <w:rFonts w:ascii="Times New Roman" w:hAnsi="Times New Roman" w:cs="Times New Roman"/>
                <w:szCs w:val="21"/>
              </w:rPr>
            </w:pPr>
            <w:r>
              <w:rPr>
                <w:rFonts w:ascii="Times New Roman" w:hAnsi="Times New Roman" w:cs="Times New Roman"/>
                <w:szCs w:val="21"/>
              </w:rPr>
              <w:t>Item</w:t>
            </w:r>
          </w:p>
        </w:tc>
      </w:tr>
      <w:tr w14:paraId="000D18FE">
        <w:tblPrEx>
          <w:tblCellMar>
            <w:top w:w="0" w:type="dxa"/>
            <w:left w:w="108" w:type="dxa"/>
            <w:bottom w:w="0" w:type="dxa"/>
            <w:right w:w="108" w:type="dxa"/>
          </w:tblCellMar>
        </w:tblPrEx>
        <w:trPr>
          <w:trHeight w:val="310" w:hRule="atLeast"/>
        </w:trPr>
        <w:tc>
          <w:tcPr>
            <w:tcW w:w="3130" w:type="dxa"/>
            <w:vMerge w:val="continue"/>
            <w:tcBorders>
              <w:top w:val="single" w:color="000000" w:sz="12" w:space="0"/>
              <w:left w:val="nil"/>
              <w:bottom w:val="single" w:color="auto" w:sz="4" w:space="0"/>
              <w:right w:val="nil"/>
            </w:tcBorders>
            <w:vAlign w:val="center"/>
          </w:tcPr>
          <w:p w14:paraId="2C98A03B">
            <w:pPr>
              <w:widowControl/>
              <w:spacing w:line="480" w:lineRule="auto"/>
              <w:jc w:val="left"/>
              <w:rPr>
                <w:rFonts w:ascii="Times New Roman" w:hAnsi="Times New Roman" w:eastAsia="Times New Roman" w:cs="Times New Roman"/>
                <w:kern w:val="0"/>
                <w:sz w:val="20"/>
                <w:szCs w:val="20"/>
              </w:rPr>
            </w:pPr>
          </w:p>
        </w:tc>
        <w:tc>
          <w:tcPr>
            <w:tcW w:w="960" w:type="dxa"/>
            <w:tcBorders>
              <w:top w:val="single" w:color="auto" w:sz="4" w:space="0"/>
              <w:left w:val="nil"/>
              <w:bottom w:val="single" w:color="auto" w:sz="4" w:space="0"/>
              <w:right w:val="nil"/>
            </w:tcBorders>
            <w:vAlign w:val="center"/>
          </w:tcPr>
          <w:p w14:paraId="7647C163">
            <w:pPr>
              <w:spacing w:line="480" w:lineRule="auto"/>
              <w:jc w:val="center"/>
              <w:rPr>
                <w:rFonts w:ascii="Times New Roman" w:hAnsi="Times New Roman" w:cs="Times New Roman"/>
                <w:i/>
                <w:iCs/>
                <w:szCs w:val="21"/>
              </w:rPr>
            </w:pPr>
            <w:r>
              <w:rPr>
                <w:rFonts w:ascii="Times New Roman" w:hAnsi="Times New Roman" w:cs="Times New Roman"/>
                <w:i/>
                <w:iCs/>
                <w:szCs w:val="21"/>
              </w:rPr>
              <w:t>b</w:t>
            </w:r>
          </w:p>
        </w:tc>
        <w:tc>
          <w:tcPr>
            <w:tcW w:w="960" w:type="dxa"/>
            <w:tcBorders>
              <w:top w:val="single" w:color="auto" w:sz="4" w:space="0"/>
              <w:left w:val="nil"/>
              <w:bottom w:val="single" w:color="auto" w:sz="4" w:space="0"/>
              <w:right w:val="nil"/>
            </w:tcBorders>
            <w:vAlign w:val="center"/>
          </w:tcPr>
          <w:p w14:paraId="39D2D785">
            <w:pPr>
              <w:spacing w:line="480" w:lineRule="auto"/>
              <w:jc w:val="center"/>
              <w:rPr>
                <w:rFonts w:ascii="Times New Roman" w:hAnsi="Times New Roman" w:cs="Times New Roman"/>
                <w:i/>
                <w:iCs/>
                <w:szCs w:val="21"/>
              </w:rPr>
            </w:pPr>
            <w:r>
              <w:rPr>
                <w:rFonts w:ascii="Times New Roman" w:hAnsi="Times New Roman" w:cs="Times New Roman"/>
                <w:i/>
                <w:iCs/>
                <w:szCs w:val="21"/>
              </w:rPr>
              <w:t>SE</w:t>
            </w:r>
          </w:p>
        </w:tc>
        <w:tc>
          <w:tcPr>
            <w:tcW w:w="960" w:type="dxa"/>
            <w:tcBorders>
              <w:top w:val="single" w:color="auto" w:sz="4" w:space="0"/>
              <w:left w:val="nil"/>
              <w:bottom w:val="single" w:color="auto" w:sz="4" w:space="0"/>
              <w:right w:val="nil"/>
            </w:tcBorders>
            <w:vAlign w:val="center"/>
          </w:tcPr>
          <w:p w14:paraId="68A2DA29">
            <w:pPr>
              <w:spacing w:line="480" w:lineRule="auto"/>
              <w:jc w:val="center"/>
              <w:rPr>
                <w:rFonts w:ascii="Times New Roman" w:hAnsi="Times New Roman" w:cs="Times New Roman"/>
                <w:i/>
                <w:iCs/>
                <w:szCs w:val="21"/>
              </w:rPr>
            </w:pPr>
            <w:r>
              <w:rPr>
                <w:rFonts w:ascii="Times New Roman" w:hAnsi="Times New Roman" w:cs="Times New Roman"/>
                <w:i/>
                <w:iCs/>
                <w:szCs w:val="21"/>
              </w:rPr>
              <w:t>z</w:t>
            </w:r>
          </w:p>
        </w:tc>
        <w:tc>
          <w:tcPr>
            <w:tcW w:w="960" w:type="dxa"/>
            <w:tcBorders>
              <w:top w:val="single" w:color="auto" w:sz="4" w:space="0"/>
              <w:left w:val="nil"/>
              <w:bottom w:val="single" w:color="auto" w:sz="4" w:space="0"/>
              <w:right w:val="nil"/>
            </w:tcBorders>
            <w:vAlign w:val="center"/>
          </w:tcPr>
          <w:p w14:paraId="4A9856B9">
            <w:pPr>
              <w:spacing w:line="480" w:lineRule="auto"/>
              <w:jc w:val="center"/>
              <w:rPr>
                <w:rFonts w:ascii="Times New Roman" w:hAnsi="Times New Roman" w:cs="Times New Roman"/>
                <w:i/>
                <w:iCs/>
                <w:szCs w:val="21"/>
              </w:rPr>
            </w:pPr>
            <w:r>
              <w:rPr>
                <w:rFonts w:ascii="Times New Roman" w:hAnsi="Times New Roman" w:cs="Times New Roman"/>
                <w:i/>
                <w:iCs/>
                <w:szCs w:val="21"/>
              </w:rPr>
              <w:t>p</w:t>
            </w:r>
          </w:p>
        </w:tc>
        <w:tc>
          <w:tcPr>
            <w:tcW w:w="2340" w:type="dxa"/>
            <w:tcBorders>
              <w:top w:val="single" w:color="auto" w:sz="4" w:space="0"/>
              <w:left w:val="nil"/>
              <w:bottom w:val="single" w:color="auto" w:sz="4" w:space="0"/>
              <w:right w:val="nil"/>
            </w:tcBorders>
            <w:vAlign w:val="center"/>
          </w:tcPr>
          <w:p w14:paraId="5143CC66">
            <w:pPr>
              <w:spacing w:line="480" w:lineRule="auto"/>
              <w:jc w:val="center"/>
              <w:rPr>
                <w:rFonts w:ascii="Times New Roman" w:hAnsi="Times New Roman" w:cs="Times New Roman"/>
                <w:i/>
                <w:iCs/>
                <w:szCs w:val="21"/>
              </w:rPr>
            </w:pPr>
            <w:r>
              <w:rPr>
                <w:rFonts w:ascii="Times New Roman" w:hAnsi="Times New Roman" w:cs="Times New Roman"/>
                <w:szCs w:val="21"/>
              </w:rPr>
              <w:t xml:space="preserve">95% </w:t>
            </w:r>
            <w:r>
              <w:rPr>
                <w:rFonts w:ascii="Times New Roman" w:hAnsi="Times New Roman" w:cs="Times New Roman"/>
                <w:i/>
                <w:iCs/>
                <w:szCs w:val="21"/>
              </w:rPr>
              <w:t>CI</w:t>
            </w:r>
          </w:p>
        </w:tc>
        <w:tc>
          <w:tcPr>
            <w:tcW w:w="960" w:type="dxa"/>
            <w:tcBorders>
              <w:top w:val="single" w:color="auto" w:sz="4" w:space="0"/>
              <w:left w:val="nil"/>
              <w:bottom w:val="single" w:color="auto" w:sz="4" w:space="0"/>
              <w:right w:val="nil"/>
            </w:tcBorders>
            <w:vAlign w:val="center"/>
          </w:tcPr>
          <w:p w14:paraId="3105530D">
            <w:pPr>
              <w:spacing w:line="480" w:lineRule="auto"/>
              <w:jc w:val="center"/>
              <w:rPr>
                <w:rFonts w:ascii="Times New Roman" w:hAnsi="Times New Roman" w:cs="Times New Roman"/>
                <w:i/>
                <w:iCs/>
                <w:szCs w:val="21"/>
              </w:rPr>
            </w:pPr>
            <w:r>
              <w:rPr>
                <w:rFonts w:ascii="Times New Roman" w:hAnsi="Times New Roman" w:cs="Times New Roman"/>
                <w:i/>
                <w:iCs/>
                <w:szCs w:val="21"/>
              </w:rPr>
              <w:t>Variance</w:t>
            </w:r>
          </w:p>
        </w:tc>
        <w:tc>
          <w:tcPr>
            <w:tcW w:w="960" w:type="dxa"/>
            <w:tcBorders>
              <w:top w:val="single" w:color="auto" w:sz="4" w:space="0"/>
              <w:left w:val="nil"/>
              <w:bottom w:val="single" w:color="auto" w:sz="4" w:space="0"/>
              <w:right w:val="nil"/>
            </w:tcBorders>
            <w:vAlign w:val="center"/>
          </w:tcPr>
          <w:p w14:paraId="344FE613">
            <w:pPr>
              <w:spacing w:line="480" w:lineRule="auto"/>
              <w:jc w:val="center"/>
              <w:rPr>
                <w:rFonts w:ascii="Times New Roman" w:hAnsi="Times New Roman" w:cs="Times New Roman"/>
                <w:i/>
                <w:iCs/>
                <w:szCs w:val="21"/>
              </w:rPr>
            </w:pPr>
            <w:r>
              <w:rPr>
                <w:rFonts w:ascii="Times New Roman" w:hAnsi="Times New Roman" w:cs="Times New Roman"/>
                <w:i/>
                <w:iCs/>
                <w:szCs w:val="21"/>
              </w:rPr>
              <w:t>ICC</w:t>
            </w:r>
          </w:p>
        </w:tc>
        <w:tc>
          <w:tcPr>
            <w:tcW w:w="960" w:type="dxa"/>
            <w:tcBorders>
              <w:top w:val="single" w:color="auto" w:sz="4" w:space="0"/>
              <w:left w:val="nil"/>
              <w:bottom w:val="single" w:color="auto" w:sz="4" w:space="0"/>
              <w:right w:val="nil"/>
            </w:tcBorders>
            <w:vAlign w:val="center"/>
          </w:tcPr>
          <w:p w14:paraId="783A4443">
            <w:pPr>
              <w:spacing w:line="480" w:lineRule="auto"/>
              <w:jc w:val="center"/>
              <w:rPr>
                <w:rFonts w:ascii="Times New Roman" w:hAnsi="Times New Roman" w:cs="Times New Roman"/>
                <w:i/>
                <w:iCs/>
                <w:szCs w:val="21"/>
              </w:rPr>
            </w:pPr>
            <w:r>
              <w:rPr>
                <w:rFonts w:ascii="Times New Roman" w:hAnsi="Times New Roman" w:cs="Times New Roman"/>
                <w:i/>
                <w:iCs/>
                <w:szCs w:val="21"/>
              </w:rPr>
              <w:t>Variance</w:t>
            </w:r>
          </w:p>
        </w:tc>
        <w:tc>
          <w:tcPr>
            <w:tcW w:w="960" w:type="dxa"/>
            <w:tcBorders>
              <w:top w:val="single" w:color="auto" w:sz="4" w:space="0"/>
              <w:left w:val="nil"/>
              <w:bottom w:val="single" w:color="auto" w:sz="4" w:space="0"/>
              <w:right w:val="nil"/>
            </w:tcBorders>
            <w:vAlign w:val="center"/>
          </w:tcPr>
          <w:p w14:paraId="6E59A49D">
            <w:pPr>
              <w:spacing w:line="480" w:lineRule="auto"/>
              <w:jc w:val="center"/>
              <w:rPr>
                <w:rFonts w:ascii="Times New Roman" w:hAnsi="Times New Roman" w:cs="Times New Roman"/>
                <w:i/>
                <w:iCs/>
                <w:szCs w:val="21"/>
              </w:rPr>
            </w:pPr>
            <w:r>
              <w:rPr>
                <w:rFonts w:ascii="Times New Roman" w:hAnsi="Times New Roman" w:cs="Times New Roman"/>
                <w:i/>
                <w:iCs/>
                <w:szCs w:val="21"/>
              </w:rPr>
              <w:t>ICC</w:t>
            </w:r>
          </w:p>
        </w:tc>
      </w:tr>
      <w:tr w14:paraId="15317C24">
        <w:tblPrEx>
          <w:tblCellMar>
            <w:top w:w="0" w:type="dxa"/>
            <w:left w:w="108" w:type="dxa"/>
            <w:bottom w:w="0" w:type="dxa"/>
            <w:right w:w="108" w:type="dxa"/>
          </w:tblCellMar>
        </w:tblPrEx>
        <w:trPr>
          <w:trHeight w:val="310" w:hRule="atLeast"/>
        </w:trPr>
        <w:tc>
          <w:tcPr>
            <w:tcW w:w="3130" w:type="dxa"/>
            <w:tcBorders>
              <w:top w:val="single" w:color="auto" w:sz="4" w:space="0"/>
              <w:left w:val="nil"/>
              <w:bottom w:val="nil"/>
              <w:right w:val="nil"/>
            </w:tcBorders>
            <w:vAlign w:val="center"/>
          </w:tcPr>
          <w:p w14:paraId="118488CA">
            <w:pPr>
              <w:spacing w:line="480" w:lineRule="auto"/>
              <w:rPr>
                <w:rFonts w:ascii="Times New Roman" w:hAnsi="Times New Roman" w:cs="Times New Roman"/>
                <w:szCs w:val="21"/>
              </w:rPr>
            </w:pPr>
            <w:r>
              <w:rPr>
                <w:rFonts w:ascii="Times New Roman" w:hAnsi="Times New Roman" w:cs="Times New Roman"/>
                <w:szCs w:val="21"/>
              </w:rPr>
              <w:t>Intercept</w:t>
            </w:r>
          </w:p>
        </w:tc>
        <w:tc>
          <w:tcPr>
            <w:tcW w:w="960" w:type="dxa"/>
            <w:tcBorders>
              <w:top w:val="single" w:color="auto" w:sz="4" w:space="0"/>
              <w:left w:val="nil"/>
              <w:bottom w:val="nil"/>
              <w:right w:val="nil"/>
            </w:tcBorders>
            <w:vAlign w:val="center"/>
          </w:tcPr>
          <w:p w14:paraId="24806FEC">
            <w:pPr>
              <w:spacing w:line="480" w:lineRule="auto"/>
              <w:rPr>
                <w:rFonts w:ascii="Times New Roman" w:hAnsi="Times New Roman" w:cs="Times New Roman"/>
                <w:szCs w:val="21"/>
              </w:rPr>
            </w:pPr>
            <w:r>
              <w:rPr>
                <w:rFonts w:ascii="Times New Roman" w:hAnsi="Times New Roman" w:cs="Times New Roman"/>
                <w:szCs w:val="21"/>
              </w:rPr>
              <w:t>2.214</w:t>
            </w:r>
          </w:p>
        </w:tc>
        <w:tc>
          <w:tcPr>
            <w:tcW w:w="960" w:type="dxa"/>
            <w:tcBorders>
              <w:top w:val="single" w:color="auto" w:sz="4" w:space="0"/>
              <w:left w:val="nil"/>
              <w:bottom w:val="nil"/>
              <w:right w:val="nil"/>
            </w:tcBorders>
            <w:vAlign w:val="center"/>
          </w:tcPr>
          <w:p w14:paraId="6E527D41">
            <w:pPr>
              <w:spacing w:line="480" w:lineRule="auto"/>
              <w:rPr>
                <w:rFonts w:ascii="Times New Roman" w:hAnsi="Times New Roman" w:cs="Times New Roman"/>
                <w:szCs w:val="21"/>
              </w:rPr>
            </w:pPr>
            <w:r>
              <w:rPr>
                <w:rFonts w:ascii="Times New Roman" w:hAnsi="Times New Roman" w:cs="Times New Roman"/>
                <w:szCs w:val="21"/>
              </w:rPr>
              <w:t>0.125</w:t>
            </w:r>
          </w:p>
        </w:tc>
        <w:tc>
          <w:tcPr>
            <w:tcW w:w="960" w:type="dxa"/>
            <w:tcBorders>
              <w:top w:val="single" w:color="auto" w:sz="4" w:space="0"/>
              <w:left w:val="nil"/>
              <w:bottom w:val="nil"/>
              <w:right w:val="nil"/>
            </w:tcBorders>
            <w:vAlign w:val="center"/>
          </w:tcPr>
          <w:p w14:paraId="6D9C0A0A">
            <w:pPr>
              <w:spacing w:line="480" w:lineRule="auto"/>
              <w:rPr>
                <w:rFonts w:ascii="Times New Roman" w:hAnsi="Times New Roman" w:cs="Times New Roman"/>
                <w:szCs w:val="21"/>
              </w:rPr>
            </w:pPr>
            <w:r>
              <w:rPr>
                <w:rFonts w:ascii="Times New Roman" w:hAnsi="Times New Roman" w:cs="Times New Roman"/>
                <w:szCs w:val="21"/>
              </w:rPr>
              <w:t>17.71</w:t>
            </w:r>
          </w:p>
        </w:tc>
        <w:tc>
          <w:tcPr>
            <w:tcW w:w="960" w:type="dxa"/>
            <w:tcBorders>
              <w:top w:val="single" w:color="auto" w:sz="4" w:space="0"/>
              <w:left w:val="nil"/>
              <w:bottom w:val="nil"/>
              <w:right w:val="nil"/>
            </w:tcBorders>
            <w:vAlign w:val="center"/>
          </w:tcPr>
          <w:p w14:paraId="163A2356">
            <w:pPr>
              <w:spacing w:line="480" w:lineRule="auto"/>
              <w:rPr>
                <w:rFonts w:ascii="Times New Roman" w:hAnsi="Times New Roman" w:cs="Times New Roman"/>
                <w:szCs w:val="21"/>
              </w:rPr>
            </w:pPr>
            <w:r>
              <w:rPr>
                <w:rFonts w:ascii="Times New Roman" w:hAnsi="Times New Roman" w:cs="Times New Roman"/>
                <w:szCs w:val="21"/>
              </w:rPr>
              <w:t>&lt; 0.001</w:t>
            </w:r>
          </w:p>
        </w:tc>
        <w:tc>
          <w:tcPr>
            <w:tcW w:w="2340" w:type="dxa"/>
            <w:tcBorders>
              <w:top w:val="single" w:color="auto" w:sz="4" w:space="0"/>
              <w:left w:val="nil"/>
              <w:bottom w:val="nil"/>
              <w:right w:val="nil"/>
            </w:tcBorders>
            <w:vAlign w:val="center"/>
          </w:tcPr>
          <w:p w14:paraId="4F6A5DE7">
            <w:pPr>
              <w:spacing w:line="480" w:lineRule="auto"/>
              <w:rPr>
                <w:rFonts w:ascii="Times New Roman" w:hAnsi="Times New Roman" w:cs="Times New Roman"/>
                <w:szCs w:val="21"/>
              </w:rPr>
            </w:pPr>
            <w:r>
              <w:rPr>
                <w:rFonts w:ascii="Times New Roman" w:hAnsi="Times New Roman" w:cs="Times New Roman"/>
                <w:szCs w:val="21"/>
              </w:rPr>
              <w:t>[1.970, 2.460]</w:t>
            </w:r>
          </w:p>
        </w:tc>
        <w:tc>
          <w:tcPr>
            <w:tcW w:w="960" w:type="dxa"/>
            <w:tcBorders>
              <w:top w:val="single" w:color="auto" w:sz="4" w:space="0"/>
              <w:left w:val="nil"/>
              <w:bottom w:val="nil"/>
              <w:right w:val="nil"/>
            </w:tcBorders>
            <w:vAlign w:val="center"/>
          </w:tcPr>
          <w:p w14:paraId="3EA14195">
            <w:pPr>
              <w:spacing w:line="480" w:lineRule="auto"/>
              <w:rPr>
                <w:rFonts w:ascii="Times New Roman" w:hAnsi="Times New Roman" w:cs="Times New Roman"/>
                <w:szCs w:val="21"/>
              </w:rPr>
            </w:pPr>
            <w:r>
              <w:rPr>
                <w:rFonts w:ascii="Times New Roman" w:hAnsi="Times New Roman" w:cs="Times New Roman"/>
                <w:szCs w:val="21"/>
              </w:rPr>
              <w:t>0.452</w:t>
            </w:r>
          </w:p>
        </w:tc>
        <w:tc>
          <w:tcPr>
            <w:tcW w:w="960" w:type="dxa"/>
            <w:tcBorders>
              <w:top w:val="single" w:color="auto" w:sz="4" w:space="0"/>
              <w:left w:val="nil"/>
              <w:bottom w:val="nil"/>
              <w:right w:val="nil"/>
            </w:tcBorders>
            <w:vAlign w:val="center"/>
          </w:tcPr>
          <w:p w14:paraId="4B5DC2B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single" w:color="auto" w:sz="4" w:space="0"/>
              <w:left w:val="nil"/>
              <w:bottom w:val="nil"/>
              <w:right w:val="nil"/>
            </w:tcBorders>
            <w:vAlign w:val="center"/>
          </w:tcPr>
          <w:p w14:paraId="67042BFD">
            <w:pPr>
              <w:spacing w:line="480" w:lineRule="auto"/>
              <w:rPr>
                <w:rFonts w:ascii="Times New Roman" w:hAnsi="Times New Roman" w:cs="Times New Roman"/>
                <w:szCs w:val="21"/>
              </w:rPr>
            </w:pPr>
            <w:r>
              <w:rPr>
                <w:rFonts w:ascii="Times New Roman" w:hAnsi="Times New Roman" w:cs="Times New Roman"/>
                <w:szCs w:val="21"/>
              </w:rPr>
              <w:t>1.017</w:t>
            </w:r>
          </w:p>
        </w:tc>
        <w:tc>
          <w:tcPr>
            <w:tcW w:w="960" w:type="dxa"/>
            <w:tcBorders>
              <w:top w:val="single" w:color="auto" w:sz="4" w:space="0"/>
              <w:left w:val="nil"/>
              <w:bottom w:val="nil"/>
              <w:right w:val="nil"/>
            </w:tcBorders>
            <w:vAlign w:val="center"/>
          </w:tcPr>
          <w:p w14:paraId="2618819F">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217B3EBD">
        <w:tblPrEx>
          <w:tblCellMar>
            <w:top w:w="0" w:type="dxa"/>
            <w:left w:w="108" w:type="dxa"/>
            <w:bottom w:w="0" w:type="dxa"/>
            <w:right w:w="108" w:type="dxa"/>
          </w:tblCellMar>
        </w:tblPrEx>
        <w:trPr>
          <w:trHeight w:val="310" w:hRule="atLeast"/>
        </w:trPr>
        <w:tc>
          <w:tcPr>
            <w:tcW w:w="3130" w:type="dxa"/>
            <w:tcBorders>
              <w:top w:val="nil"/>
              <w:left w:val="nil"/>
              <w:bottom w:val="nil"/>
              <w:right w:val="nil"/>
            </w:tcBorders>
            <w:vAlign w:val="center"/>
          </w:tcPr>
          <w:p w14:paraId="26744094">
            <w:pPr>
              <w:spacing w:line="480" w:lineRule="auto"/>
              <w:rPr>
                <w:rFonts w:ascii="Times New Roman" w:hAnsi="Times New Roman" w:cs="Times New Roman"/>
                <w:szCs w:val="21"/>
              </w:rPr>
            </w:pPr>
            <w:r>
              <w:rPr>
                <w:rFonts w:ascii="Times New Roman" w:hAnsi="Times New Roman" w:cs="Times New Roman"/>
                <w:szCs w:val="21"/>
              </w:rPr>
              <w:t>LpTL - LIFG</w:t>
            </w:r>
          </w:p>
        </w:tc>
        <w:tc>
          <w:tcPr>
            <w:tcW w:w="960" w:type="dxa"/>
            <w:tcBorders>
              <w:top w:val="nil"/>
              <w:left w:val="nil"/>
              <w:bottom w:val="nil"/>
              <w:right w:val="nil"/>
            </w:tcBorders>
            <w:vAlign w:val="center"/>
          </w:tcPr>
          <w:p w14:paraId="54DE3CE4">
            <w:pPr>
              <w:spacing w:line="480" w:lineRule="auto"/>
              <w:rPr>
                <w:rFonts w:ascii="Times New Roman" w:hAnsi="Times New Roman" w:cs="Times New Roman"/>
                <w:szCs w:val="21"/>
              </w:rPr>
            </w:pPr>
            <w:r>
              <w:rPr>
                <w:rFonts w:ascii="Times New Roman" w:hAnsi="Times New Roman" w:cs="Times New Roman"/>
                <w:szCs w:val="21"/>
              </w:rPr>
              <w:t>0.298</w:t>
            </w:r>
          </w:p>
        </w:tc>
        <w:tc>
          <w:tcPr>
            <w:tcW w:w="960" w:type="dxa"/>
            <w:tcBorders>
              <w:top w:val="nil"/>
              <w:left w:val="nil"/>
              <w:bottom w:val="nil"/>
              <w:right w:val="nil"/>
            </w:tcBorders>
            <w:vAlign w:val="center"/>
          </w:tcPr>
          <w:p w14:paraId="6CD2C979">
            <w:pPr>
              <w:spacing w:line="480" w:lineRule="auto"/>
              <w:rPr>
                <w:rFonts w:ascii="Times New Roman" w:hAnsi="Times New Roman" w:cs="Times New Roman"/>
                <w:szCs w:val="21"/>
              </w:rPr>
            </w:pPr>
            <w:r>
              <w:rPr>
                <w:rFonts w:ascii="Times New Roman" w:hAnsi="Times New Roman" w:cs="Times New Roman"/>
                <w:szCs w:val="21"/>
              </w:rPr>
              <w:t xml:space="preserve">0.090 </w:t>
            </w:r>
          </w:p>
        </w:tc>
        <w:tc>
          <w:tcPr>
            <w:tcW w:w="960" w:type="dxa"/>
            <w:tcBorders>
              <w:top w:val="nil"/>
              <w:left w:val="nil"/>
              <w:bottom w:val="nil"/>
              <w:right w:val="nil"/>
            </w:tcBorders>
            <w:vAlign w:val="center"/>
          </w:tcPr>
          <w:p w14:paraId="6D880E35">
            <w:pPr>
              <w:spacing w:line="480" w:lineRule="auto"/>
              <w:rPr>
                <w:rFonts w:ascii="Times New Roman" w:hAnsi="Times New Roman" w:cs="Times New Roman"/>
                <w:szCs w:val="21"/>
              </w:rPr>
            </w:pPr>
            <w:r>
              <w:rPr>
                <w:rFonts w:ascii="Times New Roman" w:hAnsi="Times New Roman" w:cs="Times New Roman"/>
                <w:szCs w:val="21"/>
              </w:rPr>
              <w:t xml:space="preserve">3.33 </w:t>
            </w:r>
          </w:p>
        </w:tc>
        <w:tc>
          <w:tcPr>
            <w:tcW w:w="960" w:type="dxa"/>
            <w:tcBorders>
              <w:top w:val="nil"/>
              <w:left w:val="nil"/>
              <w:bottom w:val="nil"/>
              <w:right w:val="nil"/>
            </w:tcBorders>
            <w:vAlign w:val="center"/>
          </w:tcPr>
          <w:p w14:paraId="1795ECC9">
            <w:pPr>
              <w:spacing w:line="480" w:lineRule="auto"/>
              <w:rPr>
                <w:rFonts w:ascii="Times New Roman" w:hAnsi="Times New Roman" w:cs="Times New Roman"/>
                <w:szCs w:val="21"/>
              </w:rPr>
            </w:pPr>
            <w:r>
              <w:rPr>
                <w:rFonts w:ascii="Times New Roman" w:hAnsi="Times New Roman" w:cs="Times New Roman"/>
                <w:szCs w:val="21"/>
              </w:rPr>
              <w:t>0.001</w:t>
            </w:r>
          </w:p>
        </w:tc>
        <w:tc>
          <w:tcPr>
            <w:tcW w:w="2340" w:type="dxa"/>
            <w:tcBorders>
              <w:top w:val="nil"/>
              <w:left w:val="nil"/>
              <w:bottom w:val="nil"/>
              <w:right w:val="nil"/>
            </w:tcBorders>
            <w:vAlign w:val="center"/>
          </w:tcPr>
          <w:p w14:paraId="6DA9934A">
            <w:pPr>
              <w:spacing w:line="480" w:lineRule="auto"/>
              <w:rPr>
                <w:rFonts w:ascii="Times New Roman" w:hAnsi="Times New Roman" w:cs="Times New Roman"/>
                <w:szCs w:val="21"/>
              </w:rPr>
            </w:pPr>
            <w:r>
              <w:rPr>
                <w:rFonts w:ascii="Times New Roman" w:hAnsi="Times New Roman" w:cs="Times New Roman"/>
                <w:szCs w:val="21"/>
              </w:rPr>
              <w:t>[0.123, 0.474]</w:t>
            </w:r>
          </w:p>
        </w:tc>
        <w:tc>
          <w:tcPr>
            <w:tcW w:w="960" w:type="dxa"/>
            <w:tcBorders>
              <w:top w:val="nil"/>
              <w:left w:val="nil"/>
              <w:bottom w:val="nil"/>
              <w:right w:val="nil"/>
            </w:tcBorders>
            <w:vAlign w:val="center"/>
          </w:tcPr>
          <w:p w14:paraId="1D846789">
            <w:pPr>
              <w:spacing w:line="480" w:lineRule="auto"/>
              <w:rPr>
                <w:rFonts w:ascii="Times New Roman" w:hAnsi="Times New Roman" w:cs="Times New Roman"/>
                <w:szCs w:val="21"/>
              </w:rPr>
            </w:pPr>
            <w:r>
              <w:rPr>
                <w:rFonts w:ascii="Times New Roman" w:hAnsi="Times New Roman" w:cs="Times New Roman"/>
                <w:szCs w:val="21"/>
              </w:rPr>
              <w:t>0.127</w:t>
            </w:r>
          </w:p>
        </w:tc>
        <w:tc>
          <w:tcPr>
            <w:tcW w:w="960" w:type="dxa"/>
            <w:tcBorders>
              <w:top w:val="nil"/>
              <w:left w:val="nil"/>
              <w:bottom w:val="nil"/>
              <w:right w:val="nil"/>
            </w:tcBorders>
            <w:vAlign w:val="center"/>
          </w:tcPr>
          <w:p w14:paraId="7B84AAB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2B9708C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5C3968E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513D835D">
        <w:tblPrEx>
          <w:tblCellMar>
            <w:top w:w="0" w:type="dxa"/>
            <w:left w:w="108" w:type="dxa"/>
            <w:bottom w:w="0" w:type="dxa"/>
            <w:right w:w="108" w:type="dxa"/>
          </w:tblCellMar>
        </w:tblPrEx>
        <w:trPr>
          <w:trHeight w:val="310" w:hRule="atLeast"/>
        </w:trPr>
        <w:tc>
          <w:tcPr>
            <w:tcW w:w="3130" w:type="dxa"/>
            <w:tcBorders>
              <w:top w:val="nil"/>
              <w:left w:val="nil"/>
              <w:bottom w:val="nil"/>
              <w:right w:val="nil"/>
            </w:tcBorders>
            <w:vAlign w:val="center"/>
          </w:tcPr>
          <w:p w14:paraId="1022AF0E">
            <w:pPr>
              <w:spacing w:line="480" w:lineRule="auto"/>
              <w:rPr>
                <w:rFonts w:ascii="Times New Roman" w:hAnsi="Times New Roman" w:cs="Times New Roman"/>
                <w:szCs w:val="21"/>
              </w:rPr>
            </w:pPr>
            <w:r>
              <w:rPr>
                <w:rFonts w:ascii="Times New Roman" w:hAnsi="Times New Roman" w:cs="Times New Roman"/>
                <w:szCs w:val="21"/>
              </w:rPr>
              <w:t>vertex - LpTL</w:t>
            </w:r>
          </w:p>
        </w:tc>
        <w:tc>
          <w:tcPr>
            <w:tcW w:w="960" w:type="dxa"/>
            <w:tcBorders>
              <w:top w:val="nil"/>
              <w:left w:val="nil"/>
              <w:bottom w:val="nil"/>
              <w:right w:val="nil"/>
            </w:tcBorders>
            <w:vAlign w:val="center"/>
          </w:tcPr>
          <w:p w14:paraId="1DA27020">
            <w:pPr>
              <w:spacing w:line="480" w:lineRule="auto"/>
              <w:rPr>
                <w:rFonts w:ascii="Times New Roman" w:hAnsi="Times New Roman" w:cs="Times New Roman"/>
                <w:szCs w:val="21"/>
              </w:rPr>
            </w:pPr>
            <w:r>
              <w:rPr>
                <w:rFonts w:ascii="Times New Roman" w:hAnsi="Times New Roman" w:cs="Times New Roman"/>
                <w:szCs w:val="21"/>
              </w:rPr>
              <w:t>0.078</w:t>
            </w:r>
          </w:p>
        </w:tc>
        <w:tc>
          <w:tcPr>
            <w:tcW w:w="960" w:type="dxa"/>
            <w:tcBorders>
              <w:top w:val="nil"/>
              <w:left w:val="nil"/>
              <w:bottom w:val="nil"/>
              <w:right w:val="nil"/>
            </w:tcBorders>
            <w:vAlign w:val="center"/>
          </w:tcPr>
          <w:p w14:paraId="7BB42C66">
            <w:pPr>
              <w:spacing w:line="480" w:lineRule="auto"/>
              <w:rPr>
                <w:rFonts w:ascii="Times New Roman" w:hAnsi="Times New Roman" w:cs="Times New Roman"/>
                <w:szCs w:val="21"/>
              </w:rPr>
            </w:pPr>
            <w:r>
              <w:rPr>
                <w:rFonts w:ascii="Times New Roman" w:hAnsi="Times New Roman" w:cs="Times New Roman"/>
                <w:szCs w:val="21"/>
              </w:rPr>
              <w:t>0.072</w:t>
            </w:r>
          </w:p>
        </w:tc>
        <w:tc>
          <w:tcPr>
            <w:tcW w:w="960" w:type="dxa"/>
            <w:tcBorders>
              <w:top w:val="nil"/>
              <w:left w:val="nil"/>
              <w:bottom w:val="nil"/>
              <w:right w:val="nil"/>
            </w:tcBorders>
            <w:vAlign w:val="center"/>
          </w:tcPr>
          <w:p w14:paraId="4A184EC6">
            <w:pPr>
              <w:spacing w:line="480" w:lineRule="auto"/>
              <w:rPr>
                <w:rFonts w:ascii="Times New Roman" w:hAnsi="Times New Roman" w:cs="Times New Roman"/>
                <w:szCs w:val="21"/>
              </w:rPr>
            </w:pPr>
            <w:r>
              <w:rPr>
                <w:rFonts w:ascii="Times New Roman" w:hAnsi="Times New Roman" w:cs="Times New Roman"/>
                <w:szCs w:val="21"/>
              </w:rPr>
              <w:t xml:space="preserve">1.08 </w:t>
            </w:r>
          </w:p>
        </w:tc>
        <w:tc>
          <w:tcPr>
            <w:tcW w:w="960" w:type="dxa"/>
            <w:tcBorders>
              <w:top w:val="nil"/>
              <w:left w:val="nil"/>
              <w:bottom w:val="nil"/>
              <w:right w:val="nil"/>
            </w:tcBorders>
            <w:vAlign w:val="center"/>
          </w:tcPr>
          <w:p w14:paraId="2192D660">
            <w:pPr>
              <w:spacing w:line="480" w:lineRule="auto"/>
              <w:rPr>
                <w:rFonts w:ascii="Times New Roman" w:hAnsi="Times New Roman" w:cs="Times New Roman"/>
                <w:szCs w:val="21"/>
              </w:rPr>
            </w:pPr>
            <w:r>
              <w:rPr>
                <w:rFonts w:ascii="Times New Roman" w:hAnsi="Times New Roman" w:cs="Times New Roman"/>
                <w:szCs w:val="21"/>
              </w:rPr>
              <w:t>0.28</w:t>
            </w:r>
          </w:p>
        </w:tc>
        <w:tc>
          <w:tcPr>
            <w:tcW w:w="2340" w:type="dxa"/>
            <w:tcBorders>
              <w:top w:val="nil"/>
              <w:left w:val="nil"/>
              <w:bottom w:val="nil"/>
              <w:right w:val="nil"/>
            </w:tcBorders>
            <w:vAlign w:val="center"/>
          </w:tcPr>
          <w:p w14:paraId="1936EF8D">
            <w:pPr>
              <w:spacing w:line="480" w:lineRule="auto"/>
              <w:rPr>
                <w:rFonts w:ascii="Times New Roman" w:hAnsi="Times New Roman" w:cs="Times New Roman"/>
                <w:szCs w:val="21"/>
              </w:rPr>
            </w:pPr>
            <w:r>
              <w:rPr>
                <w:rFonts w:ascii="Times New Roman" w:hAnsi="Times New Roman" w:cs="Times New Roman"/>
                <w:szCs w:val="21"/>
              </w:rPr>
              <w:t>[-0.064, 0.219]</w:t>
            </w:r>
          </w:p>
        </w:tc>
        <w:tc>
          <w:tcPr>
            <w:tcW w:w="960" w:type="dxa"/>
            <w:tcBorders>
              <w:top w:val="nil"/>
              <w:left w:val="nil"/>
              <w:bottom w:val="nil"/>
              <w:right w:val="nil"/>
            </w:tcBorders>
            <w:vAlign w:val="center"/>
          </w:tcPr>
          <w:p w14:paraId="6B90C36B">
            <w:pPr>
              <w:spacing w:line="480" w:lineRule="auto"/>
              <w:rPr>
                <w:rFonts w:ascii="Times New Roman" w:hAnsi="Times New Roman" w:cs="Times New Roman"/>
                <w:szCs w:val="21"/>
              </w:rPr>
            </w:pPr>
            <w:r>
              <w:rPr>
                <w:rFonts w:ascii="Times New Roman" w:hAnsi="Times New Roman" w:cs="Times New Roman"/>
                <w:szCs w:val="21"/>
              </w:rPr>
              <w:t>0.015</w:t>
            </w:r>
          </w:p>
        </w:tc>
        <w:tc>
          <w:tcPr>
            <w:tcW w:w="960" w:type="dxa"/>
            <w:tcBorders>
              <w:top w:val="nil"/>
              <w:left w:val="nil"/>
              <w:bottom w:val="nil"/>
              <w:right w:val="nil"/>
            </w:tcBorders>
            <w:vAlign w:val="center"/>
          </w:tcPr>
          <w:p w14:paraId="2BA5DFD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15896AF7">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53D9451E">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5F9B1594">
        <w:tblPrEx>
          <w:tblCellMar>
            <w:top w:w="0" w:type="dxa"/>
            <w:left w:w="108" w:type="dxa"/>
            <w:bottom w:w="0" w:type="dxa"/>
            <w:right w:w="108" w:type="dxa"/>
          </w:tblCellMar>
        </w:tblPrEx>
        <w:trPr>
          <w:trHeight w:val="310" w:hRule="atLeast"/>
        </w:trPr>
        <w:tc>
          <w:tcPr>
            <w:tcW w:w="3130" w:type="dxa"/>
            <w:tcBorders>
              <w:top w:val="nil"/>
              <w:left w:val="nil"/>
              <w:bottom w:val="nil"/>
              <w:right w:val="nil"/>
            </w:tcBorders>
            <w:vAlign w:val="center"/>
          </w:tcPr>
          <w:p w14:paraId="3FE55D1A">
            <w:pPr>
              <w:spacing w:line="480" w:lineRule="auto"/>
              <w:rPr>
                <w:rFonts w:ascii="Times New Roman" w:hAnsi="Times New Roman" w:cs="Times New Roman"/>
                <w:szCs w:val="21"/>
              </w:rPr>
            </w:pPr>
            <w:r>
              <w:rPr>
                <w:rFonts w:ascii="Times New Roman" w:hAnsi="Times New Roman" w:cs="Times New Roman"/>
                <w:szCs w:val="21"/>
              </w:rPr>
              <w:t>ORC - SRC</w:t>
            </w:r>
          </w:p>
        </w:tc>
        <w:tc>
          <w:tcPr>
            <w:tcW w:w="960" w:type="dxa"/>
            <w:tcBorders>
              <w:top w:val="nil"/>
              <w:left w:val="nil"/>
              <w:bottom w:val="nil"/>
              <w:right w:val="nil"/>
            </w:tcBorders>
            <w:vAlign w:val="center"/>
          </w:tcPr>
          <w:p w14:paraId="5D3191E0">
            <w:pPr>
              <w:spacing w:line="480" w:lineRule="auto"/>
              <w:rPr>
                <w:rFonts w:ascii="Times New Roman" w:hAnsi="Times New Roman" w:cs="Times New Roman"/>
                <w:szCs w:val="21"/>
              </w:rPr>
            </w:pPr>
            <w:r>
              <w:rPr>
                <w:rFonts w:ascii="Times New Roman" w:hAnsi="Times New Roman" w:cs="Times New Roman"/>
                <w:szCs w:val="21"/>
              </w:rPr>
              <w:t>0.082</w:t>
            </w:r>
          </w:p>
        </w:tc>
        <w:tc>
          <w:tcPr>
            <w:tcW w:w="960" w:type="dxa"/>
            <w:tcBorders>
              <w:top w:val="nil"/>
              <w:left w:val="nil"/>
              <w:bottom w:val="nil"/>
              <w:right w:val="nil"/>
            </w:tcBorders>
            <w:vAlign w:val="center"/>
          </w:tcPr>
          <w:p w14:paraId="51B619A3">
            <w:pPr>
              <w:spacing w:line="480" w:lineRule="auto"/>
              <w:rPr>
                <w:rFonts w:ascii="Times New Roman" w:hAnsi="Times New Roman" w:cs="Times New Roman"/>
                <w:szCs w:val="21"/>
              </w:rPr>
            </w:pPr>
            <w:r>
              <w:rPr>
                <w:rFonts w:ascii="Times New Roman" w:hAnsi="Times New Roman" w:cs="Times New Roman"/>
                <w:szCs w:val="21"/>
              </w:rPr>
              <w:t>0.134</w:t>
            </w:r>
          </w:p>
        </w:tc>
        <w:tc>
          <w:tcPr>
            <w:tcW w:w="960" w:type="dxa"/>
            <w:tcBorders>
              <w:top w:val="nil"/>
              <w:left w:val="nil"/>
              <w:bottom w:val="nil"/>
              <w:right w:val="nil"/>
            </w:tcBorders>
            <w:vAlign w:val="center"/>
          </w:tcPr>
          <w:p w14:paraId="52026532">
            <w:pPr>
              <w:spacing w:line="480" w:lineRule="auto"/>
              <w:rPr>
                <w:rFonts w:ascii="Times New Roman" w:hAnsi="Times New Roman" w:cs="Times New Roman"/>
                <w:szCs w:val="21"/>
              </w:rPr>
            </w:pPr>
            <w:r>
              <w:rPr>
                <w:rFonts w:ascii="Times New Roman" w:hAnsi="Times New Roman" w:cs="Times New Roman"/>
                <w:szCs w:val="21"/>
              </w:rPr>
              <w:t xml:space="preserve">0.61 </w:t>
            </w:r>
          </w:p>
        </w:tc>
        <w:tc>
          <w:tcPr>
            <w:tcW w:w="960" w:type="dxa"/>
            <w:tcBorders>
              <w:top w:val="nil"/>
              <w:left w:val="nil"/>
              <w:bottom w:val="nil"/>
              <w:right w:val="nil"/>
            </w:tcBorders>
            <w:vAlign w:val="center"/>
          </w:tcPr>
          <w:p w14:paraId="40F106FB">
            <w:pPr>
              <w:spacing w:line="480" w:lineRule="auto"/>
              <w:rPr>
                <w:rFonts w:ascii="Times New Roman" w:hAnsi="Times New Roman" w:cs="Times New Roman"/>
                <w:szCs w:val="21"/>
              </w:rPr>
            </w:pPr>
            <w:r>
              <w:rPr>
                <w:rFonts w:ascii="Times New Roman" w:hAnsi="Times New Roman" w:cs="Times New Roman"/>
                <w:szCs w:val="21"/>
              </w:rPr>
              <w:t>0.54</w:t>
            </w:r>
          </w:p>
        </w:tc>
        <w:tc>
          <w:tcPr>
            <w:tcW w:w="2340" w:type="dxa"/>
            <w:tcBorders>
              <w:top w:val="nil"/>
              <w:left w:val="nil"/>
              <w:bottom w:val="nil"/>
              <w:right w:val="nil"/>
            </w:tcBorders>
            <w:vAlign w:val="center"/>
          </w:tcPr>
          <w:p w14:paraId="79A5A086">
            <w:pPr>
              <w:spacing w:line="480" w:lineRule="auto"/>
              <w:rPr>
                <w:rFonts w:ascii="Times New Roman" w:hAnsi="Times New Roman" w:cs="Times New Roman"/>
                <w:szCs w:val="21"/>
              </w:rPr>
            </w:pPr>
            <w:r>
              <w:rPr>
                <w:rFonts w:ascii="Times New Roman" w:hAnsi="Times New Roman" w:cs="Times New Roman"/>
                <w:szCs w:val="21"/>
              </w:rPr>
              <w:t>[-0.180, 0.344]</w:t>
            </w:r>
          </w:p>
        </w:tc>
        <w:tc>
          <w:tcPr>
            <w:tcW w:w="960" w:type="dxa"/>
            <w:tcBorders>
              <w:top w:val="nil"/>
              <w:left w:val="nil"/>
              <w:bottom w:val="nil"/>
              <w:right w:val="nil"/>
            </w:tcBorders>
            <w:vAlign w:val="center"/>
          </w:tcPr>
          <w:p w14:paraId="620C309C">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08B1BB4C">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256B184B">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188FCC3E">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4F2317A2">
        <w:tblPrEx>
          <w:tblCellMar>
            <w:top w:w="0" w:type="dxa"/>
            <w:left w:w="108" w:type="dxa"/>
            <w:bottom w:w="0" w:type="dxa"/>
            <w:right w:w="108" w:type="dxa"/>
          </w:tblCellMar>
        </w:tblPrEx>
        <w:trPr>
          <w:trHeight w:val="310" w:hRule="atLeast"/>
        </w:trPr>
        <w:tc>
          <w:tcPr>
            <w:tcW w:w="3130" w:type="dxa"/>
            <w:tcBorders>
              <w:top w:val="nil"/>
              <w:left w:val="nil"/>
              <w:bottom w:val="nil"/>
              <w:right w:val="nil"/>
            </w:tcBorders>
            <w:vAlign w:val="center"/>
          </w:tcPr>
          <w:p w14:paraId="5B97AB4D">
            <w:pPr>
              <w:spacing w:line="480" w:lineRule="auto"/>
              <w:rPr>
                <w:rFonts w:ascii="Times New Roman" w:hAnsi="Times New Roman" w:cs="Times New Roman"/>
                <w:szCs w:val="21"/>
              </w:rPr>
            </w:pPr>
            <w:r>
              <w:rPr>
                <w:rFonts w:ascii="Times New Roman" w:hAnsi="Times New Roman" w:cs="Times New Roman"/>
                <w:szCs w:val="21"/>
              </w:rPr>
              <w:t>SP - ORC</w:t>
            </w:r>
          </w:p>
        </w:tc>
        <w:tc>
          <w:tcPr>
            <w:tcW w:w="960" w:type="dxa"/>
            <w:tcBorders>
              <w:top w:val="nil"/>
              <w:left w:val="nil"/>
              <w:bottom w:val="nil"/>
              <w:right w:val="nil"/>
            </w:tcBorders>
            <w:vAlign w:val="center"/>
          </w:tcPr>
          <w:p w14:paraId="64938F53">
            <w:pPr>
              <w:spacing w:line="480" w:lineRule="auto"/>
              <w:rPr>
                <w:rFonts w:ascii="Times New Roman" w:hAnsi="Times New Roman" w:cs="Times New Roman"/>
                <w:szCs w:val="21"/>
              </w:rPr>
            </w:pPr>
            <w:r>
              <w:rPr>
                <w:rFonts w:ascii="Times New Roman" w:hAnsi="Times New Roman" w:cs="Times New Roman"/>
                <w:szCs w:val="21"/>
              </w:rPr>
              <w:t>0.584</w:t>
            </w:r>
          </w:p>
        </w:tc>
        <w:tc>
          <w:tcPr>
            <w:tcW w:w="960" w:type="dxa"/>
            <w:tcBorders>
              <w:top w:val="nil"/>
              <w:left w:val="nil"/>
              <w:bottom w:val="nil"/>
              <w:right w:val="nil"/>
            </w:tcBorders>
            <w:vAlign w:val="center"/>
          </w:tcPr>
          <w:p w14:paraId="0BEE41A4">
            <w:pPr>
              <w:spacing w:line="480" w:lineRule="auto"/>
              <w:rPr>
                <w:rFonts w:ascii="Times New Roman" w:hAnsi="Times New Roman" w:cs="Times New Roman"/>
                <w:szCs w:val="21"/>
              </w:rPr>
            </w:pPr>
            <w:r>
              <w:rPr>
                <w:rFonts w:ascii="Times New Roman" w:hAnsi="Times New Roman" w:cs="Times New Roman"/>
                <w:szCs w:val="21"/>
              </w:rPr>
              <w:t>0.118</w:t>
            </w:r>
          </w:p>
        </w:tc>
        <w:tc>
          <w:tcPr>
            <w:tcW w:w="960" w:type="dxa"/>
            <w:tcBorders>
              <w:top w:val="nil"/>
              <w:left w:val="nil"/>
              <w:bottom w:val="nil"/>
              <w:right w:val="nil"/>
            </w:tcBorders>
            <w:vAlign w:val="center"/>
          </w:tcPr>
          <w:p w14:paraId="4E58E5ED">
            <w:pPr>
              <w:spacing w:line="480" w:lineRule="auto"/>
              <w:rPr>
                <w:rFonts w:ascii="Times New Roman" w:hAnsi="Times New Roman" w:cs="Times New Roman"/>
                <w:szCs w:val="21"/>
              </w:rPr>
            </w:pPr>
            <w:r>
              <w:rPr>
                <w:rFonts w:ascii="Times New Roman" w:hAnsi="Times New Roman" w:cs="Times New Roman"/>
                <w:szCs w:val="21"/>
              </w:rPr>
              <w:t xml:space="preserve">4.93 </w:t>
            </w:r>
          </w:p>
        </w:tc>
        <w:tc>
          <w:tcPr>
            <w:tcW w:w="960" w:type="dxa"/>
            <w:tcBorders>
              <w:top w:val="nil"/>
              <w:left w:val="nil"/>
              <w:bottom w:val="nil"/>
              <w:right w:val="nil"/>
            </w:tcBorders>
            <w:vAlign w:val="center"/>
          </w:tcPr>
          <w:p w14:paraId="43799B86">
            <w:pPr>
              <w:spacing w:line="480" w:lineRule="auto"/>
              <w:rPr>
                <w:rFonts w:ascii="Times New Roman" w:hAnsi="Times New Roman" w:cs="Times New Roman"/>
                <w:szCs w:val="21"/>
              </w:rPr>
            </w:pPr>
            <w:r>
              <w:rPr>
                <w:rFonts w:ascii="Times New Roman" w:hAnsi="Times New Roman" w:cs="Times New Roman"/>
                <w:szCs w:val="21"/>
              </w:rPr>
              <w:t>&lt; 0.001</w:t>
            </w:r>
          </w:p>
        </w:tc>
        <w:tc>
          <w:tcPr>
            <w:tcW w:w="2340" w:type="dxa"/>
            <w:tcBorders>
              <w:top w:val="nil"/>
              <w:left w:val="nil"/>
              <w:bottom w:val="nil"/>
              <w:right w:val="nil"/>
            </w:tcBorders>
            <w:vAlign w:val="center"/>
          </w:tcPr>
          <w:p w14:paraId="2B504922">
            <w:pPr>
              <w:spacing w:line="480" w:lineRule="auto"/>
              <w:rPr>
                <w:rFonts w:ascii="Times New Roman" w:hAnsi="Times New Roman" w:cs="Times New Roman"/>
                <w:szCs w:val="21"/>
              </w:rPr>
            </w:pPr>
            <w:r>
              <w:rPr>
                <w:rFonts w:ascii="Times New Roman" w:hAnsi="Times New Roman" w:cs="Times New Roman"/>
                <w:szCs w:val="21"/>
              </w:rPr>
              <w:t>[0.351, 0.815]</w:t>
            </w:r>
          </w:p>
        </w:tc>
        <w:tc>
          <w:tcPr>
            <w:tcW w:w="960" w:type="dxa"/>
            <w:tcBorders>
              <w:top w:val="nil"/>
              <w:left w:val="nil"/>
              <w:bottom w:val="nil"/>
              <w:right w:val="nil"/>
            </w:tcBorders>
            <w:vAlign w:val="center"/>
          </w:tcPr>
          <w:p w14:paraId="421274F1">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591D285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4EA1E6A0">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3419717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11DBE1A8">
        <w:tblPrEx>
          <w:tblCellMar>
            <w:top w:w="0" w:type="dxa"/>
            <w:left w:w="108" w:type="dxa"/>
            <w:bottom w:w="0" w:type="dxa"/>
            <w:right w:w="108" w:type="dxa"/>
          </w:tblCellMar>
        </w:tblPrEx>
        <w:trPr>
          <w:trHeight w:val="310" w:hRule="atLeast"/>
        </w:trPr>
        <w:tc>
          <w:tcPr>
            <w:tcW w:w="3130" w:type="dxa"/>
            <w:tcBorders>
              <w:top w:val="nil"/>
              <w:left w:val="nil"/>
              <w:bottom w:val="nil"/>
              <w:right w:val="nil"/>
            </w:tcBorders>
            <w:vAlign w:val="center"/>
          </w:tcPr>
          <w:p w14:paraId="104E722E">
            <w:pPr>
              <w:spacing w:line="480" w:lineRule="auto"/>
              <w:rPr>
                <w:rFonts w:ascii="Times New Roman" w:hAnsi="Times New Roman" w:cs="Times New Roman"/>
                <w:szCs w:val="21"/>
              </w:rPr>
            </w:pPr>
            <w:r>
              <w:rPr>
                <w:rFonts w:ascii="Times New Roman" w:hAnsi="Times New Roman" w:cs="Times New Roman"/>
                <w:szCs w:val="21"/>
              </w:rPr>
              <w:t>LpTL - LIFG : ORC - SRC</w:t>
            </w:r>
          </w:p>
        </w:tc>
        <w:tc>
          <w:tcPr>
            <w:tcW w:w="960" w:type="dxa"/>
            <w:tcBorders>
              <w:top w:val="nil"/>
              <w:left w:val="nil"/>
              <w:bottom w:val="nil"/>
              <w:right w:val="nil"/>
            </w:tcBorders>
            <w:vAlign w:val="center"/>
          </w:tcPr>
          <w:p w14:paraId="2C7EF766">
            <w:pPr>
              <w:spacing w:line="480" w:lineRule="auto"/>
              <w:rPr>
                <w:rFonts w:ascii="Times New Roman" w:hAnsi="Times New Roman" w:cs="Times New Roman"/>
                <w:szCs w:val="21"/>
              </w:rPr>
            </w:pPr>
            <w:r>
              <w:rPr>
                <w:rFonts w:ascii="Times New Roman" w:hAnsi="Times New Roman" w:cs="Times New Roman"/>
                <w:szCs w:val="21"/>
              </w:rPr>
              <w:t>-0.092</w:t>
            </w:r>
          </w:p>
        </w:tc>
        <w:tc>
          <w:tcPr>
            <w:tcW w:w="960" w:type="dxa"/>
            <w:tcBorders>
              <w:top w:val="nil"/>
              <w:left w:val="nil"/>
              <w:bottom w:val="nil"/>
              <w:right w:val="nil"/>
            </w:tcBorders>
            <w:vAlign w:val="center"/>
          </w:tcPr>
          <w:p w14:paraId="1DE5CFBC">
            <w:pPr>
              <w:spacing w:line="480" w:lineRule="auto"/>
              <w:rPr>
                <w:rFonts w:ascii="Times New Roman" w:hAnsi="Times New Roman" w:cs="Times New Roman"/>
                <w:szCs w:val="21"/>
              </w:rPr>
            </w:pPr>
            <w:r>
              <w:rPr>
                <w:rFonts w:ascii="Times New Roman" w:hAnsi="Times New Roman" w:cs="Times New Roman"/>
                <w:szCs w:val="21"/>
              </w:rPr>
              <w:t>0.153</w:t>
            </w:r>
          </w:p>
        </w:tc>
        <w:tc>
          <w:tcPr>
            <w:tcW w:w="960" w:type="dxa"/>
            <w:tcBorders>
              <w:top w:val="nil"/>
              <w:left w:val="nil"/>
              <w:bottom w:val="nil"/>
              <w:right w:val="nil"/>
            </w:tcBorders>
            <w:vAlign w:val="center"/>
          </w:tcPr>
          <w:p w14:paraId="145F244F">
            <w:pPr>
              <w:spacing w:line="480" w:lineRule="auto"/>
              <w:rPr>
                <w:rFonts w:ascii="Times New Roman" w:hAnsi="Times New Roman" w:cs="Times New Roman"/>
                <w:szCs w:val="21"/>
              </w:rPr>
            </w:pPr>
            <w:r>
              <w:rPr>
                <w:rFonts w:ascii="Times New Roman" w:hAnsi="Times New Roman" w:cs="Times New Roman"/>
                <w:szCs w:val="21"/>
              </w:rPr>
              <w:t xml:space="preserve">-0.61 </w:t>
            </w:r>
          </w:p>
        </w:tc>
        <w:tc>
          <w:tcPr>
            <w:tcW w:w="960" w:type="dxa"/>
            <w:tcBorders>
              <w:top w:val="nil"/>
              <w:left w:val="nil"/>
              <w:bottom w:val="nil"/>
              <w:right w:val="nil"/>
            </w:tcBorders>
            <w:vAlign w:val="center"/>
          </w:tcPr>
          <w:p w14:paraId="2100A957">
            <w:pPr>
              <w:spacing w:line="480" w:lineRule="auto"/>
              <w:rPr>
                <w:rFonts w:ascii="Times New Roman" w:hAnsi="Times New Roman" w:cs="Times New Roman"/>
                <w:szCs w:val="21"/>
              </w:rPr>
            </w:pPr>
            <w:r>
              <w:rPr>
                <w:rFonts w:ascii="Times New Roman" w:hAnsi="Times New Roman" w:cs="Times New Roman"/>
                <w:szCs w:val="21"/>
              </w:rPr>
              <w:t>0.544</w:t>
            </w:r>
          </w:p>
        </w:tc>
        <w:tc>
          <w:tcPr>
            <w:tcW w:w="2340" w:type="dxa"/>
            <w:tcBorders>
              <w:top w:val="nil"/>
              <w:left w:val="nil"/>
              <w:bottom w:val="nil"/>
              <w:right w:val="nil"/>
            </w:tcBorders>
            <w:vAlign w:val="center"/>
          </w:tcPr>
          <w:p w14:paraId="316D42C0">
            <w:pPr>
              <w:spacing w:line="480" w:lineRule="auto"/>
              <w:rPr>
                <w:rFonts w:ascii="Times New Roman" w:hAnsi="Times New Roman" w:cs="Times New Roman"/>
                <w:szCs w:val="21"/>
              </w:rPr>
            </w:pPr>
            <w:r>
              <w:rPr>
                <w:rFonts w:ascii="Times New Roman" w:hAnsi="Times New Roman" w:cs="Times New Roman"/>
                <w:szCs w:val="21"/>
              </w:rPr>
              <w:t>[-0.391, 0.208]</w:t>
            </w:r>
          </w:p>
        </w:tc>
        <w:tc>
          <w:tcPr>
            <w:tcW w:w="960" w:type="dxa"/>
            <w:tcBorders>
              <w:top w:val="nil"/>
              <w:left w:val="nil"/>
              <w:bottom w:val="nil"/>
              <w:right w:val="nil"/>
            </w:tcBorders>
            <w:vAlign w:val="center"/>
          </w:tcPr>
          <w:p w14:paraId="47A698EA">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5D4528B1">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4136E66B">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bottom w:val="nil"/>
              <w:right w:val="nil"/>
            </w:tcBorders>
            <w:vAlign w:val="center"/>
          </w:tcPr>
          <w:p w14:paraId="723261B9">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25D320A8">
        <w:tblPrEx>
          <w:tblCellMar>
            <w:top w:w="0" w:type="dxa"/>
            <w:left w:w="108" w:type="dxa"/>
            <w:bottom w:w="0" w:type="dxa"/>
            <w:right w:w="108" w:type="dxa"/>
          </w:tblCellMar>
        </w:tblPrEx>
        <w:trPr>
          <w:trHeight w:val="310" w:hRule="atLeast"/>
        </w:trPr>
        <w:tc>
          <w:tcPr>
            <w:tcW w:w="3130" w:type="dxa"/>
            <w:tcBorders>
              <w:top w:val="nil"/>
              <w:left w:val="nil"/>
              <w:right w:val="nil"/>
            </w:tcBorders>
            <w:vAlign w:val="center"/>
          </w:tcPr>
          <w:p w14:paraId="3B6CAFCA">
            <w:pPr>
              <w:spacing w:line="480" w:lineRule="auto"/>
              <w:rPr>
                <w:rFonts w:ascii="Times New Roman" w:hAnsi="Times New Roman" w:cs="Times New Roman"/>
                <w:szCs w:val="21"/>
              </w:rPr>
            </w:pPr>
            <w:r>
              <w:rPr>
                <w:rFonts w:ascii="Times New Roman" w:hAnsi="Times New Roman" w:cs="Times New Roman"/>
                <w:szCs w:val="21"/>
              </w:rPr>
              <w:t>vertex - LpTL : ORC - SRC</w:t>
            </w:r>
          </w:p>
        </w:tc>
        <w:tc>
          <w:tcPr>
            <w:tcW w:w="960" w:type="dxa"/>
            <w:tcBorders>
              <w:top w:val="nil"/>
              <w:left w:val="nil"/>
              <w:right w:val="nil"/>
            </w:tcBorders>
            <w:vAlign w:val="center"/>
          </w:tcPr>
          <w:p w14:paraId="53A0B658">
            <w:pPr>
              <w:spacing w:line="480" w:lineRule="auto"/>
              <w:rPr>
                <w:rFonts w:ascii="Times New Roman" w:hAnsi="Times New Roman" w:cs="Times New Roman"/>
                <w:szCs w:val="21"/>
              </w:rPr>
            </w:pPr>
            <w:r>
              <w:rPr>
                <w:rFonts w:ascii="Times New Roman" w:hAnsi="Times New Roman" w:cs="Times New Roman"/>
                <w:szCs w:val="21"/>
              </w:rPr>
              <w:t>-0.041</w:t>
            </w:r>
          </w:p>
        </w:tc>
        <w:tc>
          <w:tcPr>
            <w:tcW w:w="960" w:type="dxa"/>
            <w:tcBorders>
              <w:top w:val="nil"/>
              <w:left w:val="nil"/>
              <w:right w:val="nil"/>
            </w:tcBorders>
            <w:vAlign w:val="center"/>
          </w:tcPr>
          <w:p w14:paraId="57801F44">
            <w:pPr>
              <w:spacing w:line="480" w:lineRule="auto"/>
              <w:rPr>
                <w:rFonts w:ascii="Times New Roman" w:hAnsi="Times New Roman" w:cs="Times New Roman"/>
                <w:szCs w:val="21"/>
              </w:rPr>
            </w:pPr>
            <w:r>
              <w:rPr>
                <w:rFonts w:ascii="Times New Roman" w:hAnsi="Times New Roman" w:cs="Times New Roman"/>
                <w:szCs w:val="21"/>
              </w:rPr>
              <w:t>0.159</w:t>
            </w:r>
          </w:p>
        </w:tc>
        <w:tc>
          <w:tcPr>
            <w:tcW w:w="960" w:type="dxa"/>
            <w:tcBorders>
              <w:top w:val="nil"/>
              <w:left w:val="nil"/>
              <w:right w:val="nil"/>
            </w:tcBorders>
            <w:vAlign w:val="center"/>
          </w:tcPr>
          <w:p w14:paraId="693C509D">
            <w:pPr>
              <w:spacing w:line="480" w:lineRule="auto"/>
              <w:rPr>
                <w:rFonts w:ascii="Times New Roman" w:hAnsi="Times New Roman" w:cs="Times New Roman"/>
                <w:szCs w:val="21"/>
              </w:rPr>
            </w:pPr>
            <w:r>
              <w:rPr>
                <w:rFonts w:ascii="Times New Roman" w:hAnsi="Times New Roman" w:cs="Times New Roman"/>
                <w:szCs w:val="21"/>
              </w:rPr>
              <w:t xml:space="preserve">-0.26 </w:t>
            </w:r>
          </w:p>
        </w:tc>
        <w:tc>
          <w:tcPr>
            <w:tcW w:w="960" w:type="dxa"/>
            <w:tcBorders>
              <w:top w:val="nil"/>
              <w:left w:val="nil"/>
              <w:right w:val="nil"/>
            </w:tcBorders>
            <w:vAlign w:val="center"/>
          </w:tcPr>
          <w:p w14:paraId="49ED79DE">
            <w:pPr>
              <w:spacing w:line="480" w:lineRule="auto"/>
              <w:rPr>
                <w:rFonts w:ascii="Times New Roman" w:hAnsi="Times New Roman" w:cs="Times New Roman"/>
                <w:szCs w:val="21"/>
              </w:rPr>
            </w:pPr>
            <w:r>
              <w:rPr>
                <w:rFonts w:ascii="Times New Roman" w:hAnsi="Times New Roman" w:cs="Times New Roman"/>
                <w:szCs w:val="21"/>
              </w:rPr>
              <w:t>0.796</w:t>
            </w:r>
          </w:p>
        </w:tc>
        <w:tc>
          <w:tcPr>
            <w:tcW w:w="2340" w:type="dxa"/>
            <w:tcBorders>
              <w:top w:val="nil"/>
              <w:left w:val="nil"/>
              <w:right w:val="nil"/>
            </w:tcBorders>
            <w:vAlign w:val="center"/>
          </w:tcPr>
          <w:p w14:paraId="36690387">
            <w:pPr>
              <w:spacing w:line="480" w:lineRule="auto"/>
              <w:rPr>
                <w:rFonts w:ascii="Times New Roman" w:hAnsi="Times New Roman" w:cs="Times New Roman"/>
                <w:szCs w:val="21"/>
              </w:rPr>
            </w:pPr>
            <w:r>
              <w:rPr>
                <w:rFonts w:ascii="Times New Roman" w:hAnsi="Times New Roman" w:cs="Times New Roman"/>
                <w:szCs w:val="21"/>
              </w:rPr>
              <w:t>[-0.353, 0.269]</w:t>
            </w:r>
          </w:p>
        </w:tc>
        <w:tc>
          <w:tcPr>
            <w:tcW w:w="960" w:type="dxa"/>
            <w:tcBorders>
              <w:top w:val="nil"/>
              <w:left w:val="nil"/>
              <w:right w:val="nil"/>
            </w:tcBorders>
            <w:vAlign w:val="center"/>
          </w:tcPr>
          <w:p w14:paraId="75B92FA0">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right w:val="nil"/>
            </w:tcBorders>
            <w:vAlign w:val="center"/>
          </w:tcPr>
          <w:p w14:paraId="5C65084E">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right w:val="nil"/>
            </w:tcBorders>
            <w:vAlign w:val="center"/>
          </w:tcPr>
          <w:p w14:paraId="2AFC89DB">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top w:val="nil"/>
              <w:left w:val="nil"/>
              <w:right w:val="nil"/>
            </w:tcBorders>
            <w:vAlign w:val="center"/>
          </w:tcPr>
          <w:p w14:paraId="35415127">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41E171A5">
        <w:tblPrEx>
          <w:tblCellMar>
            <w:top w:w="0" w:type="dxa"/>
            <w:left w:w="108" w:type="dxa"/>
            <w:bottom w:w="0" w:type="dxa"/>
            <w:right w:w="108" w:type="dxa"/>
          </w:tblCellMar>
        </w:tblPrEx>
        <w:trPr>
          <w:trHeight w:val="310" w:hRule="atLeast"/>
        </w:trPr>
        <w:tc>
          <w:tcPr>
            <w:tcW w:w="3130" w:type="dxa"/>
            <w:tcBorders>
              <w:left w:val="nil"/>
              <w:right w:val="nil"/>
            </w:tcBorders>
            <w:vAlign w:val="center"/>
          </w:tcPr>
          <w:p w14:paraId="2F989E8E">
            <w:pPr>
              <w:spacing w:line="480" w:lineRule="auto"/>
              <w:rPr>
                <w:rFonts w:ascii="Times New Roman" w:hAnsi="Times New Roman" w:cs="Times New Roman"/>
                <w:szCs w:val="21"/>
              </w:rPr>
            </w:pPr>
            <w:r>
              <w:rPr>
                <w:rFonts w:ascii="Times New Roman" w:hAnsi="Times New Roman" w:cs="Times New Roman"/>
                <w:szCs w:val="21"/>
              </w:rPr>
              <w:t>LpTL - LIFG : SP - ORC</w:t>
            </w:r>
          </w:p>
        </w:tc>
        <w:tc>
          <w:tcPr>
            <w:tcW w:w="960" w:type="dxa"/>
            <w:tcBorders>
              <w:left w:val="nil"/>
              <w:right w:val="nil"/>
            </w:tcBorders>
            <w:vAlign w:val="center"/>
          </w:tcPr>
          <w:p w14:paraId="0D07790B">
            <w:pPr>
              <w:spacing w:line="480" w:lineRule="auto"/>
              <w:rPr>
                <w:rFonts w:ascii="Times New Roman" w:hAnsi="Times New Roman" w:cs="Times New Roman"/>
                <w:szCs w:val="21"/>
              </w:rPr>
            </w:pPr>
            <w:r>
              <w:rPr>
                <w:rFonts w:ascii="Times New Roman" w:hAnsi="Times New Roman" w:cs="Times New Roman"/>
                <w:szCs w:val="21"/>
              </w:rPr>
              <w:t>-0.152</w:t>
            </w:r>
          </w:p>
        </w:tc>
        <w:tc>
          <w:tcPr>
            <w:tcW w:w="960" w:type="dxa"/>
            <w:tcBorders>
              <w:left w:val="nil"/>
              <w:right w:val="nil"/>
            </w:tcBorders>
            <w:vAlign w:val="center"/>
          </w:tcPr>
          <w:p w14:paraId="72BB4B19">
            <w:pPr>
              <w:spacing w:line="480" w:lineRule="auto"/>
              <w:rPr>
                <w:rFonts w:ascii="Times New Roman" w:hAnsi="Times New Roman" w:cs="Times New Roman"/>
                <w:szCs w:val="21"/>
              </w:rPr>
            </w:pPr>
            <w:r>
              <w:rPr>
                <w:rFonts w:ascii="Times New Roman" w:hAnsi="Times New Roman" w:cs="Times New Roman"/>
                <w:szCs w:val="21"/>
              </w:rPr>
              <w:t>0.142</w:t>
            </w:r>
          </w:p>
        </w:tc>
        <w:tc>
          <w:tcPr>
            <w:tcW w:w="960" w:type="dxa"/>
            <w:tcBorders>
              <w:left w:val="nil"/>
              <w:right w:val="nil"/>
            </w:tcBorders>
            <w:vAlign w:val="center"/>
          </w:tcPr>
          <w:p w14:paraId="163CEF74">
            <w:pPr>
              <w:spacing w:line="480" w:lineRule="auto"/>
              <w:rPr>
                <w:rFonts w:ascii="Times New Roman" w:hAnsi="Times New Roman" w:cs="Times New Roman"/>
                <w:szCs w:val="21"/>
              </w:rPr>
            </w:pPr>
            <w:r>
              <w:rPr>
                <w:rFonts w:ascii="Times New Roman" w:hAnsi="Times New Roman" w:cs="Times New Roman"/>
                <w:szCs w:val="21"/>
              </w:rPr>
              <w:t xml:space="preserve">-1.07 </w:t>
            </w:r>
          </w:p>
        </w:tc>
        <w:tc>
          <w:tcPr>
            <w:tcW w:w="960" w:type="dxa"/>
            <w:tcBorders>
              <w:left w:val="nil"/>
              <w:right w:val="nil"/>
            </w:tcBorders>
            <w:vAlign w:val="center"/>
          </w:tcPr>
          <w:p w14:paraId="3ABAE1E0">
            <w:pPr>
              <w:spacing w:line="480" w:lineRule="auto"/>
              <w:rPr>
                <w:rFonts w:ascii="Times New Roman" w:hAnsi="Times New Roman" w:cs="Times New Roman"/>
                <w:szCs w:val="21"/>
              </w:rPr>
            </w:pPr>
            <w:r>
              <w:rPr>
                <w:rFonts w:ascii="Times New Roman" w:hAnsi="Times New Roman" w:cs="Times New Roman"/>
                <w:szCs w:val="21"/>
              </w:rPr>
              <w:t>0.286</w:t>
            </w:r>
          </w:p>
        </w:tc>
        <w:tc>
          <w:tcPr>
            <w:tcW w:w="2340" w:type="dxa"/>
            <w:tcBorders>
              <w:left w:val="nil"/>
              <w:right w:val="nil"/>
            </w:tcBorders>
            <w:vAlign w:val="center"/>
          </w:tcPr>
          <w:p w14:paraId="2E7812B6">
            <w:pPr>
              <w:spacing w:line="480" w:lineRule="auto"/>
              <w:rPr>
                <w:rFonts w:ascii="Times New Roman" w:hAnsi="Times New Roman" w:cs="Times New Roman"/>
                <w:szCs w:val="21"/>
              </w:rPr>
            </w:pPr>
            <w:r>
              <w:rPr>
                <w:rFonts w:ascii="Times New Roman" w:hAnsi="Times New Roman" w:cs="Times New Roman"/>
                <w:szCs w:val="21"/>
              </w:rPr>
              <w:t>[-0.430, 0.126]</w:t>
            </w:r>
          </w:p>
        </w:tc>
        <w:tc>
          <w:tcPr>
            <w:tcW w:w="960" w:type="dxa"/>
            <w:tcBorders>
              <w:left w:val="nil"/>
              <w:right w:val="nil"/>
            </w:tcBorders>
            <w:vAlign w:val="center"/>
          </w:tcPr>
          <w:p w14:paraId="4F729CC5">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left w:val="nil"/>
              <w:right w:val="nil"/>
            </w:tcBorders>
            <w:vAlign w:val="center"/>
          </w:tcPr>
          <w:p w14:paraId="7AF5046F">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left w:val="nil"/>
              <w:right w:val="nil"/>
            </w:tcBorders>
            <w:vAlign w:val="center"/>
          </w:tcPr>
          <w:p w14:paraId="24B8127B">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left w:val="nil"/>
              <w:right w:val="nil"/>
            </w:tcBorders>
            <w:vAlign w:val="center"/>
          </w:tcPr>
          <w:p w14:paraId="44A9D1C6">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r w14:paraId="177928E9">
        <w:tblPrEx>
          <w:tblCellMar>
            <w:top w:w="0" w:type="dxa"/>
            <w:left w:w="108" w:type="dxa"/>
            <w:bottom w:w="0" w:type="dxa"/>
            <w:right w:w="108" w:type="dxa"/>
          </w:tblCellMar>
        </w:tblPrEx>
        <w:trPr>
          <w:trHeight w:val="325" w:hRule="atLeast"/>
        </w:trPr>
        <w:tc>
          <w:tcPr>
            <w:tcW w:w="3130" w:type="dxa"/>
            <w:tcBorders>
              <w:left w:val="nil"/>
              <w:bottom w:val="single" w:color="000000" w:sz="12" w:space="0"/>
              <w:right w:val="nil"/>
            </w:tcBorders>
            <w:vAlign w:val="center"/>
          </w:tcPr>
          <w:p w14:paraId="00D1A32F">
            <w:pPr>
              <w:spacing w:line="480" w:lineRule="auto"/>
              <w:rPr>
                <w:rFonts w:ascii="Times New Roman" w:hAnsi="Times New Roman" w:cs="Times New Roman"/>
                <w:szCs w:val="21"/>
              </w:rPr>
            </w:pPr>
            <w:r>
              <w:rPr>
                <w:rFonts w:ascii="Times New Roman" w:hAnsi="Times New Roman" w:cs="Times New Roman"/>
                <w:szCs w:val="21"/>
              </w:rPr>
              <w:t>vertex - LpTL : SP - ORC</w:t>
            </w:r>
          </w:p>
        </w:tc>
        <w:tc>
          <w:tcPr>
            <w:tcW w:w="960" w:type="dxa"/>
            <w:tcBorders>
              <w:left w:val="nil"/>
              <w:bottom w:val="single" w:color="000000" w:sz="12" w:space="0"/>
              <w:right w:val="nil"/>
            </w:tcBorders>
            <w:vAlign w:val="center"/>
          </w:tcPr>
          <w:p w14:paraId="056DE632">
            <w:pPr>
              <w:spacing w:line="480" w:lineRule="auto"/>
              <w:rPr>
                <w:rFonts w:ascii="Times New Roman" w:hAnsi="Times New Roman" w:cs="Times New Roman"/>
                <w:szCs w:val="21"/>
              </w:rPr>
            </w:pPr>
            <w:r>
              <w:rPr>
                <w:rFonts w:ascii="Times New Roman" w:hAnsi="Times New Roman" w:cs="Times New Roman"/>
                <w:szCs w:val="21"/>
              </w:rPr>
              <w:t xml:space="preserve">0.046 </w:t>
            </w:r>
          </w:p>
        </w:tc>
        <w:tc>
          <w:tcPr>
            <w:tcW w:w="960" w:type="dxa"/>
            <w:tcBorders>
              <w:left w:val="nil"/>
              <w:bottom w:val="single" w:color="000000" w:sz="12" w:space="0"/>
              <w:right w:val="nil"/>
            </w:tcBorders>
            <w:vAlign w:val="center"/>
          </w:tcPr>
          <w:p w14:paraId="6424AE68">
            <w:pPr>
              <w:spacing w:line="480" w:lineRule="auto"/>
              <w:rPr>
                <w:rFonts w:ascii="Times New Roman" w:hAnsi="Times New Roman" w:cs="Times New Roman"/>
                <w:szCs w:val="21"/>
              </w:rPr>
            </w:pPr>
            <w:r>
              <w:rPr>
                <w:rFonts w:ascii="Times New Roman" w:hAnsi="Times New Roman" w:cs="Times New Roman"/>
                <w:szCs w:val="21"/>
              </w:rPr>
              <w:t>0.146</w:t>
            </w:r>
          </w:p>
        </w:tc>
        <w:tc>
          <w:tcPr>
            <w:tcW w:w="960" w:type="dxa"/>
            <w:tcBorders>
              <w:left w:val="nil"/>
              <w:bottom w:val="single" w:color="000000" w:sz="12" w:space="0"/>
              <w:right w:val="nil"/>
            </w:tcBorders>
            <w:vAlign w:val="center"/>
          </w:tcPr>
          <w:p w14:paraId="6E43B17D">
            <w:pPr>
              <w:spacing w:line="480" w:lineRule="auto"/>
              <w:rPr>
                <w:rFonts w:ascii="Times New Roman" w:hAnsi="Times New Roman" w:cs="Times New Roman"/>
                <w:szCs w:val="21"/>
              </w:rPr>
            </w:pPr>
            <w:r>
              <w:rPr>
                <w:rFonts w:ascii="Times New Roman" w:hAnsi="Times New Roman" w:cs="Times New Roman"/>
                <w:szCs w:val="21"/>
              </w:rPr>
              <w:t>0.31</w:t>
            </w:r>
          </w:p>
        </w:tc>
        <w:tc>
          <w:tcPr>
            <w:tcW w:w="960" w:type="dxa"/>
            <w:tcBorders>
              <w:left w:val="nil"/>
              <w:bottom w:val="single" w:color="000000" w:sz="12" w:space="0"/>
              <w:right w:val="nil"/>
            </w:tcBorders>
            <w:vAlign w:val="center"/>
          </w:tcPr>
          <w:p w14:paraId="35FD03F8">
            <w:pPr>
              <w:spacing w:line="480" w:lineRule="auto"/>
              <w:rPr>
                <w:rFonts w:ascii="Times New Roman" w:hAnsi="Times New Roman" w:cs="Times New Roman"/>
                <w:szCs w:val="21"/>
              </w:rPr>
            </w:pPr>
            <w:r>
              <w:rPr>
                <w:rFonts w:ascii="Times New Roman" w:hAnsi="Times New Roman" w:cs="Times New Roman"/>
                <w:szCs w:val="21"/>
              </w:rPr>
              <w:t>0.753</w:t>
            </w:r>
          </w:p>
        </w:tc>
        <w:tc>
          <w:tcPr>
            <w:tcW w:w="2340" w:type="dxa"/>
            <w:tcBorders>
              <w:left w:val="nil"/>
              <w:bottom w:val="single" w:color="000000" w:sz="12" w:space="0"/>
              <w:right w:val="nil"/>
            </w:tcBorders>
            <w:vAlign w:val="center"/>
          </w:tcPr>
          <w:p w14:paraId="468E08CD">
            <w:pPr>
              <w:spacing w:line="480" w:lineRule="auto"/>
              <w:rPr>
                <w:rFonts w:ascii="Times New Roman" w:hAnsi="Times New Roman" w:cs="Times New Roman"/>
                <w:szCs w:val="21"/>
              </w:rPr>
            </w:pPr>
            <w:r>
              <w:rPr>
                <w:rFonts w:ascii="Times New Roman" w:hAnsi="Times New Roman" w:cs="Times New Roman"/>
                <w:szCs w:val="21"/>
              </w:rPr>
              <w:t>[-0.240, 0.332]</w:t>
            </w:r>
          </w:p>
        </w:tc>
        <w:tc>
          <w:tcPr>
            <w:tcW w:w="960" w:type="dxa"/>
            <w:tcBorders>
              <w:left w:val="nil"/>
              <w:bottom w:val="single" w:color="000000" w:sz="12" w:space="0"/>
              <w:right w:val="nil"/>
            </w:tcBorders>
            <w:vAlign w:val="center"/>
          </w:tcPr>
          <w:p w14:paraId="51F473CB">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left w:val="nil"/>
              <w:bottom w:val="single" w:color="000000" w:sz="12" w:space="0"/>
              <w:right w:val="nil"/>
            </w:tcBorders>
            <w:vAlign w:val="center"/>
          </w:tcPr>
          <w:p w14:paraId="2A0B0BFD">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left w:val="nil"/>
              <w:bottom w:val="single" w:color="000000" w:sz="12" w:space="0"/>
              <w:right w:val="nil"/>
            </w:tcBorders>
            <w:vAlign w:val="center"/>
          </w:tcPr>
          <w:p w14:paraId="04D7A934">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c>
          <w:tcPr>
            <w:tcW w:w="960" w:type="dxa"/>
            <w:tcBorders>
              <w:left w:val="nil"/>
              <w:bottom w:val="single" w:color="000000" w:sz="12" w:space="0"/>
              <w:right w:val="nil"/>
            </w:tcBorders>
            <w:vAlign w:val="center"/>
          </w:tcPr>
          <w:p w14:paraId="6082DD85">
            <w:pPr>
              <w:spacing w:line="480" w:lineRule="auto"/>
              <w:rPr>
                <w:rFonts w:ascii="Times New Roman" w:hAnsi="Times New Roman" w:eastAsia="宋体" w:cs="Times New Roman"/>
                <w:bCs/>
                <w:sz w:val="24"/>
              </w:rPr>
            </w:pPr>
            <w:r>
              <w:rPr>
                <w:rFonts w:ascii="Times New Roman" w:hAnsi="Times New Roman" w:eastAsia="宋体" w:cs="Times New Roman"/>
                <w:bCs/>
                <w:sz w:val="24"/>
              </w:rPr>
              <w:t>--</w:t>
            </w:r>
          </w:p>
        </w:tc>
      </w:tr>
    </w:tbl>
    <w:p w14:paraId="1E233436">
      <w:pPr>
        <w:spacing w:line="480" w:lineRule="auto"/>
        <w:rPr>
          <w:rFonts w:ascii="Times New Roman" w:hAnsi="Times New Roman" w:eastAsia="宋体" w:cs="Times New Roman"/>
          <w:kern w:val="0"/>
          <w:szCs w:val="21"/>
        </w:rPr>
      </w:pPr>
      <w:r>
        <w:rPr>
          <w:rFonts w:ascii="Times New Roman" w:hAnsi="Times New Roman" w:eastAsia="宋体" w:cs="Times New Roman"/>
          <w:i/>
          <w:iCs/>
          <w:kern w:val="0"/>
          <w:szCs w:val="21"/>
        </w:rPr>
        <w:t>Note</w:t>
      </w:r>
      <w:r>
        <w:rPr>
          <w:rFonts w:hint="eastAsia" w:ascii="Times New Roman" w:hAnsi="Times New Roman" w:eastAsia="宋体" w:cs="Times New Roman"/>
          <w:i/>
          <w:iCs/>
          <w:kern w:val="0"/>
          <w:szCs w:val="21"/>
        </w:rPr>
        <w:t>.</w:t>
      </w:r>
      <w:r>
        <w:rPr>
          <w:rFonts w:ascii="Times New Roman" w:hAnsi="Times New Roman" w:eastAsia="宋体" w:cs="Times New Roman"/>
          <w:kern w:val="0"/>
          <w:szCs w:val="21"/>
        </w:rPr>
        <w:t xml:space="preserve"> Model: </w:t>
      </w:r>
      <w:r>
        <w:rPr>
          <w:rFonts w:hint="eastAsia" w:ascii="Times New Roman" w:hAnsi="Times New Roman" w:eastAsia="宋体" w:cs="Times New Roman"/>
          <w:kern w:val="0"/>
          <w:szCs w:val="21"/>
        </w:rPr>
        <w:t>g</w:t>
      </w:r>
      <w:r>
        <w:rPr>
          <w:rFonts w:ascii="Times New Roman" w:hAnsi="Times New Roman" w:eastAsia="宋体" w:cs="Times New Roman"/>
          <w:kern w:val="0"/>
          <w:szCs w:val="21"/>
        </w:rPr>
        <w:t>lmer</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w:t>
      </w:r>
      <w:r>
        <w:rPr>
          <w:rFonts w:hint="eastAsia" w:ascii="Times New Roman" w:hAnsi="Times New Roman" w:eastAsia="宋体" w:cs="Times New Roman"/>
          <w:i/>
          <w:iCs/>
          <w:kern w:val="0"/>
          <w:szCs w:val="21"/>
        </w:rPr>
        <w:t>ACC</w:t>
      </w:r>
      <w:r>
        <w:rPr>
          <w:rFonts w:ascii="Times New Roman" w:hAnsi="Times New Roman" w:eastAsia="宋体" w:cs="Times New Roman"/>
          <w:kern w:val="0"/>
          <w:szCs w:val="21"/>
        </w:rPr>
        <w:t xml:space="preserve"> ~ </w:t>
      </w:r>
      <w:r>
        <w:rPr>
          <w:rFonts w:ascii="Times New Roman" w:hAnsi="Times New Roman" w:cs="Times New Roman"/>
          <w:i/>
          <w:iCs/>
          <w:szCs w:val="21"/>
        </w:rPr>
        <w:t>Stimulation region</w:t>
      </w:r>
      <w:r>
        <w:rPr>
          <w:rFonts w:ascii="Times New Roman" w:hAnsi="Times New Roman" w:eastAsia="宋体" w:cs="Times New Roman"/>
          <w:kern w:val="0"/>
          <w:szCs w:val="21"/>
        </w:rPr>
        <w:t xml:space="preserve"> * </w:t>
      </w:r>
      <w:r>
        <w:rPr>
          <w:rFonts w:ascii="Times New Roman" w:hAnsi="Times New Roman" w:cs="Times New Roman"/>
          <w:i/>
          <w:iCs/>
          <w:szCs w:val="21"/>
        </w:rPr>
        <w:t>Structure type</w:t>
      </w:r>
      <w:r>
        <w:rPr>
          <w:rFonts w:ascii="Times New Roman" w:hAnsi="Times New Roman" w:eastAsia="宋体" w:cs="Times New Roman"/>
          <w:kern w:val="0"/>
          <w:szCs w:val="21"/>
        </w:rPr>
        <w:t xml:space="preserve"> + (1</w:t>
      </w:r>
      <w:r>
        <w:rPr>
          <w:rFonts w:hint="eastAsia" w:ascii="Times New Roman" w:hAnsi="Times New Roman" w:eastAsia="宋体" w:cs="Times New Roman"/>
          <w:kern w:val="0"/>
          <w:szCs w:val="21"/>
        </w:rPr>
        <w:t xml:space="preserve"> </w:t>
      </w:r>
      <w:r>
        <w:rPr>
          <w:rFonts w:ascii="Times New Roman" w:hAnsi="Times New Roman" w:cs="Times New Roman"/>
          <w:i/>
          <w:iCs/>
          <w:szCs w:val="21"/>
        </w:rPr>
        <w:t>+ Stimulation region</w:t>
      </w:r>
      <w:r>
        <w:rPr>
          <w:rFonts w:hint="eastAsia" w:ascii="Times New Roman" w:hAnsi="Times New Roman" w:cs="Times New Roman"/>
          <w:i/>
          <w:iCs/>
          <w:szCs w:val="21"/>
        </w:rPr>
        <w:t xml:space="preserve"> </w:t>
      </w:r>
      <w:r>
        <w:rPr>
          <w:rFonts w:ascii="Times New Roman" w:hAnsi="Times New Roman" w:eastAsia="宋体" w:cs="Times New Roman"/>
          <w:kern w:val="0"/>
          <w:szCs w:val="21"/>
        </w:rPr>
        <w:t>|subject) + (1</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|item)).</w:t>
      </w:r>
    </w:p>
    <w:p w14:paraId="4796AC9F">
      <w:pPr>
        <w:spacing w:line="480" w:lineRule="auto"/>
        <w:rPr>
          <w:rFonts w:ascii="Times New Roman" w:hAnsi="Times New Roman" w:cs="Times New Roman"/>
          <w:color w:val="0070C0"/>
        </w:rPr>
      </w:pPr>
      <w:r>
        <w:rPr>
          <w:rFonts w:ascii="Times New Roman" w:hAnsi="Times New Roman" w:cs="Times New Roman"/>
          <w:color w:val="0070C0"/>
        </w:rPr>
        <w:br w:type="page"/>
      </w:r>
    </w:p>
    <w:p w14:paraId="7A6921A8">
      <w:pPr>
        <w:spacing w:line="480" w:lineRule="auto"/>
        <w:rPr>
          <w:rFonts w:ascii="Times New Roman" w:hAnsi="Times New Roman" w:cs="Times New Roman"/>
          <w:color w:val="0070C0"/>
        </w:rPr>
      </w:pPr>
    </w:p>
    <w:p w14:paraId="2E3D1854">
      <w:pPr>
        <w:spacing w:before="240" w:line="480" w:lineRule="auto"/>
        <w:jc w:val="center"/>
        <w:rPr>
          <w:rFonts w:ascii="Times New Roman" w:hAnsi="Times New Roman" w:cs="Times New Roman"/>
          <w:b/>
          <w:bCs/>
        </w:rPr>
      </w:pPr>
      <w:r>
        <w:rPr>
          <w:rFonts w:ascii="Times New Roman" w:hAnsi="Times New Roman" w:cs="Times New Roman"/>
          <w:b/>
          <w:bCs/>
        </w:rPr>
        <w:t>Table S</w:t>
      </w:r>
      <w:r>
        <w:rPr>
          <w:rFonts w:hint="eastAsia" w:ascii="Times New Roman" w:hAnsi="Times New Roman" w:cs="Times New Roman"/>
          <w:b/>
          <w:bCs/>
        </w:rPr>
        <w:t>5</w:t>
      </w:r>
      <w:r>
        <w:rPr>
          <w:rFonts w:ascii="Times New Roman" w:hAnsi="Times New Roman" w:cs="Times New Roman"/>
          <w:b/>
          <w:bCs/>
        </w:rPr>
        <w:t>. Gelman–Rubin R-hat for the primary group-level drift rate contrasts in Model v.</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3"/>
        <w:gridCol w:w="988"/>
      </w:tblGrid>
      <w:tr w14:paraId="1193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43" w:type="dxa"/>
          </w:tcPr>
          <w:p w14:paraId="78DB1060">
            <w:pPr>
              <w:spacing w:before="240" w:line="480" w:lineRule="auto"/>
              <w:jc w:val="center"/>
              <w:rPr>
                <w:rFonts w:ascii="Times New Roman" w:hAnsi="Times New Roman" w:cs="Times New Roman"/>
                <w:szCs w:val="21"/>
              </w:rPr>
            </w:pPr>
            <w:r>
              <w:rPr>
                <w:rFonts w:ascii="Times New Roman" w:hAnsi="Times New Roman" w:cs="Times New Roman"/>
                <w:szCs w:val="21"/>
              </w:rPr>
              <w:t>Parameter</w:t>
            </w:r>
          </w:p>
        </w:tc>
        <w:tc>
          <w:tcPr>
            <w:tcW w:w="988" w:type="dxa"/>
          </w:tcPr>
          <w:p w14:paraId="0710261E">
            <w:pPr>
              <w:spacing w:before="240" w:line="480" w:lineRule="auto"/>
              <w:jc w:val="center"/>
              <w:rPr>
                <w:rFonts w:ascii="Times New Roman" w:hAnsi="Times New Roman" w:cs="Times New Roman"/>
                <w:szCs w:val="21"/>
              </w:rPr>
            </w:pPr>
            <w:r>
              <w:rPr>
                <w:rFonts w:ascii="Times New Roman" w:hAnsi="Times New Roman" w:cs="Times New Roman"/>
                <w:szCs w:val="21"/>
              </w:rPr>
              <w:t>R-hat</w:t>
            </w:r>
          </w:p>
        </w:tc>
      </w:tr>
      <w:tr w14:paraId="4182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43" w:type="dxa"/>
          </w:tcPr>
          <w:p w14:paraId="519E9C3C">
            <w:pPr>
              <w:spacing w:before="240" w:line="480" w:lineRule="auto"/>
              <w:jc w:val="center"/>
              <w:rPr>
                <w:rFonts w:ascii="Times New Roman" w:hAnsi="Times New Roman" w:cs="Times New Roman"/>
                <w:szCs w:val="21"/>
              </w:rPr>
            </w:pPr>
            <w:r>
              <w:rPr>
                <w:rFonts w:ascii="Times New Roman" w:hAnsi="Times New Roman" w:cs="Times New Roman"/>
                <w:color w:val="000000"/>
                <w:szCs w:val="21"/>
              </w:rPr>
              <w:t>v_C(stim, Treatment(reference='vertex'))[T.lifg]</w:t>
            </w:r>
          </w:p>
        </w:tc>
        <w:tc>
          <w:tcPr>
            <w:tcW w:w="988" w:type="dxa"/>
          </w:tcPr>
          <w:p w14:paraId="4CDC7BB1">
            <w:pPr>
              <w:spacing w:before="240" w:line="480" w:lineRule="auto"/>
              <w:jc w:val="center"/>
              <w:rPr>
                <w:rFonts w:ascii="Times New Roman" w:hAnsi="Times New Roman" w:cs="Times New Roman"/>
                <w:szCs w:val="21"/>
              </w:rPr>
            </w:pPr>
            <w:r>
              <w:rPr>
                <w:rFonts w:ascii="Times New Roman" w:hAnsi="Times New Roman" w:cs="Times New Roman"/>
                <w:color w:val="000000"/>
                <w:szCs w:val="21"/>
              </w:rPr>
              <w:t>1.03</w:t>
            </w:r>
          </w:p>
        </w:tc>
      </w:tr>
      <w:tr w14:paraId="6899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43" w:type="dxa"/>
          </w:tcPr>
          <w:p w14:paraId="389C6672">
            <w:pPr>
              <w:spacing w:before="240" w:line="480" w:lineRule="auto"/>
              <w:jc w:val="center"/>
              <w:rPr>
                <w:rFonts w:ascii="Times New Roman" w:hAnsi="Times New Roman" w:cs="Times New Roman"/>
                <w:szCs w:val="21"/>
                <w:lang w:val="de-DE"/>
              </w:rPr>
            </w:pPr>
            <w:r>
              <w:rPr>
                <w:rFonts w:ascii="Times New Roman" w:hAnsi="Times New Roman" w:cs="Times New Roman"/>
                <w:color w:val="000000"/>
                <w:szCs w:val="21"/>
              </w:rPr>
              <w:t>v_C(stim, Treatment(reference='vertex'))[T.lptl]</w:t>
            </w:r>
          </w:p>
        </w:tc>
        <w:tc>
          <w:tcPr>
            <w:tcW w:w="988" w:type="dxa"/>
          </w:tcPr>
          <w:p w14:paraId="6312F04A">
            <w:pPr>
              <w:spacing w:before="240" w:line="480" w:lineRule="auto"/>
              <w:jc w:val="center"/>
              <w:rPr>
                <w:rFonts w:ascii="Times New Roman" w:hAnsi="Times New Roman" w:cs="Times New Roman"/>
                <w:szCs w:val="21"/>
              </w:rPr>
            </w:pPr>
            <w:r>
              <w:rPr>
                <w:rFonts w:ascii="Times New Roman" w:hAnsi="Times New Roman" w:cs="Times New Roman"/>
                <w:color w:val="000000"/>
                <w:szCs w:val="21"/>
              </w:rPr>
              <w:t>1.04</w:t>
            </w:r>
          </w:p>
        </w:tc>
      </w:tr>
      <w:tr w14:paraId="0CA8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43" w:type="dxa"/>
          </w:tcPr>
          <w:p w14:paraId="579FD2D3">
            <w:pPr>
              <w:spacing w:before="240" w:line="480" w:lineRule="auto"/>
              <w:jc w:val="center"/>
              <w:rPr>
                <w:rFonts w:ascii="Times New Roman" w:hAnsi="Times New Roman" w:cs="Times New Roman"/>
                <w:szCs w:val="21"/>
              </w:rPr>
            </w:pPr>
            <w:r>
              <w:rPr>
                <w:rFonts w:ascii="Times New Roman" w:hAnsi="Times New Roman" w:cs="Times New Roman"/>
                <w:b/>
                <w:bCs/>
                <w:color w:val="000000"/>
                <w:szCs w:val="21"/>
              </w:rPr>
              <w:t>v_C(cond, Treatment(reference='sim'))[</w:t>
            </w:r>
            <w:r>
              <w:rPr>
                <w:rFonts w:ascii="Times New Roman" w:hAnsi="Times New Roman" w:cs="Times New Roman"/>
                <w:b/>
                <w:bCs/>
                <w:color w:val="auto"/>
                <w:szCs w:val="21"/>
                <w:u w:val="none"/>
              </w:rPr>
              <w:t>T.com</w:t>
            </w:r>
            <w:r>
              <w:rPr>
                <w:rFonts w:ascii="Times New Roman" w:hAnsi="Times New Roman" w:cs="Times New Roman"/>
                <w:b/>
                <w:bCs/>
                <w:color w:val="000000"/>
                <w:szCs w:val="21"/>
              </w:rPr>
              <w:t>]:C(stim, Treatment(reference='vertex'))[vertex]</w:t>
            </w:r>
          </w:p>
        </w:tc>
        <w:tc>
          <w:tcPr>
            <w:tcW w:w="988" w:type="dxa"/>
          </w:tcPr>
          <w:p w14:paraId="2967C2CB">
            <w:pPr>
              <w:spacing w:before="240" w:line="480" w:lineRule="auto"/>
              <w:jc w:val="center"/>
              <w:rPr>
                <w:rFonts w:ascii="Times New Roman" w:hAnsi="Times New Roman" w:cs="Times New Roman"/>
                <w:szCs w:val="21"/>
              </w:rPr>
            </w:pPr>
            <w:r>
              <w:rPr>
                <w:rFonts w:ascii="Times New Roman" w:hAnsi="Times New Roman" w:cs="Times New Roman"/>
                <w:color w:val="000000"/>
                <w:szCs w:val="21"/>
              </w:rPr>
              <w:t>1.02</w:t>
            </w:r>
          </w:p>
        </w:tc>
      </w:tr>
      <w:tr w14:paraId="268E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43" w:type="dxa"/>
          </w:tcPr>
          <w:p w14:paraId="3DFEEF5E">
            <w:pPr>
              <w:spacing w:before="240" w:line="480" w:lineRule="auto"/>
              <w:jc w:val="center"/>
              <w:rPr>
                <w:rFonts w:ascii="Times New Roman" w:hAnsi="Times New Roman" w:cs="Times New Roman"/>
                <w:szCs w:val="21"/>
              </w:rPr>
            </w:pPr>
            <w:r>
              <w:rPr>
                <w:rFonts w:ascii="Times New Roman" w:hAnsi="Times New Roman" w:cs="Times New Roman"/>
                <w:b/>
                <w:bCs/>
                <w:color w:val="000000"/>
                <w:szCs w:val="21"/>
              </w:rPr>
              <w:t>v_C(cond, Treatment(reference='sim'))[</w:t>
            </w:r>
            <w:r>
              <w:rPr>
                <w:rFonts w:ascii="Times New Roman" w:hAnsi="Times New Roman" w:cs="Times New Roman"/>
                <w:b/>
                <w:bCs/>
                <w:color w:val="auto"/>
                <w:szCs w:val="21"/>
                <w:u w:val="none"/>
              </w:rPr>
              <w:t>T.com</w:t>
            </w:r>
            <w:r>
              <w:rPr>
                <w:rFonts w:ascii="Times New Roman" w:hAnsi="Times New Roman" w:cs="Times New Roman"/>
                <w:b/>
                <w:bCs/>
                <w:color w:val="000000"/>
                <w:szCs w:val="21"/>
              </w:rPr>
              <w:t>]:C(stim, Treatment(reference='vertex'))[lifg]</w:t>
            </w:r>
          </w:p>
        </w:tc>
        <w:tc>
          <w:tcPr>
            <w:tcW w:w="988" w:type="dxa"/>
          </w:tcPr>
          <w:p w14:paraId="7831B8DE">
            <w:pPr>
              <w:spacing w:before="240" w:line="480" w:lineRule="auto"/>
              <w:jc w:val="center"/>
              <w:rPr>
                <w:rFonts w:ascii="Times New Roman" w:hAnsi="Times New Roman" w:cs="Times New Roman"/>
                <w:szCs w:val="21"/>
              </w:rPr>
            </w:pPr>
            <w:r>
              <w:rPr>
                <w:rFonts w:ascii="Times New Roman" w:hAnsi="Times New Roman" w:cs="Times New Roman"/>
                <w:color w:val="000000"/>
                <w:szCs w:val="21"/>
              </w:rPr>
              <w:t>1.05</w:t>
            </w:r>
          </w:p>
        </w:tc>
      </w:tr>
      <w:tr w14:paraId="4BFD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43" w:type="dxa"/>
          </w:tcPr>
          <w:p w14:paraId="367C975B">
            <w:pPr>
              <w:spacing w:before="240" w:line="480" w:lineRule="auto"/>
              <w:jc w:val="center"/>
              <w:rPr>
                <w:rFonts w:ascii="Times New Roman" w:hAnsi="Times New Roman" w:cs="Times New Roman"/>
                <w:szCs w:val="21"/>
              </w:rPr>
            </w:pPr>
            <w:r>
              <w:rPr>
                <w:rFonts w:ascii="Times New Roman" w:hAnsi="Times New Roman" w:cs="Times New Roman"/>
                <w:b/>
                <w:bCs/>
                <w:color w:val="000000"/>
                <w:szCs w:val="21"/>
              </w:rPr>
              <w:t>v_C(cond, Treatment(reference='sim'))[</w:t>
            </w:r>
            <w:r>
              <w:rPr>
                <w:rFonts w:ascii="Times New Roman" w:hAnsi="Times New Roman" w:cs="Times New Roman"/>
                <w:b/>
                <w:bCs/>
                <w:color w:val="auto"/>
                <w:szCs w:val="21"/>
                <w:u w:val="none"/>
              </w:rPr>
              <w:t>T.com</w:t>
            </w:r>
            <w:r>
              <w:rPr>
                <w:rFonts w:ascii="Times New Roman" w:hAnsi="Times New Roman" w:cs="Times New Roman"/>
                <w:b/>
                <w:bCs/>
                <w:color w:val="000000"/>
                <w:szCs w:val="21"/>
              </w:rPr>
              <w:t>]:C(stim, Treatment(reference='vertex'))[lptl]</w:t>
            </w:r>
          </w:p>
        </w:tc>
        <w:tc>
          <w:tcPr>
            <w:tcW w:w="988" w:type="dxa"/>
          </w:tcPr>
          <w:p w14:paraId="64C74709">
            <w:pPr>
              <w:spacing w:before="240" w:line="480" w:lineRule="auto"/>
              <w:jc w:val="center"/>
              <w:rPr>
                <w:rFonts w:ascii="Times New Roman" w:hAnsi="Times New Roman" w:cs="Times New Roman"/>
                <w:szCs w:val="21"/>
              </w:rPr>
            </w:pPr>
            <w:r>
              <w:rPr>
                <w:rFonts w:ascii="Times New Roman" w:hAnsi="Times New Roman" w:cs="Times New Roman"/>
                <w:color w:val="000000"/>
                <w:szCs w:val="21"/>
              </w:rPr>
              <w:t>1.03</w:t>
            </w:r>
          </w:p>
        </w:tc>
      </w:tr>
    </w:tbl>
    <w:p w14:paraId="48F44D0F">
      <w:pPr>
        <w:spacing w:line="480" w:lineRule="auto"/>
        <w:rPr>
          <w:rFonts w:ascii="Times New Roman" w:hAnsi="Times New Roman" w:cs="Times New Roman"/>
          <w:color w:val="0070C0"/>
        </w:rPr>
        <w:sectPr>
          <w:pgSz w:w="16838" w:h="11906" w:orient="landscape"/>
          <w:pgMar w:top="1800" w:right="1440" w:bottom="1800" w:left="1440" w:header="851" w:footer="992" w:gutter="0"/>
          <w:lnNumType w:countBy="1" w:restart="continuous"/>
          <w:cols w:space="425" w:num="1"/>
          <w:docGrid w:type="lines" w:linePitch="312" w:charSpace="0"/>
        </w:sectPr>
      </w:pPr>
    </w:p>
    <w:p w14:paraId="5F3D2578">
      <w:pPr>
        <w:spacing w:line="480" w:lineRule="auto"/>
        <w:rPr>
          <w:rStyle w:val="18"/>
        </w:rPr>
      </w:pPr>
      <w:r>
        <w:rPr>
          <w:rFonts w:ascii="Times New Roman" w:hAnsi="Times New Roman" w:cs="Times New Roman"/>
          <w:b/>
          <w:bCs/>
        </w:rPr>
        <w:t xml:space="preserve">Figure </w:t>
      </w:r>
      <w:r>
        <w:rPr>
          <w:rFonts w:hint="eastAsia" w:ascii="Times New Roman" w:hAnsi="Times New Roman" w:cs="Times New Roman"/>
          <w:b/>
          <w:bCs/>
        </w:rPr>
        <w:t>S1.</w:t>
      </w:r>
      <w:r>
        <w:rPr>
          <w:rStyle w:val="18"/>
          <w:rFonts w:hint="eastAsia"/>
        </w:rPr>
        <w:t xml:space="preserve"> </w:t>
      </w:r>
      <w:r>
        <w:rPr>
          <w:rStyle w:val="18"/>
          <w:rFonts w:hint="eastAsia"/>
          <w:b/>
          <w:bCs/>
          <w:i/>
          <w:iCs/>
          <w:sz w:val="21"/>
          <w:szCs w:val="24"/>
        </w:rPr>
        <w:t>TMS and fMRI</w:t>
      </w:r>
      <w:r>
        <w:rPr>
          <w:rStyle w:val="18"/>
          <w:rFonts w:hint="eastAsia"/>
          <w:sz w:val="21"/>
          <w:szCs w:val="24"/>
        </w:rPr>
        <w:t xml:space="preserve"> </w:t>
      </w:r>
      <w:r>
        <w:rPr>
          <w:rStyle w:val="18"/>
          <w:rFonts w:hint="eastAsia"/>
          <w:b/>
          <w:bCs/>
          <w:i/>
          <w:iCs/>
          <w:sz w:val="21"/>
          <w:szCs w:val="21"/>
        </w:rPr>
        <w:t>Experimental materials and procedures.</w:t>
      </w:r>
      <w:r>
        <w:rPr>
          <w:rStyle w:val="18"/>
          <w:rFonts w:hint="eastAsia"/>
        </w:rPr>
        <w:t xml:space="preserve"> </w:t>
      </w:r>
      <w:r>
        <w:rPr>
          <w:rStyle w:val="18"/>
          <w:sz w:val="21"/>
          <w:szCs w:val="21"/>
        </w:rPr>
        <w:t xml:space="preserve">(A) Illustration of syntactic manipulations across </w:t>
      </w:r>
      <w:r>
        <w:rPr>
          <w:rStyle w:val="18"/>
          <w:rFonts w:hint="eastAsia"/>
          <w:sz w:val="21"/>
          <w:szCs w:val="21"/>
        </w:rPr>
        <w:t>different sequences</w:t>
      </w:r>
      <w:r>
        <w:rPr>
          <w:rStyle w:val="18"/>
          <w:sz w:val="21"/>
          <w:szCs w:val="21"/>
        </w:rPr>
        <w:t>. S</w:t>
      </w:r>
      <w:r>
        <w:rPr>
          <w:rStyle w:val="18"/>
          <w:rFonts w:hint="eastAsia"/>
          <w:sz w:val="21"/>
          <w:szCs w:val="21"/>
        </w:rPr>
        <w:t>equences</w:t>
      </w:r>
      <w:r>
        <w:rPr>
          <w:rStyle w:val="18"/>
          <w:sz w:val="21"/>
          <w:szCs w:val="21"/>
        </w:rPr>
        <w:t xml:space="preserve"> were constructed to contrast hierarchical structures differing in dependency </w:t>
      </w:r>
      <w:r>
        <w:rPr>
          <w:rStyle w:val="18"/>
          <w:rFonts w:hint="eastAsia"/>
          <w:sz w:val="21"/>
          <w:szCs w:val="21"/>
        </w:rPr>
        <w:t>length</w:t>
      </w:r>
      <w:r>
        <w:rPr>
          <w:rStyle w:val="18"/>
          <w:sz w:val="21"/>
          <w:szCs w:val="21"/>
        </w:rPr>
        <w:t xml:space="preserve"> (subject-relative clause, SRC; object-relative clause, ORC</w:t>
      </w:r>
      <w:r>
        <w:rPr>
          <w:rStyle w:val="18"/>
          <w:rFonts w:hint="eastAsia"/>
          <w:sz w:val="21"/>
          <w:szCs w:val="21"/>
        </w:rPr>
        <w:t xml:space="preserve">; the trace [t] and the filler were co-indexed by the subscript </w:t>
      </w:r>
      <w:r>
        <w:rPr>
          <w:rStyle w:val="18"/>
          <w:sz w:val="21"/>
          <w:szCs w:val="21"/>
        </w:rPr>
        <w:t>“</w:t>
      </w:r>
      <w:r>
        <w:rPr>
          <w:rStyle w:val="18"/>
          <w:rFonts w:hint="eastAsia"/>
          <w:sz w:val="21"/>
          <w:szCs w:val="21"/>
        </w:rPr>
        <w:t>i</w:t>
      </w:r>
      <w:r>
        <w:rPr>
          <w:rStyle w:val="18"/>
          <w:sz w:val="21"/>
          <w:szCs w:val="21"/>
        </w:rPr>
        <w:t>”</w:t>
      </w:r>
      <w:r>
        <w:rPr>
          <w:rStyle w:val="18"/>
          <w:rFonts w:hint="eastAsia"/>
          <w:sz w:val="21"/>
          <w:szCs w:val="21"/>
        </w:rPr>
        <w:t>, and the key dependency was marked by the curve for each complex sentence type</w:t>
      </w:r>
      <w:r>
        <w:rPr>
          <w:rStyle w:val="18"/>
          <w:sz w:val="21"/>
          <w:szCs w:val="21"/>
        </w:rPr>
        <w:t xml:space="preserve">), </w:t>
      </w:r>
      <w:r>
        <w:rPr>
          <w:rStyle w:val="18"/>
          <w:rFonts w:hint="eastAsia"/>
          <w:sz w:val="21"/>
          <w:szCs w:val="21"/>
        </w:rPr>
        <w:t xml:space="preserve">and </w:t>
      </w:r>
      <w:r>
        <w:rPr>
          <w:rStyle w:val="18"/>
          <w:sz w:val="21"/>
          <w:szCs w:val="21"/>
        </w:rPr>
        <w:t xml:space="preserve">embedding depth (complex, COM; simple, SP). Examples </w:t>
      </w:r>
      <w:r>
        <w:rPr>
          <w:rStyle w:val="18"/>
          <w:rFonts w:hint="eastAsia"/>
          <w:sz w:val="21"/>
          <w:szCs w:val="21"/>
        </w:rPr>
        <w:t>were</w:t>
      </w:r>
      <w:r>
        <w:rPr>
          <w:rStyle w:val="18"/>
          <w:sz w:val="21"/>
          <w:szCs w:val="21"/>
        </w:rPr>
        <w:t xml:space="preserve"> shown with both Chinese and English </w:t>
      </w:r>
      <w:r>
        <w:rPr>
          <w:rStyle w:val="18"/>
          <w:rFonts w:hint="eastAsia"/>
          <w:sz w:val="21"/>
          <w:szCs w:val="21"/>
        </w:rPr>
        <w:t xml:space="preserve">literal </w:t>
      </w:r>
      <w:r>
        <w:rPr>
          <w:rStyle w:val="18"/>
          <w:sz w:val="21"/>
          <w:szCs w:val="21"/>
        </w:rPr>
        <w:t>glosses</w:t>
      </w:r>
      <w:r>
        <w:rPr>
          <w:rStyle w:val="18"/>
          <w:rFonts w:hint="eastAsia"/>
          <w:sz w:val="21"/>
          <w:szCs w:val="21"/>
        </w:rPr>
        <w:t xml:space="preserve"> and translations</w:t>
      </w:r>
      <w:r>
        <w:rPr>
          <w:rStyle w:val="18"/>
          <w:sz w:val="21"/>
          <w:szCs w:val="21"/>
        </w:rPr>
        <w:t>.</w:t>
      </w:r>
      <w:r>
        <w:rPr>
          <w:rStyle w:val="18"/>
          <w:rFonts w:hint="eastAsia"/>
          <w:sz w:val="21"/>
          <w:szCs w:val="21"/>
        </w:rPr>
        <w:t xml:space="preserve"> </w:t>
      </w:r>
      <w:r>
        <w:rPr>
          <w:rStyle w:val="18"/>
          <w:sz w:val="21"/>
          <w:szCs w:val="21"/>
        </w:rPr>
        <w:t xml:space="preserve">(B) </w:t>
      </w:r>
      <w:r>
        <w:rPr>
          <w:rStyle w:val="18"/>
          <w:rFonts w:hint="eastAsia"/>
          <w:sz w:val="21"/>
          <w:szCs w:val="21"/>
        </w:rPr>
        <w:t>fMRI e</w:t>
      </w:r>
      <w:r>
        <w:rPr>
          <w:rStyle w:val="18"/>
          <w:sz w:val="21"/>
          <w:szCs w:val="21"/>
        </w:rPr>
        <w:t>xperimental procedures</w:t>
      </w:r>
      <w:r>
        <w:rPr>
          <w:rStyle w:val="18"/>
          <w:rFonts w:hint="eastAsia"/>
          <w:sz w:val="21"/>
          <w:szCs w:val="21"/>
        </w:rPr>
        <w:t xml:space="preserve">. </w:t>
      </w:r>
      <w:r>
        <w:rPr>
          <w:rStyle w:val="18"/>
          <w:sz w:val="21"/>
          <w:szCs w:val="21"/>
        </w:rPr>
        <w:t xml:space="preserve">Each trial consisted of a </w:t>
      </w:r>
      <w:r>
        <w:rPr>
          <w:rStyle w:val="18"/>
          <w:rFonts w:hint="eastAsia"/>
          <w:sz w:val="21"/>
          <w:szCs w:val="21"/>
        </w:rPr>
        <w:t>jittered</w:t>
      </w:r>
      <w:r>
        <w:rPr>
          <w:rStyle w:val="18"/>
          <w:sz w:val="21"/>
          <w:szCs w:val="21"/>
        </w:rPr>
        <w:t xml:space="preserve"> fixation period (0.5–2.5 s), sentence reading (4 s), and a </w:t>
      </w:r>
      <w:r>
        <w:rPr>
          <w:rStyle w:val="18"/>
          <w:rFonts w:hint="eastAsia"/>
          <w:sz w:val="21"/>
          <w:szCs w:val="21"/>
        </w:rPr>
        <w:t>probing question requiring</w:t>
      </w:r>
      <w:r>
        <w:rPr>
          <w:rStyle w:val="18"/>
          <w:sz w:val="21"/>
          <w:szCs w:val="21"/>
        </w:rPr>
        <w:t xml:space="preserve"> response </w:t>
      </w:r>
      <w:r>
        <w:rPr>
          <w:rStyle w:val="18"/>
          <w:rFonts w:hint="eastAsia"/>
          <w:sz w:val="21"/>
          <w:szCs w:val="21"/>
        </w:rPr>
        <w:t>within 3s</w:t>
      </w:r>
      <w:r>
        <w:rPr>
          <w:rStyle w:val="18"/>
          <w:sz w:val="21"/>
          <w:szCs w:val="21"/>
        </w:rPr>
        <w:t>.</w:t>
      </w:r>
      <w:r>
        <w:rPr>
          <w:rStyle w:val="18"/>
          <w:rFonts w:hint="eastAsia"/>
          <w:sz w:val="21"/>
          <w:szCs w:val="21"/>
        </w:rPr>
        <w:t xml:space="preserve"> (C) TMS e</w:t>
      </w:r>
      <w:r>
        <w:rPr>
          <w:rStyle w:val="18"/>
          <w:sz w:val="21"/>
          <w:szCs w:val="21"/>
        </w:rPr>
        <w:t>xperimental procedures</w:t>
      </w:r>
      <w:r>
        <w:rPr>
          <w:rStyle w:val="18"/>
          <w:rFonts w:hint="eastAsia"/>
          <w:sz w:val="21"/>
          <w:szCs w:val="21"/>
        </w:rPr>
        <w:t>. P</w:t>
      </w:r>
      <w:r>
        <w:rPr>
          <w:rStyle w:val="18"/>
          <w:sz w:val="21"/>
          <w:szCs w:val="21"/>
        </w:rPr>
        <w:t xml:space="preserve">articipants received </w:t>
      </w:r>
      <w:r>
        <w:rPr>
          <w:rStyle w:val="18"/>
          <w:rFonts w:hint="eastAsia"/>
          <w:sz w:val="21"/>
          <w:szCs w:val="21"/>
        </w:rPr>
        <w:t>TMS</w:t>
      </w:r>
      <w:r>
        <w:rPr>
          <w:rStyle w:val="18"/>
          <w:sz w:val="21"/>
          <w:szCs w:val="21"/>
        </w:rPr>
        <w:t xml:space="preserve"> over three sites—the left inferior frontal gyrus (LIFG), left posterior temporal lobe (LpTL), and vertex (</w:t>
      </w:r>
      <w:r>
        <w:rPr>
          <w:rStyle w:val="18"/>
          <w:rFonts w:hint="eastAsia"/>
          <w:sz w:val="21"/>
          <w:szCs w:val="21"/>
        </w:rPr>
        <w:t xml:space="preserve">i.e., the </w:t>
      </w:r>
      <w:r>
        <w:rPr>
          <w:rStyle w:val="18"/>
          <w:sz w:val="21"/>
          <w:szCs w:val="21"/>
        </w:rPr>
        <w:t>control</w:t>
      </w:r>
      <w:r>
        <w:rPr>
          <w:rStyle w:val="18"/>
          <w:rFonts w:hint="eastAsia"/>
          <w:sz w:val="21"/>
          <w:szCs w:val="21"/>
        </w:rPr>
        <w:t xml:space="preserve"> site</w:t>
      </w:r>
      <w:r>
        <w:rPr>
          <w:rStyle w:val="18"/>
          <w:sz w:val="21"/>
          <w:szCs w:val="21"/>
        </w:rPr>
        <w:t>)—in a within-subjects design with sessions separated by ≥ 7 days. Consistent with the fMRI experiment, each trial comprised a jittered fixation period (0.5–2.5 s), sentence reading (4 s), and a probe question requiring a response within 3 s.</w:t>
      </w:r>
    </w:p>
    <w:p w14:paraId="47D35172">
      <w:pPr>
        <w:spacing w:line="480" w:lineRule="auto"/>
        <w:rPr>
          <w:rFonts w:ascii="Times New Roman" w:hAnsi="Times New Roman" w:cs="Times New Roman"/>
          <w:color w:val="0070C0"/>
        </w:rPr>
      </w:pPr>
      <w:r>
        <w:rPr>
          <w:rFonts w:hint="eastAsia" w:ascii="Times New Roman" w:hAnsi="Times New Roman" w:cs="Times New Roman"/>
          <w:color w:val="0070C0"/>
        </w:rPr>
        <w:drawing>
          <wp:anchor distT="0" distB="0" distL="114300" distR="114300" simplePos="0" relativeHeight="251662336" behindDoc="0" locked="0" layoutInCell="1" allowOverlap="1">
            <wp:simplePos x="0" y="0"/>
            <wp:positionH relativeFrom="margin">
              <wp:align>center</wp:align>
            </wp:positionH>
            <wp:positionV relativeFrom="paragraph">
              <wp:posOffset>79375</wp:posOffset>
            </wp:positionV>
            <wp:extent cx="5266055" cy="4198620"/>
            <wp:effectExtent l="0" t="0" r="4445" b="5080"/>
            <wp:wrapTopAndBottom/>
            <wp:docPr id="7" name="图片 7" descr="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S1(1)"/>
                    <pic:cNvPicPr>
                      <a:picLocks noChangeAspect="1"/>
                    </pic:cNvPicPr>
                  </pic:nvPicPr>
                  <pic:blipFill>
                    <a:blip r:embed="rId6"/>
                    <a:stretch>
                      <a:fillRect/>
                    </a:stretch>
                  </pic:blipFill>
                  <pic:spPr>
                    <a:xfrm>
                      <a:off x="0" y="0"/>
                      <a:ext cx="5266055" cy="4198620"/>
                    </a:xfrm>
                    <a:prstGeom prst="rect">
                      <a:avLst/>
                    </a:prstGeom>
                  </pic:spPr>
                </pic:pic>
              </a:graphicData>
            </a:graphic>
          </wp:anchor>
        </w:drawing>
      </w:r>
      <w:r>
        <w:rPr>
          <w:rFonts w:ascii="Times New Roman" w:hAnsi="Times New Roman" w:cs="Times New Roman"/>
          <w:color w:val="0070C0"/>
        </w:rPr>
        <w:br w:type="page"/>
      </w:r>
    </w:p>
    <w:p w14:paraId="10E86EFD">
      <w:pPr>
        <w:spacing w:line="480" w:lineRule="auto"/>
        <w:rPr>
          <w:rStyle w:val="18"/>
          <w:b/>
          <w:bCs/>
          <w:i/>
          <w:iCs/>
          <w:sz w:val="21"/>
          <w:szCs w:val="21"/>
        </w:rPr>
      </w:pPr>
      <w:r>
        <w:rPr>
          <w:rFonts w:ascii="Times New Roman" w:hAnsi="Times New Roman" w:cs="Times New Roman"/>
          <w:b/>
          <w:bCs/>
        </w:rPr>
        <w:t xml:space="preserve">Figure </w:t>
      </w:r>
      <w:r>
        <w:rPr>
          <w:rFonts w:hint="eastAsia" w:ascii="Times New Roman" w:hAnsi="Times New Roman" w:cs="Times New Roman"/>
          <w:b/>
          <w:bCs/>
        </w:rPr>
        <w:t xml:space="preserve">S2. </w:t>
      </w:r>
      <w:r>
        <w:rPr>
          <w:rFonts w:hint="eastAsia" w:ascii="Times New Roman" w:hAnsi="Times New Roman" w:cs="Times New Roman"/>
          <w:b/>
          <w:bCs/>
          <w:i/>
          <w:iCs/>
          <w:szCs w:val="21"/>
        </w:rPr>
        <w:t>Results of the fMRI experiment for localizing key syntactic regions, and</w:t>
      </w:r>
      <w:r>
        <w:rPr>
          <w:rFonts w:hint="eastAsia" w:ascii="Times New Roman" w:hAnsi="Times New Roman" w:cs="Times New Roman"/>
          <w:b/>
          <w:bCs/>
          <w:szCs w:val="21"/>
        </w:rPr>
        <w:t xml:space="preserve"> </w:t>
      </w:r>
      <w:r>
        <w:rPr>
          <w:rStyle w:val="18"/>
          <w:b/>
          <w:bCs/>
          <w:i/>
          <w:iCs/>
          <w:sz w:val="21"/>
          <w:szCs w:val="21"/>
        </w:rPr>
        <w:t>Distributions of significant effects of synthesized TMS indices across structural types</w:t>
      </w:r>
      <w:r>
        <w:rPr>
          <w:rStyle w:val="18"/>
          <w:rFonts w:hint="eastAsia"/>
          <w:b/>
          <w:bCs/>
          <w:i/>
          <w:iCs/>
          <w:sz w:val="21"/>
          <w:szCs w:val="21"/>
        </w:rPr>
        <w:t xml:space="preserve">. </w:t>
      </w:r>
      <w:r>
        <w:rPr>
          <w:rStyle w:val="18"/>
          <w:rFonts w:hint="eastAsia"/>
          <w:sz w:val="21"/>
          <w:szCs w:val="21"/>
        </w:rPr>
        <w:t>*</w:t>
      </w:r>
      <w:r>
        <w:rPr>
          <w:rStyle w:val="18"/>
          <w:rFonts w:hint="eastAsia"/>
          <w:i/>
          <w:iCs/>
          <w:sz w:val="21"/>
          <w:szCs w:val="21"/>
        </w:rPr>
        <w:t>p</w:t>
      </w:r>
      <w:r>
        <w:rPr>
          <w:rStyle w:val="18"/>
          <w:rFonts w:hint="eastAsia"/>
          <w:sz w:val="21"/>
          <w:szCs w:val="21"/>
        </w:rPr>
        <w:t xml:space="preserve"> &lt; 0.05, **</w:t>
      </w:r>
      <w:r>
        <w:rPr>
          <w:rStyle w:val="18"/>
          <w:rFonts w:hint="eastAsia"/>
          <w:i/>
          <w:iCs/>
          <w:sz w:val="21"/>
          <w:szCs w:val="21"/>
        </w:rPr>
        <w:t>p</w:t>
      </w:r>
      <w:r>
        <w:rPr>
          <w:rStyle w:val="18"/>
          <w:rFonts w:hint="eastAsia"/>
          <w:sz w:val="21"/>
          <w:szCs w:val="21"/>
        </w:rPr>
        <w:t xml:space="preserve"> &lt; 0.01, ***</w:t>
      </w:r>
      <w:r>
        <w:rPr>
          <w:rStyle w:val="18"/>
          <w:rFonts w:hint="eastAsia"/>
          <w:i/>
          <w:iCs/>
          <w:sz w:val="21"/>
          <w:szCs w:val="21"/>
        </w:rPr>
        <w:t>p</w:t>
      </w:r>
      <w:r>
        <w:rPr>
          <w:rStyle w:val="18"/>
          <w:rFonts w:hint="eastAsia"/>
          <w:sz w:val="21"/>
          <w:szCs w:val="21"/>
        </w:rPr>
        <w:t xml:space="preserve"> &lt; 0.001. </w:t>
      </w:r>
    </w:p>
    <w:p w14:paraId="3FF69AF4">
      <w:pPr>
        <w:widowControl/>
        <w:spacing w:line="480" w:lineRule="auto"/>
        <w:rPr>
          <w:rFonts w:ascii="Times New Roman" w:hAnsi="Times New Roman"/>
          <w:szCs w:val="21"/>
          <w:lang w:bidi="ar"/>
        </w:rPr>
        <w:sectPr>
          <w:footerReference r:id="rId4" w:type="default"/>
          <w:pgSz w:w="11906" w:h="16838"/>
          <w:pgMar w:top="1440" w:right="1800" w:bottom="1440" w:left="1800" w:header="851" w:footer="992" w:gutter="0"/>
          <w:lnNumType w:countBy="1" w:restart="continuous"/>
          <w:cols w:space="425" w:num="1"/>
          <w:docGrid w:type="lines" w:linePitch="312" w:charSpace="0"/>
        </w:sectPr>
      </w:pPr>
      <w:r>
        <w:rPr>
          <w:rFonts w:hint="eastAsia" w:ascii="Times New Roman" w:hAnsi="Times New Roman" w:cs="Times New Roman"/>
          <w:b/>
          <w:bCs/>
        </w:rPr>
        <w:drawing>
          <wp:anchor distT="0" distB="0" distL="114300" distR="114300" simplePos="0" relativeHeight="251661312" behindDoc="0" locked="0" layoutInCell="1" allowOverlap="1">
            <wp:simplePos x="0" y="0"/>
            <wp:positionH relativeFrom="margin">
              <wp:align>center</wp:align>
            </wp:positionH>
            <wp:positionV relativeFrom="paragraph">
              <wp:posOffset>36195</wp:posOffset>
            </wp:positionV>
            <wp:extent cx="5271135" cy="6459220"/>
            <wp:effectExtent l="0" t="0" r="12065" b="5080"/>
            <wp:wrapTopAndBottom/>
            <wp:docPr id="8" name="图片 8" descr="Fig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S2(1)"/>
                    <pic:cNvPicPr>
                      <a:picLocks noChangeAspect="1"/>
                    </pic:cNvPicPr>
                  </pic:nvPicPr>
                  <pic:blipFill>
                    <a:blip r:embed="rId7"/>
                    <a:stretch>
                      <a:fillRect/>
                    </a:stretch>
                  </pic:blipFill>
                  <pic:spPr>
                    <a:xfrm>
                      <a:off x="0" y="0"/>
                      <a:ext cx="5271135" cy="6459220"/>
                    </a:xfrm>
                    <a:prstGeom prst="rect">
                      <a:avLst/>
                    </a:prstGeom>
                  </pic:spPr>
                </pic:pic>
              </a:graphicData>
            </a:graphic>
          </wp:anchor>
        </w:drawing>
      </w:r>
    </w:p>
    <w:p w14:paraId="72A36192">
      <w:pPr>
        <w:spacing w:line="480" w:lineRule="auto"/>
        <w:jc w:val="left"/>
        <w:rPr>
          <w:rStyle w:val="18"/>
          <w:sz w:val="21"/>
          <w:szCs w:val="21"/>
        </w:rPr>
      </w:pPr>
      <w:r>
        <w:rPr>
          <w:rFonts w:ascii="Times New Roman" w:hAnsi="Times New Roman" w:cs="Times New Roman"/>
          <w:b/>
          <w:bCs/>
        </w:rPr>
        <w:t xml:space="preserve">Figure </w:t>
      </w:r>
      <w:r>
        <w:rPr>
          <w:rFonts w:hint="eastAsia" w:ascii="Times New Roman" w:hAnsi="Times New Roman" w:cs="Times New Roman"/>
          <w:b/>
          <w:bCs/>
        </w:rPr>
        <w:t xml:space="preserve">S3. </w:t>
      </w:r>
      <w:r>
        <w:rPr>
          <w:rStyle w:val="18"/>
          <w:rFonts w:hint="eastAsia"/>
          <w:b/>
          <w:bCs/>
          <w:i/>
          <w:iCs/>
          <w:sz w:val="21"/>
          <w:szCs w:val="21"/>
        </w:rPr>
        <w:t xml:space="preserve">Distributions of significant effects of synthesized TUS indices across structural types. </w:t>
      </w:r>
      <w:r>
        <w:rPr>
          <w:rStyle w:val="18"/>
          <w:sz w:val="21"/>
          <w:szCs w:val="21"/>
        </w:rPr>
        <w:t>“</w:t>
      </w:r>
      <w:r>
        <w:rPr>
          <w:rStyle w:val="18"/>
          <w:rFonts w:hint="eastAsia"/>
          <w:sz w:val="21"/>
          <w:szCs w:val="21"/>
        </w:rPr>
        <w:t>Structure type</w:t>
      </w:r>
      <w:r>
        <w:rPr>
          <w:rStyle w:val="18"/>
          <w:sz w:val="21"/>
          <w:szCs w:val="21"/>
        </w:rPr>
        <w:t>”</w:t>
      </w:r>
      <w:r>
        <w:rPr>
          <w:rStyle w:val="18"/>
          <w:rFonts w:hint="eastAsia"/>
          <w:sz w:val="21"/>
          <w:szCs w:val="21"/>
        </w:rPr>
        <w:t xml:space="preserve"> in Figure S3 refers to SRC, ORC, and simple sentences.</w:t>
      </w:r>
    </w:p>
    <w:p w14:paraId="00E32391">
      <w:pPr>
        <w:spacing w:line="480" w:lineRule="auto"/>
        <w:jc w:val="center"/>
        <w:rPr>
          <w:rFonts w:ascii="Times New Roman" w:hAnsi="Times New Roman" w:cs="Times New Roman"/>
          <w:b/>
          <w:bCs/>
        </w:rPr>
      </w:pPr>
      <w:r>
        <w:rPr>
          <w:rFonts w:hint="eastAsia" w:ascii="Times New Roman" w:hAnsi="Times New Roman" w:cs="Times New Roman"/>
          <w:b/>
          <w:bCs/>
        </w:rPr>
        <w:drawing>
          <wp:anchor distT="0" distB="0" distL="114300" distR="114300" simplePos="0" relativeHeight="251660288" behindDoc="0" locked="0" layoutInCell="1" allowOverlap="1">
            <wp:simplePos x="0" y="0"/>
            <wp:positionH relativeFrom="margin">
              <wp:align>center</wp:align>
            </wp:positionH>
            <wp:positionV relativeFrom="paragraph">
              <wp:posOffset>90170</wp:posOffset>
            </wp:positionV>
            <wp:extent cx="5271135" cy="4541520"/>
            <wp:effectExtent l="0" t="0" r="12065" b="5080"/>
            <wp:wrapTopAndBottom/>
            <wp:docPr id="3" name="图片 3" descr="Fig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4(1)"/>
                    <pic:cNvPicPr>
                      <a:picLocks noChangeAspect="1"/>
                    </pic:cNvPicPr>
                  </pic:nvPicPr>
                  <pic:blipFill>
                    <a:blip r:embed="rId8"/>
                    <a:stretch>
                      <a:fillRect/>
                    </a:stretch>
                  </pic:blipFill>
                  <pic:spPr>
                    <a:xfrm>
                      <a:off x="0" y="0"/>
                      <a:ext cx="5271135" cy="4541520"/>
                    </a:xfrm>
                    <a:prstGeom prst="rect">
                      <a:avLst/>
                    </a:prstGeom>
                  </pic:spPr>
                </pic:pic>
              </a:graphicData>
            </a:graphic>
          </wp:anchor>
        </w:drawing>
      </w:r>
      <w:r>
        <w:rPr>
          <w:rFonts w:hint="eastAsia" w:ascii="Times New Roman" w:hAnsi="Times New Roman" w:cs="Times New Roman"/>
          <w:b/>
          <w:bCs/>
        </w:rPr>
        <w:br w:type="page"/>
      </w:r>
    </w:p>
    <w:p w14:paraId="24D8192A">
      <w:pPr>
        <w:spacing w:line="480" w:lineRule="auto"/>
        <w:jc w:val="left"/>
        <w:rPr>
          <w:rFonts w:ascii="Times New Roman" w:hAnsi="Times New Roman" w:cs="Times New Roman"/>
          <w:b/>
          <w:bCs/>
        </w:rPr>
      </w:pPr>
      <w:r>
        <w:rPr>
          <w:rFonts w:ascii="Times New Roman" w:hAnsi="Times New Roman" w:cs="Times New Roman"/>
          <w:b/>
          <w:bCs/>
        </w:rPr>
        <w:t xml:space="preserve">Figure </w:t>
      </w:r>
      <w:r>
        <w:rPr>
          <w:rFonts w:hint="eastAsia" w:ascii="Times New Roman" w:hAnsi="Times New Roman" w:cs="Times New Roman"/>
          <w:b/>
          <w:bCs/>
        </w:rPr>
        <w:t xml:space="preserve">S4. </w:t>
      </w:r>
      <w:r>
        <w:rPr>
          <w:rStyle w:val="18"/>
          <w:rFonts w:hint="eastAsia"/>
          <w:b/>
          <w:bCs/>
          <w:i/>
          <w:iCs/>
          <w:sz w:val="21"/>
          <w:szCs w:val="21"/>
        </w:rPr>
        <w:t xml:space="preserve">Distributions of significant effects of synthesized TUS indices across structural types. </w:t>
      </w:r>
      <w:r>
        <w:rPr>
          <w:rStyle w:val="18"/>
          <w:sz w:val="21"/>
          <w:szCs w:val="21"/>
        </w:rPr>
        <w:t>“</w:t>
      </w:r>
      <w:r>
        <w:rPr>
          <w:rStyle w:val="18"/>
          <w:rFonts w:hint="eastAsia"/>
          <w:sz w:val="21"/>
          <w:szCs w:val="21"/>
        </w:rPr>
        <w:t>Structure type</w:t>
      </w:r>
      <w:r>
        <w:rPr>
          <w:rStyle w:val="18"/>
          <w:sz w:val="21"/>
          <w:szCs w:val="21"/>
        </w:rPr>
        <w:t>”</w:t>
      </w:r>
      <w:r>
        <w:rPr>
          <w:rStyle w:val="18"/>
          <w:rFonts w:hint="eastAsia"/>
          <w:sz w:val="21"/>
          <w:szCs w:val="21"/>
        </w:rPr>
        <w:t xml:space="preserve"> in Figure S4 refers to complex and simple sentences.</w:t>
      </w:r>
    </w:p>
    <w:p w14:paraId="114A2F89">
      <w:pPr>
        <w:spacing w:line="480" w:lineRule="auto"/>
        <w:rPr>
          <w:rFonts w:ascii="Times New Roman" w:hAnsi="Times New Roman" w:cs="Times New Roman"/>
          <w:b/>
          <w:bCs/>
        </w:rPr>
      </w:pPr>
      <w:r>
        <w:rPr>
          <w:rFonts w:hint="eastAsia" w:ascii="Times New Roman" w:hAnsi="Times New Roman" w:cs="Times New Roman"/>
          <w:b/>
          <w:bCs/>
        </w:rPr>
        <w:drawing>
          <wp:anchor distT="0" distB="0" distL="114935" distR="114935" simplePos="0" relativeHeight="251659264" behindDoc="0" locked="0" layoutInCell="1" allowOverlap="1">
            <wp:simplePos x="0" y="0"/>
            <wp:positionH relativeFrom="margin">
              <wp:align>center</wp:align>
            </wp:positionH>
            <wp:positionV relativeFrom="paragraph">
              <wp:posOffset>0</wp:posOffset>
            </wp:positionV>
            <wp:extent cx="5266690" cy="5714365"/>
            <wp:effectExtent l="0" t="0" r="3810" b="635"/>
            <wp:wrapTopAndBottom/>
            <wp:docPr id="2" name="图片 2" descr="Fig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3(1)"/>
                    <pic:cNvPicPr>
                      <a:picLocks noChangeAspect="1"/>
                    </pic:cNvPicPr>
                  </pic:nvPicPr>
                  <pic:blipFill>
                    <a:blip r:embed="rId9"/>
                    <a:stretch>
                      <a:fillRect/>
                    </a:stretch>
                  </pic:blipFill>
                  <pic:spPr>
                    <a:xfrm>
                      <a:off x="0" y="0"/>
                      <a:ext cx="5266690" cy="5714365"/>
                    </a:xfrm>
                    <a:prstGeom prst="rect">
                      <a:avLst/>
                    </a:prstGeom>
                  </pic:spPr>
                </pic:pic>
              </a:graphicData>
            </a:graphic>
          </wp:anchor>
        </w:drawing>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F53A4">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230E3">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0E230E3">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04FDB">
    <w:pPr>
      <w:pStyle w:val="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724BD">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0C724BD">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23AF8D"/>
    <w:multiLevelType w:val="multilevel"/>
    <w:tmpl w:val="2E23AF8D"/>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967BF"/>
    <w:rsid w:val="000C0DC0"/>
    <w:rsid w:val="000D7F94"/>
    <w:rsid w:val="000E7DFA"/>
    <w:rsid w:val="00145284"/>
    <w:rsid w:val="00172A27"/>
    <w:rsid w:val="00182C3B"/>
    <w:rsid w:val="00185D53"/>
    <w:rsid w:val="001D75CC"/>
    <w:rsid w:val="001E3A60"/>
    <w:rsid w:val="002A5FBB"/>
    <w:rsid w:val="002C4449"/>
    <w:rsid w:val="002C4BAF"/>
    <w:rsid w:val="002F5033"/>
    <w:rsid w:val="00304A36"/>
    <w:rsid w:val="00305F58"/>
    <w:rsid w:val="00377076"/>
    <w:rsid w:val="004166FA"/>
    <w:rsid w:val="0042071F"/>
    <w:rsid w:val="00485F43"/>
    <w:rsid w:val="004D604A"/>
    <w:rsid w:val="004F0192"/>
    <w:rsid w:val="00513FE8"/>
    <w:rsid w:val="00515432"/>
    <w:rsid w:val="00522102"/>
    <w:rsid w:val="00522719"/>
    <w:rsid w:val="0055141F"/>
    <w:rsid w:val="005574FC"/>
    <w:rsid w:val="00597DDD"/>
    <w:rsid w:val="005E558A"/>
    <w:rsid w:val="00650316"/>
    <w:rsid w:val="00673B0A"/>
    <w:rsid w:val="006A4A85"/>
    <w:rsid w:val="00705CBE"/>
    <w:rsid w:val="00714DAF"/>
    <w:rsid w:val="0072308B"/>
    <w:rsid w:val="007A60DB"/>
    <w:rsid w:val="00814EC6"/>
    <w:rsid w:val="008E6CA9"/>
    <w:rsid w:val="009077CC"/>
    <w:rsid w:val="009762EC"/>
    <w:rsid w:val="00987B01"/>
    <w:rsid w:val="009C4C2B"/>
    <w:rsid w:val="009F5992"/>
    <w:rsid w:val="00A72F78"/>
    <w:rsid w:val="00A840A3"/>
    <w:rsid w:val="00A96928"/>
    <w:rsid w:val="00AD10E6"/>
    <w:rsid w:val="00B7015B"/>
    <w:rsid w:val="00B81584"/>
    <w:rsid w:val="00BC1415"/>
    <w:rsid w:val="00C27C79"/>
    <w:rsid w:val="00C77303"/>
    <w:rsid w:val="00C83174"/>
    <w:rsid w:val="00C9732E"/>
    <w:rsid w:val="00CB1CD9"/>
    <w:rsid w:val="00CB3738"/>
    <w:rsid w:val="00CB6E97"/>
    <w:rsid w:val="00D01AE5"/>
    <w:rsid w:val="00DE1BE7"/>
    <w:rsid w:val="00DE6F94"/>
    <w:rsid w:val="00DE7C09"/>
    <w:rsid w:val="00E0635D"/>
    <w:rsid w:val="00E50CDF"/>
    <w:rsid w:val="00E54D24"/>
    <w:rsid w:val="00E75E79"/>
    <w:rsid w:val="00ED1BD6"/>
    <w:rsid w:val="00ED6212"/>
    <w:rsid w:val="00EE0503"/>
    <w:rsid w:val="00F439B4"/>
    <w:rsid w:val="00F911E8"/>
    <w:rsid w:val="00FC4D08"/>
    <w:rsid w:val="00FF4799"/>
    <w:rsid w:val="011078C7"/>
    <w:rsid w:val="012308D6"/>
    <w:rsid w:val="013A3612"/>
    <w:rsid w:val="01421C11"/>
    <w:rsid w:val="0179546C"/>
    <w:rsid w:val="019761A5"/>
    <w:rsid w:val="019E4ED3"/>
    <w:rsid w:val="01A71FD9"/>
    <w:rsid w:val="01B36BD0"/>
    <w:rsid w:val="01CB741D"/>
    <w:rsid w:val="01D41FC2"/>
    <w:rsid w:val="01DD3C4D"/>
    <w:rsid w:val="02070CCA"/>
    <w:rsid w:val="023B0973"/>
    <w:rsid w:val="023C37B3"/>
    <w:rsid w:val="024C0988"/>
    <w:rsid w:val="025F0B06"/>
    <w:rsid w:val="0261662C"/>
    <w:rsid w:val="026F018C"/>
    <w:rsid w:val="02900CBF"/>
    <w:rsid w:val="02913059"/>
    <w:rsid w:val="02986DD2"/>
    <w:rsid w:val="029D325A"/>
    <w:rsid w:val="029F0F02"/>
    <w:rsid w:val="02A43DD0"/>
    <w:rsid w:val="02A97C19"/>
    <w:rsid w:val="02B7624C"/>
    <w:rsid w:val="02CF7A3A"/>
    <w:rsid w:val="02E51C21"/>
    <w:rsid w:val="02FA25DD"/>
    <w:rsid w:val="02FF602D"/>
    <w:rsid w:val="031C04AE"/>
    <w:rsid w:val="031C5E52"/>
    <w:rsid w:val="03247659"/>
    <w:rsid w:val="032B6C3A"/>
    <w:rsid w:val="03394EB3"/>
    <w:rsid w:val="03595555"/>
    <w:rsid w:val="036363D4"/>
    <w:rsid w:val="0374238F"/>
    <w:rsid w:val="03751ADB"/>
    <w:rsid w:val="03791753"/>
    <w:rsid w:val="038720C2"/>
    <w:rsid w:val="03C86237"/>
    <w:rsid w:val="03D52F56"/>
    <w:rsid w:val="03DE4DD5"/>
    <w:rsid w:val="03E32DAA"/>
    <w:rsid w:val="03E36176"/>
    <w:rsid w:val="03FA7913"/>
    <w:rsid w:val="03FD2384"/>
    <w:rsid w:val="04092A9E"/>
    <w:rsid w:val="040E6340"/>
    <w:rsid w:val="041A5C49"/>
    <w:rsid w:val="0442248D"/>
    <w:rsid w:val="04446205"/>
    <w:rsid w:val="044831F2"/>
    <w:rsid w:val="044F06A2"/>
    <w:rsid w:val="0460557F"/>
    <w:rsid w:val="04891E6A"/>
    <w:rsid w:val="048C54B6"/>
    <w:rsid w:val="04956A61"/>
    <w:rsid w:val="04C95EF8"/>
    <w:rsid w:val="04D255BF"/>
    <w:rsid w:val="04E71358"/>
    <w:rsid w:val="04ED55F7"/>
    <w:rsid w:val="0507055D"/>
    <w:rsid w:val="05173F30"/>
    <w:rsid w:val="054D2E98"/>
    <w:rsid w:val="05685F23"/>
    <w:rsid w:val="056D353A"/>
    <w:rsid w:val="058A5E9A"/>
    <w:rsid w:val="058F1702"/>
    <w:rsid w:val="05C50E78"/>
    <w:rsid w:val="05ED35C6"/>
    <w:rsid w:val="05EF03F3"/>
    <w:rsid w:val="05FF102E"/>
    <w:rsid w:val="06175254"/>
    <w:rsid w:val="061A2D94"/>
    <w:rsid w:val="061B4D44"/>
    <w:rsid w:val="061F6965"/>
    <w:rsid w:val="064055CE"/>
    <w:rsid w:val="065C70C4"/>
    <w:rsid w:val="066B18F5"/>
    <w:rsid w:val="068063B8"/>
    <w:rsid w:val="068E19BA"/>
    <w:rsid w:val="06936FD0"/>
    <w:rsid w:val="06BD5DFB"/>
    <w:rsid w:val="06CC3E3A"/>
    <w:rsid w:val="06D06BFD"/>
    <w:rsid w:val="06D5777B"/>
    <w:rsid w:val="06DD54C9"/>
    <w:rsid w:val="06E31BE3"/>
    <w:rsid w:val="071A324D"/>
    <w:rsid w:val="072C4FF4"/>
    <w:rsid w:val="073203DA"/>
    <w:rsid w:val="073267E9"/>
    <w:rsid w:val="07627BDA"/>
    <w:rsid w:val="077C7A64"/>
    <w:rsid w:val="07824CE1"/>
    <w:rsid w:val="07944DAE"/>
    <w:rsid w:val="07A11D12"/>
    <w:rsid w:val="07A5520D"/>
    <w:rsid w:val="07AF7E3A"/>
    <w:rsid w:val="07BB058C"/>
    <w:rsid w:val="07D5773B"/>
    <w:rsid w:val="07EE658E"/>
    <w:rsid w:val="08007A8A"/>
    <w:rsid w:val="080829BC"/>
    <w:rsid w:val="08172CA2"/>
    <w:rsid w:val="08247DA2"/>
    <w:rsid w:val="083324AD"/>
    <w:rsid w:val="083C13FF"/>
    <w:rsid w:val="083F2637"/>
    <w:rsid w:val="08836BD0"/>
    <w:rsid w:val="08856DEC"/>
    <w:rsid w:val="089302DA"/>
    <w:rsid w:val="08A15138"/>
    <w:rsid w:val="08A94889"/>
    <w:rsid w:val="08C24148"/>
    <w:rsid w:val="08DA2C94"/>
    <w:rsid w:val="08E178BF"/>
    <w:rsid w:val="08E77E2B"/>
    <w:rsid w:val="08E8509B"/>
    <w:rsid w:val="08F024B8"/>
    <w:rsid w:val="09047D11"/>
    <w:rsid w:val="090708E9"/>
    <w:rsid w:val="09075E41"/>
    <w:rsid w:val="091343F8"/>
    <w:rsid w:val="091E5E0A"/>
    <w:rsid w:val="093A7BD7"/>
    <w:rsid w:val="09424A0F"/>
    <w:rsid w:val="09502F56"/>
    <w:rsid w:val="09591064"/>
    <w:rsid w:val="095A2027"/>
    <w:rsid w:val="095A3DD5"/>
    <w:rsid w:val="095E0350"/>
    <w:rsid w:val="095E1336"/>
    <w:rsid w:val="095F34DD"/>
    <w:rsid w:val="09682961"/>
    <w:rsid w:val="097E3F67"/>
    <w:rsid w:val="09890071"/>
    <w:rsid w:val="09A04B69"/>
    <w:rsid w:val="09A52160"/>
    <w:rsid w:val="09A908B8"/>
    <w:rsid w:val="09B367DA"/>
    <w:rsid w:val="09B5725D"/>
    <w:rsid w:val="09BD0D88"/>
    <w:rsid w:val="09D024E6"/>
    <w:rsid w:val="09DF1358"/>
    <w:rsid w:val="09EB2C7F"/>
    <w:rsid w:val="09F47D86"/>
    <w:rsid w:val="0A033A90"/>
    <w:rsid w:val="0A260CD3"/>
    <w:rsid w:val="0A36039E"/>
    <w:rsid w:val="0A3665F0"/>
    <w:rsid w:val="0A3751CF"/>
    <w:rsid w:val="0A397E8E"/>
    <w:rsid w:val="0A3D4B5A"/>
    <w:rsid w:val="0A581336"/>
    <w:rsid w:val="0A6842D0"/>
    <w:rsid w:val="0A813453"/>
    <w:rsid w:val="0A895DEB"/>
    <w:rsid w:val="0A8B1854"/>
    <w:rsid w:val="0A910FD9"/>
    <w:rsid w:val="0A9469B8"/>
    <w:rsid w:val="0AB35014"/>
    <w:rsid w:val="0AB601C8"/>
    <w:rsid w:val="0AC7549A"/>
    <w:rsid w:val="0ADD1CC6"/>
    <w:rsid w:val="0AE962F7"/>
    <w:rsid w:val="0B071F89"/>
    <w:rsid w:val="0B076C85"/>
    <w:rsid w:val="0B1C57E6"/>
    <w:rsid w:val="0B260D9B"/>
    <w:rsid w:val="0B461E60"/>
    <w:rsid w:val="0B48482D"/>
    <w:rsid w:val="0B5807E8"/>
    <w:rsid w:val="0B6401BF"/>
    <w:rsid w:val="0B696B87"/>
    <w:rsid w:val="0B6C2226"/>
    <w:rsid w:val="0B78116E"/>
    <w:rsid w:val="0B7E024F"/>
    <w:rsid w:val="0B9A2BEB"/>
    <w:rsid w:val="0BA23811"/>
    <w:rsid w:val="0BBE689D"/>
    <w:rsid w:val="0BDB6711"/>
    <w:rsid w:val="0BDC5CF0"/>
    <w:rsid w:val="0BE04A65"/>
    <w:rsid w:val="0BF70424"/>
    <w:rsid w:val="0C201306"/>
    <w:rsid w:val="0C2F32F7"/>
    <w:rsid w:val="0C4036D7"/>
    <w:rsid w:val="0C452B1A"/>
    <w:rsid w:val="0C5D33BF"/>
    <w:rsid w:val="0C5D60B6"/>
    <w:rsid w:val="0C96326B"/>
    <w:rsid w:val="0C984603"/>
    <w:rsid w:val="0C9C795E"/>
    <w:rsid w:val="0CA27F6D"/>
    <w:rsid w:val="0CBA74FA"/>
    <w:rsid w:val="0CC46C06"/>
    <w:rsid w:val="0CE02843"/>
    <w:rsid w:val="0CF32576"/>
    <w:rsid w:val="0D150C6A"/>
    <w:rsid w:val="0D1F15BD"/>
    <w:rsid w:val="0D467272"/>
    <w:rsid w:val="0D515554"/>
    <w:rsid w:val="0D5D3E94"/>
    <w:rsid w:val="0D5F30D5"/>
    <w:rsid w:val="0D611BD6"/>
    <w:rsid w:val="0D7D07EC"/>
    <w:rsid w:val="0D841421"/>
    <w:rsid w:val="0D886840"/>
    <w:rsid w:val="0D957AD2"/>
    <w:rsid w:val="0DAB1750"/>
    <w:rsid w:val="0DB758A6"/>
    <w:rsid w:val="0DC07789"/>
    <w:rsid w:val="0DE85960"/>
    <w:rsid w:val="0DEB5E55"/>
    <w:rsid w:val="0DEE415B"/>
    <w:rsid w:val="0DF447F8"/>
    <w:rsid w:val="0E035781"/>
    <w:rsid w:val="0E0B38F0"/>
    <w:rsid w:val="0E0D1416"/>
    <w:rsid w:val="0E2269C7"/>
    <w:rsid w:val="0E5018B5"/>
    <w:rsid w:val="0E66622E"/>
    <w:rsid w:val="0E881C1C"/>
    <w:rsid w:val="0E8E05E0"/>
    <w:rsid w:val="0E8E58AE"/>
    <w:rsid w:val="0E963B01"/>
    <w:rsid w:val="0E995647"/>
    <w:rsid w:val="0EA1730C"/>
    <w:rsid w:val="0EB548DA"/>
    <w:rsid w:val="0EB5684B"/>
    <w:rsid w:val="0EC20452"/>
    <w:rsid w:val="0EE12C10"/>
    <w:rsid w:val="0EF77D1B"/>
    <w:rsid w:val="0F1B7B63"/>
    <w:rsid w:val="0F2266F1"/>
    <w:rsid w:val="0F497A3C"/>
    <w:rsid w:val="0F5B2655"/>
    <w:rsid w:val="0F655598"/>
    <w:rsid w:val="0F67278C"/>
    <w:rsid w:val="0F6B19D2"/>
    <w:rsid w:val="0F881EB1"/>
    <w:rsid w:val="0F9D5A03"/>
    <w:rsid w:val="0FA63EFB"/>
    <w:rsid w:val="0FBD6E58"/>
    <w:rsid w:val="0FE6269F"/>
    <w:rsid w:val="0FEB5787"/>
    <w:rsid w:val="0FF57EAA"/>
    <w:rsid w:val="0FFF3A77"/>
    <w:rsid w:val="100B77C9"/>
    <w:rsid w:val="10100140"/>
    <w:rsid w:val="101664B1"/>
    <w:rsid w:val="101822F4"/>
    <w:rsid w:val="101D4A9A"/>
    <w:rsid w:val="10303AE2"/>
    <w:rsid w:val="103A04BC"/>
    <w:rsid w:val="103E7FAD"/>
    <w:rsid w:val="10433815"/>
    <w:rsid w:val="10545A22"/>
    <w:rsid w:val="105477D0"/>
    <w:rsid w:val="105A607A"/>
    <w:rsid w:val="106B68C8"/>
    <w:rsid w:val="107D0002"/>
    <w:rsid w:val="10A122E9"/>
    <w:rsid w:val="10C304B2"/>
    <w:rsid w:val="10D64CD6"/>
    <w:rsid w:val="10DD18B7"/>
    <w:rsid w:val="10DD5A17"/>
    <w:rsid w:val="10DF5E92"/>
    <w:rsid w:val="10E16B8A"/>
    <w:rsid w:val="110F74AE"/>
    <w:rsid w:val="11162CD7"/>
    <w:rsid w:val="11380EA0"/>
    <w:rsid w:val="114D7DA7"/>
    <w:rsid w:val="11723F36"/>
    <w:rsid w:val="11761B25"/>
    <w:rsid w:val="118E1E0F"/>
    <w:rsid w:val="11CC6EBD"/>
    <w:rsid w:val="11DF30C9"/>
    <w:rsid w:val="11F15151"/>
    <w:rsid w:val="11F4424F"/>
    <w:rsid w:val="1204348F"/>
    <w:rsid w:val="120E02AD"/>
    <w:rsid w:val="121E62E8"/>
    <w:rsid w:val="122338FE"/>
    <w:rsid w:val="12437AFC"/>
    <w:rsid w:val="12490E8B"/>
    <w:rsid w:val="124B1430"/>
    <w:rsid w:val="126637EB"/>
    <w:rsid w:val="12695089"/>
    <w:rsid w:val="12837EF9"/>
    <w:rsid w:val="12B16BA0"/>
    <w:rsid w:val="12B55EEF"/>
    <w:rsid w:val="12D301CD"/>
    <w:rsid w:val="12DD1CFF"/>
    <w:rsid w:val="12E23B09"/>
    <w:rsid w:val="12E96D17"/>
    <w:rsid w:val="12ED1816"/>
    <w:rsid w:val="12F500A5"/>
    <w:rsid w:val="13052B45"/>
    <w:rsid w:val="131412E7"/>
    <w:rsid w:val="13250FB0"/>
    <w:rsid w:val="132A4818"/>
    <w:rsid w:val="132D1ABB"/>
    <w:rsid w:val="1332191F"/>
    <w:rsid w:val="13385187"/>
    <w:rsid w:val="133D09EF"/>
    <w:rsid w:val="13433B2C"/>
    <w:rsid w:val="134B3A54"/>
    <w:rsid w:val="135755C1"/>
    <w:rsid w:val="13653AA2"/>
    <w:rsid w:val="137221A7"/>
    <w:rsid w:val="13741F37"/>
    <w:rsid w:val="137A4F81"/>
    <w:rsid w:val="138E4308"/>
    <w:rsid w:val="138E4C96"/>
    <w:rsid w:val="139A32B7"/>
    <w:rsid w:val="13A1380F"/>
    <w:rsid w:val="13A4175E"/>
    <w:rsid w:val="13B363E0"/>
    <w:rsid w:val="13B50586"/>
    <w:rsid w:val="13B72040"/>
    <w:rsid w:val="13BC7A16"/>
    <w:rsid w:val="13C609E5"/>
    <w:rsid w:val="13C92B52"/>
    <w:rsid w:val="13D61E18"/>
    <w:rsid w:val="142E658A"/>
    <w:rsid w:val="14322CBE"/>
    <w:rsid w:val="14470BFA"/>
    <w:rsid w:val="14656C69"/>
    <w:rsid w:val="14662388"/>
    <w:rsid w:val="14755F67"/>
    <w:rsid w:val="147B5638"/>
    <w:rsid w:val="149D101A"/>
    <w:rsid w:val="14B20F69"/>
    <w:rsid w:val="14B720DC"/>
    <w:rsid w:val="14CE47BD"/>
    <w:rsid w:val="14D902A4"/>
    <w:rsid w:val="14EF5D19"/>
    <w:rsid w:val="14F25809"/>
    <w:rsid w:val="14F65FFF"/>
    <w:rsid w:val="15066BBF"/>
    <w:rsid w:val="15273705"/>
    <w:rsid w:val="15311E8E"/>
    <w:rsid w:val="157B57FF"/>
    <w:rsid w:val="159632F8"/>
    <w:rsid w:val="1599192D"/>
    <w:rsid w:val="15CD4FC7"/>
    <w:rsid w:val="15D61CD5"/>
    <w:rsid w:val="15F5110D"/>
    <w:rsid w:val="15FB06EE"/>
    <w:rsid w:val="15FD4466"/>
    <w:rsid w:val="15FF3B1F"/>
    <w:rsid w:val="161A4F16"/>
    <w:rsid w:val="16831BD2"/>
    <w:rsid w:val="168E3310"/>
    <w:rsid w:val="16B953D3"/>
    <w:rsid w:val="16BF2B60"/>
    <w:rsid w:val="16C17384"/>
    <w:rsid w:val="16D255BC"/>
    <w:rsid w:val="17306175"/>
    <w:rsid w:val="173940BA"/>
    <w:rsid w:val="174A5489"/>
    <w:rsid w:val="174C7257"/>
    <w:rsid w:val="174D7ACA"/>
    <w:rsid w:val="17720237"/>
    <w:rsid w:val="177D7B37"/>
    <w:rsid w:val="17A50F62"/>
    <w:rsid w:val="17B93E25"/>
    <w:rsid w:val="17C93FBA"/>
    <w:rsid w:val="17EC02EE"/>
    <w:rsid w:val="17EE247E"/>
    <w:rsid w:val="180C0990"/>
    <w:rsid w:val="18106098"/>
    <w:rsid w:val="18371EB1"/>
    <w:rsid w:val="1840688C"/>
    <w:rsid w:val="18463EA2"/>
    <w:rsid w:val="186044B2"/>
    <w:rsid w:val="18866995"/>
    <w:rsid w:val="188873F9"/>
    <w:rsid w:val="189310B2"/>
    <w:rsid w:val="18A16561"/>
    <w:rsid w:val="18AB1378"/>
    <w:rsid w:val="18BC23B6"/>
    <w:rsid w:val="18C1177B"/>
    <w:rsid w:val="18E60EEC"/>
    <w:rsid w:val="19100CA2"/>
    <w:rsid w:val="193603E4"/>
    <w:rsid w:val="19385815"/>
    <w:rsid w:val="19576FA0"/>
    <w:rsid w:val="19610C1E"/>
    <w:rsid w:val="19690540"/>
    <w:rsid w:val="19715B13"/>
    <w:rsid w:val="19777080"/>
    <w:rsid w:val="198567EB"/>
    <w:rsid w:val="198F5CC9"/>
    <w:rsid w:val="199D1C93"/>
    <w:rsid w:val="19A45D24"/>
    <w:rsid w:val="19B47531"/>
    <w:rsid w:val="19EB7814"/>
    <w:rsid w:val="19EF40C6"/>
    <w:rsid w:val="1A107EF4"/>
    <w:rsid w:val="1A2A3350"/>
    <w:rsid w:val="1A3F3FF6"/>
    <w:rsid w:val="1A435955"/>
    <w:rsid w:val="1A4C32C6"/>
    <w:rsid w:val="1A4F7538"/>
    <w:rsid w:val="1A5A1E87"/>
    <w:rsid w:val="1A693E78"/>
    <w:rsid w:val="1A6A7BF0"/>
    <w:rsid w:val="1A70536E"/>
    <w:rsid w:val="1A89451A"/>
    <w:rsid w:val="1A9D1A97"/>
    <w:rsid w:val="1AC77083"/>
    <w:rsid w:val="1ACB7F4D"/>
    <w:rsid w:val="1ADF413A"/>
    <w:rsid w:val="1AF079B3"/>
    <w:rsid w:val="1AFA5418"/>
    <w:rsid w:val="1B131B01"/>
    <w:rsid w:val="1B1A121B"/>
    <w:rsid w:val="1B1C7C85"/>
    <w:rsid w:val="1B224FE1"/>
    <w:rsid w:val="1B4D19EC"/>
    <w:rsid w:val="1B76720E"/>
    <w:rsid w:val="1B776A68"/>
    <w:rsid w:val="1B8323B1"/>
    <w:rsid w:val="1B897F89"/>
    <w:rsid w:val="1B9E3D36"/>
    <w:rsid w:val="1BBC26CD"/>
    <w:rsid w:val="1BDF56C5"/>
    <w:rsid w:val="1BE35EAC"/>
    <w:rsid w:val="1BEC0D4D"/>
    <w:rsid w:val="1BEE234F"/>
    <w:rsid w:val="1BF65BDF"/>
    <w:rsid w:val="1C202C5C"/>
    <w:rsid w:val="1C2362A8"/>
    <w:rsid w:val="1C337FF2"/>
    <w:rsid w:val="1C4156D5"/>
    <w:rsid w:val="1C427DFC"/>
    <w:rsid w:val="1C4A282A"/>
    <w:rsid w:val="1C4E73A9"/>
    <w:rsid w:val="1C686093"/>
    <w:rsid w:val="1C947637"/>
    <w:rsid w:val="1C9641BF"/>
    <w:rsid w:val="1C9F7C45"/>
    <w:rsid w:val="1CAC44F0"/>
    <w:rsid w:val="1CAE23D1"/>
    <w:rsid w:val="1CC21F65"/>
    <w:rsid w:val="1CC7132A"/>
    <w:rsid w:val="1CCB2BC8"/>
    <w:rsid w:val="1CEE141E"/>
    <w:rsid w:val="1CF739BD"/>
    <w:rsid w:val="1CF8661E"/>
    <w:rsid w:val="1D061E52"/>
    <w:rsid w:val="1D0667AD"/>
    <w:rsid w:val="1D1A76AB"/>
    <w:rsid w:val="1D281A46"/>
    <w:rsid w:val="1D4C7D22"/>
    <w:rsid w:val="1D510BB8"/>
    <w:rsid w:val="1D526E45"/>
    <w:rsid w:val="1D5E609A"/>
    <w:rsid w:val="1D885A81"/>
    <w:rsid w:val="1D934DF7"/>
    <w:rsid w:val="1D9B5AC8"/>
    <w:rsid w:val="1D9C4564"/>
    <w:rsid w:val="1DBA49EB"/>
    <w:rsid w:val="1DBC4C07"/>
    <w:rsid w:val="1DDB1C88"/>
    <w:rsid w:val="1DDC7057"/>
    <w:rsid w:val="1DE22A14"/>
    <w:rsid w:val="1DEC729A"/>
    <w:rsid w:val="1DEF28E6"/>
    <w:rsid w:val="1E037187"/>
    <w:rsid w:val="1E221DC5"/>
    <w:rsid w:val="1E2C44CF"/>
    <w:rsid w:val="1E3509E4"/>
    <w:rsid w:val="1E42207C"/>
    <w:rsid w:val="1E5310C7"/>
    <w:rsid w:val="1E74728F"/>
    <w:rsid w:val="1E885555"/>
    <w:rsid w:val="1E9201EC"/>
    <w:rsid w:val="1E935967"/>
    <w:rsid w:val="1EB3600A"/>
    <w:rsid w:val="1ECA6EAF"/>
    <w:rsid w:val="1ED32B94"/>
    <w:rsid w:val="1EE44415"/>
    <w:rsid w:val="1EFA3C38"/>
    <w:rsid w:val="1F0431ED"/>
    <w:rsid w:val="1F26058A"/>
    <w:rsid w:val="1F2B5BA0"/>
    <w:rsid w:val="1F347512"/>
    <w:rsid w:val="1F443106"/>
    <w:rsid w:val="1F460C2C"/>
    <w:rsid w:val="1F51501C"/>
    <w:rsid w:val="1F536EA5"/>
    <w:rsid w:val="1F5A6485"/>
    <w:rsid w:val="1F5A6860"/>
    <w:rsid w:val="1F6E4BF3"/>
    <w:rsid w:val="1F813A12"/>
    <w:rsid w:val="1F882FF2"/>
    <w:rsid w:val="1FB442AF"/>
    <w:rsid w:val="1FB97650"/>
    <w:rsid w:val="1FE373A2"/>
    <w:rsid w:val="1FF77584"/>
    <w:rsid w:val="20032679"/>
    <w:rsid w:val="202E2FCF"/>
    <w:rsid w:val="20361E67"/>
    <w:rsid w:val="20384A18"/>
    <w:rsid w:val="203D202F"/>
    <w:rsid w:val="20457135"/>
    <w:rsid w:val="207B2B57"/>
    <w:rsid w:val="207C02AA"/>
    <w:rsid w:val="207E61A3"/>
    <w:rsid w:val="20983709"/>
    <w:rsid w:val="20C74248"/>
    <w:rsid w:val="20CA13E8"/>
    <w:rsid w:val="20DA5ACF"/>
    <w:rsid w:val="20DC38FA"/>
    <w:rsid w:val="211803A6"/>
    <w:rsid w:val="21246D4B"/>
    <w:rsid w:val="21380A48"/>
    <w:rsid w:val="215D400B"/>
    <w:rsid w:val="2179518E"/>
    <w:rsid w:val="217A33F8"/>
    <w:rsid w:val="217A63D5"/>
    <w:rsid w:val="217D1EA8"/>
    <w:rsid w:val="21B77BBF"/>
    <w:rsid w:val="21BA320B"/>
    <w:rsid w:val="21D249F9"/>
    <w:rsid w:val="21D40771"/>
    <w:rsid w:val="21D4251F"/>
    <w:rsid w:val="21D617EA"/>
    <w:rsid w:val="21EB7868"/>
    <w:rsid w:val="21F359A7"/>
    <w:rsid w:val="220628F4"/>
    <w:rsid w:val="220A7A22"/>
    <w:rsid w:val="220B1CB9"/>
    <w:rsid w:val="222648EA"/>
    <w:rsid w:val="2230171F"/>
    <w:rsid w:val="2232642A"/>
    <w:rsid w:val="226B7889"/>
    <w:rsid w:val="227B20A1"/>
    <w:rsid w:val="22806203"/>
    <w:rsid w:val="228F28EA"/>
    <w:rsid w:val="229F4062"/>
    <w:rsid w:val="22BD7457"/>
    <w:rsid w:val="22D85654"/>
    <w:rsid w:val="231762B3"/>
    <w:rsid w:val="231A6657"/>
    <w:rsid w:val="233B0312"/>
    <w:rsid w:val="233F2CB4"/>
    <w:rsid w:val="23495BF2"/>
    <w:rsid w:val="234E6301"/>
    <w:rsid w:val="23577F7D"/>
    <w:rsid w:val="23702E7D"/>
    <w:rsid w:val="23773744"/>
    <w:rsid w:val="23784A89"/>
    <w:rsid w:val="237C4790"/>
    <w:rsid w:val="23897339"/>
    <w:rsid w:val="238C4B82"/>
    <w:rsid w:val="23922691"/>
    <w:rsid w:val="23965CCC"/>
    <w:rsid w:val="23A2362D"/>
    <w:rsid w:val="23ED78C8"/>
    <w:rsid w:val="23FA0464"/>
    <w:rsid w:val="23FC4A72"/>
    <w:rsid w:val="240A6030"/>
    <w:rsid w:val="240B2444"/>
    <w:rsid w:val="24125580"/>
    <w:rsid w:val="242C1A68"/>
    <w:rsid w:val="243200CD"/>
    <w:rsid w:val="243717CF"/>
    <w:rsid w:val="244B45EE"/>
    <w:rsid w:val="24552860"/>
    <w:rsid w:val="24593831"/>
    <w:rsid w:val="245F53D3"/>
    <w:rsid w:val="24651B54"/>
    <w:rsid w:val="2469609F"/>
    <w:rsid w:val="2479115B"/>
    <w:rsid w:val="247E1ADD"/>
    <w:rsid w:val="248D198E"/>
    <w:rsid w:val="249266C1"/>
    <w:rsid w:val="24A22B12"/>
    <w:rsid w:val="24C858E4"/>
    <w:rsid w:val="24EA2691"/>
    <w:rsid w:val="24FB7DC2"/>
    <w:rsid w:val="2504025A"/>
    <w:rsid w:val="250E3F9A"/>
    <w:rsid w:val="250F7D12"/>
    <w:rsid w:val="25203CCD"/>
    <w:rsid w:val="25263BEB"/>
    <w:rsid w:val="254D5B14"/>
    <w:rsid w:val="25652D29"/>
    <w:rsid w:val="2573016A"/>
    <w:rsid w:val="257B7155"/>
    <w:rsid w:val="25AF4376"/>
    <w:rsid w:val="25DF5031"/>
    <w:rsid w:val="25E76599"/>
    <w:rsid w:val="261C26E6"/>
    <w:rsid w:val="261D00B9"/>
    <w:rsid w:val="261D2749"/>
    <w:rsid w:val="26217CFD"/>
    <w:rsid w:val="262B0B7B"/>
    <w:rsid w:val="26623F4B"/>
    <w:rsid w:val="267A740D"/>
    <w:rsid w:val="2694181B"/>
    <w:rsid w:val="269A3133"/>
    <w:rsid w:val="26A624A5"/>
    <w:rsid w:val="26AD1590"/>
    <w:rsid w:val="26B47D7B"/>
    <w:rsid w:val="26B8513C"/>
    <w:rsid w:val="26CA2142"/>
    <w:rsid w:val="26D0702D"/>
    <w:rsid w:val="26EA56C2"/>
    <w:rsid w:val="26FB2C57"/>
    <w:rsid w:val="27111B1F"/>
    <w:rsid w:val="27133AE9"/>
    <w:rsid w:val="27135897"/>
    <w:rsid w:val="272107C1"/>
    <w:rsid w:val="272A503B"/>
    <w:rsid w:val="27444631"/>
    <w:rsid w:val="2749750B"/>
    <w:rsid w:val="27561C28"/>
    <w:rsid w:val="276615E0"/>
    <w:rsid w:val="277163C9"/>
    <w:rsid w:val="277A3B68"/>
    <w:rsid w:val="27934C2A"/>
    <w:rsid w:val="27B32BD6"/>
    <w:rsid w:val="27BA53A3"/>
    <w:rsid w:val="27D93205"/>
    <w:rsid w:val="27E17278"/>
    <w:rsid w:val="27E21D4A"/>
    <w:rsid w:val="27ED433A"/>
    <w:rsid w:val="27EE3C0E"/>
    <w:rsid w:val="28006D1E"/>
    <w:rsid w:val="28126FC4"/>
    <w:rsid w:val="28210363"/>
    <w:rsid w:val="28680AD8"/>
    <w:rsid w:val="28771E56"/>
    <w:rsid w:val="28795EF5"/>
    <w:rsid w:val="28AD1D1C"/>
    <w:rsid w:val="28C52679"/>
    <w:rsid w:val="28DD431A"/>
    <w:rsid w:val="28E1062A"/>
    <w:rsid w:val="28ED3EC6"/>
    <w:rsid w:val="28F22C3A"/>
    <w:rsid w:val="29151EF5"/>
    <w:rsid w:val="291833B1"/>
    <w:rsid w:val="29211DC2"/>
    <w:rsid w:val="292A4721"/>
    <w:rsid w:val="294A756A"/>
    <w:rsid w:val="295757E3"/>
    <w:rsid w:val="296323DA"/>
    <w:rsid w:val="298F4F7D"/>
    <w:rsid w:val="29930F11"/>
    <w:rsid w:val="29995DFC"/>
    <w:rsid w:val="29C64297"/>
    <w:rsid w:val="29CA2459"/>
    <w:rsid w:val="29D06DA5"/>
    <w:rsid w:val="29E4176D"/>
    <w:rsid w:val="29FB2613"/>
    <w:rsid w:val="2A07545B"/>
    <w:rsid w:val="2A0C65CE"/>
    <w:rsid w:val="2A0D7BCB"/>
    <w:rsid w:val="2A192D68"/>
    <w:rsid w:val="2A246AD2"/>
    <w:rsid w:val="2A38744A"/>
    <w:rsid w:val="2A3E7662"/>
    <w:rsid w:val="2A4B5348"/>
    <w:rsid w:val="2A5F2184"/>
    <w:rsid w:val="2A612DBE"/>
    <w:rsid w:val="2A64465C"/>
    <w:rsid w:val="2A6551E1"/>
    <w:rsid w:val="2A687324"/>
    <w:rsid w:val="2A7A3E7F"/>
    <w:rsid w:val="2A8668D4"/>
    <w:rsid w:val="2AB156E6"/>
    <w:rsid w:val="2AC05D36"/>
    <w:rsid w:val="2AC849F6"/>
    <w:rsid w:val="2ACF55A8"/>
    <w:rsid w:val="2AE50F16"/>
    <w:rsid w:val="2AF15CFE"/>
    <w:rsid w:val="2B0D0850"/>
    <w:rsid w:val="2B2E5640"/>
    <w:rsid w:val="2B312668"/>
    <w:rsid w:val="2B36391E"/>
    <w:rsid w:val="2B4029D3"/>
    <w:rsid w:val="2B4E2670"/>
    <w:rsid w:val="2B62753C"/>
    <w:rsid w:val="2B726905"/>
    <w:rsid w:val="2B7760D5"/>
    <w:rsid w:val="2B9F7B91"/>
    <w:rsid w:val="2BA74800"/>
    <w:rsid w:val="2BA95732"/>
    <w:rsid w:val="2BB455D6"/>
    <w:rsid w:val="2BBC30CD"/>
    <w:rsid w:val="2BC96E6C"/>
    <w:rsid w:val="2BD8717A"/>
    <w:rsid w:val="2BE315B0"/>
    <w:rsid w:val="2BF043F9"/>
    <w:rsid w:val="2C161986"/>
    <w:rsid w:val="2C1D4382"/>
    <w:rsid w:val="2C230BE6"/>
    <w:rsid w:val="2C3F7E23"/>
    <w:rsid w:val="2C447E50"/>
    <w:rsid w:val="2C5B72C4"/>
    <w:rsid w:val="2C6B18F7"/>
    <w:rsid w:val="2C8D2C47"/>
    <w:rsid w:val="2C9D01BD"/>
    <w:rsid w:val="2CA455C9"/>
    <w:rsid w:val="2CAB021C"/>
    <w:rsid w:val="2CC508EA"/>
    <w:rsid w:val="2CD62790"/>
    <w:rsid w:val="2CF47F19"/>
    <w:rsid w:val="2D005C9E"/>
    <w:rsid w:val="2D1759B5"/>
    <w:rsid w:val="2D21771C"/>
    <w:rsid w:val="2D297497"/>
    <w:rsid w:val="2D3A2423"/>
    <w:rsid w:val="2D547673"/>
    <w:rsid w:val="2D55028C"/>
    <w:rsid w:val="2D595FCE"/>
    <w:rsid w:val="2D6C3F53"/>
    <w:rsid w:val="2D755CA2"/>
    <w:rsid w:val="2D80717B"/>
    <w:rsid w:val="2D8D3349"/>
    <w:rsid w:val="2D923A81"/>
    <w:rsid w:val="2DA84860"/>
    <w:rsid w:val="2DB31B82"/>
    <w:rsid w:val="2DCF1834"/>
    <w:rsid w:val="2DE51610"/>
    <w:rsid w:val="2DE557CB"/>
    <w:rsid w:val="2DF66BF5"/>
    <w:rsid w:val="2E057F04"/>
    <w:rsid w:val="2E093F97"/>
    <w:rsid w:val="2E1428B6"/>
    <w:rsid w:val="2E382087"/>
    <w:rsid w:val="2E391A85"/>
    <w:rsid w:val="2E5F13C2"/>
    <w:rsid w:val="2E650E2E"/>
    <w:rsid w:val="2E674C3B"/>
    <w:rsid w:val="2E6A3074"/>
    <w:rsid w:val="2E7510DA"/>
    <w:rsid w:val="2E76670C"/>
    <w:rsid w:val="2E903C71"/>
    <w:rsid w:val="2E993A9C"/>
    <w:rsid w:val="2EA11FA3"/>
    <w:rsid w:val="2EA20283"/>
    <w:rsid w:val="2EB5242B"/>
    <w:rsid w:val="2ECA6A01"/>
    <w:rsid w:val="2EFE715A"/>
    <w:rsid w:val="2F053573"/>
    <w:rsid w:val="2F0A6CB0"/>
    <w:rsid w:val="2F172800"/>
    <w:rsid w:val="2F2E0043"/>
    <w:rsid w:val="2F3E547B"/>
    <w:rsid w:val="2F77273B"/>
    <w:rsid w:val="2F8F217B"/>
    <w:rsid w:val="2F902FD5"/>
    <w:rsid w:val="2FBE2739"/>
    <w:rsid w:val="2FC367EB"/>
    <w:rsid w:val="2FD656B4"/>
    <w:rsid w:val="2FDE1594"/>
    <w:rsid w:val="2FE7130D"/>
    <w:rsid w:val="2FEC3129"/>
    <w:rsid w:val="2FF45101"/>
    <w:rsid w:val="30085A89"/>
    <w:rsid w:val="30093D7C"/>
    <w:rsid w:val="3038011D"/>
    <w:rsid w:val="304545E8"/>
    <w:rsid w:val="305F47ED"/>
    <w:rsid w:val="306B04F2"/>
    <w:rsid w:val="3082583C"/>
    <w:rsid w:val="309061AB"/>
    <w:rsid w:val="30A85F5C"/>
    <w:rsid w:val="30AE03DF"/>
    <w:rsid w:val="30B11C7D"/>
    <w:rsid w:val="30B24DCB"/>
    <w:rsid w:val="30CA665C"/>
    <w:rsid w:val="30D52967"/>
    <w:rsid w:val="30DD6F16"/>
    <w:rsid w:val="30EB1AD1"/>
    <w:rsid w:val="31085D41"/>
    <w:rsid w:val="3111430A"/>
    <w:rsid w:val="31307B65"/>
    <w:rsid w:val="316513E5"/>
    <w:rsid w:val="316D6D39"/>
    <w:rsid w:val="317E65CE"/>
    <w:rsid w:val="31832F49"/>
    <w:rsid w:val="3186135C"/>
    <w:rsid w:val="31AF2660"/>
    <w:rsid w:val="31D068CC"/>
    <w:rsid w:val="31E85B72"/>
    <w:rsid w:val="31ED7800"/>
    <w:rsid w:val="31F75DB5"/>
    <w:rsid w:val="320A5AE9"/>
    <w:rsid w:val="32204532"/>
    <w:rsid w:val="3220530C"/>
    <w:rsid w:val="32236BAB"/>
    <w:rsid w:val="322A2FD6"/>
    <w:rsid w:val="322B2690"/>
    <w:rsid w:val="323F1C36"/>
    <w:rsid w:val="32543208"/>
    <w:rsid w:val="32584F37"/>
    <w:rsid w:val="3260395B"/>
    <w:rsid w:val="326E1E34"/>
    <w:rsid w:val="327940F3"/>
    <w:rsid w:val="327F5727"/>
    <w:rsid w:val="327F64D7"/>
    <w:rsid w:val="32961B0D"/>
    <w:rsid w:val="3298235F"/>
    <w:rsid w:val="32AE0B6A"/>
    <w:rsid w:val="32C1089D"/>
    <w:rsid w:val="32CB34CA"/>
    <w:rsid w:val="32D61E6F"/>
    <w:rsid w:val="32E53E60"/>
    <w:rsid w:val="32FE6249"/>
    <w:rsid w:val="330B38C7"/>
    <w:rsid w:val="331A7FAD"/>
    <w:rsid w:val="33622678"/>
    <w:rsid w:val="337323F4"/>
    <w:rsid w:val="33843883"/>
    <w:rsid w:val="33875824"/>
    <w:rsid w:val="339064C2"/>
    <w:rsid w:val="33957BF6"/>
    <w:rsid w:val="33B85625"/>
    <w:rsid w:val="33BA3F4B"/>
    <w:rsid w:val="33F00AC4"/>
    <w:rsid w:val="34083DFD"/>
    <w:rsid w:val="340C572B"/>
    <w:rsid w:val="34142C4F"/>
    <w:rsid w:val="346239BA"/>
    <w:rsid w:val="34650282"/>
    <w:rsid w:val="348338B6"/>
    <w:rsid w:val="348F2422"/>
    <w:rsid w:val="349F3313"/>
    <w:rsid w:val="34B72E6D"/>
    <w:rsid w:val="34C809DB"/>
    <w:rsid w:val="34DB28F0"/>
    <w:rsid w:val="34E46AC5"/>
    <w:rsid w:val="35034F58"/>
    <w:rsid w:val="35200B0A"/>
    <w:rsid w:val="352670DE"/>
    <w:rsid w:val="353D7DC9"/>
    <w:rsid w:val="353F21B3"/>
    <w:rsid w:val="35400C23"/>
    <w:rsid w:val="35441312"/>
    <w:rsid w:val="354613F6"/>
    <w:rsid w:val="354E03E2"/>
    <w:rsid w:val="35511278"/>
    <w:rsid w:val="35521C81"/>
    <w:rsid w:val="35527ED3"/>
    <w:rsid w:val="355B7471"/>
    <w:rsid w:val="357A11D7"/>
    <w:rsid w:val="35812566"/>
    <w:rsid w:val="35836555"/>
    <w:rsid w:val="358B781C"/>
    <w:rsid w:val="35941175"/>
    <w:rsid w:val="35956011"/>
    <w:rsid w:val="35A973C7"/>
    <w:rsid w:val="35BB5A78"/>
    <w:rsid w:val="35CC4DC7"/>
    <w:rsid w:val="35CD1307"/>
    <w:rsid w:val="35D7290D"/>
    <w:rsid w:val="35FB2318"/>
    <w:rsid w:val="36021A48"/>
    <w:rsid w:val="360325EC"/>
    <w:rsid w:val="361C403D"/>
    <w:rsid w:val="36317AE8"/>
    <w:rsid w:val="36392E40"/>
    <w:rsid w:val="363D4937"/>
    <w:rsid w:val="364F349D"/>
    <w:rsid w:val="36787521"/>
    <w:rsid w:val="367A022C"/>
    <w:rsid w:val="368E4F3A"/>
    <w:rsid w:val="368F0CB2"/>
    <w:rsid w:val="36904890"/>
    <w:rsid w:val="36B204FD"/>
    <w:rsid w:val="36CA1E3C"/>
    <w:rsid w:val="36DB7A54"/>
    <w:rsid w:val="36E85400"/>
    <w:rsid w:val="370522D0"/>
    <w:rsid w:val="37076A9B"/>
    <w:rsid w:val="370E379F"/>
    <w:rsid w:val="37321E9F"/>
    <w:rsid w:val="373D24BC"/>
    <w:rsid w:val="37402EE3"/>
    <w:rsid w:val="37517D16"/>
    <w:rsid w:val="375A306E"/>
    <w:rsid w:val="3783461F"/>
    <w:rsid w:val="3786625D"/>
    <w:rsid w:val="37891E4B"/>
    <w:rsid w:val="37A14A27"/>
    <w:rsid w:val="37A44758"/>
    <w:rsid w:val="37B534AC"/>
    <w:rsid w:val="37C4673A"/>
    <w:rsid w:val="37D01397"/>
    <w:rsid w:val="37F479DA"/>
    <w:rsid w:val="37FC1616"/>
    <w:rsid w:val="38036651"/>
    <w:rsid w:val="380A6681"/>
    <w:rsid w:val="382A3B65"/>
    <w:rsid w:val="38312021"/>
    <w:rsid w:val="38397128"/>
    <w:rsid w:val="38471845"/>
    <w:rsid w:val="38575800"/>
    <w:rsid w:val="385775AE"/>
    <w:rsid w:val="386723AF"/>
    <w:rsid w:val="38855ECC"/>
    <w:rsid w:val="388D46D6"/>
    <w:rsid w:val="3894435E"/>
    <w:rsid w:val="38AC78FA"/>
    <w:rsid w:val="38B16CBE"/>
    <w:rsid w:val="38CE6B9F"/>
    <w:rsid w:val="38D43C36"/>
    <w:rsid w:val="38D806EF"/>
    <w:rsid w:val="38EC5F48"/>
    <w:rsid w:val="38F33F77"/>
    <w:rsid w:val="38F85F83"/>
    <w:rsid w:val="39052176"/>
    <w:rsid w:val="39052711"/>
    <w:rsid w:val="39215DAB"/>
    <w:rsid w:val="39297DD7"/>
    <w:rsid w:val="392E6561"/>
    <w:rsid w:val="392F206B"/>
    <w:rsid w:val="39487007"/>
    <w:rsid w:val="39495149"/>
    <w:rsid w:val="39556690"/>
    <w:rsid w:val="396C3D44"/>
    <w:rsid w:val="396F1445"/>
    <w:rsid w:val="39706B79"/>
    <w:rsid w:val="3990157B"/>
    <w:rsid w:val="39927B43"/>
    <w:rsid w:val="39A54802"/>
    <w:rsid w:val="39A71E6F"/>
    <w:rsid w:val="39DE7F87"/>
    <w:rsid w:val="3A1219DE"/>
    <w:rsid w:val="3A161601"/>
    <w:rsid w:val="3A186FEB"/>
    <w:rsid w:val="3A1E0383"/>
    <w:rsid w:val="3A262697"/>
    <w:rsid w:val="3A2D05C6"/>
    <w:rsid w:val="3A695377"/>
    <w:rsid w:val="3A6D130B"/>
    <w:rsid w:val="3A824DB6"/>
    <w:rsid w:val="3AAC3BE1"/>
    <w:rsid w:val="3AB31ADC"/>
    <w:rsid w:val="3ACD1DA9"/>
    <w:rsid w:val="3AD01E21"/>
    <w:rsid w:val="3AE06CCC"/>
    <w:rsid w:val="3AF6384B"/>
    <w:rsid w:val="3B2C6AD0"/>
    <w:rsid w:val="3B3062E5"/>
    <w:rsid w:val="3B4A51A8"/>
    <w:rsid w:val="3B530501"/>
    <w:rsid w:val="3B584315"/>
    <w:rsid w:val="3B5F4174"/>
    <w:rsid w:val="3B6C511E"/>
    <w:rsid w:val="3B8218E6"/>
    <w:rsid w:val="3BA06320"/>
    <w:rsid w:val="3BA66882"/>
    <w:rsid w:val="3BA743A8"/>
    <w:rsid w:val="3BA930B1"/>
    <w:rsid w:val="3BB645EB"/>
    <w:rsid w:val="3BC80746"/>
    <w:rsid w:val="3BD056AD"/>
    <w:rsid w:val="3BE63123"/>
    <w:rsid w:val="3BF515B8"/>
    <w:rsid w:val="3C0417FB"/>
    <w:rsid w:val="3C1E28BD"/>
    <w:rsid w:val="3C267826"/>
    <w:rsid w:val="3C320116"/>
    <w:rsid w:val="3C4C08F0"/>
    <w:rsid w:val="3C6369B6"/>
    <w:rsid w:val="3C84126C"/>
    <w:rsid w:val="3C9568F7"/>
    <w:rsid w:val="3C992BF7"/>
    <w:rsid w:val="3CB76516"/>
    <w:rsid w:val="3CBC6F89"/>
    <w:rsid w:val="3CC30864"/>
    <w:rsid w:val="3CC97668"/>
    <w:rsid w:val="3CD16A8F"/>
    <w:rsid w:val="3CED04E1"/>
    <w:rsid w:val="3CEF6007"/>
    <w:rsid w:val="3CF950D8"/>
    <w:rsid w:val="3D033860"/>
    <w:rsid w:val="3D167A38"/>
    <w:rsid w:val="3D1C5699"/>
    <w:rsid w:val="3D1E4B3E"/>
    <w:rsid w:val="3D22018A"/>
    <w:rsid w:val="3D404AB5"/>
    <w:rsid w:val="3D4109B2"/>
    <w:rsid w:val="3D454394"/>
    <w:rsid w:val="3D535A3A"/>
    <w:rsid w:val="3D89645B"/>
    <w:rsid w:val="3D98347D"/>
    <w:rsid w:val="3D9C08ED"/>
    <w:rsid w:val="3DA037A5"/>
    <w:rsid w:val="3DB55462"/>
    <w:rsid w:val="3DB83326"/>
    <w:rsid w:val="3DBF59D9"/>
    <w:rsid w:val="3DE25B6C"/>
    <w:rsid w:val="3DE73B9D"/>
    <w:rsid w:val="3DF011B9"/>
    <w:rsid w:val="3DFB473D"/>
    <w:rsid w:val="3E1321C9"/>
    <w:rsid w:val="3E1742A3"/>
    <w:rsid w:val="3E193E08"/>
    <w:rsid w:val="3E207103"/>
    <w:rsid w:val="3E287A22"/>
    <w:rsid w:val="3E4A6353"/>
    <w:rsid w:val="3E66054B"/>
    <w:rsid w:val="3E6A2CEC"/>
    <w:rsid w:val="3E7B660F"/>
    <w:rsid w:val="3E7C38CA"/>
    <w:rsid w:val="3E9B15A0"/>
    <w:rsid w:val="3EB63280"/>
    <w:rsid w:val="3ED656D0"/>
    <w:rsid w:val="3EDB4A95"/>
    <w:rsid w:val="3EF148F5"/>
    <w:rsid w:val="3EF47896"/>
    <w:rsid w:val="3EFD28C6"/>
    <w:rsid w:val="3F0D4E6A"/>
    <w:rsid w:val="3F141D55"/>
    <w:rsid w:val="3F2435A5"/>
    <w:rsid w:val="3F28322F"/>
    <w:rsid w:val="3F2A4D6E"/>
    <w:rsid w:val="3F2C09B1"/>
    <w:rsid w:val="3F2E2CCA"/>
    <w:rsid w:val="3F3725C6"/>
    <w:rsid w:val="3F4D5267"/>
    <w:rsid w:val="3F584337"/>
    <w:rsid w:val="3F5D227B"/>
    <w:rsid w:val="3F6A7B5D"/>
    <w:rsid w:val="3F79605C"/>
    <w:rsid w:val="3F917849"/>
    <w:rsid w:val="3F92745C"/>
    <w:rsid w:val="3FA23B70"/>
    <w:rsid w:val="3FA4132B"/>
    <w:rsid w:val="3FAA4467"/>
    <w:rsid w:val="3FCA4D6B"/>
    <w:rsid w:val="3FCB16E6"/>
    <w:rsid w:val="3FF37BBC"/>
    <w:rsid w:val="3FFC13DB"/>
    <w:rsid w:val="400423E7"/>
    <w:rsid w:val="4021297B"/>
    <w:rsid w:val="404D0C0D"/>
    <w:rsid w:val="40504E9C"/>
    <w:rsid w:val="40512B35"/>
    <w:rsid w:val="407F76A2"/>
    <w:rsid w:val="40A13ABC"/>
    <w:rsid w:val="40CB0B39"/>
    <w:rsid w:val="40D02751"/>
    <w:rsid w:val="40DA6FCE"/>
    <w:rsid w:val="40F24F08"/>
    <w:rsid w:val="40F462E2"/>
    <w:rsid w:val="410A1661"/>
    <w:rsid w:val="410F6C78"/>
    <w:rsid w:val="41405083"/>
    <w:rsid w:val="414508EB"/>
    <w:rsid w:val="41503DA4"/>
    <w:rsid w:val="415E682D"/>
    <w:rsid w:val="416845DA"/>
    <w:rsid w:val="417E5BAB"/>
    <w:rsid w:val="41812D6A"/>
    <w:rsid w:val="418307B3"/>
    <w:rsid w:val="418F7DB9"/>
    <w:rsid w:val="419453CF"/>
    <w:rsid w:val="419956FA"/>
    <w:rsid w:val="41D42E8E"/>
    <w:rsid w:val="41EE0F83"/>
    <w:rsid w:val="41F82E13"/>
    <w:rsid w:val="41FC384A"/>
    <w:rsid w:val="422C783B"/>
    <w:rsid w:val="422D649A"/>
    <w:rsid w:val="42424E2B"/>
    <w:rsid w:val="4245146B"/>
    <w:rsid w:val="424C27F7"/>
    <w:rsid w:val="425132C0"/>
    <w:rsid w:val="425F056A"/>
    <w:rsid w:val="4272634E"/>
    <w:rsid w:val="42813BA5"/>
    <w:rsid w:val="42874D12"/>
    <w:rsid w:val="429C453B"/>
    <w:rsid w:val="42B51AA1"/>
    <w:rsid w:val="42BB297F"/>
    <w:rsid w:val="42C85330"/>
    <w:rsid w:val="42CC0448"/>
    <w:rsid w:val="42D03333"/>
    <w:rsid w:val="42D746D5"/>
    <w:rsid w:val="42EB2656"/>
    <w:rsid w:val="42F223AD"/>
    <w:rsid w:val="43171E14"/>
    <w:rsid w:val="432972AF"/>
    <w:rsid w:val="43310BCC"/>
    <w:rsid w:val="433C7ACC"/>
    <w:rsid w:val="43432B4E"/>
    <w:rsid w:val="43512291"/>
    <w:rsid w:val="43653317"/>
    <w:rsid w:val="43713E1D"/>
    <w:rsid w:val="439A4D79"/>
    <w:rsid w:val="439D3EE9"/>
    <w:rsid w:val="43B458B4"/>
    <w:rsid w:val="43C071B6"/>
    <w:rsid w:val="440E76BA"/>
    <w:rsid w:val="442C18EF"/>
    <w:rsid w:val="442D6736"/>
    <w:rsid w:val="443A6085"/>
    <w:rsid w:val="446060E4"/>
    <w:rsid w:val="447612F2"/>
    <w:rsid w:val="4490400C"/>
    <w:rsid w:val="44A43B7B"/>
    <w:rsid w:val="44C03E82"/>
    <w:rsid w:val="44C35AE0"/>
    <w:rsid w:val="44E14A1E"/>
    <w:rsid w:val="44F24FC3"/>
    <w:rsid w:val="44FF0DB1"/>
    <w:rsid w:val="45036AF3"/>
    <w:rsid w:val="45172264"/>
    <w:rsid w:val="453066F8"/>
    <w:rsid w:val="453A00F6"/>
    <w:rsid w:val="453C2005"/>
    <w:rsid w:val="453C3DB3"/>
    <w:rsid w:val="454318B1"/>
    <w:rsid w:val="454F3AE7"/>
    <w:rsid w:val="456A4DC4"/>
    <w:rsid w:val="456C3706"/>
    <w:rsid w:val="457110FB"/>
    <w:rsid w:val="457E0411"/>
    <w:rsid w:val="457F7DCC"/>
    <w:rsid w:val="458403D7"/>
    <w:rsid w:val="458F482B"/>
    <w:rsid w:val="459736E0"/>
    <w:rsid w:val="459E08D8"/>
    <w:rsid w:val="45B912BB"/>
    <w:rsid w:val="45BC4578"/>
    <w:rsid w:val="46024FFD"/>
    <w:rsid w:val="460C5450"/>
    <w:rsid w:val="46120C85"/>
    <w:rsid w:val="4615263F"/>
    <w:rsid w:val="461A028F"/>
    <w:rsid w:val="461B4A12"/>
    <w:rsid w:val="46306F99"/>
    <w:rsid w:val="4635213E"/>
    <w:rsid w:val="463E13DD"/>
    <w:rsid w:val="464E04AD"/>
    <w:rsid w:val="46591D1E"/>
    <w:rsid w:val="46614287"/>
    <w:rsid w:val="466C5B91"/>
    <w:rsid w:val="467665EB"/>
    <w:rsid w:val="46794B93"/>
    <w:rsid w:val="467B4E31"/>
    <w:rsid w:val="468E4AE3"/>
    <w:rsid w:val="46920ABF"/>
    <w:rsid w:val="469B2D5C"/>
    <w:rsid w:val="46B57F14"/>
    <w:rsid w:val="46B8390E"/>
    <w:rsid w:val="46B856BC"/>
    <w:rsid w:val="46BB4D34"/>
    <w:rsid w:val="46E11854"/>
    <w:rsid w:val="4714323A"/>
    <w:rsid w:val="471E7BDA"/>
    <w:rsid w:val="47217705"/>
    <w:rsid w:val="472B6818"/>
    <w:rsid w:val="47367762"/>
    <w:rsid w:val="478C2F7C"/>
    <w:rsid w:val="47980E10"/>
    <w:rsid w:val="47AB5220"/>
    <w:rsid w:val="47AB6FCE"/>
    <w:rsid w:val="47B71E17"/>
    <w:rsid w:val="47CA118E"/>
    <w:rsid w:val="47E30E5E"/>
    <w:rsid w:val="47EC286A"/>
    <w:rsid w:val="47EF7803"/>
    <w:rsid w:val="47F420F4"/>
    <w:rsid w:val="48027536"/>
    <w:rsid w:val="4808561C"/>
    <w:rsid w:val="481D611E"/>
    <w:rsid w:val="48221986"/>
    <w:rsid w:val="48345216"/>
    <w:rsid w:val="483D056E"/>
    <w:rsid w:val="48517B76"/>
    <w:rsid w:val="485F3E07"/>
    <w:rsid w:val="486D26AA"/>
    <w:rsid w:val="487F5AAB"/>
    <w:rsid w:val="48847F4B"/>
    <w:rsid w:val="488C6E00"/>
    <w:rsid w:val="4893018E"/>
    <w:rsid w:val="48985BB7"/>
    <w:rsid w:val="489B7043"/>
    <w:rsid w:val="48AD65B4"/>
    <w:rsid w:val="48AE6D76"/>
    <w:rsid w:val="48BF2D31"/>
    <w:rsid w:val="48D030D0"/>
    <w:rsid w:val="48D2470D"/>
    <w:rsid w:val="48D34A2F"/>
    <w:rsid w:val="48DB1107"/>
    <w:rsid w:val="48DE6819"/>
    <w:rsid w:val="48DF1625"/>
    <w:rsid w:val="48E109C1"/>
    <w:rsid w:val="48E658FF"/>
    <w:rsid w:val="48E94252"/>
    <w:rsid w:val="48F141D9"/>
    <w:rsid w:val="48F350D1"/>
    <w:rsid w:val="490A6861"/>
    <w:rsid w:val="492D05E3"/>
    <w:rsid w:val="49302DA0"/>
    <w:rsid w:val="493706B2"/>
    <w:rsid w:val="49380D36"/>
    <w:rsid w:val="49872991"/>
    <w:rsid w:val="4989147F"/>
    <w:rsid w:val="49B47D52"/>
    <w:rsid w:val="49BA174B"/>
    <w:rsid w:val="49BB3FDC"/>
    <w:rsid w:val="49CC7DFC"/>
    <w:rsid w:val="49DE368B"/>
    <w:rsid w:val="49E36EF3"/>
    <w:rsid w:val="49EF1EDA"/>
    <w:rsid w:val="49EF3AEA"/>
    <w:rsid w:val="49F5674F"/>
    <w:rsid w:val="49FF0907"/>
    <w:rsid w:val="4A0C0831"/>
    <w:rsid w:val="4A111CB3"/>
    <w:rsid w:val="4A113713"/>
    <w:rsid w:val="4A162E25"/>
    <w:rsid w:val="4A227A1C"/>
    <w:rsid w:val="4A362CAE"/>
    <w:rsid w:val="4A804742"/>
    <w:rsid w:val="4A857FAB"/>
    <w:rsid w:val="4A871F75"/>
    <w:rsid w:val="4A886445"/>
    <w:rsid w:val="4A9401EE"/>
    <w:rsid w:val="4AD26996"/>
    <w:rsid w:val="4AD65EC9"/>
    <w:rsid w:val="4ADB2DDC"/>
    <w:rsid w:val="4ADE1D02"/>
    <w:rsid w:val="4B1E19B7"/>
    <w:rsid w:val="4B6C2AE7"/>
    <w:rsid w:val="4B7D3F6F"/>
    <w:rsid w:val="4B9304A5"/>
    <w:rsid w:val="4BD37C6E"/>
    <w:rsid w:val="4BE156B5"/>
    <w:rsid w:val="4BEF25FB"/>
    <w:rsid w:val="4C015224"/>
    <w:rsid w:val="4C237A7B"/>
    <w:rsid w:val="4C261585"/>
    <w:rsid w:val="4C2D4456"/>
    <w:rsid w:val="4C3103EA"/>
    <w:rsid w:val="4C3763C1"/>
    <w:rsid w:val="4C3B3017"/>
    <w:rsid w:val="4C5E6D05"/>
    <w:rsid w:val="4C6267F5"/>
    <w:rsid w:val="4C957C08"/>
    <w:rsid w:val="4CA3296A"/>
    <w:rsid w:val="4CAA3AF3"/>
    <w:rsid w:val="4CC5532B"/>
    <w:rsid w:val="4CE0771A"/>
    <w:rsid w:val="4CF66F3E"/>
    <w:rsid w:val="4CFD02CC"/>
    <w:rsid w:val="4D072EF9"/>
    <w:rsid w:val="4D1B6B8E"/>
    <w:rsid w:val="4D243AAB"/>
    <w:rsid w:val="4D4114B9"/>
    <w:rsid w:val="4D4322D1"/>
    <w:rsid w:val="4D45059E"/>
    <w:rsid w:val="4D476E03"/>
    <w:rsid w:val="4D4A754C"/>
    <w:rsid w:val="4D5064FC"/>
    <w:rsid w:val="4D93478D"/>
    <w:rsid w:val="4DAE7A2A"/>
    <w:rsid w:val="4DB122A1"/>
    <w:rsid w:val="4DB52955"/>
    <w:rsid w:val="4DB90697"/>
    <w:rsid w:val="4DBE3EFF"/>
    <w:rsid w:val="4DC338EE"/>
    <w:rsid w:val="4DD059E1"/>
    <w:rsid w:val="4DDF7B0E"/>
    <w:rsid w:val="4DE60D60"/>
    <w:rsid w:val="4DFA0CB0"/>
    <w:rsid w:val="4E073314"/>
    <w:rsid w:val="4E08517B"/>
    <w:rsid w:val="4E096F42"/>
    <w:rsid w:val="4E0C3F18"/>
    <w:rsid w:val="4E0C6CA6"/>
    <w:rsid w:val="4E0D4ACB"/>
    <w:rsid w:val="4E192EE4"/>
    <w:rsid w:val="4E52289A"/>
    <w:rsid w:val="4E660832"/>
    <w:rsid w:val="4E7718A9"/>
    <w:rsid w:val="4E7D54D1"/>
    <w:rsid w:val="4E916F1E"/>
    <w:rsid w:val="4EA00700"/>
    <w:rsid w:val="4EA053B3"/>
    <w:rsid w:val="4EA551BD"/>
    <w:rsid w:val="4EBF691D"/>
    <w:rsid w:val="4ED432AF"/>
    <w:rsid w:val="4EE23C1E"/>
    <w:rsid w:val="4EF20EC0"/>
    <w:rsid w:val="4EFB6A8D"/>
    <w:rsid w:val="4F02464B"/>
    <w:rsid w:val="4F053468"/>
    <w:rsid w:val="4F1900A3"/>
    <w:rsid w:val="4F2470F3"/>
    <w:rsid w:val="4F2D30F6"/>
    <w:rsid w:val="4F5148FF"/>
    <w:rsid w:val="4F515122"/>
    <w:rsid w:val="4F602D94"/>
    <w:rsid w:val="4F642884"/>
    <w:rsid w:val="4F675A42"/>
    <w:rsid w:val="4F6C3CED"/>
    <w:rsid w:val="4F6E0D6A"/>
    <w:rsid w:val="4F743079"/>
    <w:rsid w:val="4F7F321A"/>
    <w:rsid w:val="4F9071D6"/>
    <w:rsid w:val="4FE65048"/>
    <w:rsid w:val="4FF6046B"/>
    <w:rsid w:val="5032028D"/>
    <w:rsid w:val="5060382E"/>
    <w:rsid w:val="50684BE8"/>
    <w:rsid w:val="507408A5"/>
    <w:rsid w:val="50792360"/>
    <w:rsid w:val="507B2CC5"/>
    <w:rsid w:val="509053FA"/>
    <w:rsid w:val="509379B9"/>
    <w:rsid w:val="50A05B3E"/>
    <w:rsid w:val="50A32F39"/>
    <w:rsid w:val="50A54490"/>
    <w:rsid w:val="50AD2009"/>
    <w:rsid w:val="50DF60FE"/>
    <w:rsid w:val="50E8071F"/>
    <w:rsid w:val="50EE68AA"/>
    <w:rsid w:val="50F10148"/>
    <w:rsid w:val="50F36726"/>
    <w:rsid w:val="51234079"/>
    <w:rsid w:val="512C73D2"/>
    <w:rsid w:val="513C32B4"/>
    <w:rsid w:val="515801C7"/>
    <w:rsid w:val="5174109B"/>
    <w:rsid w:val="51745E07"/>
    <w:rsid w:val="519F1952"/>
    <w:rsid w:val="51B7313F"/>
    <w:rsid w:val="51D27F79"/>
    <w:rsid w:val="51EB2DE9"/>
    <w:rsid w:val="51FE0D6E"/>
    <w:rsid w:val="523227C6"/>
    <w:rsid w:val="523E73BD"/>
    <w:rsid w:val="525437F8"/>
    <w:rsid w:val="525C3CE7"/>
    <w:rsid w:val="52625118"/>
    <w:rsid w:val="52666914"/>
    <w:rsid w:val="526947C2"/>
    <w:rsid w:val="529C0587"/>
    <w:rsid w:val="529C2921"/>
    <w:rsid w:val="52C27FEE"/>
    <w:rsid w:val="52D65109"/>
    <w:rsid w:val="52EA3AB2"/>
    <w:rsid w:val="52EF2347"/>
    <w:rsid w:val="53081779"/>
    <w:rsid w:val="530879CB"/>
    <w:rsid w:val="532550C5"/>
    <w:rsid w:val="5328232F"/>
    <w:rsid w:val="53397419"/>
    <w:rsid w:val="534361A3"/>
    <w:rsid w:val="53560736"/>
    <w:rsid w:val="53582700"/>
    <w:rsid w:val="535A01EC"/>
    <w:rsid w:val="535D57BE"/>
    <w:rsid w:val="53637312"/>
    <w:rsid w:val="538232D9"/>
    <w:rsid w:val="538C23AA"/>
    <w:rsid w:val="5394125E"/>
    <w:rsid w:val="53A476F3"/>
    <w:rsid w:val="53A57F5C"/>
    <w:rsid w:val="53B8319F"/>
    <w:rsid w:val="53B84F4D"/>
    <w:rsid w:val="53C733E2"/>
    <w:rsid w:val="53FD6E04"/>
    <w:rsid w:val="540006A2"/>
    <w:rsid w:val="54160D2E"/>
    <w:rsid w:val="54297BF9"/>
    <w:rsid w:val="543A1A24"/>
    <w:rsid w:val="543A266C"/>
    <w:rsid w:val="545509EE"/>
    <w:rsid w:val="5455702E"/>
    <w:rsid w:val="545A6004"/>
    <w:rsid w:val="545E0E09"/>
    <w:rsid w:val="54624338"/>
    <w:rsid w:val="54886536"/>
    <w:rsid w:val="548B08B3"/>
    <w:rsid w:val="54A07C64"/>
    <w:rsid w:val="54B23402"/>
    <w:rsid w:val="54C76AC5"/>
    <w:rsid w:val="54EA5688"/>
    <w:rsid w:val="54FA3343"/>
    <w:rsid w:val="54FE2E33"/>
    <w:rsid w:val="55014365"/>
    <w:rsid w:val="5503044A"/>
    <w:rsid w:val="550744A2"/>
    <w:rsid w:val="552F4566"/>
    <w:rsid w:val="55314FB7"/>
    <w:rsid w:val="553700F3"/>
    <w:rsid w:val="55434719"/>
    <w:rsid w:val="55562C6F"/>
    <w:rsid w:val="555C7B5A"/>
    <w:rsid w:val="55716596"/>
    <w:rsid w:val="558563C3"/>
    <w:rsid w:val="558570B1"/>
    <w:rsid w:val="55866C5D"/>
    <w:rsid w:val="55986DE4"/>
    <w:rsid w:val="559B2C02"/>
    <w:rsid w:val="559E0172"/>
    <w:rsid w:val="55A51501"/>
    <w:rsid w:val="55A7577C"/>
    <w:rsid w:val="55D93F32"/>
    <w:rsid w:val="55E3525A"/>
    <w:rsid w:val="55F45B80"/>
    <w:rsid w:val="55F82395"/>
    <w:rsid w:val="561D0804"/>
    <w:rsid w:val="56242D6E"/>
    <w:rsid w:val="564D4C6D"/>
    <w:rsid w:val="565110B6"/>
    <w:rsid w:val="565A5D3C"/>
    <w:rsid w:val="565D048E"/>
    <w:rsid w:val="56701B0F"/>
    <w:rsid w:val="5679378D"/>
    <w:rsid w:val="56793D74"/>
    <w:rsid w:val="56A47A0A"/>
    <w:rsid w:val="56AD68BF"/>
    <w:rsid w:val="56B21332"/>
    <w:rsid w:val="56BC4D54"/>
    <w:rsid w:val="56CD51B3"/>
    <w:rsid w:val="56E72F60"/>
    <w:rsid w:val="56EA526A"/>
    <w:rsid w:val="56F21D1F"/>
    <w:rsid w:val="56FA2C1E"/>
    <w:rsid w:val="570E25C6"/>
    <w:rsid w:val="57207C3D"/>
    <w:rsid w:val="57272B15"/>
    <w:rsid w:val="57380335"/>
    <w:rsid w:val="573C5E95"/>
    <w:rsid w:val="573F0BFC"/>
    <w:rsid w:val="575F37C0"/>
    <w:rsid w:val="576A623B"/>
    <w:rsid w:val="57704D8E"/>
    <w:rsid w:val="577C283F"/>
    <w:rsid w:val="578735B4"/>
    <w:rsid w:val="57B7423D"/>
    <w:rsid w:val="57B74633"/>
    <w:rsid w:val="57C43744"/>
    <w:rsid w:val="57E767C7"/>
    <w:rsid w:val="57E809C6"/>
    <w:rsid w:val="57FA79E6"/>
    <w:rsid w:val="580759F7"/>
    <w:rsid w:val="580F5357"/>
    <w:rsid w:val="58156E12"/>
    <w:rsid w:val="5818420C"/>
    <w:rsid w:val="581F3641"/>
    <w:rsid w:val="582825A0"/>
    <w:rsid w:val="58353010"/>
    <w:rsid w:val="585E7C8F"/>
    <w:rsid w:val="58A14202"/>
    <w:rsid w:val="58A31618"/>
    <w:rsid w:val="58A35663"/>
    <w:rsid w:val="58BD32D3"/>
    <w:rsid w:val="58C05987"/>
    <w:rsid w:val="58C74116"/>
    <w:rsid w:val="58CD3249"/>
    <w:rsid w:val="59294861"/>
    <w:rsid w:val="592A069B"/>
    <w:rsid w:val="592C7D58"/>
    <w:rsid w:val="594E2109"/>
    <w:rsid w:val="5953349B"/>
    <w:rsid w:val="59562435"/>
    <w:rsid w:val="59613991"/>
    <w:rsid w:val="596A0A97"/>
    <w:rsid w:val="596F557E"/>
    <w:rsid w:val="59A0095D"/>
    <w:rsid w:val="59AE0F81"/>
    <w:rsid w:val="59C503C4"/>
    <w:rsid w:val="59CB35BA"/>
    <w:rsid w:val="59D95C1D"/>
    <w:rsid w:val="59E81790"/>
    <w:rsid w:val="59E84682"/>
    <w:rsid w:val="59F760A3"/>
    <w:rsid w:val="59FE3934"/>
    <w:rsid w:val="5A0F163F"/>
    <w:rsid w:val="5A116E7A"/>
    <w:rsid w:val="5A11791F"/>
    <w:rsid w:val="5A252CB8"/>
    <w:rsid w:val="5A3926FA"/>
    <w:rsid w:val="5A3D4A96"/>
    <w:rsid w:val="5A5A6813"/>
    <w:rsid w:val="5A5F26D4"/>
    <w:rsid w:val="5A8262B5"/>
    <w:rsid w:val="5A8D7133"/>
    <w:rsid w:val="5A9164F8"/>
    <w:rsid w:val="5AAE2C06"/>
    <w:rsid w:val="5AC300B3"/>
    <w:rsid w:val="5AC73CC7"/>
    <w:rsid w:val="5ADC1C9D"/>
    <w:rsid w:val="5ADC7773"/>
    <w:rsid w:val="5ADE798F"/>
    <w:rsid w:val="5AF0321E"/>
    <w:rsid w:val="5AF820D3"/>
    <w:rsid w:val="5B14614A"/>
    <w:rsid w:val="5B5A540D"/>
    <w:rsid w:val="5B6A1223"/>
    <w:rsid w:val="5B745BFD"/>
    <w:rsid w:val="5B7846B3"/>
    <w:rsid w:val="5B7C2D04"/>
    <w:rsid w:val="5B953DC6"/>
    <w:rsid w:val="5BA82211"/>
    <w:rsid w:val="5BB45C59"/>
    <w:rsid w:val="5BC06443"/>
    <w:rsid w:val="5BC75CD0"/>
    <w:rsid w:val="5BCC77A4"/>
    <w:rsid w:val="5BD46EBF"/>
    <w:rsid w:val="5BEA4111"/>
    <w:rsid w:val="5BEF797A"/>
    <w:rsid w:val="5BF94355"/>
    <w:rsid w:val="5BFB00CD"/>
    <w:rsid w:val="5BFE6497"/>
    <w:rsid w:val="5C00657C"/>
    <w:rsid w:val="5C0351D3"/>
    <w:rsid w:val="5C11169E"/>
    <w:rsid w:val="5C1711C3"/>
    <w:rsid w:val="5C496460"/>
    <w:rsid w:val="5C6D273E"/>
    <w:rsid w:val="5C8E254B"/>
    <w:rsid w:val="5CAC586B"/>
    <w:rsid w:val="5CB62F39"/>
    <w:rsid w:val="5CC2508E"/>
    <w:rsid w:val="5CCB4B43"/>
    <w:rsid w:val="5D0603D2"/>
    <w:rsid w:val="5D0631CD"/>
    <w:rsid w:val="5D0D23D9"/>
    <w:rsid w:val="5D0E4876"/>
    <w:rsid w:val="5D1B0B3B"/>
    <w:rsid w:val="5D2E7178"/>
    <w:rsid w:val="5D331ED7"/>
    <w:rsid w:val="5D3460C4"/>
    <w:rsid w:val="5D437F7D"/>
    <w:rsid w:val="5D700D5D"/>
    <w:rsid w:val="5D72616D"/>
    <w:rsid w:val="5D8F5A94"/>
    <w:rsid w:val="5D9E1657"/>
    <w:rsid w:val="5DC53770"/>
    <w:rsid w:val="5DC8059A"/>
    <w:rsid w:val="5DDC4BB6"/>
    <w:rsid w:val="5DE24F3C"/>
    <w:rsid w:val="5DE27796"/>
    <w:rsid w:val="5DED5C02"/>
    <w:rsid w:val="5E08087F"/>
    <w:rsid w:val="5E115985"/>
    <w:rsid w:val="5E222D7F"/>
    <w:rsid w:val="5E2E1996"/>
    <w:rsid w:val="5E396F2F"/>
    <w:rsid w:val="5E417176"/>
    <w:rsid w:val="5E655CD1"/>
    <w:rsid w:val="5E6E2DD8"/>
    <w:rsid w:val="5E7E49C4"/>
    <w:rsid w:val="5E8C3B32"/>
    <w:rsid w:val="5E8E347A"/>
    <w:rsid w:val="5EAF1709"/>
    <w:rsid w:val="5ECB5BC0"/>
    <w:rsid w:val="5ECD7148"/>
    <w:rsid w:val="5ED30E8D"/>
    <w:rsid w:val="5EE27322"/>
    <w:rsid w:val="5EF77271"/>
    <w:rsid w:val="5EFC1232"/>
    <w:rsid w:val="5F17346F"/>
    <w:rsid w:val="5F27742B"/>
    <w:rsid w:val="5F3D2CBD"/>
    <w:rsid w:val="5F622FF3"/>
    <w:rsid w:val="5F7A57AC"/>
    <w:rsid w:val="5F7C1524"/>
    <w:rsid w:val="5F88611B"/>
    <w:rsid w:val="5F990328"/>
    <w:rsid w:val="5FCC040F"/>
    <w:rsid w:val="5FD169B7"/>
    <w:rsid w:val="5FEC59D3"/>
    <w:rsid w:val="602015BD"/>
    <w:rsid w:val="603618B0"/>
    <w:rsid w:val="60597AB8"/>
    <w:rsid w:val="607448F1"/>
    <w:rsid w:val="60793CB6"/>
    <w:rsid w:val="60830691"/>
    <w:rsid w:val="60915A65"/>
    <w:rsid w:val="60BB42CE"/>
    <w:rsid w:val="60C7391C"/>
    <w:rsid w:val="61000F3B"/>
    <w:rsid w:val="61014878"/>
    <w:rsid w:val="61021EFD"/>
    <w:rsid w:val="61024164"/>
    <w:rsid w:val="6104666D"/>
    <w:rsid w:val="61096DE8"/>
    <w:rsid w:val="610B7C17"/>
    <w:rsid w:val="610C0686"/>
    <w:rsid w:val="610E43FE"/>
    <w:rsid w:val="611778D9"/>
    <w:rsid w:val="61371BA7"/>
    <w:rsid w:val="61475B62"/>
    <w:rsid w:val="61616C24"/>
    <w:rsid w:val="61905807"/>
    <w:rsid w:val="619D5782"/>
    <w:rsid w:val="61A6520D"/>
    <w:rsid w:val="61DA6504"/>
    <w:rsid w:val="61DE2022"/>
    <w:rsid w:val="61ED12FA"/>
    <w:rsid w:val="61F31752"/>
    <w:rsid w:val="6204045B"/>
    <w:rsid w:val="621B5FF2"/>
    <w:rsid w:val="62377985"/>
    <w:rsid w:val="623E51B7"/>
    <w:rsid w:val="62467BC8"/>
    <w:rsid w:val="624B60B8"/>
    <w:rsid w:val="62586279"/>
    <w:rsid w:val="62662018"/>
    <w:rsid w:val="6271733B"/>
    <w:rsid w:val="627E14DA"/>
    <w:rsid w:val="627F5BA7"/>
    <w:rsid w:val="629A234F"/>
    <w:rsid w:val="629C76D5"/>
    <w:rsid w:val="62A34AE2"/>
    <w:rsid w:val="62C236F2"/>
    <w:rsid w:val="62E42CDF"/>
    <w:rsid w:val="631F0B45"/>
    <w:rsid w:val="63275C4B"/>
    <w:rsid w:val="63352B22"/>
    <w:rsid w:val="633C4575"/>
    <w:rsid w:val="63513932"/>
    <w:rsid w:val="63616199"/>
    <w:rsid w:val="63666773"/>
    <w:rsid w:val="636B1956"/>
    <w:rsid w:val="63750765"/>
    <w:rsid w:val="63770981"/>
    <w:rsid w:val="637C7D45"/>
    <w:rsid w:val="637F3391"/>
    <w:rsid w:val="638B7F88"/>
    <w:rsid w:val="638F71D4"/>
    <w:rsid w:val="63911317"/>
    <w:rsid w:val="639D4CF9"/>
    <w:rsid w:val="63A371E8"/>
    <w:rsid w:val="63B636A5"/>
    <w:rsid w:val="63B85745"/>
    <w:rsid w:val="63C96D02"/>
    <w:rsid w:val="63CD05A1"/>
    <w:rsid w:val="64033738"/>
    <w:rsid w:val="64105038"/>
    <w:rsid w:val="641066DF"/>
    <w:rsid w:val="641A79F6"/>
    <w:rsid w:val="644B1963"/>
    <w:rsid w:val="64580D18"/>
    <w:rsid w:val="646B1B68"/>
    <w:rsid w:val="648275DD"/>
    <w:rsid w:val="64B330A9"/>
    <w:rsid w:val="64D60BF6"/>
    <w:rsid w:val="64E009B0"/>
    <w:rsid w:val="653A252B"/>
    <w:rsid w:val="653E4D6C"/>
    <w:rsid w:val="654C5339"/>
    <w:rsid w:val="65834F1A"/>
    <w:rsid w:val="6593328C"/>
    <w:rsid w:val="65D13BDB"/>
    <w:rsid w:val="65D662D3"/>
    <w:rsid w:val="65DA7B27"/>
    <w:rsid w:val="65DF45BB"/>
    <w:rsid w:val="65E713BB"/>
    <w:rsid w:val="65ED4F2A"/>
    <w:rsid w:val="65F30067"/>
    <w:rsid w:val="66064C0F"/>
    <w:rsid w:val="660B1854"/>
    <w:rsid w:val="660E0D05"/>
    <w:rsid w:val="66106E6A"/>
    <w:rsid w:val="66124991"/>
    <w:rsid w:val="6618187B"/>
    <w:rsid w:val="661C136B"/>
    <w:rsid w:val="66362D34"/>
    <w:rsid w:val="66391F1D"/>
    <w:rsid w:val="66563569"/>
    <w:rsid w:val="666C38B1"/>
    <w:rsid w:val="66770C98"/>
    <w:rsid w:val="667E2026"/>
    <w:rsid w:val="668138C4"/>
    <w:rsid w:val="669272D6"/>
    <w:rsid w:val="66940BED"/>
    <w:rsid w:val="66A6332B"/>
    <w:rsid w:val="66AD68DD"/>
    <w:rsid w:val="66AF0431"/>
    <w:rsid w:val="66BD18AA"/>
    <w:rsid w:val="66CF2882"/>
    <w:rsid w:val="66E62152"/>
    <w:rsid w:val="66FD2A3C"/>
    <w:rsid w:val="673F4E70"/>
    <w:rsid w:val="6746007E"/>
    <w:rsid w:val="67466989"/>
    <w:rsid w:val="674C4286"/>
    <w:rsid w:val="675A65EF"/>
    <w:rsid w:val="676047AB"/>
    <w:rsid w:val="67610CEF"/>
    <w:rsid w:val="676270E4"/>
    <w:rsid w:val="67665116"/>
    <w:rsid w:val="6770776B"/>
    <w:rsid w:val="67782751"/>
    <w:rsid w:val="677D22DE"/>
    <w:rsid w:val="678C5405"/>
    <w:rsid w:val="679A4C3E"/>
    <w:rsid w:val="67BF6452"/>
    <w:rsid w:val="67C92AE2"/>
    <w:rsid w:val="67CA0C9F"/>
    <w:rsid w:val="67D1277B"/>
    <w:rsid w:val="67D50BE7"/>
    <w:rsid w:val="67FC37A4"/>
    <w:rsid w:val="681349F0"/>
    <w:rsid w:val="6839704A"/>
    <w:rsid w:val="6844104D"/>
    <w:rsid w:val="68556DB7"/>
    <w:rsid w:val="68612E6F"/>
    <w:rsid w:val="687731D1"/>
    <w:rsid w:val="68805609"/>
    <w:rsid w:val="688C1F72"/>
    <w:rsid w:val="68967FCC"/>
    <w:rsid w:val="689773CF"/>
    <w:rsid w:val="68A90D75"/>
    <w:rsid w:val="68B63CF9"/>
    <w:rsid w:val="68B7537B"/>
    <w:rsid w:val="68C31AF3"/>
    <w:rsid w:val="68D73C8C"/>
    <w:rsid w:val="68D9384E"/>
    <w:rsid w:val="68ED6FEF"/>
    <w:rsid w:val="68FB20B3"/>
    <w:rsid w:val="69105AEF"/>
    <w:rsid w:val="69196036"/>
    <w:rsid w:val="69472BA3"/>
    <w:rsid w:val="694A4441"/>
    <w:rsid w:val="695C7769"/>
    <w:rsid w:val="69677A3D"/>
    <w:rsid w:val="696E6BD6"/>
    <w:rsid w:val="696F1C35"/>
    <w:rsid w:val="697D4817"/>
    <w:rsid w:val="698F62F8"/>
    <w:rsid w:val="69951B60"/>
    <w:rsid w:val="69A55B1C"/>
    <w:rsid w:val="69CE5072"/>
    <w:rsid w:val="69DF2DDC"/>
    <w:rsid w:val="69E00902"/>
    <w:rsid w:val="6A161669"/>
    <w:rsid w:val="6A1D1368"/>
    <w:rsid w:val="6A2E78BF"/>
    <w:rsid w:val="6A322D3A"/>
    <w:rsid w:val="6A352796"/>
    <w:rsid w:val="6A3D5D54"/>
    <w:rsid w:val="6A514377"/>
    <w:rsid w:val="6A535578"/>
    <w:rsid w:val="6A5D2190"/>
    <w:rsid w:val="6A5D4D8D"/>
    <w:rsid w:val="6A6C53A8"/>
    <w:rsid w:val="6A970C0E"/>
    <w:rsid w:val="6A995680"/>
    <w:rsid w:val="6A9D278F"/>
    <w:rsid w:val="6AA42E52"/>
    <w:rsid w:val="6AA67D9D"/>
    <w:rsid w:val="6ADF76A4"/>
    <w:rsid w:val="6AF97ECD"/>
    <w:rsid w:val="6AFD7A99"/>
    <w:rsid w:val="6B00125C"/>
    <w:rsid w:val="6B105217"/>
    <w:rsid w:val="6B236A88"/>
    <w:rsid w:val="6B2C02A3"/>
    <w:rsid w:val="6B351776"/>
    <w:rsid w:val="6B3F2A4C"/>
    <w:rsid w:val="6B4C44A1"/>
    <w:rsid w:val="6B4F06DF"/>
    <w:rsid w:val="6B5D66AE"/>
    <w:rsid w:val="6B621F16"/>
    <w:rsid w:val="6B625A72"/>
    <w:rsid w:val="6B735ED1"/>
    <w:rsid w:val="6B7B70CA"/>
    <w:rsid w:val="6B8E07FD"/>
    <w:rsid w:val="6B99345E"/>
    <w:rsid w:val="6BB34520"/>
    <w:rsid w:val="6BBB53B4"/>
    <w:rsid w:val="6BEC0D1C"/>
    <w:rsid w:val="6BFC0FB6"/>
    <w:rsid w:val="6C150D37"/>
    <w:rsid w:val="6C1E12A0"/>
    <w:rsid w:val="6C303DC2"/>
    <w:rsid w:val="6C620850"/>
    <w:rsid w:val="6C7625FC"/>
    <w:rsid w:val="6C830B95"/>
    <w:rsid w:val="6C860303"/>
    <w:rsid w:val="6CAA206C"/>
    <w:rsid w:val="6CC56480"/>
    <w:rsid w:val="6CD02600"/>
    <w:rsid w:val="6CE40709"/>
    <w:rsid w:val="6CE60925"/>
    <w:rsid w:val="6D0843F7"/>
    <w:rsid w:val="6D0D7C60"/>
    <w:rsid w:val="6D192AA9"/>
    <w:rsid w:val="6D2553FB"/>
    <w:rsid w:val="6D2D20B0"/>
    <w:rsid w:val="6D321474"/>
    <w:rsid w:val="6D371181"/>
    <w:rsid w:val="6D413DAD"/>
    <w:rsid w:val="6D7571D9"/>
    <w:rsid w:val="6DB47FE2"/>
    <w:rsid w:val="6DCE5641"/>
    <w:rsid w:val="6DD54C21"/>
    <w:rsid w:val="6DFD1A82"/>
    <w:rsid w:val="6E065529"/>
    <w:rsid w:val="6E0D62B9"/>
    <w:rsid w:val="6E166FE8"/>
    <w:rsid w:val="6E364F94"/>
    <w:rsid w:val="6E414583"/>
    <w:rsid w:val="6E487158"/>
    <w:rsid w:val="6E49176D"/>
    <w:rsid w:val="6E54240F"/>
    <w:rsid w:val="6E62222D"/>
    <w:rsid w:val="6E6F381D"/>
    <w:rsid w:val="6E865F1C"/>
    <w:rsid w:val="6E907F65"/>
    <w:rsid w:val="6EA42846"/>
    <w:rsid w:val="6EC30F1E"/>
    <w:rsid w:val="6ECF78C3"/>
    <w:rsid w:val="6ED51A64"/>
    <w:rsid w:val="6EF0008F"/>
    <w:rsid w:val="6EF057DE"/>
    <w:rsid w:val="6EF6106D"/>
    <w:rsid w:val="6EF94940"/>
    <w:rsid w:val="6EF966EE"/>
    <w:rsid w:val="6F2173FE"/>
    <w:rsid w:val="6F2B4141"/>
    <w:rsid w:val="6F377216"/>
    <w:rsid w:val="6F437969"/>
    <w:rsid w:val="6F6944D6"/>
    <w:rsid w:val="6F71619F"/>
    <w:rsid w:val="6F7E4E45"/>
    <w:rsid w:val="6F7F0621"/>
    <w:rsid w:val="6F8040FB"/>
    <w:rsid w:val="6FA50623"/>
    <w:rsid w:val="6FBB39A3"/>
    <w:rsid w:val="6FC96883"/>
    <w:rsid w:val="6FD76303"/>
    <w:rsid w:val="6FDD14C9"/>
    <w:rsid w:val="6FF23C4B"/>
    <w:rsid w:val="6FF45107"/>
    <w:rsid w:val="70025626"/>
    <w:rsid w:val="70033F0B"/>
    <w:rsid w:val="700417EE"/>
    <w:rsid w:val="700D4FE4"/>
    <w:rsid w:val="702D331A"/>
    <w:rsid w:val="703025E3"/>
    <w:rsid w:val="7036127C"/>
    <w:rsid w:val="704C034C"/>
    <w:rsid w:val="70570FBD"/>
    <w:rsid w:val="70637C93"/>
    <w:rsid w:val="707250CE"/>
    <w:rsid w:val="7098322B"/>
    <w:rsid w:val="70A33402"/>
    <w:rsid w:val="70BD7BEF"/>
    <w:rsid w:val="70C179D2"/>
    <w:rsid w:val="70CC411D"/>
    <w:rsid w:val="71061E8C"/>
    <w:rsid w:val="71297032"/>
    <w:rsid w:val="713F656F"/>
    <w:rsid w:val="716B18C0"/>
    <w:rsid w:val="717E2EDA"/>
    <w:rsid w:val="717E4747"/>
    <w:rsid w:val="71902C0D"/>
    <w:rsid w:val="71A30B93"/>
    <w:rsid w:val="71A97AA3"/>
    <w:rsid w:val="71B30B97"/>
    <w:rsid w:val="71EA4A14"/>
    <w:rsid w:val="71F06696"/>
    <w:rsid w:val="7202718F"/>
    <w:rsid w:val="7238577F"/>
    <w:rsid w:val="72457E9C"/>
    <w:rsid w:val="725E2AD5"/>
    <w:rsid w:val="72751C33"/>
    <w:rsid w:val="727A162B"/>
    <w:rsid w:val="7285473C"/>
    <w:rsid w:val="7287390F"/>
    <w:rsid w:val="72890EED"/>
    <w:rsid w:val="72895536"/>
    <w:rsid w:val="728D3D7E"/>
    <w:rsid w:val="72A51015"/>
    <w:rsid w:val="72C67EA5"/>
    <w:rsid w:val="72FD3138"/>
    <w:rsid w:val="730015C1"/>
    <w:rsid w:val="734750AB"/>
    <w:rsid w:val="736877A6"/>
    <w:rsid w:val="736D76AA"/>
    <w:rsid w:val="7374210C"/>
    <w:rsid w:val="7388260E"/>
    <w:rsid w:val="738D1AFA"/>
    <w:rsid w:val="73A07945"/>
    <w:rsid w:val="73A311CA"/>
    <w:rsid w:val="73A330CC"/>
    <w:rsid w:val="73C03645"/>
    <w:rsid w:val="73C42980"/>
    <w:rsid w:val="73D16993"/>
    <w:rsid w:val="73E13D87"/>
    <w:rsid w:val="73E55492"/>
    <w:rsid w:val="73E868BA"/>
    <w:rsid w:val="74031DBD"/>
    <w:rsid w:val="74086758"/>
    <w:rsid w:val="740D67A4"/>
    <w:rsid w:val="740E1AD0"/>
    <w:rsid w:val="74364139"/>
    <w:rsid w:val="745136D1"/>
    <w:rsid w:val="74582485"/>
    <w:rsid w:val="74640101"/>
    <w:rsid w:val="74956EB9"/>
    <w:rsid w:val="74A215D5"/>
    <w:rsid w:val="74B60738"/>
    <w:rsid w:val="74CE0855"/>
    <w:rsid w:val="74FC0CE6"/>
    <w:rsid w:val="751D3049"/>
    <w:rsid w:val="75291143"/>
    <w:rsid w:val="753871DF"/>
    <w:rsid w:val="753F6E24"/>
    <w:rsid w:val="75487539"/>
    <w:rsid w:val="75502DDF"/>
    <w:rsid w:val="75531B41"/>
    <w:rsid w:val="75575F1C"/>
    <w:rsid w:val="755C1784"/>
    <w:rsid w:val="756202C4"/>
    <w:rsid w:val="756E14B8"/>
    <w:rsid w:val="758051AD"/>
    <w:rsid w:val="759848F7"/>
    <w:rsid w:val="75A70196"/>
    <w:rsid w:val="75C25129"/>
    <w:rsid w:val="75EF25F8"/>
    <w:rsid w:val="75EF4CF3"/>
    <w:rsid w:val="760442A1"/>
    <w:rsid w:val="760B266C"/>
    <w:rsid w:val="761E6629"/>
    <w:rsid w:val="76283D5C"/>
    <w:rsid w:val="76633449"/>
    <w:rsid w:val="76651207"/>
    <w:rsid w:val="767B3E8C"/>
    <w:rsid w:val="76983484"/>
    <w:rsid w:val="769D02A6"/>
    <w:rsid w:val="76A43029"/>
    <w:rsid w:val="76AA3BBE"/>
    <w:rsid w:val="76B61368"/>
    <w:rsid w:val="76B86E8E"/>
    <w:rsid w:val="76BB52AF"/>
    <w:rsid w:val="76CC5950"/>
    <w:rsid w:val="76D11CFE"/>
    <w:rsid w:val="76D96E05"/>
    <w:rsid w:val="76DD06A3"/>
    <w:rsid w:val="76E61C4D"/>
    <w:rsid w:val="76E73B17"/>
    <w:rsid w:val="76E77774"/>
    <w:rsid w:val="76EE465E"/>
    <w:rsid w:val="76EE554B"/>
    <w:rsid w:val="773C312D"/>
    <w:rsid w:val="773F4EBA"/>
    <w:rsid w:val="7745677A"/>
    <w:rsid w:val="77521091"/>
    <w:rsid w:val="77A15183"/>
    <w:rsid w:val="77F02658"/>
    <w:rsid w:val="77FE6B23"/>
    <w:rsid w:val="78094233"/>
    <w:rsid w:val="78105E52"/>
    <w:rsid w:val="78206C22"/>
    <w:rsid w:val="78274603"/>
    <w:rsid w:val="785E3A65"/>
    <w:rsid w:val="7862510D"/>
    <w:rsid w:val="786D7FF5"/>
    <w:rsid w:val="788F0F85"/>
    <w:rsid w:val="78961451"/>
    <w:rsid w:val="789E20B4"/>
    <w:rsid w:val="78B31015"/>
    <w:rsid w:val="78C00B06"/>
    <w:rsid w:val="78C83C62"/>
    <w:rsid w:val="78D37382"/>
    <w:rsid w:val="78E201F2"/>
    <w:rsid w:val="78F10436"/>
    <w:rsid w:val="78F80E88"/>
    <w:rsid w:val="78FC310E"/>
    <w:rsid w:val="79094AAB"/>
    <w:rsid w:val="79110AD8"/>
    <w:rsid w:val="79173937"/>
    <w:rsid w:val="7927654D"/>
    <w:rsid w:val="793420B5"/>
    <w:rsid w:val="794A5D98"/>
    <w:rsid w:val="794B223C"/>
    <w:rsid w:val="79607A03"/>
    <w:rsid w:val="79690914"/>
    <w:rsid w:val="79743BBA"/>
    <w:rsid w:val="79804312"/>
    <w:rsid w:val="79835823"/>
    <w:rsid w:val="798E6DF9"/>
    <w:rsid w:val="7991257B"/>
    <w:rsid w:val="799534B7"/>
    <w:rsid w:val="79983853"/>
    <w:rsid w:val="79B75538"/>
    <w:rsid w:val="79BD7550"/>
    <w:rsid w:val="79D67450"/>
    <w:rsid w:val="79F44681"/>
    <w:rsid w:val="7A0F14BB"/>
    <w:rsid w:val="7A2507EE"/>
    <w:rsid w:val="7A28432B"/>
    <w:rsid w:val="7A434CC1"/>
    <w:rsid w:val="7A676ADC"/>
    <w:rsid w:val="7A6A37C8"/>
    <w:rsid w:val="7A70018E"/>
    <w:rsid w:val="7AB517E9"/>
    <w:rsid w:val="7AB636E5"/>
    <w:rsid w:val="7AB92D56"/>
    <w:rsid w:val="7ACF541E"/>
    <w:rsid w:val="7AD63D87"/>
    <w:rsid w:val="7AD869D0"/>
    <w:rsid w:val="7AE33496"/>
    <w:rsid w:val="7AE45243"/>
    <w:rsid w:val="7AFE4BCE"/>
    <w:rsid w:val="7B0703E4"/>
    <w:rsid w:val="7B103501"/>
    <w:rsid w:val="7B11444D"/>
    <w:rsid w:val="7B1D4306"/>
    <w:rsid w:val="7B1D660B"/>
    <w:rsid w:val="7B1D7C08"/>
    <w:rsid w:val="7B284D57"/>
    <w:rsid w:val="7B2F7C16"/>
    <w:rsid w:val="7B446F42"/>
    <w:rsid w:val="7B5178B1"/>
    <w:rsid w:val="7B596936"/>
    <w:rsid w:val="7B670E83"/>
    <w:rsid w:val="7B722E64"/>
    <w:rsid w:val="7B89704B"/>
    <w:rsid w:val="7B95779E"/>
    <w:rsid w:val="7B9A3006"/>
    <w:rsid w:val="7BA6742D"/>
    <w:rsid w:val="7BB2772A"/>
    <w:rsid w:val="7BB34313"/>
    <w:rsid w:val="7BB35E76"/>
    <w:rsid w:val="7BCE0F02"/>
    <w:rsid w:val="7BDC361F"/>
    <w:rsid w:val="7C02112B"/>
    <w:rsid w:val="7C0861C2"/>
    <w:rsid w:val="7C211032"/>
    <w:rsid w:val="7C23124E"/>
    <w:rsid w:val="7C2413BC"/>
    <w:rsid w:val="7C2912F9"/>
    <w:rsid w:val="7C2A7357"/>
    <w:rsid w:val="7C2B0102"/>
    <w:rsid w:val="7C2C0751"/>
    <w:rsid w:val="7C2C7528"/>
    <w:rsid w:val="7C3025D2"/>
    <w:rsid w:val="7C3847D9"/>
    <w:rsid w:val="7C615E04"/>
    <w:rsid w:val="7C703D67"/>
    <w:rsid w:val="7C740D99"/>
    <w:rsid w:val="7C7D7D18"/>
    <w:rsid w:val="7C8A29FE"/>
    <w:rsid w:val="7CA35533"/>
    <w:rsid w:val="7CAA3813"/>
    <w:rsid w:val="7CCD740C"/>
    <w:rsid w:val="7CCE0550"/>
    <w:rsid w:val="7CD47EDB"/>
    <w:rsid w:val="7CE64029"/>
    <w:rsid w:val="7CEC0380"/>
    <w:rsid w:val="7CF46211"/>
    <w:rsid w:val="7D0A1563"/>
    <w:rsid w:val="7D125B46"/>
    <w:rsid w:val="7D185A54"/>
    <w:rsid w:val="7D314889"/>
    <w:rsid w:val="7D401CB4"/>
    <w:rsid w:val="7D460E38"/>
    <w:rsid w:val="7D4B339D"/>
    <w:rsid w:val="7D637428"/>
    <w:rsid w:val="7D823B5E"/>
    <w:rsid w:val="7D930953"/>
    <w:rsid w:val="7D9954B5"/>
    <w:rsid w:val="7DA939D5"/>
    <w:rsid w:val="7DB163E5"/>
    <w:rsid w:val="7DB6794F"/>
    <w:rsid w:val="7DB82E9E"/>
    <w:rsid w:val="7DBC01D8"/>
    <w:rsid w:val="7DBD3626"/>
    <w:rsid w:val="7DE42296"/>
    <w:rsid w:val="7DE93DD1"/>
    <w:rsid w:val="7DF8661F"/>
    <w:rsid w:val="7DFD5ACF"/>
    <w:rsid w:val="7E2A0859"/>
    <w:rsid w:val="7E2B3DA2"/>
    <w:rsid w:val="7E303A52"/>
    <w:rsid w:val="7E3E0F86"/>
    <w:rsid w:val="7E4F55C7"/>
    <w:rsid w:val="7E67447C"/>
    <w:rsid w:val="7E7767F1"/>
    <w:rsid w:val="7E7876FC"/>
    <w:rsid w:val="7E7D3123"/>
    <w:rsid w:val="7E863124"/>
    <w:rsid w:val="7E9F5FB7"/>
    <w:rsid w:val="7ECD5FD3"/>
    <w:rsid w:val="7ED06D3F"/>
    <w:rsid w:val="7ED14F91"/>
    <w:rsid w:val="7EDE2D58"/>
    <w:rsid w:val="7EEA1BAF"/>
    <w:rsid w:val="7EEE33D2"/>
    <w:rsid w:val="7EFE5474"/>
    <w:rsid w:val="7F157767"/>
    <w:rsid w:val="7F177BB6"/>
    <w:rsid w:val="7F2C0419"/>
    <w:rsid w:val="7F3C5E9E"/>
    <w:rsid w:val="7F435E3D"/>
    <w:rsid w:val="7F457705"/>
    <w:rsid w:val="7F4F4108"/>
    <w:rsid w:val="7F683F36"/>
    <w:rsid w:val="7F800765"/>
    <w:rsid w:val="7F964B7E"/>
    <w:rsid w:val="7F9D1317"/>
    <w:rsid w:val="7FAA0C34"/>
    <w:rsid w:val="7FAD5105"/>
    <w:rsid w:val="7FB64187"/>
    <w:rsid w:val="7FEC59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Emphasis"/>
    <w:basedOn w:val="8"/>
    <w:qFormat/>
    <w:uiPriority w:val="0"/>
    <w:rPr>
      <w:i/>
    </w:rPr>
  </w:style>
  <w:style w:type="character" w:styleId="11">
    <w:name w:val="line number"/>
    <w:basedOn w:val="8"/>
    <w:qFormat/>
    <w:uiPriority w:val="0"/>
  </w:style>
  <w:style w:type="character" w:styleId="12">
    <w:name w:val="Hyperlink"/>
    <w:basedOn w:val="8"/>
    <w:qFormat/>
    <w:uiPriority w:val="99"/>
    <w:rPr>
      <w:color w:val="0000FF"/>
      <w:u w:val="single"/>
    </w:rPr>
  </w:style>
  <w:style w:type="character" w:styleId="13">
    <w:name w:val="annotation reference"/>
    <w:basedOn w:val="8"/>
    <w:qFormat/>
    <w:uiPriority w:val="0"/>
    <w:rPr>
      <w:sz w:val="21"/>
      <w:szCs w:val="21"/>
    </w:rPr>
  </w:style>
  <w:style w:type="paragraph" w:customStyle="1" w:styleId="14">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5">
    <w:name w:val="书目1"/>
    <w:basedOn w:val="1"/>
    <w:next w:val="1"/>
    <w:unhideWhenUsed/>
    <w:qFormat/>
    <w:uiPriority w:val="37"/>
    <w:pPr>
      <w:tabs>
        <w:tab w:val="left" w:pos="384"/>
      </w:tabs>
      <w:spacing w:line="480" w:lineRule="auto"/>
      <w:ind w:left="384" w:hanging="384"/>
    </w:pPr>
  </w:style>
  <w:style w:type="character" w:customStyle="1" w:styleId="16">
    <w:name w:val="font21"/>
    <w:basedOn w:val="8"/>
    <w:qFormat/>
    <w:uiPriority w:val="0"/>
    <w:rPr>
      <w:rFonts w:hint="default" w:ascii="Times New Roman" w:hAnsi="Times New Roman" w:cs="Times New Roman"/>
      <w:i/>
      <w:iCs/>
      <w:color w:val="000000"/>
      <w:sz w:val="21"/>
      <w:szCs w:val="21"/>
      <w:u w:val="none"/>
    </w:rPr>
  </w:style>
  <w:style w:type="character" w:customStyle="1" w:styleId="17">
    <w:name w:val="font11"/>
    <w:basedOn w:val="8"/>
    <w:qFormat/>
    <w:uiPriority w:val="0"/>
    <w:rPr>
      <w:rFonts w:hint="default" w:ascii="Times New Roman" w:hAnsi="Times New Roman" w:cs="Times New Roman"/>
      <w:color w:val="000000"/>
      <w:sz w:val="21"/>
      <w:szCs w:val="21"/>
      <w:u w:val="none"/>
    </w:rPr>
  </w:style>
  <w:style w:type="character" w:customStyle="1" w:styleId="18">
    <w:name w:val="新正文 Char"/>
    <w:link w:val="19"/>
    <w:qFormat/>
    <w:uiPriority w:val="0"/>
    <w:rPr>
      <w:rFonts w:ascii="Times New Roman" w:hAnsi="Times New Roman" w:eastAsia="宋体" w:cstheme="majorBidi"/>
      <w:kern w:val="2"/>
      <w:sz w:val="24"/>
      <w:szCs w:val="32"/>
      <w:lang w:val="en-US" w:eastAsia="zh-CN" w:bidi="ar-SA"/>
      <w14:ligatures w14:val="standardContextual"/>
    </w:rPr>
  </w:style>
  <w:style w:type="paragraph" w:customStyle="1" w:styleId="19">
    <w:name w:val="新正文"/>
    <w:link w:val="18"/>
    <w:qFormat/>
    <w:uiPriority w:val="0"/>
    <w:pPr>
      <w:spacing w:line="400" w:lineRule="exact"/>
      <w:ind w:firstLine="480" w:firstLineChars="200"/>
      <w:jc w:val="both"/>
    </w:pPr>
    <w:rPr>
      <w:rFonts w:ascii="Times New Roman" w:hAnsi="Times New Roman" w:eastAsia="宋体" w:cstheme="majorBidi"/>
      <w:kern w:val="2"/>
      <w:sz w:val="24"/>
      <w:szCs w:val="32"/>
      <w:lang w:val="en-US" w:eastAsia="zh-CN" w:bidi="ar-SA"/>
      <w14:ligatures w14:val="standardContextual"/>
    </w:rPr>
  </w:style>
  <w:style w:type="paragraph" w:customStyle="1" w:styleId="20">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1">
    <w:name w:val="Revision"/>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2">
    <w:name w:val="Bibliography"/>
    <w:basedOn w:val="1"/>
    <w:next w:val="1"/>
    <w:unhideWhenUsed/>
    <w:qFormat/>
    <w:uiPriority w:val="37"/>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5602</Words>
  <Characters>29963</Characters>
  <Lines>2953</Lines>
  <Paragraphs>2117</Paragraphs>
  <TotalTime>0</TotalTime>
  <ScaleCrop>false</ScaleCrop>
  <LinksUpToDate>false</LinksUpToDate>
  <CharactersWithSpaces>35058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2026-01-12T12:22:00Z</dcterms:created>
  <dc:creator>harry</dc:creator>
  <cp:lastModifiedBy>阳光</cp:lastModifiedBy>
  <dcterms:modified xsi:type="dcterms:W3CDTF">2026-01-15T14:31:49Z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eyJoZGlkIjoiYzg5OTc1YTUzYjIzN2RkNzdlMTdkNzAxMGI3YzJhODgiLCJ1c2VySWQiOiIxNjA4NzI1OTk4In0=</vt:lpwstr>
  </property>
  <property fmtid="{D5CDD505-2E9C-101B-9397-08002B2CF9AE}" pid="4" name="ICV">
    <vt:lpwstr>4A589D3F56DB4DC791BB708EA2BB04F8_13</vt:lpwstr>
  </property>
  <property fmtid="{D5CDD505-2E9C-101B-9397-08002B2CF9AE}" pid="5" name="ZOTERO_PREF_1">
    <vt:lpwstr>&lt;data data-version="3" zotero-version="7.0.31"&gt;&lt;session id="oMiTCpDR"/&gt;&lt;style id="http://www.zotero.org/styles/nature" hasBibliography="1" bibliographyStyleHasBeenSet="1"/&gt;&lt;prefs&gt;&lt;pref name="fieldType" value="Field"/&gt;&lt;/prefs&gt;&lt;/data&gt;</vt:lpwstr>
  </property>
</Properties>
</file>