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Supplementary material 1. Sexually transmitted infections included in the study and corresponding ICD-10 codes</w:t>
      </w:r>
    </w:p>
    <w:p w:rsidR="00000000" w:rsidDel="00000000" w:rsidP="00000000" w:rsidRDefault="00000000" w:rsidRPr="00000000" w14:paraId="00000002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7050.0" w:type="dxa"/>
        <w:jc w:val="left"/>
        <w:tblInd w:w="2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840"/>
        <w:gridCol w:w="3210"/>
        <w:tblGridChange w:id="0">
          <w:tblGrid>
            <w:gridCol w:w="3840"/>
            <w:gridCol w:w="3210"/>
          </w:tblGrid>
        </w:tblGridChange>
      </w:tblGrid>
      <w:tr>
        <w:trPr>
          <w:cantSplit w:val="0"/>
          <w:trHeight w:val="640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Description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5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ICD-10 code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Anogenital warts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A63.0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restart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rPr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Syphilis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A51.0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A51.1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A51.2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A51.3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A51.4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A51.5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A51.9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A53.0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A53.9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restart"/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Gonococcal infection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098.2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A54.9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M71.10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K67.1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M73.0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N74.3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restart"/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Sexually transmitted chlamydial diseases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A56.0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A56.1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A56.2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A56.3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A56.4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A56.8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N74.4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restart"/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Human immunodeficiency virus infection/disease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Z21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B20.9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B21.0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B21.1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B21.2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B21.3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B21.7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B21.8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B21.9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B22.0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B22.1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B22.2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B22.7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B23.0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B23.1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B23.2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B23.8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B24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F02.4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restart"/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Trichomoniasis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A59.0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A59.8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A59.9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restart"/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Anogenital herpesviral infections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A60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A60.0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A60.1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A60.9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0" w:hRule="atLeast"/>
          <w:tblHeader w:val="0"/>
        </w:trPr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Chlamydial lymphogranuloma (venereum)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A55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restart"/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Unspecified sexually transmitted diseases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A64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A63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A63.8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restart"/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Unspecified urethritis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N34.0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N34.1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N34.2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20.0" w:type="dxa"/>
              <w:left w:w="20.0" w:type="dxa"/>
              <w:bottom w:w="100.0" w:type="dxa"/>
              <w:right w:w="2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rPr/>
            </w:pPr>
            <w:r w:rsidDel="00000000" w:rsidR="00000000" w:rsidRPr="00000000">
              <w:rPr>
                <w:color w:val="323130"/>
                <w:sz w:val="24"/>
                <w:szCs w:val="24"/>
                <w:rtl w:val="0"/>
              </w:rPr>
              <w:t xml:space="preserve">N34.3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C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