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820A7" w14:textId="304E06C7" w:rsidR="004E29C0" w:rsidRDefault="0018628E" w:rsidP="0018628E">
      <w:pPr>
        <w:jc w:val="center"/>
        <w:rPr>
          <w:rFonts w:ascii="Times" w:hAnsi="Times"/>
          <w:b/>
          <w:bCs/>
          <w:sz w:val="24"/>
          <w:szCs w:val="24"/>
          <w:lang w:val="en-US"/>
        </w:rPr>
      </w:pPr>
      <w:r w:rsidRPr="0018628E">
        <w:rPr>
          <w:rFonts w:ascii="Times" w:hAnsi="Times"/>
          <w:b/>
          <w:bCs/>
          <w:sz w:val="24"/>
          <w:szCs w:val="24"/>
          <w:lang w:val="en-US"/>
        </w:rPr>
        <w:t>Supplementary Data 3</w:t>
      </w:r>
    </w:p>
    <w:p w14:paraId="3C66BBB6" w14:textId="77777777" w:rsidR="0018628E" w:rsidRPr="0018628E" w:rsidRDefault="0018628E" w:rsidP="0018628E">
      <w:pPr>
        <w:jc w:val="center"/>
        <w:rPr>
          <w:rFonts w:ascii="Times" w:hAnsi="Times"/>
          <w:b/>
          <w:bCs/>
          <w:sz w:val="24"/>
          <w:szCs w:val="24"/>
          <w:lang w:val="en-US"/>
        </w:rPr>
      </w:pPr>
    </w:p>
    <w:p w14:paraId="559E28F7" w14:textId="6AA1E04A" w:rsidR="00413568" w:rsidRPr="00413568" w:rsidRDefault="00F6662D">
      <w:pPr>
        <w:rPr>
          <w:rFonts w:ascii="Times" w:hAnsi="Times"/>
          <w:b/>
          <w:bCs/>
          <w:sz w:val="24"/>
          <w:szCs w:val="24"/>
          <w:lang w:val="en-US"/>
        </w:rPr>
      </w:pPr>
      <w:r>
        <w:rPr>
          <w:rFonts w:ascii="Times" w:hAnsi="Times"/>
          <w:b/>
          <w:bCs/>
          <w:sz w:val="24"/>
          <w:szCs w:val="24"/>
          <w:lang w:val="en-US"/>
        </w:rPr>
        <w:t xml:space="preserve">Definition of </w:t>
      </w:r>
      <w:r w:rsidR="0018628E">
        <w:rPr>
          <w:rFonts w:ascii="Times" w:hAnsi="Times"/>
          <w:b/>
          <w:bCs/>
          <w:sz w:val="24"/>
          <w:szCs w:val="24"/>
          <w:lang w:val="en-US"/>
        </w:rPr>
        <w:t>c</w:t>
      </w:r>
      <w:r w:rsidR="0018628E" w:rsidRPr="00413568">
        <w:rPr>
          <w:rFonts w:ascii="Times" w:hAnsi="Times"/>
          <w:b/>
          <w:bCs/>
          <w:sz w:val="24"/>
          <w:szCs w:val="24"/>
          <w:lang w:val="en-US"/>
        </w:rPr>
        <w:t>linically</w:t>
      </w:r>
      <w:r w:rsidR="00413568" w:rsidRPr="00413568">
        <w:rPr>
          <w:rFonts w:ascii="Times" w:hAnsi="Times"/>
          <w:b/>
          <w:bCs/>
          <w:sz w:val="24"/>
          <w:szCs w:val="24"/>
          <w:lang w:val="en-US"/>
        </w:rPr>
        <w:t xml:space="preserve"> relevant nonmajor bleeding definition in each </w:t>
      </w:r>
      <w:r w:rsidR="00D40344" w:rsidRPr="00413568">
        <w:rPr>
          <w:rFonts w:ascii="Times" w:hAnsi="Times"/>
          <w:b/>
          <w:bCs/>
          <w:sz w:val="24"/>
          <w:szCs w:val="24"/>
          <w:lang w:val="en-US"/>
        </w:rPr>
        <w:t>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413568" w14:paraId="03CCAD61" w14:textId="77777777" w:rsidTr="00413568">
        <w:tc>
          <w:tcPr>
            <w:tcW w:w="4505" w:type="dxa"/>
          </w:tcPr>
          <w:p w14:paraId="73F5FBD3" w14:textId="28C1829B" w:rsidR="00413568" w:rsidRDefault="00413568">
            <w:pPr>
              <w:rPr>
                <w:rFonts w:ascii="Times" w:hAnsi="Times"/>
                <w:sz w:val="24"/>
                <w:szCs w:val="24"/>
                <w:lang w:val="en-US"/>
              </w:rPr>
            </w:pPr>
            <w:r>
              <w:rPr>
                <w:rFonts w:ascii="Times" w:hAnsi="Times"/>
                <w:sz w:val="24"/>
                <w:szCs w:val="24"/>
                <w:lang w:val="en-US"/>
              </w:rPr>
              <w:t>Studies</w:t>
            </w:r>
          </w:p>
        </w:tc>
        <w:tc>
          <w:tcPr>
            <w:tcW w:w="4505" w:type="dxa"/>
          </w:tcPr>
          <w:p w14:paraId="3ECAC3F7" w14:textId="705FF8F3" w:rsidR="00413568" w:rsidRDefault="00413568">
            <w:pPr>
              <w:rPr>
                <w:rFonts w:ascii="Times" w:hAnsi="Times"/>
                <w:sz w:val="24"/>
                <w:szCs w:val="24"/>
                <w:lang w:val="en-US"/>
              </w:rPr>
            </w:pPr>
            <w:r>
              <w:rPr>
                <w:rFonts w:ascii="Times" w:hAnsi="Times"/>
                <w:sz w:val="24"/>
                <w:szCs w:val="24"/>
                <w:lang w:val="en-US"/>
              </w:rPr>
              <w:t>Definition</w:t>
            </w:r>
          </w:p>
        </w:tc>
      </w:tr>
      <w:tr w:rsidR="00413568" w14:paraId="45F6BEFC" w14:textId="77777777" w:rsidTr="00413568">
        <w:tc>
          <w:tcPr>
            <w:tcW w:w="4505" w:type="dxa"/>
          </w:tcPr>
          <w:p w14:paraId="5E242320" w14:textId="29F8D3D8" w:rsidR="00413568" w:rsidRDefault="00413568">
            <w:pPr>
              <w:rPr>
                <w:rFonts w:ascii="Times" w:hAnsi="Times"/>
                <w:sz w:val="24"/>
                <w:szCs w:val="24"/>
                <w:lang w:val="en-US"/>
              </w:rPr>
            </w:pPr>
            <w:r>
              <w:rPr>
                <w:rFonts w:ascii="Times" w:hAnsi="Times"/>
                <w:sz w:val="24"/>
                <w:szCs w:val="24"/>
                <w:lang w:val="en-US"/>
              </w:rPr>
              <w:t xml:space="preserve">Young et al. </w:t>
            </w:r>
            <w:r w:rsidR="00134890">
              <w:rPr>
                <w:rFonts w:ascii="Times" w:hAnsi="Times"/>
                <w:sz w:val="24"/>
                <w:szCs w:val="24"/>
                <w:lang w:val="en-US"/>
              </w:rPr>
              <w:t>[</w:t>
            </w:r>
            <w:r w:rsidR="00BB0309">
              <w:rPr>
                <w:rFonts w:ascii="Times" w:hAnsi="Times"/>
                <w:sz w:val="24"/>
                <w:szCs w:val="24"/>
                <w:lang w:val="en-US"/>
              </w:rPr>
              <w:t>11</w:t>
            </w:r>
            <w:r w:rsidR="00134890">
              <w:rPr>
                <w:rFonts w:ascii="Times" w:hAnsi="Times"/>
                <w:sz w:val="24"/>
                <w:szCs w:val="24"/>
                <w:lang w:val="en-US"/>
              </w:rPr>
              <w:t>]</w:t>
            </w:r>
          </w:p>
        </w:tc>
        <w:tc>
          <w:tcPr>
            <w:tcW w:w="4505" w:type="dxa"/>
            <w:vMerge w:val="restart"/>
          </w:tcPr>
          <w:p w14:paraId="2B646801" w14:textId="44FA9C89" w:rsidR="00413568" w:rsidRDefault="00413568">
            <w:pPr>
              <w:rPr>
                <w:rFonts w:ascii="Times" w:hAnsi="Times"/>
                <w:sz w:val="24"/>
                <w:szCs w:val="24"/>
                <w:lang w:val="en-US"/>
              </w:rPr>
            </w:pPr>
            <w:r>
              <w:rPr>
                <w:rFonts w:ascii="Times" w:hAnsi="Times"/>
                <w:sz w:val="24"/>
                <w:szCs w:val="24"/>
                <w:lang w:val="en-US"/>
              </w:rPr>
              <w:t>Acute, clinically overt episodes that did not meet major criteria but required medical intervention, unscheduled contact with a physician, interruption or discontinuation of study drug, discomfort or impairment of activities of life</w:t>
            </w:r>
          </w:p>
        </w:tc>
      </w:tr>
      <w:tr w:rsidR="00413568" w14:paraId="5D993BAD" w14:textId="77777777" w:rsidTr="00413568">
        <w:tc>
          <w:tcPr>
            <w:tcW w:w="4505" w:type="dxa"/>
          </w:tcPr>
          <w:p w14:paraId="2609B479" w14:textId="76273FD8" w:rsidR="00413568" w:rsidRDefault="00413568">
            <w:pPr>
              <w:rPr>
                <w:rFonts w:ascii="Times" w:hAnsi="Times"/>
                <w:sz w:val="24"/>
                <w:szCs w:val="24"/>
                <w:lang w:val="en-US"/>
              </w:rPr>
            </w:pPr>
            <w:r>
              <w:rPr>
                <w:rFonts w:ascii="Times" w:hAnsi="Times"/>
                <w:lang w:val="en-US"/>
              </w:rPr>
              <w:t xml:space="preserve">Kim et al. </w:t>
            </w:r>
            <w:r w:rsidR="00134890">
              <w:rPr>
                <w:rFonts w:ascii="Times" w:hAnsi="Times"/>
                <w:lang w:val="en-US"/>
              </w:rPr>
              <w:t>[</w:t>
            </w:r>
            <w:r w:rsidR="00BB0309">
              <w:rPr>
                <w:rFonts w:ascii="Times" w:hAnsi="Times"/>
                <w:lang w:val="en-US"/>
              </w:rPr>
              <w:t>23</w:t>
            </w:r>
            <w:r w:rsidR="00134890">
              <w:rPr>
                <w:rFonts w:ascii="Times" w:hAnsi="Times"/>
                <w:lang w:val="en-US"/>
              </w:rPr>
              <w:t>]</w:t>
            </w:r>
          </w:p>
        </w:tc>
        <w:tc>
          <w:tcPr>
            <w:tcW w:w="4505" w:type="dxa"/>
            <w:vMerge/>
          </w:tcPr>
          <w:p w14:paraId="5D5D4126" w14:textId="77777777" w:rsidR="00413568" w:rsidRDefault="00413568">
            <w:pPr>
              <w:rPr>
                <w:rFonts w:ascii="Times" w:hAnsi="Times"/>
                <w:sz w:val="24"/>
                <w:szCs w:val="24"/>
                <w:lang w:val="en-US"/>
              </w:rPr>
            </w:pPr>
          </w:p>
        </w:tc>
      </w:tr>
      <w:tr w:rsidR="00413568" w14:paraId="53A28253" w14:textId="77777777" w:rsidTr="00413568">
        <w:tc>
          <w:tcPr>
            <w:tcW w:w="4505" w:type="dxa"/>
          </w:tcPr>
          <w:p w14:paraId="5A9332C3" w14:textId="5C11CC60" w:rsidR="00413568" w:rsidRDefault="00413568">
            <w:pPr>
              <w:rPr>
                <w:rFonts w:ascii="Times" w:hAnsi="Times"/>
                <w:sz w:val="24"/>
                <w:szCs w:val="24"/>
                <w:lang w:val="en-US"/>
              </w:rPr>
            </w:pPr>
            <w:proofErr w:type="spellStart"/>
            <w:r w:rsidRPr="00F36E49">
              <w:rPr>
                <w:rFonts w:ascii="Times" w:hAnsi="Times"/>
                <w:lang w:val="en-US"/>
              </w:rPr>
              <w:t>Ageno</w:t>
            </w:r>
            <w:proofErr w:type="spellEnd"/>
            <w:r w:rsidRPr="00F36E49">
              <w:rPr>
                <w:rFonts w:ascii="Times" w:hAnsi="Times"/>
                <w:lang w:val="en-US"/>
              </w:rPr>
              <w:t xml:space="preserve"> et al.</w:t>
            </w:r>
            <w:r>
              <w:rPr>
                <w:rFonts w:ascii="Times" w:hAnsi="Times"/>
                <w:lang w:val="en-US"/>
              </w:rPr>
              <w:t xml:space="preserve"> </w:t>
            </w:r>
            <w:r w:rsidR="00134890">
              <w:rPr>
                <w:rFonts w:ascii="Times" w:hAnsi="Times"/>
                <w:lang w:val="en-US"/>
              </w:rPr>
              <w:t>[</w:t>
            </w:r>
            <w:r w:rsidR="00BB0309">
              <w:rPr>
                <w:rFonts w:ascii="Times" w:hAnsi="Times"/>
                <w:lang w:val="en-US"/>
              </w:rPr>
              <w:t>25</w:t>
            </w:r>
            <w:r w:rsidR="00134890">
              <w:rPr>
                <w:rFonts w:ascii="Times" w:hAnsi="Times"/>
                <w:lang w:val="en-US"/>
              </w:rPr>
              <w:t>]</w:t>
            </w:r>
          </w:p>
        </w:tc>
        <w:tc>
          <w:tcPr>
            <w:tcW w:w="4505" w:type="dxa"/>
          </w:tcPr>
          <w:p w14:paraId="6E538A53" w14:textId="5D5406DD" w:rsidR="00413568" w:rsidRDefault="00413568" w:rsidP="00413568">
            <w:pPr>
              <w:pStyle w:val="NormalWeb"/>
              <w:rPr>
                <w:rFonts w:ascii="Times" w:hAnsi="Times"/>
                <w:lang w:val="en-US"/>
              </w:rPr>
            </w:pPr>
            <w:r w:rsidRPr="00F36E49">
              <w:rPr>
                <w:rFonts w:ascii="Times" w:hAnsi="Times"/>
              </w:rPr>
              <w:t>CRNMB events were defined as acute clinically overt</w:t>
            </w:r>
            <w:r w:rsidRPr="00F36E49">
              <w:rPr>
                <w:rFonts w:ascii="Times" w:hAnsi="Times"/>
                <w:lang w:val="en-US"/>
              </w:rPr>
              <w:t xml:space="preserve"> </w:t>
            </w:r>
            <w:r w:rsidRPr="00F36E49">
              <w:rPr>
                <w:rFonts w:ascii="Times" w:hAnsi="Times"/>
              </w:rPr>
              <w:t xml:space="preserve">bleeding that did not meet the criteria for major bleeding, but requiring nonsurgical, medical intervention by a health care professional, leading to hospitalization or increased </w:t>
            </w:r>
            <w:r w:rsidRPr="00F36E49">
              <w:rPr>
                <w:rFonts w:ascii="Times" w:hAnsi="Times"/>
                <w:lang w:val="en-US"/>
              </w:rPr>
              <w:t>level of care, or prompting evaluation.</w:t>
            </w:r>
          </w:p>
          <w:p w14:paraId="5C0F57A7" w14:textId="77777777" w:rsidR="00413568" w:rsidRDefault="00413568">
            <w:pPr>
              <w:rPr>
                <w:rFonts w:ascii="Times" w:hAnsi="Times"/>
                <w:sz w:val="24"/>
                <w:szCs w:val="24"/>
                <w:lang w:val="en-US"/>
              </w:rPr>
            </w:pPr>
          </w:p>
        </w:tc>
      </w:tr>
      <w:tr w:rsidR="00413568" w14:paraId="791DB796" w14:textId="77777777" w:rsidTr="00413568">
        <w:tc>
          <w:tcPr>
            <w:tcW w:w="4505" w:type="dxa"/>
          </w:tcPr>
          <w:p w14:paraId="1C6E9022" w14:textId="506D881D" w:rsidR="00413568" w:rsidRDefault="00413568">
            <w:pPr>
              <w:rPr>
                <w:rFonts w:ascii="Times" w:hAnsi="Times"/>
                <w:sz w:val="24"/>
                <w:szCs w:val="24"/>
                <w:lang w:val="en-US"/>
              </w:rPr>
            </w:pPr>
            <w:r w:rsidRPr="00F36E49">
              <w:rPr>
                <w:rFonts w:ascii="Times" w:hAnsi="Times"/>
                <w:lang w:val="en-US"/>
              </w:rPr>
              <w:t>Lee et al</w:t>
            </w:r>
            <w:r>
              <w:rPr>
                <w:rFonts w:ascii="Times" w:hAnsi="Times"/>
                <w:lang w:val="en-US"/>
              </w:rPr>
              <w:t xml:space="preserve">. </w:t>
            </w:r>
            <w:r w:rsidR="00134890">
              <w:rPr>
                <w:rFonts w:ascii="Times" w:hAnsi="Times"/>
                <w:lang w:val="en-US"/>
              </w:rPr>
              <w:t>[</w:t>
            </w:r>
            <w:r w:rsidR="00BB0309">
              <w:rPr>
                <w:rFonts w:ascii="Times" w:hAnsi="Times"/>
                <w:lang w:val="en-US"/>
              </w:rPr>
              <w:t>22</w:t>
            </w:r>
            <w:r w:rsidR="00134890">
              <w:rPr>
                <w:rFonts w:ascii="Times" w:hAnsi="Times"/>
                <w:lang w:val="en-US"/>
              </w:rPr>
              <w:t>]</w:t>
            </w:r>
          </w:p>
        </w:tc>
        <w:tc>
          <w:tcPr>
            <w:tcW w:w="4505" w:type="dxa"/>
          </w:tcPr>
          <w:p w14:paraId="5F8856AC" w14:textId="7B9836FB" w:rsidR="00413568" w:rsidRPr="00F36E49" w:rsidRDefault="00413568" w:rsidP="00413568">
            <w:pPr>
              <w:pStyle w:val="NormalWeb"/>
              <w:rPr>
                <w:rFonts w:ascii="Times" w:hAnsi="Times"/>
              </w:rPr>
            </w:pPr>
            <w:r w:rsidRPr="00F36E49">
              <w:rPr>
                <w:rFonts w:ascii="Times" w:hAnsi="Times"/>
                <w:lang w:val="en-US"/>
              </w:rPr>
              <w:t xml:space="preserve">Any obvious bleeding occurring during treatment with LMWH or rivaroxaban </w:t>
            </w:r>
            <w:r w:rsidRPr="00F36E49">
              <w:rPr>
                <w:rFonts w:ascii="Times" w:hAnsi="Times"/>
              </w:rPr>
              <w:t xml:space="preserve">and resulted in medical intervention, unscheduled visits with clinicians, discontinuance of anticoagulants, or a decline in the activities of daily life. </w:t>
            </w:r>
          </w:p>
          <w:p w14:paraId="589C23FE" w14:textId="77777777" w:rsidR="00413568" w:rsidRPr="00413568" w:rsidRDefault="00413568">
            <w:pPr>
              <w:rPr>
                <w:rFonts w:ascii="Times" w:hAnsi="Times"/>
                <w:sz w:val="24"/>
                <w:szCs w:val="24"/>
              </w:rPr>
            </w:pPr>
          </w:p>
        </w:tc>
      </w:tr>
    </w:tbl>
    <w:p w14:paraId="026EC24C" w14:textId="58B5C89D" w:rsidR="00413568" w:rsidRDefault="00413568">
      <w:pPr>
        <w:rPr>
          <w:rFonts w:ascii="Times" w:hAnsi="Times"/>
          <w:sz w:val="24"/>
          <w:szCs w:val="24"/>
          <w:lang w:val="en-US"/>
        </w:rPr>
      </w:pPr>
    </w:p>
    <w:p w14:paraId="50DE04E7" w14:textId="706EF1E6" w:rsidR="00413568" w:rsidRDefault="00413568">
      <w:pPr>
        <w:rPr>
          <w:rFonts w:ascii="Times" w:hAnsi="Times"/>
          <w:sz w:val="24"/>
          <w:szCs w:val="24"/>
          <w:lang w:val="en-US"/>
        </w:rPr>
      </w:pPr>
    </w:p>
    <w:p w14:paraId="6B42F88B" w14:textId="77777777" w:rsidR="00413568" w:rsidRPr="00413568" w:rsidRDefault="00413568">
      <w:pPr>
        <w:rPr>
          <w:rFonts w:ascii="Times" w:hAnsi="Times"/>
          <w:sz w:val="24"/>
          <w:szCs w:val="24"/>
        </w:rPr>
      </w:pPr>
    </w:p>
    <w:sectPr w:rsidR="00413568" w:rsidRPr="00413568" w:rsidSect="0041356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﷽﷽怀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 w:grammar="clean"/>
  <w:defaultTabStop w:val="720"/>
  <w:evenAndOddHeaders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W0NDW3MDAyMrYwNjBW0lEKTi0uzszPAykwrAUAQyb7zywAAAA="/>
  </w:docVars>
  <w:rsids>
    <w:rsidRoot w:val="00413568"/>
    <w:rsid w:val="00026843"/>
    <w:rsid w:val="00060C06"/>
    <w:rsid w:val="00134890"/>
    <w:rsid w:val="0018628E"/>
    <w:rsid w:val="003618D9"/>
    <w:rsid w:val="00413568"/>
    <w:rsid w:val="004E29C0"/>
    <w:rsid w:val="00703FCB"/>
    <w:rsid w:val="00BB0309"/>
    <w:rsid w:val="00D40344"/>
    <w:rsid w:val="00DC5463"/>
    <w:rsid w:val="00DD522D"/>
    <w:rsid w:val="00F66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D96EE"/>
  <w15:chartTrackingRefBased/>
  <w15:docId w15:val="{ED524D1B-55B6-CB4E-8F63-08D9C72F8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inorHAnsi" w:hAnsiTheme="majorHAnsi" w:cstheme="majorBidi"/>
        <w:sz w:val="22"/>
        <w:szCs w:val="22"/>
        <w:lang w:eastAsia="en-US" w:bidi="th-TH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0C06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0C06"/>
    <w:pPr>
      <w:pBdr>
        <w:bottom w:val="thinThickSmallGap" w:sz="12" w:space="1" w:color="C45911" w:themeColor="accent2" w:themeShade="BF"/>
      </w:pBdr>
      <w:spacing w:before="400"/>
      <w:jc w:val="center"/>
      <w:outlineLvl w:val="0"/>
    </w:pPr>
    <w:rPr>
      <w:caps/>
      <w:color w:val="833C0B" w:themeColor="accent2" w:themeShade="80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0C06"/>
    <w:pPr>
      <w:pBdr>
        <w:bottom w:val="single" w:sz="4" w:space="1" w:color="823B0B" w:themeColor="accent2" w:themeShade="7F"/>
      </w:pBdr>
      <w:spacing w:before="400"/>
      <w:jc w:val="center"/>
      <w:outlineLvl w:val="1"/>
    </w:pPr>
    <w:rPr>
      <w:caps/>
      <w:color w:val="833C0B" w:themeColor="accent2" w:themeShade="80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0C06"/>
    <w:pPr>
      <w:pBdr>
        <w:top w:val="dotted" w:sz="4" w:space="1" w:color="823B0B" w:themeColor="accent2" w:themeShade="7F"/>
        <w:bottom w:val="dotted" w:sz="4" w:space="1" w:color="823B0B" w:themeColor="accent2" w:themeShade="7F"/>
      </w:pBdr>
      <w:spacing w:before="300"/>
      <w:jc w:val="center"/>
      <w:outlineLvl w:val="2"/>
    </w:pPr>
    <w:rPr>
      <w:caps/>
      <w:color w:val="823B0B" w:themeColor="accent2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0C06"/>
    <w:pPr>
      <w:pBdr>
        <w:bottom w:val="dotted" w:sz="4" w:space="1" w:color="C45911" w:themeColor="accent2" w:themeShade="BF"/>
      </w:pBdr>
      <w:spacing w:after="120"/>
      <w:jc w:val="center"/>
      <w:outlineLvl w:val="3"/>
    </w:pPr>
    <w:rPr>
      <w:caps/>
      <w:color w:val="823B0B" w:themeColor="accent2" w:themeShade="7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0C06"/>
    <w:pPr>
      <w:spacing w:before="320" w:after="120"/>
      <w:jc w:val="center"/>
      <w:outlineLvl w:val="4"/>
    </w:pPr>
    <w:rPr>
      <w:caps/>
      <w:color w:val="823B0B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0C06"/>
    <w:pPr>
      <w:spacing w:after="120"/>
      <w:jc w:val="center"/>
      <w:outlineLvl w:val="5"/>
    </w:pPr>
    <w:rPr>
      <w:caps/>
      <w:color w:val="C45911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0C06"/>
    <w:pPr>
      <w:spacing w:after="120"/>
      <w:jc w:val="center"/>
      <w:outlineLvl w:val="6"/>
    </w:pPr>
    <w:rPr>
      <w:i/>
      <w:iCs/>
      <w:caps/>
      <w:color w:val="C45911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0C06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0C06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0C06"/>
    <w:rPr>
      <w:caps/>
      <w:color w:val="833C0B" w:themeColor="accent2" w:themeShade="80"/>
      <w:spacing w:val="2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0C06"/>
    <w:rPr>
      <w:caps/>
      <w:color w:val="833C0B" w:themeColor="accent2" w:themeShade="80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0C06"/>
    <w:rPr>
      <w:caps/>
      <w:color w:val="823B0B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0C06"/>
    <w:rPr>
      <w:caps/>
      <w:color w:val="823B0B" w:themeColor="accent2" w:themeShade="7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0C06"/>
    <w:rPr>
      <w:caps/>
      <w:color w:val="823B0B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0C06"/>
    <w:rPr>
      <w:caps/>
      <w:color w:val="C45911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0C06"/>
    <w:rPr>
      <w:i/>
      <w:iCs/>
      <w:caps/>
      <w:color w:val="C45911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0C06"/>
    <w:rPr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0C06"/>
    <w:rPr>
      <w:i/>
      <w:iCs/>
      <w:caps/>
      <w:spacing w:val="1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60C06"/>
    <w:rPr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060C06"/>
    <w:pPr>
      <w:pBdr>
        <w:top w:val="dotted" w:sz="2" w:space="1" w:color="833C0B" w:themeColor="accent2" w:themeShade="80"/>
        <w:bottom w:val="dotted" w:sz="2" w:space="6" w:color="833C0B" w:themeColor="accent2" w:themeShade="80"/>
      </w:pBdr>
      <w:spacing w:before="500" w:after="300"/>
      <w:jc w:val="center"/>
    </w:pPr>
    <w:rPr>
      <w:caps/>
      <w:color w:val="833C0B" w:themeColor="accent2" w:themeShade="80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060C06"/>
    <w:rPr>
      <w:caps/>
      <w:color w:val="833C0B" w:themeColor="accent2" w:themeShade="80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0C06"/>
    <w:pPr>
      <w:spacing w:after="560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060C06"/>
    <w:rPr>
      <w:caps/>
      <w:spacing w:val="20"/>
      <w:sz w:val="18"/>
      <w:szCs w:val="18"/>
    </w:rPr>
  </w:style>
  <w:style w:type="character" w:styleId="Strong">
    <w:name w:val="Strong"/>
    <w:uiPriority w:val="22"/>
    <w:qFormat/>
    <w:rsid w:val="00060C06"/>
    <w:rPr>
      <w:b/>
      <w:bCs/>
      <w:color w:val="C45911" w:themeColor="accent2" w:themeShade="BF"/>
      <w:spacing w:val="5"/>
    </w:rPr>
  </w:style>
  <w:style w:type="character" w:styleId="Emphasis">
    <w:name w:val="Emphasis"/>
    <w:uiPriority w:val="20"/>
    <w:qFormat/>
    <w:rsid w:val="00060C06"/>
    <w:rPr>
      <w:caps/>
      <w:spacing w:val="5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060C06"/>
    <w:pPr>
      <w:spacing w:after="0"/>
    </w:pPr>
  </w:style>
  <w:style w:type="character" w:customStyle="1" w:styleId="NoSpacingChar">
    <w:name w:val="No Spacing Char"/>
    <w:basedOn w:val="DefaultParagraphFont"/>
    <w:link w:val="NoSpacing"/>
    <w:uiPriority w:val="1"/>
    <w:rsid w:val="00060C06"/>
  </w:style>
  <w:style w:type="paragraph" w:styleId="ListParagraph">
    <w:name w:val="List Paragraph"/>
    <w:basedOn w:val="Normal"/>
    <w:uiPriority w:val="34"/>
    <w:qFormat/>
    <w:rsid w:val="00060C06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060C06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060C06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0C06"/>
    <w:pPr>
      <w:pBdr>
        <w:top w:val="dotted" w:sz="2" w:space="10" w:color="833C0B" w:themeColor="accent2" w:themeShade="80"/>
        <w:bottom w:val="dotted" w:sz="2" w:space="4" w:color="833C0B" w:themeColor="accent2" w:themeShade="80"/>
      </w:pBdr>
      <w:spacing w:before="160" w:line="300" w:lineRule="auto"/>
      <w:ind w:left="1440" w:right="1440"/>
    </w:pPr>
    <w:rPr>
      <w:caps/>
      <w:color w:val="823B0B" w:themeColor="accent2" w:themeShade="7F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0C06"/>
    <w:rPr>
      <w:caps/>
      <w:color w:val="823B0B" w:themeColor="accent2" w:themeShade="7F"/>
      <w:spacing w:val="5"/>
      <w:sz w:val="20"/>
      <w:szCs w:val="20"/>
    </w:rPr>
  </w:style>
  <w:style w:type="character" w:styleId="SubtleEmphasis">
    <w:name w:val="Subtle Emphasis"/>
    <w:uiPriority w:val="19"/>
    <w:qFormat/>
    <w:rsid w:val="00060C06"/>
    <w:rPr>
      <w:i/>
      <w:iCs/>
    </w:rPr>
  </w:style>
  <w:style w:type="character" w:styleId="IntenseEmphasis">
    <w:name w:val="Intense Emphasis"/>
    <w:uiPriority w:val="21"/>
    <w:qFormat/>
    <w:rsid w:val="00060C06"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060C06"/>
    <w:rPr>
      <w:rFonts w:asciiTheme="minorHAnsi" w:eastAsiaTheme="minorEastAsia" w:hAnsiTheme="minorHAnsi" w:cstheme="minorBidi"/>
      <w:i/>
      <w:iCs/>
      <w:color w:val="823B0B" w:themeColor="accent2" w:themeShade="7F"/>
    </w:rPr>
  </w:style>
  <w:style w:type="character" w:styleId="IntenseReference">
    <w:name w:val="Intense Reference"/>
    <w:uiPriority w:val="32"/>
    <w:qFormat/>
    <w:rsid w:val="00060C06"/>
    <w:rPr>
      <w:rFonts w:asciiTheme="minorHAnsi" w:eastAsiaTheme="minorEastAsia" w:hAnsiTheme="minorHAnsi" w:cstheme="minorBidi"/>
      <w:b/>
      <w:bCs/>
      <w:i/>
      <w:iCs/>
      <w:color w:val="823B0B" w:themeColor="accent2" w:themeShade="7F"/>
    </w:rPr>
  </w:style>
  <w:style w:type="character" w:styleId="BookTitle">
    <w:name w:val="Book Title"/>
    <w:uiPriority w:val="33"/>
    <w:qFormat/>
    <w:rsid w:val="00060C06"/>
    <w:rPr>
      <w:caps/>
      <w:color w:val="823B0B" w:themeColor="accent2" w:themeShade="7F"/>
      <w:spacing w:val="5"/>
      <w:u w:color="823B0B" w:themeColor="accent2" w:themeShade="7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60C06"/>
    <w:pPr>
      <w:outlineLvl w:val="9"/>
    </w:pPr>
  </w:style>
  <w:style w:type="table" w:styleId="TableGrid">
    <w:name w:val="Table Grid"/>
    <w:basedOn w:val="TableNormal"/>
    <w:uiPriority w:val="39"/>
    <w:rsid w:val="0041356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1356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Tarinee Rungjirajittranon</dc:creator>
  <cp:keywords/>
  <dc:description/>
  <cp:lastModifiedBy>weerapat owattanapanich</cp:lastModifiedBy>
  <cp:revision>2</cp:revision>
  <dcterms:created xsi:type="dcterms:W3CDTF">2021-05-20T14:50:00Z</dcterms:created>
  <dcterms:modified xsi:type="dcterms:W3CDTF">2021-05-20T14:50:00Z</dcterms:modified>
</cp:coreProperties>
</file>