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38A92" w14:textId="77777777" w:rsidR="00CE61E5" w:rsidRPr="003B7A9D" w:rsidRDefault="00CE61E5" w:rsidP="00CE61E5">
      <w:pPr>
        <w:spacing w:afterLines="100" w:after="326"/>
        <w:jc w:val="center"/>
        <w:rPr>
          <w:rFonts w:ascii="Arial" w:hAnsi="Arial" w:cs="Arial"/>
          <w:b/>
          <w:sz w:val="36"/>
        </w:rPr>
      </w:pPr>
      <w:r w:rsidRPr="00863927">
        <w:rPr>
          <w:rFonts w:ascii="Arial" w:hAnsi="Arial" w:cs="Arial"/>
          <w:b/>
          <w:sz w:val="36"/>
        </w:rPr>
        <w:t>Bipolar physical reservoir computing for intrinsic processing of signed temporal signals</w:t>
      </w:r>
    </w:p>
    <w:p w14:paraId="02B7DDC8" w14:textId="77777777" w:rsidR="00CE61E5" w:rsidRPr="00574C4D" w:rsidRDefault="00CE61E5" w:rsidP="00CE61E5">
      <w:pPr>
        <w:pStyle w:val="AuthorsFull"/>
        <w:ind w:firstLineChars="0" w:firstLine="0"/>
        <w:jc w:val="both"/>
        <w:rPr>
          <w:rFonts w:eastAsiaTheme="minorEastAsia"/>
          <w:i w:val="0"/>
          <w:iCs/>
          <w:color w:val="000000" w:themeColor="text1"/>
          <w:lang w:eastAsia="zh-CN"/>
        </w:rPr>
      </w:pPr>
      <w:proofErr w:type="spellStart"/>
      <w:r>
        <w:rPr>
          <w:rFonts w:eastAsiaTheme="minorEastAsia"/>
          <w:i w:val="0"/>
          <w:iCs/>
          <w:color w:val="000000" w:themeColor="text1"/>
          <w:lang w:eastAsia="zh-CN"/>
        </w:rPr>
        <w:t>Ruiqi</w:t>
      </w:r>
      <w:proofErr w:type="spellEnd"/>
      <w:r>
        <w:rPr>
          <w:rFonts w:eastAsiaTheme="minorEastAsia"/>
          <w:i w:val="0"/>
          <w:iCs/>
          <w:color w:val="000000" w:themeColor="text1"/>
          <w:lang w:eastAsia="zh-CN"/>
        </w:rPr>
        <w:t xml:space="preserve"> Chen</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Ao</w:t>
      </w:r>
      <w:proofErr w:type="spellEnd"/>
      <w:r>
        <w:rPr>
          <w:rFonts w:eastAsiaTheme="minorEastAsia"/>
          <w:i w:val="0"/>
          <w:iCs/>
          <w:color w:val="000000" w:themeColor="text1"/>
          <w:lang w:eastAsia="zh-CN"/>
        </w:rPr>
        <w:t xml:space="preserve"> Shi</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Siyuan</w:t>
      </w:r>
      <w:proofErr w:type="spellEnd"/>
      <w:r>
        <w:rPr>
          <w:rFonts w:eastAsiaTheme="minorEastAsia"/>
          <w:i w:val="0"/>
          <w:iCs/>
          <w:color w:val="000000" w:themeColor="text1"/>
          <w:lang w:eastAsia="zh-CN"/>
        </w:rPr>
        <w:t xml:space="preserve"> Chen</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Jiaqi</w:t>
      </w:r>
      <w:proofErr w:type="spellEnd"/>
      <w:r>
        <w:rPr>
          <w:rFonts w:eastAsiaTheme="minorEastAsia"/>
          <w:i w:val="0"/>
          <w:iCs/>
          <w:color w:val="000000" w:themeColor="text1"/>
          <w:lang w:eastAsia="zh-CN"/>
        </w:rPr>
        <w:t xml:space="preserve"> Li</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Yading</w:t>
      </w:r>
      <w:proofErr w:type="spellEnd"/>
      <w:r>
        <w:rPr>
          <w:rFonts w:eastAsiaTheme="minorEastAsia"/>
          <w:i w:val="0"/>
          <w:iCs/>
          <w:color w:val="000000" w:themeColor="text1"/>
          <w:lang w:eastAsia="zh-CN"/>
        </w:rPr>
        <w:t xml:space="preserve"> Yi</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Junchen</w:t>
      </w:r>
      <w:proofErr w:type="spellEnd"/>
      <w:r>
        <w:rPr>
          <w:rFonts w:eastAsiaTheme="minorEastAsia"/>
          <w:i w:val="0"/>
          <w:iCs/>
          <w:color w:val="000000" w:themeColor="text1"/>
          <w:lang w:eastAsia="zh-CN"/>
        </w:rPr>
        <w:t xml:space="preserve"> Dong</w:t>
      </w:r>
      <w:r w:rsidRPr="001E449B">
        <w:rPr>
          <w:rFonts w:eastAsiaTheme="minorEastAsia"/>
          <w:i w:val="0"/>
          <w:iCs/>
          <w:color w:val="000000" w:themeColor="text1"/>
          <w:vertAlign w:val="superscript"/>
          <w:lang w:eastAsia="zh-CN"/>
        </w:rPr>
        <w:t>3</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Yulin</w:t>
      </w:r>
      <w:proofErr w:type="spellEnd"/>
      <w:r>
        <w:rPr>
          <w:rFonts w:eastAsiaTheme="minorEastAsia"/>
          <w:i w:val="0"/>
          <w:iCs/>
          <w:color w:val="000000" w:themeColor="text1"/>
          <w:lang w:eastAsia="zh-CN"/>
        </w:rPr>
        <w:t xml:space="preserve"> Feng</w:t>
      </w:r>
      <w:r>
        <w:rPr>
          <w:i w:val="0"/>
          <w:iCs/>
          <w:color w:val="000000" w:themeColor="text1"/>
          <w:vertAlign w:val="superscript"/>
        </w:rPr>
        <w:t>3</w:t>
      </w:r>
      <w:r>
        <w:rPr>
          <w:rFonts w:eastAsiaTheme="minorEastAsia"/>
          <w:i w:val="0"/>
          <w:iCs/>
          <w:color w:val="000000" w:themeColor="text1"/>
          <w:lang w:eastAsia="zh-CN"/>
        </w:rPr>
        <w:t>, Zheng Zhou</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Dedong</w:t>
      </w:r>
      <w:proofErr w:type="spellEnd"/>
      <w:r>
        <w:rPr>
          <w:rFonts w:eastAsiaTheme="minorEastAsia"/>
          <w:i w:val="0"/>
          <w:iCs/>
          <w:color w:val="000000" w:themeColor="text1"/>
          <w:lang w:eastAsia="zh-CN"/>
        </w:rPr>
        <w:t xml:space="preserve"> Han</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Lifeng</w:t>
      </w:r>
      <w:proofErr w:type="spellEnd"/>
      <w:r>
        <w:rPr>
          <w:rFonts w:eastAsiaTheme="minorEastAsia"/>
          <w:i w:val="0"/>
          <w:iCs/>
          <w:color w:val="000000" w:themeColor="text1"/>
          <w:lang w:eastAsia="zh-CN"/>
        </w:rPr>
        <w:t xml:space="preserve"> Liu</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Xiaoyan</w:t>
      </w:r>
      <w:proofErr w:type="spellEnd"/>
      <w:r>
        <w:rPr>
          <w:rFonts w:eastAsiaTheme="minorEastAsia"/>
          <w:i w:val="0"/>
          <w:iCs/>
          <w:color w:val="000000" w:themeColor="text1"/>
          <w:lang w:eastAsia="zh-CN"/>
        </w:rPr>
        <w:t xml:space="preserve"> Liu</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sidRPr="00C07D62">
        <w:rPr>
          <w:i w:val="0"/>
          <w:iCs/>
          <w:color w:val="000000" w:themeColor="text1"/>
        </w:rPr>
        <w:t>*</w:t>
      </w:r>
      <w:r>
        <w:rPr>
          <w:rFonts w:eastAsiaTheme="minorEastAsia"/>
          <w:i w:val="0"/>
          <w:iCs/>
          <w:color w:val="000000" w:themeColor="text1"/>
          <w:lang w:eastAsia="zh-CN"/>
        </w:rPr>
        <w:t>,</w:t>
      </w:r>
      <w:r w:rsidRPr="003C33DC">
        <w:rPr>
          <w:rFonts w:eastAsiaTheme="minorEastAsia"/>
          <w:i w:val="0"/>
          <w:iCs/>
          <w:color w:val="000000" w:themeColor="text1"/>
          <w:lang w:eastAsia="zh-CN"/>
        </w:rPr>
        <w:t xml:space="preserve"> </w:t>
      </w:r>
      <w:proofErr w:type="spellStart"/>
      <w:r>
        <w:rPr>
          <w:rFonts w:eastAsiaTheme="minorEastAsia"/>
          <w:i w:val="0"/>
          <w:iCs/>
          <w:color w:val="000000" w:themeColor="text1"/>
          <w:lang w:eastAsia="zh-CN"/>
        </w:rPr>
        <w:t>Jinfeng</w:t>
      </w:r>
      <w:proofErr w:type="spellEnd"/>
      <w:r>
        <w:rPr>
          <w:rFonts w:eastAsiaTheme="minorEastAsia"/>
          <w:i w:val="0"/>
          <w:iCs/>
          <w:color w:val="000000" w:themeColor="text1"/>
          <w:lang w:eastAsia="zh-CN"/>
        </w:rPr>
        <w:t xml:space="preserve"> Kang</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Pr>
          <w:rFonts w:eastAsiaTheme="minorEastAsia"/>
          <w:i w:val="0"/>
          <w:iCs/>
          <w:color w:val="000000" w:themeColor="text1"/>
          <w:lang w:eastAsia="zh-CN"/>
        </w:rPr>
        <w:t>, Peng Huang</w:t>
      </w:r>
      <w:r w:rsidRPr="00C07D62">
        <w:rPr>
          <w:i w:val="0"/>
          <w:iCs/>
          <w:color w:val="000000" w:themeColor="text1"/>
          <w:vertAlign w:val="superscript"/>
        </w:rPr>
        <w:t>1</w:t>
      </w:r>
      <w:r w:rsidRPr="00C07D62">
        <w:rPr>
          <w:rFonts w:eastAsia="Malgun Gothic"/>
          <w:i w:val="0"/>
          <w:iCs/>
          <w:color w:val="000000" w:themeColor="text1"/>
          <w:vertAlign w:val="superscript"/>
          <w:lang w:eastAsia="ko-KR"/>
        </w:rPr>
        <w:t>,2</w:t>
      </w:r>
      <w:r w:rsidRPr="00C07D62">
        <w:rPr>
          <w:i w:val="0"/>
          <w:iCs/>
          <w:color w:val="000000" w:themeColor="text1"/>
        </w:rPr>
        <w:t>*</w:t>
      </w:r>
    </w:p>
    <w:p w14:paraId="62C3F3DB" w14:textId="77777777" w:rsidR="00CE61E5" w:rsidRPr="00880852" w:rsidRDefault="00CE61E5" w:rsidP="00CE61E5">
      <w:pPr>
        <w:pStyle w:val="Tableofcontents"/>
        <w:spacing w:before="163" w:after="163"/>
        <w:ind w:firstLine="440"/>
        <w:rPr>
          <w:rFonts w:eastAsia="Malgun Gothic"/>
          <w:sz w:val="24"/>
          <w:szCs w:val="24"/>
          <w:lang w:eastAsia="ko-KR"/>
        </w:rPr>
      </w:pPr>
      <w:r>
        <w:rPr>
          <w:rFonts w:eastAsia="Malgun Gothic"/>
          <w:i w:val="0"/>
          <w:iCs/>
          <w:vertAlign w:val="superscript"/>
          <w:lang w:eastAsia="ko-KR"/>
        </w:rPr>
        <w:br/>
      </w:r>
      <w:r w:rsidRPr="00BE20B0">
        <w:rPr>
          <w:rFonts w:eastAsia="Malgun Gothic"/>
          <w:color w:val="000000"/>
          <w:sz w:val="24"/>
          <w:szCs w:val="24"/>
          <w:shd w:val="clear" w:color="auto" w:fill="FFFFFF"/>
          <w:vertAlign w:val="superscript"/>
          <w:lang w:eastAsia="ko-KR"/>
        </w:rPr>
        <w:t>1</w:t>
      </w:r>
      <w:r w:rsidRPr="00A34F90">
        <w:rPr>
          <w:rFonts w:eastAsia="Malgun Gothic"/>
          <w:color w:val="000000"/>
          <w:sz w:val="24"/>
          <w:szCs w:val="24"/>
          <w:shd w:val="clear" w:color="auto" w:fill="FFFFFF"/>
          <w:lang w:eastAsia="ko-KR"/>
        </w:rPr>
        <w:t>S</w:t>
      </w:r>
      <w:r>
        <w:rPr>
          <w:color w:val="000000"/>
          <w:sz w:val="24"/>
          <w:szCs w:val="24"/>
          <w:shd w:val="clear" w:color="auto" w:fill="FFFFFF"/>
        </w:rPr>
        <w:t>chool of Integrated Circuits, Peking University, Beijing 100871, China</w:t>
      </w:r>
      <w:r w:rsidRPr="00BE20B0">
        <w:rPr>
          <w:rFonts w:eastAsia="Malgun Gothic"/>
          <w:color w:val="000000"/>
          <w:sz w:val="24"/>
          <w:szCs w:val="24"/>
          <w:shd w:val="clear" w:color="auto" w:fill="FFFFFF"/>
          <w:lang w:eastAsia="ko-KR"/>
        </w:rPr>
        <w:t xml:space="preserve"> </w:t>
      </w:r>
      <w:r w:rsidRPr="00BE20B0">
        <w:rPr>
          <w:rFonts w:eastAsia="Malgun Gothic"/>
          <w:color w:val="000000"/>
          <w:sz w:val="24"/>
          <w:szCs w:val="24"/>
          <w:shd w:val="clear" w:color="auto" w:fill="FFFFFF"/>
          <w:lang w:eastAsia="ko-KR"/>
        </w:rPr>
        <w:br/>
      </w:r>
      <w:r w:rsidRPr="00BE20B0">
        <w:rPr>
          <w:rFonts w:eastAsia="Malgun Gothic"/>
          <w:color w:val="000000"/>
          <w:sz w:val="24"/>
          <w:szCs w:val="24"/>
          <w:shd w:val="clear" w:color="auto" w:fill="FFFFFF"/>
          <w:vertAlign w:val="superscript"/>
          <w:lang w:eastAsia="ko-KR"/>
        </w:rPr>
        <w:t>2</w:t>
      </w:r>
      <w:r w:rsidRPr="00831F1B">
        <w:rPr>
          <w:rFonts w:eastAsia="Malgun Gothic"/>
          <w:color w:val="000000"/>
          <w:sz w:val="24"/>
          <w:szCs w:val="24"/>
          <w:shd w:val="clear" w:color="auto" w:fill="FFFFFF"/>
          <w:lang w:eastAsia="ko-KR"/>
        </w:rPr>
        <w:t>Beijing Advanced innovation Center for integrated Circuits, Beijing 100871, China</w:t>
      </w:r>
      <w:r>
        <w:rPr>
          <w:rFonts w:eastAsia="Malgun Gothic"/>
          <w:i w:val="0"/>
          <w:iCs/>
          <w:vertAlign w:val="superscript"/>
          <w:lang w:eastAsia="ko-KR"/>
        </w:rPr>
        <w:t xml:space="preserve"> </w:t>
      </w:r>
      <w:r>
        <w:rPr>
          <w:rFonts w:eastAsia="Malgun Gothic"/>
          <w:i w:val="0"/>
          <w:iCs/>
          <w:vertAlign w:val="superscript"/>
          <w:lang w:eastAsia="ko-KR"/>
        </w:rPr>
        <w:br/>
      </w:r>
      <w:r w:rsidRPr="00C07D62">
        <w:rPr>
          <w:sz w:val="24"/>
          <w:szCs w:val="24"/>
          <w:vertAlign w:val="superscript"/>
        </w:rPr>
        <w:t>3</w:t>
      </w:r>
      <w:r w:rsidRPr="00741F8D">
        <w:rPr>
          <w:sz w:val="24"/>
          <w:szCs w:val="24"/>
        </w:rPr>
        <w:t xml:space="preserve">Beijing </w:t>
      </w:r>
      <w:r>
        <w:rPr>
          <w:sz w:val="24"/>
          <w:szCs w:val="24"/>
        </w:rPr>
        <w:t>Information</w:t>
      </w:r>
      <w:r w:rsidRPr="00741F8D">
        <w:rPr>
          <w:sz w:val="24"/>
          <w:szCs w:val="24"/>
        </w:rPr>
        <w:t xml:space="preserve"> Science and </w:t>
      </w:r>
      <w:r>
        <w:rPr>
          <w:sz w:val="24"/>
          <w:szCs w:val="24"/>
        </w:rPr>
        <w:t>Technology</w:t>
      </w:r>
      <w:r w:rsidRPr="00741F8D">
        <w:rPr>
          <w:sz w:val="24"/>
          <w:szCs w:val="24"/>
        </w:rPr>
        <w:t xml:space="preserve"> University, Beijing 100192, China</w:t>
      </w:r>
    </w:p>
    <w:p w14:paraId="126F0D3A" w14:textId="77777777" w:rsidR="00CE61E5" w:rsidRPr="009F31A7" w:rsidRDefault="00CE61E5" w:rsidP="00CE61E5">
      <w:pPr>
        <w:ind w:firstLine="480"/>
        <w:rPr>
          <w:rFonts w:eastAsia="Malgun Gothic"/>
          <w:color w:val="FF0000"/>
          <w:lang w:eastAsia="ko-KR"/>
        </w:rPr>
      </w:pPr>
    </w:p>
    <w:p w14:paraId="495B2D6E" w14:textId="77777777" w:rsidR="00CE61E5" w:rsidRPr="00873FF7" w:rsidRDefault="00CE61E5" w:rsidP="00CE61E5">
      <w:pPr>
        <w:pStyle w:val="aug"/>
        <w:spacing w:after="0" w:line="360" w:lineRule="auto"/>
        <w:ind w:firstLineChars="0" w:firstLine="0"/>
        <w:jc w:val="both"/>
        <w:rPr>
          <w:rStyle w:val="af2"/>
          <w:i/>
          <w:iCs/>
          <w:szCs w:val="24"/>
          <w:lang w:val="en-US"/>
        </w:rPr>
      </w:pPr>
      <w:r w:rsidRPr="00873FF7">
        <w:rPr>
          <w:szCs w:val="24"/>
          <w:vertAlign w:val="superscript"/>
          <w:lang w:val="en-US"/>
        </w:rPr>
        <w:t>*</w:t>
      </w:r>
      <w:r w:rsidRPr="00873FF7">
        <w:rPr>
          <w:szCs w:val="24"/>
          <w:lang w:val="en-US"/>
        </w:rPr>
        <w:t xml:space="preserve">Corresponding authors. E-mails: </w:t>
      </w:r>
      <w:r w:rsidRPr="00C87BBC">
        <w:rPr>
          <w:i/>
          <w:szCs w:val="24"/>
          <w:lang w:val="en-US" w:eastAsia="zh-CN"/>
        </w:rPr>
        <w:t>xyliu@ime.pku.edu.cn</w:t>
      </w:r>
      <w:r w:rsidRPr="00C87BBC">
        <w:rPr>
          <w:rFonts w:hint="eastAsia"/>
          <w:i/>
          <w:szCs w:val="24"/>
          <w:lang w:val="en-US" w:eastAsia="zh-CN"/>
        </w:rPr>
        <w:t>,</w:t>
      </w:r>
      <w:r w:rsidRPr="00C87BBC">
        <w:rPr>
          <w:i/>
          <w:szCs w:val="24"/>
          <w:lang w:val="en-US" w:eastAsia="zh-CN"/>
        </w:rPr>
        <w:t xml:space="preserve"> </w:t>
      </w:r>
      <w:r w:rsidRPr="00C87BBC">
        <w:rPr>
          <w:i/>
          <w:szCs w:val="24"/>
          <w:lang w:val="en-US"/>
        </w:rPr>
        <w:t>phwang@pku.edu.cn</w:t>
      </w:r>
    </w:p>
    <w:p w14:paraId="668FA3CE" w14:textId="09F78947" w:rsidR="00CE61E5" w:rsidRDefault="00CE61E5" w:rsidP="00E4789F">
      <w:pPr>
        <w:pStyle w:val="a5"/>
        <w:spacing w:before="163" w:after="163"/>
        <w:rPr>
          <w:rFonts w:eastAsiaTheme="minorEastAsia"/>
        </w:rPr>
      </w:pPr>
      <w:r>
        <w:rPr>
          <w:rFonts w:eastAsiaTheme="minorEastAsia"/>
        </w:rPr>
        <w:br w:type="page"/>
      </w:r>
    </w:p>
    <w:p w14:paraId="17A5DD40" w14:textId="67C408BA" w:rsidR="00FC202B" w:rsidRPr="00E4789F" w:rsidRDefault="00C902A2" w:rsidP="00E4789F">
      <w:pPr>
        <w:pStyle w:val="a5"/>
        <w:spacing w:before="163" w:after="163"/>
      </w:pPr>
      <w:bookmarkStart w:id="0" w:name="_GoBack"/>
      <w:bookmarkEnd w:id="0"/>
      <w:r>
        <w:lastRenderedPageBreak/>
        <w:drawing>
          <wp:inline distT="0" distB="0" distL="0" distR="0" wp14:anchorId="363A04E5" wp14:editId="13B62DFB">
            <wp:extent cx="1975826" cy="1985771"/>
            <wp:effectExtent l="0" t="0" r="5715" b="0"/>
            <wp:docPr id="9" name="图片 8">
              <a:extLst xmlns:a="http://schemas.openxmlformats.org/drawingml/2006/main">
                <a:ext uri="{FF2B5EF4-FFF2-40B4-BE49-F238E27FC236}">
                  <a16:creationId xmlns:a16="http://schemas.microsoft.com/office/drawing/2014/main" id="{F77F55D7-5B96-4F91-92C9-868E4E48E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F77F55D7-5B96-4F91-92C9-868E4E48EC5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463" cy="1990431"/>
                    </a:xfrm>
                    <a:prstGeom prst="rect">
                      <a:avLst/>
                    </a:prstGeom>
                  </pic:spPr>
                </pic:pic>
              </a:graphicData>
            </a:graphic>
          </wp:inline>
        </w:drawing>
      </w:r>
    </w:p>
    <w:p w14:paraId="51258C88" w14:textId="77777777" w:rsidR="00586699" w:rsidRPr="00AA0150" w:rsidRDefault="00A869C5" w:rsidP="00906063">
      <w:pPr>
        <w:pStyle w:val="a4"/>
        <w:numPr>
          <w:ilvl w:val="0"/>
          <w:numId w:val="2"/>
        </w:numPr>
        <w:ind w:firstLineChars="0"/>
        <w:rPr>
          <w:szCs w:val="24"/>
        </w:rPr>
      </w:pPr>
      <w:r w:rsidRPr="001705F0">
        <w:rPr>
          <w:szCs w:val="24"/>
        </w:rPr>
        <w:t xml:space="preserve">| </w:t>
      </w:r>
      <w:r w:rsidR="001705F0" w:rsidRPr="004201C1">
        <w:rPr>
          <w:b/>
          <w:szCs w:val="24"/>
        </w:rPr>
        <w:t>STEM sectional view</w:t>
      </w:r>
      <w:r w:rsidR="00E4789F" w:rsidRPr="004201C1">
        <w:rPr>
          <w:b/>
          <w:szCs w:val="24"/>
        </w:rPr>
        <w:t xml:space="preserve"> of the device</w:t>
      </w:r>
      <w:r w:rsidR="0042632B">
        <w:rPr>
          <w:rFonts w:hint="eastAsia"/>
          <w:szCs w:val="24"/>
        </w:rPr>
        <w:t>.</w:t>
      </w:r>
      <w:r w:rsidR="0042632B">
        <w:rPr>
          <w:szCs w:val="24"/>
        </w:rPr>
        <w:t xml:space="preserve"> </w:t>
      </w:r>
      <w:r w:rsidR="0050060D">
        <w:rPr>
          <w:szCs w:val="24"/>
        </w:rPr>
        <w:t xml:space="preserve">The photo shows the stacking structure from </w:t>
      </w:r>
      <w:r w:rsidR="004B7172">
        <w:rPr>
          <w:szCs w:val="24"/>
        </w:rPr>
        <w:t xml:space="preserve">the </w:t>
      </w:r>
      <w:r w:rsidR="0050060D">
        <w:rPr>
          <w:szCs w:val="24"/>
        </w:rPr>
        <w:t>bottom gate electrode to the drain electrode, where c</w:t>
      </w:r>
      <w:r w:rsidR="00C2317D">
        <w:rPr>
          <w:szCs w:val="24"/>
        </w:rPr>
        <w:t>lear</w:t>
      </w:r>
      <w:r w:rsidR="0042632B">
        <w:rPr>
          <w:szCs w:val="24"/>
        </w:rPr>
        <w:t xml:space="preserve"> interface</w:t>
      </w:r>
      <w:r w:rsidR="00237340">
        <w:rPr>
          <w:szCs w:val="24"/>
        </w:rPr>
        <w:t>s</w:t>
      </w:r>
      <w:r w:rsidR="009202F2">
        <w:rPr>
          <w:szCs w:val="24"/>
        </w:rPr>
        <w:t xml:space="preserve"> and uniform </w:t>
      </w:r>
      <w:r w:rsidR="004B7172">
        <w:rPr>
          <w:szCs w:val="24"/>
        </w:rPr>
        <w:t xml:space="preserve">layer </w:t>
      </w:r>
      <w:r w:rsidR="009202F2">
        <w:rPr>
          <w:szCs w:val="24"/>
        </w:rPr>
        <w:t>thickness can be observed</w:t>
      </w:r>
      <w:r w:rsidR="00ED3933">
        <w:rPr>
          <w:szCs w:val="24"/>
        </w:rPr>
        <w:t>.</w:t>
      </w:r>
      <w:r w:rsidR="00906063">
        <w:rPr>
          <w:szCs w:val="24"/>
        </w:rPr>
        <w:br w:type="page"/>
      </w:r>
    </w:p>
    <w:p w14:paraId="288D24A9" w14:textId="7BC9DE3B" w:rsidR="00B220D2" w:rsidRPr="00586699" w:rsidRDefault="00586699" w:rsidP="00586699">
      <w:pPr>
        <w:jc w:val="center"/>
        <w:rPr>
          <w:rFonts w:eastAsiaTheme="minorEastAsia"/>
          <w:szCs w:val="24"/>
        </w:rPr>
      </w:pPr>
      <w:r>
        <w:rPr>
          <w:noProof/>
        </w:rPr>
        <w:lastRenderedPageBreak/>
        <w:drawing>
          <wp:inline distT="0" distB="0" distL="0" distR="0" wp14:anchorId="5EE31549" wp14:editId="6D72EF98">
            <wp:extent cx="5172934" cy="3942784"/>
            <wp:effectExtent l="0" t="0" r="8890" b="635"/>
            <wp:docPr id="12" name="图片 11">
              <a:extLst xmlns:a="http://schemas.openxmlformats.org/drawingml/2006/main">
                <a:ext uri="{FF2B5EF4-FFF2-40B4-BE49-F238E27FC236}">
                  <a16:creationId xmlns:a16="http://schemas.microsoft.com/office/drawing/2014/main" id="{4AA74FA0-4811-48C6-81DC-599BD6299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a:extLst>
                        <a:ext uri="{FF2B5EF4-FFF2-40B4-BE49-F238E27FC236}">
                          <a16:creationId xmlns:a16="http://schemas.microsoft.com/office/drawing/2014/main" id="{4AA74FA0-4811-48C6-81DC-599BD6299EA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75258" cy="3944555"/>
                    </a:xfrm>
                    <a:prstGeom prst="rect">
                      <a:avLst/>
                    </a:prstGeom>
                    <a:ln>
                      <a:noFill/>
                    </a:ln>
                    <a:extLst>
                      <a:ext uri="{53640926-AAD7-44D8-BBD7-CCE9431645EC}">
                        <a14:shadowObscured xmlns:a14="http://schemas.microsoft.com/office/drawing/2010/main"/>
                      </a:ext>
                    </a:extLst>
                  </pic:spPr>
                </pic:pic>
              </a:graphicData>
            </a:graphic>
          </wp:inline>
        </w:drawing>
      </w:r>
      <w:r w:rsidR="008B410C">
        <w:rPr>
          <w:rFonts w:eastAsiaTheme="minorEastAsia"/>
          <w:szCs w:val="24"/>
        </w:rPr>
        <w:t>♫</w:t>
      </w:r>
    </w:p>
    <w:p w14:paraId="49C42669" w14:textId="77CC37DC" w:rsidR="002E576C" w:rsidRDefault="00BD2B33" w:rsidP="00976E7E">
      <w:pPr>
        <w:pStyle w:val="a4"/>
        <w:numPr>
          <w:ilvl w:val="0"/>
          <w:numId w:val="2"/>
        </w:numPr>
        <w:ind w:firstLineChars="0"/>
        <w:rPr>
          <w:szCs w:val="24"/>
        </w:rPr>
      </w:pPr>
      <w:r w:rsidRPr="00C85430">
        <w:rPr>
          <w:szCs w:val="24"/>
        </w:rPr>
        <w:t xml:space="preserve">| </w:t>
      </w:r>
      <w:r w:rsidR="00C85430" w:rsidRPr="00E61045">
        <w:rPr>
          <w:b/>
          <w:szCs w:val="24"/>
        </w:rPr>
        <w:t>Bandgap</w:t>
      </w:r>
      <w:r w:rsidR="0063411D" w:rsidRPr="00E61045">
        <w:rPr>
          <w:b/>
          <w:szCs w:val="24"/>
        </w:rPr>
        <w:t xml:space="preserve"> diagram of the </w:t>
      </w:r>
      <w:r w:rsidR="00E14017" w:rsidRPr="00E61045">
        <w:rPr>
          <w:b/>
          <w:szCs w:val="24"/>
        </w:rPr>
        <w:t>ionization of V</w:t>
      </w:r>
      <w:r w:rsidR="00E14017" w:rsidRPr="008A1331">
        <w:rPr>
          <w:b/>
          <w:szCs w:val="24"/>
          <w:vertAlign w:val="subscript"/>
        </w:rPr>
        <w:t>o</w:t>
      </w:r>
      <w:r w:rsidRPr="00C85430">
        <w:rPr>
          <w:szCs w:val="24"/>
        </w:rPr>
        <w:t>.</w:t>
      </w:r>
      <w:r w:rsidR="00990781">
        <w:rPr>
          <w:szCs w:val="24"/>
        </w:rPr>
        <w:t xml:space="preserve"> </w:t>
      </w:r>
      <w:r w:rsidR="00D36D14">
        <w:rPr>
          <w:szCs w:val="24"/>
        </w:rPr>
        <w:t xml:space="preserve">This diagram </w:t>
      </w:r>
      <w:r w:rsidR="00FC593E">
        <w:rPr>
          <w:szCs w:val="24"/>
        </w:rPr>
        <w:t>illustrate</w:t>
      </w:r>
      <w:r w:rsidR="00D36D14">
        <w:rPr>
          <w:szCs w:val="24"/>
        </w:rPr>
        <w:t xml:space="preserve">s the </w:t>
      </w:r>
      <w:r w:rsidR="00F96C78">
        <w:rPr>
          <w:szCs w:val="24"/>
        </w:rPr>
        <w:t xml:space="preserve">distribution of </w:t>
      </w:r>
      <w:r w:rsidR="00D36D14">
        <w:rPr>
          <w:szCs w:val="24"/>
        </w:rPr>
        <w:t>energy levels of t</w:t>
      </w:r>
      <w:r w:rsidR="008A1331">
        <w:rPr>
          <w:szCs w:val="24"/>
        </w:rPr>
        <w:t xml:space="preserve">he </w:t>
      </w:r>
      <w:r w:rsidR="004E2EC7">
        <w:rPr>
          <w:szCs w:val="24"/>
        </w:rPr>
        <w:t xml:space="preserve">positive </w:t>
      </w:r>
      <w:r w:rsidR="00D36D14">
        <w:rPr>
          <w:szCs w:val="24"/>
        </w:rPr>
        <w:t>V</w:t>
      </w:r>
      <w:r w:rsidR="00D36D14" w:rsidRPr="00D36D14">
        <w:rPr>
          <w:szCs w:val="24"/>
          <w:vertAlign w:val="subscript"/>
        </w:rPr>
        <w:t>o</w:t>
      </w:r>
      <w:r w:rsidR="00D36D14" w:rsidRPr="00D36D14">
        <w:rPr>
          <w:szCs w:val="24"/>
          <w:vertAlign w:val="superscript"/>
        </w:rPr>
        <w:t>2+</w:t>
      </w:r>
      <w:r w:rsidR="00D36D14">
        <w:rPr>
          <w:szCs w:val="24"/>
        </w:rPr>
        <w:t xml:space="preserve"> and neutral V</w:t>
      </w:r>
      <w:r w:rsidR="00D36D14" w:rsidRPr="00D36D14">
        <w:rPr>
          <w:szCs w:val="24"/>
          <w:vertAlign w:val="subscript"/>
        </w:rPr>
        <w:t>o</w:t>
      </w:r>
      <w:r w:rsidR="00D36D14">
        <w:rPr>
          <w:szCs w:val="24"/>
        </w:rPr>
        <w:t xml:space="preserve"> defects</w:t>
      </w:r>
      <w:r w:rsidR="00234694">
        <w:rPr>
          <w:szCs w:val="24"/>
        </w:rPr>
        <w:fldChar w:fldCharType="begin" w:fldLock="1"/>
      </w:r>
      <w:r w:rsidR="00917236">
        <w:rPr>
          <w:szCs w:val="24"/>
        </w:rPr>
        <w:instrText xml:space="preserve">ADDIN CSL_CITATION {"citationItems":[{"id":"ITEM-1","itemData":{"DOI":"10.1063/1.3633100","ISSN":"00036951","abstract":"Operation characteristics of amorphous In-Ga-Zn-O (a-IGZO) thin-film transistors (TFTs) were improved to a subthreshold voltage swing (S) of 217 mV (decade)-1, a mobility of </w:instrText>
      </w:r>
      <w:r w:rsidR="00917236">
        <w:rPr>
          <w:rFonts w:ascii="Cambria Math" w:hAnsi="Cambria Math" w:cs="Cambria Math"/>
          <w:szCs w:val="24"/>
        </w:rPr>
        <w:instrText>∼</w:instrText>
      </w:r>
      <w:r w:rsidR="00917236">
        <w:rPr>
          <w:szCs w:val="24"/>
        </w:rPr>
        <w:instrText>11.4 cm2 (Vs)-1, and a threshold voltage (Vth) of 0.1 V by O3 annealing at a temperature as low as 150 C. However, the O3 annealing at 300 C caused serious deterioration and exhibited a bistable transition between a large S state and a large Vth state. This transition is attributed to incorporation of excess oxygen and associated subgap defects with a negative-U characteristic. It also explains why a-IGZO channels deposited at high oxygen pressures do not produce operating TFTs. © 2011 American Institute of Physics.","author":[{"dropping-particle":"","family":"Ide","given":"Keisuke","non-dropping-particle":"","parse-names":false,"suffix":""},{"dropping-particle":"","family":"Kikuchi","given":"Yutomo","non-dropping-particle":"","parse-names":false,"suffix":""},{"dropping-particle":"","family":"Nomura","given":"Kenji","non-dropping-particle":"","parse-names":false,"suffix":""},{"dropping-particle":"","family":"Kimura","given":"Mutsumi","non-dropping-particle":"","parse-names":false,"suffix":""},{"dropping-particle":"","family":"Kamiya","given":"Toshio","non-dropping-particle":"","parse-names":false,"suffix":""},{"dropping-particle":"","family":"Hosono","given":"Hideo","non-dropping-particle":"","parse-names":false,"suffix":""}],"container-title":"Applied Physics Letters","id":"ITEM-1","issue":"9","issued":{"date-parts":[["2011"]]},"title":"Effects of excess oxygen on operation characteristics of amorphous In-Ga-Zn-O thin-film transistors","type":"article-journal","volume":"99"},"uris":["http://www.mendeley.com/documents/?uuid=fe5a386b-b9bc-44c5-b830-e57bb9792a76"]},{"id":"ITEM-2","itemData":{"DOI":"10.1021/acsami.5b04152","ISSN":"19448252","abstract":"Persistent photoconduction (PPC) is a phenomenon that limits the application of oxide semiconductor thin-film transistors (TFTs) in optical sensor-embedded displays. In the present work, a study on zinc oxynitride (ZnON) semiconductor TFTs based on the combination of experimental results and device simulation is presented. Devices incorporating ZnON semiconductors exhibit negligible PPC effects compared with amorphous In-Ga-Zn-O (a-IGZO) TFTs, and the difference between the two types of materials are examined by monochromatic photonic C-V spectroscopy (MPCVS). The latter method allows the estimation of the density of subgap states in the semiconductor, which may account for the different behavior of ZnON and IGZO materials with respect to illumination and the associated PPC. In the case of a-IGZO TFTs, the oxygen flow rate during the sputter deposition of a-IGZO is found to influence the amount of PPC. Small oxygen flow rates result in pronounced PPC, and large densities of valence band tail (VBT) states are observed in the corresponding devices. This implies a dependence of PPC on the amount of oxygen vacancies (V&lt;inf&gt;O&lt;/inf&gt;). On the other hand, ZnON has a smaller bandgap than a-IGZO and contains a smaller density of VBT states over the entire range of its bandgap energy. Here, the concept of activation energy window (AEW) is introduced to explain the occurrence of PPC effects by photoinduced electron doping, which is likely to be associated with the formation of peroxides in the semiconductor. The analytical methodology presented in this report accounts well for the reduction of PPC in ZnON TFTs, and provides a quantitative tool for the systematic development of phototransistors for optical sensor-embedded interactive displays.","author":[{"dropping-particle":"","family":"Jang","given":"Jun Tae","non-dropping-particle":"","parse-names":false,"suffix":""},{"dropping-particle":"","family":"Park","given":"Jozeph","non-dropping-particle":"","parse-names":false,"suffix":""},{"dropping-particle":"Du","family":"Ahn","given":"Byung","non-dropping-particle":"","parse-names":false,"suffix":""},{"dropping-particle":"","family":"Kim","given":"Dong Myong","non-dropping-particle":"","parse-names":false,"suffix":""},{"dropping-particle":"","family":"Choi","given":"Sung Jin","non-dropping-particle":"","parse-names":false,"suffix":""},{"dropping-particle":"","family":"Kim","given":"Hyun Suk","non-dropping-particle":"","parse-names":false,"suffix":""},{"dropping-particle":"","family":"Kim","given":"Dae Hwan","non-dropping-particle":"","parse-names":false,"suffix":""}],"container-title":"ACS Applied Materials and Interfaces","id":"ITEM-2","issue":"28","issued":{"date-parts":[["2015"]]},"page":"15570-15577","title":"Study on the Photoresponse of Amorphous In-Ga-Zn-O and Zinc Oxynitride Semiconductor Devices by the Extraction of Sub-Gap-State Distribution and Device Simulation","type":"article-journal","volume":"7"},"uris":["http://www.mendeley.com/documents/?uuid=45839780-2cc8-4630-a38a-6e9bb53d083f"]}],"mendeley":{"formattedCitation":"&lt;sup&gt;1,2&lt;/sup&gt;","plainTextFormattedCitation":"1,2","previouslyFormattedCitation":"&lt;sup&gt;1,2&lt;/sup&gt;"},"properties":{"noteIndex":0},"schema":"https://github.com/citation-style-language/schema/raw/master/csl-citation.json"}</w:instrText>
      </w:r>
      <w:r w:rsidR="00234694">
        <w:rPr>
          <w:szCs w:val="24"/>
        </w:rPr>
        <w:fldChar w:fldCharType="separate"/>
      </w:r>
      <w:r w:rsidR="00234694" w:rsidRPr="00234694">
        <w:rPr>
          <w:noProof/>
          <w:szCs w:val="24"/>
          <w:vertAlign w:val="superscript"/>
        </w:rPr>
        <w:t>1,2</w:t>
      </w:r>
      <w:r w:rsidR="00234694">
        <w:rPr>
          <w:szCs w:val="24"/>
        </w:rPr>
        <w:fldChar w:fldCharType="end"/>
      </w:r>
      <w:r w:rsidR="00021514">
        <w:rPr>
          <w:szCs w:val="24"/>
        </w:rPr>
        <w:t xml:space="preserve">. When </w:t>
      </w:r>
      <w:r w:rsidR="00204E3D">
        <w:rPr>
          <w:szCs w:val="24"/>
        </w:rPr>
        <w:t xml:space="preserve">applying </w:t>
      </w:r>
      <w:r w:rsidR="00234694">
        <w:rPr>
          <w:szCs w:val="24"/>
        </w:rPr>
        <w:t xml:space="preserve">the </w:t>
      </w:r>
      <w:r w:rsidR="00204E3D">
        <w:rPr>
          <w:szCs w:val="24"/>
        </w:rPr>
        <w:t xml:space="preserve">positive </w:t>
      </w:r>
      <w:r w:rsidR="00A207A4">
        <w:rPr>
          <w:szCs w:val="24"/>
        </w:rPr>
        <w:t>gate voltage,</w:t>
      </w:r>
      <w:r w:rsidR="00234694">
        <w:rPr>
          <w:szCs w:val="24"/>
        </w:rPr>
        <w:t xml:space="preserve"> </w:t>
      </w:r>
      <w:r w:rsidR="00A8577F">
        <w:rPr>
          <w:szCs w:val="24"/>
        </w:rPr>
        <w:t xml:space="preserve">electrons </w:t>
      </w:r>
      <w:r w:rsidR="00151519">
        <w:rPr>
          <w:szCs w:val="24"/>
        </w:rPr>
        <w:t>are emitted</w:t>
      </w:r>
      <w:r w:rsidR="00A8577F">
        <w:rPr>
          <w:szCs w:val="24"/>
        </w:rPr>
        <w:t xml:space="preserve"> from the </w:t>
      </w:r>
      <w:r w:rsidR="00151519">
        <w:rPr>
          <w:szCs w:val="24"/>
        </w:rPr>
        <w:t>V</w:t>
      </w:r>
      <w:r w:rsidR="00151519" w:rsidRPr="00151519">
        <w:rPr>
          <w:szCs w:val="24"/>
          <w:vertAlign w:val="subscript"/>
        </w:rPr>
        <w:t>o</w:t>
      </w:r>
      <w:r w:rsidR="0047351C">
        <w:rPr>
          <w:szCs w:val="24"/>
        </w:rPr>
        <w:t>, and</w:t>
      </w:r>
      <w:r w:rsidR="00151519">
        <w:rPr>
          <w:szCs w:val="24"/>
        </w:rPr>
        <w:t xml:space="preserve"> </w:t>
      </w:r>
      <w:r w:rsidR="00C7629F">
        <w:rPr>
          <w:szCs w:val="24"/>
        </w:rPr>
        <w:t>t</w:t>
      </w:r>
      <w:r w:rsidR="00151519">
        <w:rPr>
          <w:szCs w:val="24"/>
        </w:rPr>
        <w:t xml:space="preserve">he </w:t>
      </w:r>
      <w:r w:rsidR="009316FE">
        <w:rPr>
          <w:szCs w:val="24"/>
        </w:rPr>
        <w:t>density of V</w:t>
      </w:r>
      <w:r w:rsidR="009316FE" w:rsidRPr="009316FE">
        <w:rPr>
          <w:szCs w:val="24"/>
          <w:vertAlign w:val="subscript"/>
        </w:rPr>
        <w:t>o</w:t>
      </w:r>
      <w:r w:rsidR="009316FE" w:rsidRPr="009316FE">
        <w:rPr>
          <w:szCs w:val="24"/>
          <w:vertAlign w:val="superscript"/>
        </w:rPr>
        <w:t>2+</w:t>
      </w:r>
      <w:r w:rsidR="009316FE">
        <w:rPr>
          <w:szCs w:val="24"/>
        </w:rPr>
        <w:t xml:space="preserve"> increases.</w:t>
      </w:r>
      <w:r w:rsidR="008830B5">
        <w:rPr>
          <w:szCs w:val="24"/>
        </w:rPr>
        <w:t xml:space="preserve"> Wh</w:t>
      </w:r>
      <w:r w:rsidR="00242429">
        <w:rPr>
          <w:szCs w:val="24"/>
        </w:rPr>
        <w:t>en applying</w:t>
      </w:r>
      <w:r w:rsidR="003824BC">
        <w:rPr>
          <w:szCs w:val="24"/>
        </w:rPr>
        <w:t xml:space="preserve"> the</w:t>
      </w:r>
      <w:r w:rsidR="00242429">
        <w:rPr>
          <w:szCs w:val="24"/>
        </w:rPr>
        <w:t xml:space="preserve"> negative gate voltage, the </w:t>
      </w:r>
      <w:r w:rsidR="002D46BF">
        <w:rPr>
          <w:szCs w:val="24"/>
        </w:rPr>
        <w:t>vacancies capture electrons and recover to</w:t>
      </w:r>
      <w:r w:rsidR="00A25D77">
        <w:rPr>
          <w:szCs w:val="24"/>
        </w:rPr>
        <w:t xml:space="preserve"> the</w:t>
      </w:r>
      <w:r w:rsidR="002D46BF">
        <w:rPr>
          <w:szCs w:val="24"/>
        </w:rPr>
        <w:t xml:space="preserve"> neutral state</w:t>
      </w:r>
      <w:r w:rsidR="00FB0B7C">
        <w:rPr>
          <w:szCs w:val="24"/>
        </w:rPr>
        <w:t xml:space="preserve">. </w:t>
      </w:r>
      <w:r w:rsidR="009B554A">
        <w:rPr>
          <w:szCs w:val="24"/>
        </w:rPr>
        <w:t xml:space="preserve">It has been </w:t>
      </w:r>
      <w:r w:rsidR="006C1EE3">
        <w:rPr>
          <w:szCs w:val="24"/>
        </w:rPr>
        <w:t>extensively observed</w:t>
      </w:r>
      <w:r w:rsidR="009B554A">
        <w:rPr>
          <w:szCs w:val="24"/>
        </w:rPr>
        <w:t xml:space="preserve"> that the trapping is notably slower than the </w:t>
      </w:r>
      <w:proofErr w:type="spellStart"/>
      <w:r w:rsidR="00A037B8">
        <w:rPr>
          <w:szCs w:val="24"/>
        </w:rPr>
        <w:t>detrapping</w:t>
      </w:r>
      <w:proofErr w:type="spellEnd"/>
      <w:r w:rsidR="00A037B8">
        <w:rPr>
          <w:szCs w:val="24"/>
        </w:rPr>
        <w:t xml:space="preserve"> process in typical amorphous oxide semiconductor (AOS) systems</w:t>
      </w:r>
      <w:r w:rsidR="009B554A">
        <w:rPr>
          <w:szCs w:val="24"/>
        </w:rPr>
        <w:t xml:space="preserve">. </w:t>
      </w:r>
      <w:r w:rsidR="007D52D7">
        <w:rPr>
          <w:szCs w:val="24"/>
        </w:rPr>
        <w:t xml:space="preserve">The </w:t>
      </w:r>
      <w:r w:rsidR="00C470EE">
        <w:rPr>
          <w:szCs w:val="24"/>
        </w:rPr>
        <w:t xml:space="preserve">physical </w:t>
      </w:r>
      <w:r w:rsidR="007D52D7">
        <w:rPr>
          <w:szCs w:val="24"/>
        </w:rPr>
        <w:t>origin is the lattice relaxation effect</w:t>
      </w:r>
      <w:r w:rsidR="00F15CD2">
        <w:rPr>
          <w:szCs w:val="24"/>
        </w:rPr>
        <w:t>s</w:t>
      </w:r>
      <w:r w:rsidR="007D52D7">
        <w:rPr>
          <w:szCs w:val="24"/>
        </w:rPr>
        <w:t xml:space="preserve"> </w:t>
      </w:r>
      <w:r w:rsidR="00C470EE">
        <w:rPr>
          <w:szCs w:val="24"/>
        </w:rPr>
        <w:t>resulting</w:t>
      </w:r>
      <w:r w:rsidR="007D52D7">
        <w:rPr>
          <w:szCs w:val="24"/>
        </w:rPr>
        <w:t xml:space="preserve"> </w:t>
      </w:r>
      <w:r w:rsidR="00C470EE">
        <w:rPr>
          <w:szCs w:val="24"/>
        </w:rPr>
        <w:t>from</w:t>
      </w:r>
      <w:r w:rsidR="007D52D7">
        <w:rPr>
          <w:szCs w:val="24"/>
        </w:rPr>
        <w:t xml:space="preserve"> </w:t>
      </w:r>
      <w:r w:rsidR="00F15CD2">
        <w:rPr>
          <w:szCs w:val="24"/>
        </w:rPr>
        <w:t xml:space="preserve">the ionization, which </w:t>
      </w:r>
      <w:r w:rsidR="00C470EE">
        <w:rPr>
          <w:szCs w:val="24"/>
        </w:rPr>
        <w:t xml:space="preserve">lifts the energy barrier and </w:t>
      </w:r>
      <w:r w:rsidR="00210BA2">
        <w:rPr>
          <w:szCs w:val="24"/>
        </w:rPr>
        <w:t xml:space="preserve">therefore </w:t>
      </w:r>
      <w:r w:rsidR="007C5CDD">
        <w:rPr>
          <w:szCs w:val="24"/>
        </w:rPr>
        <w:t>decelerates</w:t>
      </w:r>
      <w:r w:rsidR="00C470EE">
        <w:rPr>
          <w:szCs w:val="24"/>
        </w:rPr>
        <w:t xml:space="preserve"> the recombination</w:t>
      </w:r>
      <w:r w:rsidR="00917236">
        <w:rPr>
          <w:szCs w:val="24"/>
        </w:rPr>
        <w:fldChar w:fldCharType="begin" w:fldLock="1"/>
      </w:r>
      <w:r w:rsidR="00917236">
        <w:rPr>
          <w:szCs w:val="24"/>
        </w:rPr>
        <w:instrText xml:space="preserve">ADDIN CSL_CITATION {"citationItems":[{"id":"ITEM-1","itemData":{"DOI":"10.1063/1.2053360","ISSN":"00036951","abstract":"The electronic properties of ZnO have traditionally been explained by invoking intrinsic defects. In particular, the frequently observed unintentional n -type conductivity has often been attributed to oxygen vacancies. We report first-principles calculations showing that the oxygen vacancy VO is not a shallow donor, but has a deep ε (2+0) level at </w:instrText>
      </w:r>
      <w:r w:rsidR="00917236">
        <w:rPr>
          <w:rFonts w:ascii="Cambria Math" w:hAnsi="Cambria Math" w:cs="Cambria Math"/>
          <w:szCs w:val="24"/>
        </w:rPr>
        <w:instrText>∼</w:instrText>
      </w:r>
      <w:r w:rsidR="00917236">
        <w:rPr>
          <w:szCs w:val="24"/>
        </w:rPr>
        <w:instrText xml:space="preserve">1.0 eV below the conduction band. The negative- U behavior that causes the 1+charge state to be unstable is associated with large local lattice relaxations. We present a detailed configuration coordinate diagram, which allows us to provide a detailed interpretation of recently reported ODEPR (optically detected electron paramagnetic resonance) measurements [L. S. Vlasenko and G. D. Watkins, Phys. Rev. B 71, 125210 (2005)]. © 2005 American Institute of Physics.","author":[{"dropping-particle":"","family":"Janotti","given":"Anderson","non-dropping-particle":"","parse-names":false,"suffix":""},{"dropping-particle":"","family":"Walle","given":"Chris G.","non-dropping-particle":"Van De","parse-names":false,"suffix":""}],"container-title":"Applied Physics Letters","id":"ITEM-1","issue":"12","issued":{"date-parts":[["2005"]]},"page":"1-3","title":"Oxygen vacancies in ZnO","type":"article-journal","volume":"87"},"uris":["http://www.mendeley.com/documents/?uuid=2e42cb66-a952-414b-998e-a4642a7eb1e7"]},{"id":"ITEM-2","itemData":{"DOI":"10.1103/PhysRevApplied.3.044008","ISSN":"23317019","abstract":"We investigate the atomic and electronic properties of O interstitial defects in amorphous In-Ga-Zn-O (a-IGZO) through density-functional calculations. We find that an O interstitial forms a dimer with a host O atom in its neutral state, but the O - O dimer bond is easily broken upon electron capture. When bond-breaking relaxations take place, the antibonding defect level of the dimer is significantly lowered from the conduction band toward the valence-band edge, making it energetically more favorable for the dimer to capture two electrons. With the hybrid functional for the exchange-correlation energy, the agreement of the energy barrier for two-electron capture with an experiment is greatly improved. The implication of the results is that O interstitials act as electron traps for the Fermi level close to the conduction-band edge; thus, excess O atoms can be the origin of positive shifts of threshold voltage observed under positive-bias stress in a-IGZO thin-film transistors. On the other hand, under light-illumination or negative-bias stress, which lower the Fermi level to the valence-band edge, the original dimer configuration is recovered by capturing hole carriers without any energy barrier, and the stability of current-voltage characteristics is restored.","author":[{"dropping-particle":"","family":"Han","given":"W. H.","non-dropping-particle":"","parse-names":false,"suffix":""},{"dropping-particle":"","family":"Oh","given":"Young Jun","non-dropping-particle":"","parse-names":false,"suffix":""},{"dropping-particle":"","family":"Chang","given":"K. J.","non-dropping-particle":"","parse-names":false,"suffix":""},{"dropping-particle":"","family":"Park","given":"Ji Sang","non-dropping-particle":"","parse-names":false,"suffix":""}],"container-title":"Physical Review Applied","id":"ITEM-2","issue":"4","issued":{"date-parts":[["2015"]]},"page":"1-8","title":"Electronic Structure of Oxygen Interstitial Defects in Amorphous In-Ga-Zn-O Semiconductors and Implications for Device Behavior","type":"article-journal","volume":"3"},"uris":["http://www.mendeley.com/documents/?uuid=03a1c4d8-6562-46c4-8891-c5abce8dc25a"]},{"id":"ITEM-3","itemData":{"DOI":"10.1063/1.3633100","ISSN":"00036951","abstract":"Operation characteristics of amorphous In-Ga-Zn-O (a-IGZO) thin-film transistors (TFTs) were improved to a subthreshold voltage swing (S) of 217 mV (decade)-1, a mobility of </w:instrText>
      </w:r>
      <w:r w:rsidR="00917236">
        <w:rPr>
          <w:rFonts w:ascii="Cambria Math" w:hAnsi="Cambria Math" w:cs="Cambria Math"/>
          <w:szCs w:val="24"/>
        </w:rPr>
        <w:instrText>∼</w:instrText>
      </w:r>
      <w:r w:rsidR="00917236">
        <w:rPr>
          <w:szCs w:val="24"/>
        </w:rPr>
        <w:instrText>11.4 cm2 (Vs)-1, and a threshold voltage (Vth) of 0.1 V by O3 annealing at a temperature as low as 150 C. However, the O3 annealing at 300 C caused serious deterioration and exhibited a bistable transition between a large S state and a large Vth state. This transition is attributed to incorporation of excess oxygen and associated subgap defects with a negative-U characteristic. It also explains why a-IGZO channels deposited at high oxygen pressures do not produce operating TFTs. © 2011 American Institute of Physics.","author":[{"dropping-particle":"","family":"Ide","given":"Keisuke","non-dropping-particle":"","parse-names":false,"suffix":""},{"dropping-particle":"","family":"Kikuchi","given":"Yutomo","non-dropping-particle":"","parse-names":false,"suffix":""},{"dropping-particle":"","family":"Nomura","given":"Kenji","non-dropping-particle":"","parse-names":false,"suffix":""},{"dropping-particle":"","family":"Kimura","given":"Mutsumi","non-dropping-particle":"","parse-names":false,"suffix":""},{"dropping-particle":"","family":"Kamiya","given":"Toshio","non-dropping-particle":"","parse-names":false,"suffix":""},{"dropping-particle":"","family":"Hosono","given":"Hideo","non-dropping-particle":"","parse-names":false,"suffix":""}],"container-title":"Applied Physics Letters","id":"ITEM-3","issue":"9","issued":{"date-parts":[["2011"]]},"title":"Effects of excess oxygen on operation characteristics of amorphous In-Ga-Zn-O thin-film transistors","type":"article-journal","volume":"99"},"uris":["http://www.mendeley.com/documents/?uuid=fe5a386b-b9bc-44c5-b830-e57bb9792a76"]}],"mendeley":{"formattedCitation":"&lt;sup&gt;1,3,4&lt;/sup&gt;","plainTextFormattedCitation":"1,3,4"},"properties":{"noteIndex":0},"schema":"https://github.com/citation-style-language/schema/raw/master/csl-citation.json"}</w:instrText>
      </w:r>
      <w:r w:rsidR="00917236">
        <w:rPr>
          <w:szCs w:val="24"/>
        </w:rPr>
        <w:fldChar w:fldCharType="separate"/>
      </w:r>
      <w:r w:rsidR="00917236" w:rsidRPr="00917236">
        <w:rPr>
          <w:noProof/>
          <w:szCs w:val="24"/>
          <w:vertAlign w:val="superscript"/>
        </w:rPr>
        <w:t>1,3,4</w:t>
      </w:r>
      <w:r w:rsidR="00917236">
        <w:rPr>
          <w:szCs w:val="24"/>
        </w:rPr>
        <w:fldChar w:fldCharType="end"/>
      </w:r>
      <w:r w:rsidR="00C470EE">
        <w:rPr>
          <w:szCs w:val="24"/>
        </w:rPr>
        <w:t>.</w:t>
      </w:r>
    </w:p>
    <w:p w14:paraId="05025AC5" w14:textId="77777777" w:rsidR="00DF2868" w:rsidRDefault="002E576C" w:rsidP="002E576C">
      <w:pPr>
        <w:widowControl/>
        <w:spacing w:line="240" w:lineRule="auto"/>
        <w:jc w:val="left"/>
        <w:rPr>
          <w:szCs w:val="24"/>
        </w:rPr>
      </w:pPr>
      <w:r>
        <w:rPr>
          <w:szCs w:val="24"/>
        </w:rPr>
        <w:br w:type="page"/>
      </w:r>
    </w:p>
    <w:p w14:paraId="4660FC20" w14:textId="77777777" w:rsidR="005161B7" w:rsidRPr="005161B7" w:rsidRDefault="005161B7" w:rsidP="002E576C">
      <w:pPr>
        <w:widowControl/>
        <w:spacing w:line="240" w:lineRule="auto"/>
        <w:jc w:val="left"/>
        <w:rPr>
          <w:rFonts w:eastAsiaTheme="minorEastAsia"/>
          <w:szCs w:val="24"/>
        </w:rPr>
      </w:pPr>
    </w:p>
    <w:p w14:paraId="11B5392F" w14:textId="77777777" w:rsidR="005161B7" w:rsidRDefault="005161B7" w:rsidP="005161B7">
      <w:pPr>
        <w:jc w:val="center"/>
        <w:rPr>
          <w:rFonts w:eastAsiaTheme="minorEastAsia"/>
          <w:szCs w:val="24"/>
        </w:rPr>
      </w:pPr>
      <w:r>
        <w:rPr>
          <w:noProof/>
        </w:rPr>
        <w:drawing>
          <wp:inline distT="0" distB="0" distL="0" distR="0" wp14:anchorId="4EAF6143" wp14:editId="39332F1E">
            <wp:extent cx="5731510" cy="7243445"/>
            <wp:effectExtent l="0" t="0" r="0" b="0"/>
            <wp:docPr id="20" name="图片 19">
              <a:extLst xmlns:a="http://schemas.openxmlformats.org/drawingml/2006/main">
                <a:ext uri="{FF2B5EF4-FFF2-40B4-BE49-F238E27FC236}">
                  <a16:creationId xmlns:a16="http://schemas.microsoft.com/office/drawing/2014/main" id="{4FD71E08-DBEE-46D7-8628-4F59F5DA5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a:extLst>
                        <a:ext uri="{FF2B5EF4-FFF2-40B4-BE49-F238E27FC236}">
                          <a16:creationId xmlns:a16="http://schemas.microsoft.com/office/drawing/2014/main" id="{4FD71E08-DBEE-46D7-8628-4F59F5DA5877}"/>
                        </a:ext>
                      </a:extLst>
                    </pic:cNvPr>
                    <pic:cNvPicPr>
                      <a:picLocks noChangeAspect="1"/>
                    </pic:cNvPicPr>
                  </pic:nvPicPr>
                  <pic:blipFill>
                    <a:blip r:embed="rId10"/>
                    <a:stretch>
                      <a:fillRect/>
                    </a:stretch>
                  </pic:blipFill>
                  <pic:spPr>
                    <a:xfrm>
                      <a:off x="0" y="0"/>
                      <a:ext cx="5731510" cy="7243445"/>
                    </a:xfrm>
                    <a:prstGeom prst="rect">
                      <a:avLst/>
                    </a:prstGeom>
                  </pic:spPr>
                </pic:pic>
              </a:graphicData>
            </a:graphic>
          </wp:inline>
        </w:drawing>
      </w:r>
    </w:p>
    <w:p w14:paraId="705F8694" w14:textId="77777777" w:rsidR="005161B7" w:rsidRDefault="005161B7" w:rsidP="005161B7">
      <w:pPr>
        <w:pStyle w:val="a4"/>
        <w:numPr>
          <w:ilvl w:val="0"/>
          <w:numId w:val="2"/>
        </w:numPr>
        <w:ind w:firstLineChars="0"/>
        <w:rPr>
          <w:szCs w:val="24"/>
        </w:rPr>
      </w:pPr>
      <w:r w:rsidRPr="00C85430">
        <w:rPr>
          <w:szCs w:val="24"/>
        </w:rPr>
        <w:t xml:space="preserve">| </w:t>
      </w:r>
      <w:r>
        <w:rPr>
          <w:b/>
          <w:szCs w:val="24"/>
        </w:rPr>
        <w:t>Bipolar</w:t>
      </w:r>
      <w:r w:rsidRPr="00A464DF">
        <w:rPr>
          <w:b/>
          <w:szCs w:val="24"/>
        </w:rPr>
        <w:t xml:space="preserve"> pulse</w:t>
      </w:r>
      <w:r>
        <w:rPr>
          <w:b/>
          <w:szCs w:val="24"/>
        </w:rPr>
        <w:t xml:space="preserve"> test</w:t>
      </w:r>
      <w:r w:rsidRPr="00A125D6">
        <w:rPr>
          <w:szCs w:val="24"/>
        </w:rPr>
        <w:t>.</w:t>
      </w:r>
      <w:r>
        <w:rPr>
          <w:szCs w:val="24"/>
        </w:rPr>
        <w:t xml:space="preserve"> We performed the 4-bit bipolar pulses on the device. </w:t>
      </w:r>
      <w:bookmarkStart w:id="1" w:name="OLE_LINK5"/>
      <w:r>
        <w:rPr>
          <w:szCs w:val="24"/>
        </w:rPr>
        <w:t xml:space="preserve">Results show that the </w:t>
      </w:r>
      <w:r w:rsidRPr="00EC0202">
        <w:rPr>
          <w:i/>
          <w:szCs w:val="24"/>
        </w:rPr>
        <w:t>I</w:t>
      </w:r>
      <w:r w:rsidRPr="00EC0202">
        <w:rPr>
          <w:szCs w:val="24"/>
          <w:vertAlign w:val="subscript"/>
        </w:rPr>
        <w:t>d</w:t>
      </w:r>
      <w:r>
        <w:rPr>
          <w:szCs w:val="24"/>
        </w:rPr>
        <w:t xml:space="preserve"> can freely range in the positive and negative range according to the stimulus.</w:t>
      </w:r>
      <w:bookmarkEnd w:id="1"/>
      <w:r>
        <w:rPr>
          <w:szCs w:val="24"/>
        </w:rPr>
        <w:t xml:space="preserve"> The final output states </w:t>
      </w:r>
      <w:proofErr w:type="gramStart"/>
      <w:r>
        <w:rPr>
          <w:szCs w:val="24"/>
        </w:rPr>
        <w:t>exhibit</w:t>
      </w:r>
      <w:proofErr w:type="gramEnd"/>
      <w:r>
        <w:rPr>
          <w:szCs w:val="24"/>
        </w:rPr>
        <w:t xml:space="preserve"> good separability.</w:t>
      </w:r>
    </w:p>
    <w:p w14:paraId="1BBAD90C" w14:textId="77777777" w:rsidR="005161B7" w:rsidRPr="0051039F" w:rsidRDefault="005161B7" w:rsidP="005161B7">
      <w:pPr>
        <w:widowControl/>
        <w:spacing w:line="240" w:lineRule="auto"/>
        <w:jc w:val="left"/>
        <w:rPr>
          <w:szCs w:val="24"/>
        </w:rPr>
      </w:pPr>
      <w:r>
        <w:rPr>
          <w:szCs w:val="24"/>
        </w:rPr>
        <w:br w:type="page"/>
      </w:r>
    </w:p>
    <w:p w14:paraId="6A256FCF" w14:textId="77777777" w:rsidR="00AA0150" w:rsidRDefault="00AA0150" w:rsidP="00AA0150">
      <w:pPr>
        <w:jc w:val="center"/>
        <w:rPr>
          <w:rFonts w:eastAsiaTheme="minorEastAsia"/>
          <w:szCs w:val="24"/>
        </w:rPr>
      </w:pPr>
      <w:r>
        <w:rPr>
          <w:noProof/>
        </w:rPr>
        <w:lastRenderedPageBreak/>
        <w:drawing>
          <wp:inline distT="0" distB="0" distL="0" distR="0" wp14:anchorId="7BA35B53" wp14:editId="44F37FA8">
            <wp:extent cx="2707200" cy="2278800"/>
            <wp:effectExtent l="0" t="0" r="0" b="7620"/>
            <wp:docPr id="10" name="图片 9">
              <a:extLst xmlns:a="http://schemas.openxmlformats.org/drawingml/2006/main">
                <a:ext uri="{FF2B5EF4-FFF2-40B4-BE49-F238E27FC236}">
                  <a16:creationId xmlns:a16="http://schemas.microsoft.com/office/drawing/2014/main" id="{30DA944F-1C36-491D-B0EB-69CA909EE1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30DA944F-1C36-491D-B0EB-69CA909EE155}"/>
                        </a:ext>
                      </a:extLst>
                    </pic:cNvPr>
                    <pic:cNvPicPr>
                      <a:picLocks noChangeAspect="1"/>
                    </pic:cNvPicPr>
                  </pic:nvPicPr>
                  <pic:blipFill>
                    <a:blip r:embed="rId11"/>
                    <a:stretch>
                      <a:fillRect/>
                    </a:stretch>
                  </pic:blipFill>
                  <pic:spPr>
                    <a:xfrm>
                      <a:off x="0" y="0"/>
                      <a:ext cx="2707200" cy="2278800"/>
                    </a:xfrm>
                    <a:prstGeom prst="rect">
                      <a:avLst/>
                    </a:prstGeom>
                  </pic:spPr>
                </pic:pic>
              </a:graphicData>
            </a:graphic>
          </wp:inline>
        </w:drawing>
      </w:r>
    </w:p>
    <w:p w14:paraId="393F38DC" w14:textId="77777777" w:rsidR="00AA0150" w:rsidRDefault="00AA0150" w:rsidP="00AA0150">
      <w:pPr>
        <w:pStyle w:val="a4"/>
        <w:numPr>
          <w:ilvl w:val="0"/>
          <w:numId w:val="2"/>
        </w:numPr>
        <w:ind w:firstLineChars="0"/>
        <w:rPr>
          <w:szCs w:val="24"/>
        </w:rPr>
      </w:pPr>
      <w:r>
        <w:rPr>
          <w:szCs w:val="24"/>
        </w:rPr>
        <w:t xml:space="preserve">| </w:t>
      </w:r>
      <w:bookmarkStart w:id="2" w:name="OLE_LINK1"/>
      <w:bookmarkStart w:id="3" w:name="OLE_LINK2"/>
      <w:r w:rsidRPr="006D4E2C">
        <w:rPr>
          <w:rFonts w:eastAsiaTheme="minorEastAsia" w:hint="cs"/>
          <w:b/>
          <w:szCs w:val="24"/>
        </w:rPr>
        <w:t>C</w:t>
      </w:r>
      <w:r w:rsidRPr="006D4E2C">
        <w:rPr>
          <w:rFonts w:eastAsiaTheme="minorEastAsia" w:hint="eastAsia"/>
          <w:b/>
          <w:szCs w:val="24"/>
        </w:rPr>
        <w:t>ycle</w:t>
      </w:r>
      <w:r w:rsidRPr="006D4E2C">
        <w:rPr>
          <w:rFonts w:eastAsiaTheme="minorEastAsia"/>
          <w:b/>
          <w:szCs w:val="24"/>
        </w:rPr>
        <w:t xml:space="preserve">-to-cycle measurement of the </w:t>
      </w:r>
      <w:r>
        <w:rPr>
          <w:rFonts w:eastAsiaTheme="minorEastAsia" w:hint="eastAsia"/>
          <w:b/>
          <w:szCs w:val="24"/>
        </w:rPr>
        <w:t>FM</w:t>
      </w:r>
      <w:r>
        <w:rPr>
          <w:rFonts w:hint="eastAsia"/>
          <w:szCs w:val="24"/>
        </w:rPr>
        <w:t>.</w:t>
      </w:r>
      <w:bookmarkEnd w:id="2"/>
      <w:bookmarkEnd w:id="3"/>
      <w:r>
        <w:rPr>
          <w:szCs w:val="24"/>
        </w:rPr>
        <w:t xml:space="preserve"> The DC </w:t>
      </w:r>
      <w:r w:rsidRPr="002A38CB">
        <w:rPr>
          <w:i/>
          <w:szCs w:val="24"/>
        </w:rPr>
        <w:t>V</w:t>
      </w:r>
      <w:r w:rsidRPr="002A38CB">
        <w:rPr>
          <w:szCs w:val="24"/>
          <w:vertAlign w:val="subscript"/>
        </w:rPr>
        <w:t>g</w:t>
      </w:r>
      <w:r>
        <w:rPr>
          <w:szCs w:val="24"/>
        </w:rPr>
        <w:t xml:space="preserve"> sweeping measurement is repeated 10 times on a single device, in which the </w:t>
      </w:r>
      <w:r w:rsidRPr="008E58FD">
        <w:rPr>
          <w:i/>
          <w:szCs w:val="24"/>
        </w:rPr>
        <w:t>V</w:t>
      </w:r>
      <w:r w:rsidRPr="008E58FD">
        <w:rPr>
          <w:szCs w:val="24"/>
          <w:vertAlign w:val="subscript"/>
        </w:rPr>
        <w:t>g</w:t>
      </w:r>
      <w:r>
        <w:rPr>
          <w:szCs w:val="24"/>
        </w:rPr>
        <w:t xml:space="preserve"> sweeps from 0 V to 4 V and back forth. </w:t>
      </w:r>
      <w:r w:rsidRPr="00923163">
        <w:rPr>
          <w:i/>
          <w:szCs w:val="24"/>
        </w:rPr>
        <w:t>I</w:t>
      </w:r>
      <w:r w:rsidRPr="00923163">
        <w:rPr>
          <w:szCs w:val="24"/>
          <w:vertAlign w:val="subscript"/>
        </w:rPr>
        <w:t>d</w:t>
      </w:r>
      <w:r>
        <w:rPr>
          <w:szCs w:val="24"/>
        </w:rPr>
        <w:t xml:space="preserve"> exhibits a stable memory window with minimal variations.</w:t>
      </w:r>
    </w:p>
    <w:p w14:paraId="49750F89" w14:textId="77777777" w:rsidR="00DC588B" w:rsidRDefault="00DC588B">
      <w:pPr>
        <w:widowControl/>
        <w:spacing w:line="240" w:lineRule="auto"/>
        <w:jc w:val="left"/>
        <w:rPr>
          <w:szCs w:val="24"/>
        </w:rPr>
      </w:pPr>
      <w:r>
        <w:rPr>
          <w:szCs w:val="24"/>
        </w:rPr>
        <w:br w:type="page"/>
      </w:r>
    </w:p>
    <w:p w14:paraId="2AE1DCC7" w14:textId="77777777" w:rsidR="00AA0150" w:rsidRDefault="00AA0150" w:rsidP="00AA0150">
      <w:pPr>
        <w:jc w:val="center"/>
        <w:rPr>
          <w:rFonts w:eastAsiaTheme="minorEastAsia"/>
          <w:szCs w:val="24"/>
        </w:rPr>
      </w:pPr>
      <w:r>
        <w:rPr>
          <w:noProof/>
        </w:rPr>
        <w:lastRenderedPageBreak/>
        <w:drawing>
          <wp:inline distT="0" distB="0" distL="0" distR="0" wp14:anchorId="4C75174A" wp14:editId="430B41C2">
            <wp:extent cx="2707200" cy="2278800"/>
            <wp:effectExtent l="0" t="0" r="0" b="7620"/>
            <wp:docPr id="13" name="图片 12">
              <a:extLst xmlns:a="http://schemas.openxmlformats.org/drawingml/2006/main">
                <a:ext uri="{FF2B5EF4-FFF2-40B4-BE49-F238E27FC236}">
                  <a16:creationId xmlns:a16="http://schemas.microsoft.com/office/drawing/2014/main" id="{B4DCC8F6-9C1A-4D69-B57B-6A2F6BFF51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B4DCC8F6-9C1A-4D69-B57B-6A2F6BFF512B}"/>
                        </a:ext>
                      </a:extLst>
                    </pic:cNvPr>
                    <pic:cNvPicPr>
                      <a:picLocks noChangeAspect="1"/>
                    </pic:cNvPicPr>
                  </pic:nvPicPr>
                  <pic:blipFill>
                    <a:blip r:embed="rId12"/>
                    <a:stretch>
                      <a:fillRect/>
                    </a:stretch>
                  </pic:blipFill>
                  <pic:spPr>
                    <a:xfrm>
                      <a:off x="0" y="0"/>
                      <a:ext cx="2707200" cy="2278800"/>
                    </a:xfrm>
                    <a:prstGeom prst="rect">
                      <a:avLst/>
                    </a:prstGeom>
                  </pic:spPr>
                </pic:pic>
              </a:graphicData>
            </a:graphic>
          </wp:inline>
        </w:drawing>
      </w:r>
    </w:p>
    <w:p w14:paraId="5B7ABD70" w14:textId="46B38EBF" w:rsidR="00AA0150" w:rsidRPr="00C93459" w:rsidRDefault="00AA0150" w:rsidP="00AA0150">
      <w:pPr>
        <w:pStyle w:val="a4"/>
        <w:numPr>
          <w:ilvl w:val="0"/>
          <w:numId w:val="2"/>
        </w:numPr>
        <w:ind w:firstLineChars="0"/>
        <w:rPr>
          <w:szCs w:val="24"/>
        </w:rPr>
      </w:pPr>
      <w:r>
        <w:rPr>
          <w:szCs w:val="24"/>
        </w:rPr>
        <w:t xml:space="preserve">| </w:t>
      </w:r>
      <w:r w:rsidRPr="00F10416">
        <w:rPr>
          <w:rFonts w:eastAsiaTheme="minorEastAsia"/>
          <w:b/>
          <w:szCs w:val="24"/>
        </w:rPr>
        <w:t>Device-</w:t>
      </w:r>
      <w:r w:rsidRPr="00F10416">
        <w:rPr>
          <w:rFonts w:eastAsiaTheme="minorEastAsia" w:hint="eastAsia"/>
          <w:b/>
          <w:szCs w:val="24"/>
        </w:rPr>
        <w:t>to</w:t>
      </w:r>
      <w:r w:rsidRPr="00F10416">
        <w:rPr>
          <w:rFonts w:eastAsiaTheme="minorEastAsia"/>
          <w:b/>
          <w:szCs w:val="24"/>
        </w:rPr>
        <w:t xml:space="preserve">-device measurement of the </w:t>
      </w:r>
      <w:r>
        <w:rPr>
          <w:rFonts w:eastAsiaTheme="minorEastAsia"/>
          <w:b/>
          <w:szCs w:val="24"/>
        </w:rPr>
        <w:t>FM</w:t>
      </w:r>
      <w:r>
        <w:rPr>
          <w:rFonts w:hint="eastAsia"/>
          <w:szCs w:val="24"/>
        </w:rPr>
        <w:t>.</w:t>
      </w:r>
      <w:r>
        <w:rPr>
          <w:szCs w:val="24"/>
        </w:rPr>
        <w:t xml:space="preserve"> </w:t>
      </w:r>
      <w:r w:rsidR="00C93459">
        <w:rPr>
          <w:szCs w:val="24"/>
        </w:rPr>
        <w:t xml:space="preserve">The </w:t>
      </w:r>
      <w:r w:rsidR="00967351">
        <w:t xml:space="preserve">DC </w:t>
      </w:r>
      <w:r w:rsidR="00967351" w:rsidRPr="00C93459">
        <w:rPr>
          <w:rStyle w:val="katex-mathml"/>
          <w:i/>
        </w:rPr>
        <w:t>V</w:t>
      </w:r>
      <w:r w:rsidR="00967351" w:rsidRPr="00C93459">
        <w:rPr>
          <w:rStyle w:val="katex-mathml"/>
          <w:vertAlign w:val="subscript"/>
        </w:rPr>
        <w:t>g</w:t>
      </w:r>
      <w:r w:rsidR="00967351">
        <w:t xml:space="preserve"> sweeping measurements were conducted on 20 randomly selected devices, with </w:t>
      </w:r>
      <w:r w:rsidR="00967351" w:rsidRPr="005F1858">
        <w:rPr>
          <w:rStyle w:val="katex-mathml"/>
          <w:i/>
        </w:rPr>
        <w:t>V</w:t>
      </w:r>
      <w:r w:rsidR="00967351" w:rsidRPr="005F1858">
        <w:rPr>
          <w:rStyle w:val="katex-mathml"/>
          <w:vertAlign w:val="subscript"/>
        </w:rPr>
        <w:t>g</w:t>
      </w:r>
      <w:r w:rsidR="00967351">
        <w:rPr>
          <w:rStyle w:val="vlist-s"/>
        </w:rPr>
        <w:t>​</w:t>
      </w:r>
      <w:r w:rsidR="00967351">
        <w:t xml:space="preserve"> swept from −4 V to 4 V and then back to −4 V. The resulting counter-clockwise hysteresis curves exhibit broadly similar profiles on the positiv</w:t>
      </w:r>
      <w:r w:rsidR="00B25ED9">
        <w:t>e</w:t>
      </w:r>
      <w:r w:rsidR="002D2EB5">
        <w:t>-</w:t>
      </w:r>
      <w:r w:rsidR="00B25ED9">
        <w:t>voltage</w:t>
      </w:r>
      <w:r w:rsidR="00967351">
        <w:rPr>
          <w:rStyle w:val="vlist-s"/>
        </w:rPr>
        <w:t>​</w:t>
      </w:r>
      <w:r w:rsidR="00967351">
        <w:t xml:space="preserve"> side, corresponding to comparable threshold voltages </w:t>
      </w:r>
      <w:r w:rsidR="009C72DA">
        <w:t>(</w:t>
      </w:r>
      <w:r w:rsidR="00967351" w:rsidRPr="00C47F33">
        <w:rPr>
          <w:rStyle w:val="mord"/>
          <w:i/>
        </w:rPr>
        <w:t>V</w:t>
      </w:r>
      <w:r w:rsidR="00967351" w:rsidRPr="00C47F33">
        <w:rPr>
          <w:rStyle w:val="mord"/>
          <w:vertAlign w:val="subscript"/>
        </w:rPr>
        <w:t>th</w:t>
      </w:r>
      <w:r w:rsidR="009C72DA" w:rsidRPr="009C72DA">
        <w:rPr>
          <w:rStyle w:val="mord"/>
        </w:rPr>
        <w:t>)</w:t>
      </w:r>
      <w:r w:rsidR="00967351" w:rsidRPr="00C47F33">
        <w:rPr>
          <w:rStyle w:val="vlist-s"/>
          <w:vertAlign w:val="subscript"/>
        </w:rPr>
        <w:t>​</w:t>
      </w:r>
      <w:r w:rsidR="00967351">
        <w:t xml:space="preserve"> and on-state drain currents (</w:t>
      </w:r>
      <w:r w:rsidR="00967351" w:rsidRPr="00BB51CB">
        <w:rPr>
          <w:rStyle w:val="katex-mathml"/>
          <w:i/>
        </w:rPr>
        <w:t>I</w:t>
      </w:r>
      <w:r w:rsidR="00BB51CB" w:rsidRPr="00BB51CB">
        <w:rPr>
          <w:rStyle w:val="katex-mathml"/>
          <w:vertAlign w:val="subscript"/>
        </w:rPr>
        <w:t>on</w:t>
      </w:r>
      <w:r w:rsidR="00967351">
        <w:t>) across devices. In contrast, increased variation is observed on the negative</w:t>
      </w:r>
      <w:r w:rsidR="002D2EB5">
        <w:t>-voltage</w:t>
      </w:r>
      <w:r w:rsidR="00967351">
        <w:rPr>
          <w:rStyle w:val="vlist-s"/>
        </w:rPr>
        <w:t>​</w:t>
      </w:r>
      <w:r w:rsidR="00967351">
        <w:t xml:space="preserve"> side of the curves, which can be attributed to device-</w:t>
      </w:r>
      <w:r w:rsidR="00C243E6">
        <w:t>to-device</w:t>
      </w:r>
      <w:r w:rsidR="00967351">
        <w:t xml:space="preserve"> differences in the </w:t>
      </w:r>
      <w:r w:rsidR="00C31D89">
        <w:t>FM</w:t>
      </w:r>
      <w:r w:rsidR="00967351">
        <w:t xml:space="preserve"> timescale. Specifically, when </w:t>
      </w:r>
      <w:r w:rsidR="00615AB7" w:rsidRPr="00615AB7">
        <w:rPr>
          <w:rStyle w:val="katex-mathml"/>
          <w:i/>
        </w:rPr>
        <w:t>V</w:t>
      </w:r>
      <w:r w:rsidR="00615AB7" w:rsidRPr="00615AB7">
        <w:rPr>
          <w:rStyle w:val="katex-mathml"/>
          <w:vertAlign w:val="subscript"/>
        </w:rPr>
        <w:t>g</w:t>
      </w:r>
      <w:r w:rsidR="00967351">
        <w:rPr>
          <w:rStyle w:val="vlist-s"/>
        </w:rPr>
        <w:t>​</w:t>
      </w:r>
      <w:r w:rsidR="00967351">
        <w:t xml:space="preserve"> is swept to −4 V, devices with longer FM timescales show a slower decay of </w:t>
      </w:r>
      <w:r w:rsidR="002C7595" w:rsidRPr="002C7595">
        <w:rPr>
          <w:rStyle w:val="katex-mathml"/>
          <w:i/>
        </w:rPr>
        <w:t>I</w:t>
      </w:r>
      <w:r w:rsidR="002C7595" w:rsidRPr="002C7595">
        <w:rPr>
          <w:rStyle w:val="katex-mathml"/>
          <w:vertAlign w:val="subscript"/>
        </w:rPr>
        <w:t>d</w:t>
      </w:r>
      <w:r w:rsidR="00967351">
        <w:t xml:space="preserve">, whereas devices with shorter timescales exhibit a faster response. Overall, the device-to-device measurements indicate consistent qualitative behavior in the transfer characteristics, while moderate quantitative variations—particularly in the FM dynamics—are present and remain compatible with the </w:t>
      </w:r>
      <w:r w:rsidR="0039345A">
        <w:t>RC</w:t>
      </w:r>
      <w:r w:rsidR="00967351">
        <w:t xml:space="preserve"> paradigm.</w:t>
      </w:r>
    </w:p>
    <w:p w14:paraId="0EC268C0" w14:textId="77777777" w:rsidR="00976E7E" w:rsidRPr="005161B7" w:rsidRDefault="00DF2868" w:rsidP="005161B7">
      <w:pPr>
        <w:widowControl/>
        <w:spacing w:line="240" w:lineRule="auto"/>
        <w:jc w:val="left"/>
        <w:rPr>
          <w:rFonts w:eastAsiaTheme="minorEastAsia"/>
          <w:szCs w:val="24"/>
        </w:rPr>
      </w:pPr>
      <w:r>
        <w:rPr>
          <w:rFonts w:eastAsiaTheme="minorEastAsia"/>
          <w:szCs w:val="24"/>
        </w:rPr>
        <w:br w:type="page"/>
      </w:r>
    </w:p>
    <w:p w14:paraId="53395947" w14:textId="77777777" w:rsidR="008974F3" w:rsidRDefault="008974F3" w:rsidP="00A9748E">
      <w:pPr>
        <w:jc w:val="center"/>
        <w:rPr>
          <w:rFonts w:eastAsiaTheme="minorEastAsia"/>
          <w:szCs w:val="24"/>
        </w:rPr>
      </w:pPr>
      <w:r>
        <w:rPr>
          <w:noProof/>
        </w:rPr>
        <w:lastRenderedPageBreak/>
        <w:drawing>
          <wp:inline distT="0" distB="0" distL="0" distR="0" wp14:anchorId="21E67B15" wp14:editId="3F6A633A">
            <wp:extent cx="2765834" cy="2204893"/>
            <wp:effectExtent l="0" t="0" r="0" b="5080"/>
            <wp:docPr id="25" name="图片 24">
              <a:extLst xmlns:a="http://schemas.openxmlformats.org/drawingml/2006/main">
                <a:ext uri="{FF2B5EF4-FFF2-40B4-BE49-F238E27FC236}">
                  <a16:creationId xmlns:a16="http://schemas.microsoft.com/office/drawing/2014/main" id="{E836DD71-FC50-465D-B2B1-E16B7E97AA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a:extLst>
                        <a:ext uri="{FF2B5EF4-FFF2-40B4-BE49-F238E27FC236}">
                          <a16:creationId xmlns:a16="http://schemas.microsoft.com/office/drawing/2014/main" id="{E836DD71-FC50-465D-B2B1-E16B7E97AAE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85371" cy="2220468"/>
                    </a:xfrm>
                    <a:prstGeom prst="rect">
                      <a:avLst/>
                    </a:prstGeom>
                  </pic:spPr>
                </pic:pic>
              </a:graphicData>
            </a:graphic>
          </wp:inline>
        </w:drawing>
      </w:r>
    </w:p>
    <w:p w14:paraId="6C7B27CB" w14:textId="2157A594" w:rsidR="00C225B5" w:rsidRDefault="007E4F26" w:rsidP="007E4F26">
      <w:pPr>
        <w:pStyle w:val="a4"/>
        <w:numPr>
          <w:ilvl w:val="0"/>
          <w:numId w:val="2"/>
        </w:numPr>
        <w:ind w:firstLineChars="0"/>
        <w:rPr>
          <w:szCs w:val="24"/>
        </w:rPr>
      </w:pPr>
      <w:r w:rsidRPr="00C85430">
        <w:rPr>
          <w:szCs w:val="24"/>
        </w:rPr>
        <w:t xml:space="preserve">| </w:t>
      </w:r>
      <w:r w:rsidR="00C64421">
        <w:rPr>
          <w:b/>
          <w:szCs w:val="24"/>
        </w:rPr>
        <w:t>Endurance test</w:t>
      </w:r>
      <w:r w:rsidRPr="00C85430">
        <w:rPr>
          <w:szCs w:val="24"/>
        </w:rPr>
        <w:t>.</w:t>
      </w:r>
      <w:r>
        <w:rPr>
          <w:szCs w:val="24"/>
        </w:rPr>
        <w:t xml:space="preserve"> </w:t>
      </w:r>
      <w:proofErr w:type="spellStart"/>
      <w:r w:rsidR="009211D8" w:rsidRPr="009211D8">
        <w:rPr>
          <w:b/>
          <w:szCs w:val="24"/>
        </w:rPr>
        <w:t>a</w:t>
      </w:r>
      <w:proofErr w:type="spellEnd"/>
      <w:r w:rsidR="00BD7EC5">
        <w:rPr>
          <w:szCs w:val="24"/>
        </w:rPr>
        <w:t xml:space="preserve"> </w:t>
      </w:r>
      <w:proofErr w:type="gramStart"/>
      <w:r w:rsidR="004F5B70">
        <w:rPr>
          <w:szCs w:val="24"/>
        </w:rPr>
        <w:t>The</w:t>
      </w:r>
      <w:proofErr w:type="gramEnd"/>
      <w:r w:rsidR="00BE5CD4">
        <w:t xml:space="preserve"> endurance test was performed by consecutively applying positive and negative </w:t>
      </w:r>
      <w:r w:rsidR="00BE5CD4" w:rsidRPr="00052904">
        <w:rPr>
          <w:rStyle w:val="katex-mathml"/>
          <w:i/>
        </w:rPr>
        <w:t>V</w:t>
      </w:r>
      <w:r w:rsidR="00BE5CD4" w:rsidRPr="00052904">
        <w:rPr>
          <w:rStyle w:val="katex-mathml"/>
          <w:vertAlign w:val="subscript"/>
        </w:rPr>
        <w:t>g</w:t>
      </w:r>
      <w:r w:rsidR="00BE5CD4" w:rsidRPr="00052904">
        <w:rPr>
          <w:rStyle w:val="vlist-s"/>
          <w:vertAlign w:val="subscript"/>
        </w:rPr>
        <w:t>​</w:t>
      </w:r>
      <w:r w:rsidR="00BE5CD4">
        <w:t xml:space="preserve"> pulses while monitoring the device response to the pulse sequence.</w:t>
      </w:r>
      <w:r w:rsidR="00894A4E">
        <w:rPr>
          <w:szCs w:val="24"/>
        </w:rPr>
        <w:t xml:space="preserve"> </w:t>
      </w:r>
      <w:r w:rsidR="00894A4E">
        <w:t xml:space="preserve">The drain current responses are recorded after different total pulse counts ranging from 1 to </w:t>
      </w:r>
      <w:r w:rsidR="00894A4E">
        <w:rPr>
          <w:rStyle w:val="katex-mathml"/>
        </w:rPr>
        <w:t>10</w:t>
      </w:r>
      <w:r w:rsidR="00894A4E" w:rsidRPr="0083061A">
        <w:rPr>
          <w:rStyle w:val="katex-mathml"/>
          <w:vertAlign w:val="superscript"/>
        </w:rPr>
        <w:t>8</w:t>
      </w:r>
      <w:r w:rsidR="00894A4E">
        <w:t xml:space="preserve">. The overall current evolution behavior </w:t>
      </w:r>
      <w:r w:rsidR="009040CC">
        <w:t>remains</w:t>
      </w:r>
      <w:r w:rsidR="00894A4E">
        <w:t xml:space="preserve"> well preserved with increasing pulse numbers, with no noticeable degradation or drift in the current levels. These results indicate robust endurance under electrical cycling.</w:t>
      </w:r>
    </w:p>
    <w:p w14:paraId="05815C52" w14:textId="77777777" w:rsidR="008974F3" w:rsidRDefault="008974F3">
      <w:pPr>
        <w:widowControl/>
        <w:spacing w:line="240" w:lineRule="auto"/>
        <w:jc w:val="left"/>
        <w:rPr>
          <w:rFonts w:eastAsiaTheme="minorEastAsia"/>
          <w:szCs w:val="24"/>
        </w:rPr>
      </w:pPr>
      <w:r>
        <w:rPr>
          <w:rFonts w:eastAsiaTheme="minorEastAsia"/>
          <w:szCs w:val="24"/>
        </w:rPr>
        <w:br w:type="page"/>
      </w:r>
    </w:p>
    <w:p w14:paraId="4EBF62D2" w14:textId="77777777" w:rsidR="00860A4A" w:rsidRPr="00976E7E" w:rsidRDefault="00976E7E" w:rsidP="00251520">
      <w:pPr>
        <w:jc w:val="center"/>
        <w:rPr>
          <w:rFonts w:eastAsiaTheme="minorEastAsia"/>
          <w:szCs w:val="24"/>
        </w:rPr>
      </w:pPr>
      <w:r>
        <w:rPr>
          <w:noProof/>
        </w:rPr>
        <w:lastRenderedPageBreak/>
        <w:drawing>
          <wp:inline distT="0" distB="0" distL="0" distR="0" wp14:anchorId="5763933F" wp14:editId="2214ABA9">
            <wp:extent cx="4178174" cy="4132006"/>
            <wp:effectExtent l="0" t="0" r="0" b="1905"/>
            <wp:docPr id="146" name="图片 145">
              <a:extLst xmlns:a="http://schemas.openxmlformats.org/drawingml/2006/main">
                <a:ext uri="{FF2B5EF4-FFF2-40B4-BE49-F238E27FC236}">
                  <a16:creationId xmlns:a16="http://schemas.microsoft.com/office/drawing/2014/main" id="{A77AC31B-2483-43FF-AA50-385ACA2B3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5">
                      <a:extLst>
                        <a:ext uri="{FF2B5EF4-FFF2-40B4-BE49-F238E27FC236}">
                          <a16:creationId xmlns:a16="http://schemas.microsoft.com/office/drawing/2014/main" id="{A77AC31B-2483-43FF-AA50-385ACA2B315A}"/>
                        </a:ext>
                      </a:extLst>
                    </pic:cNvPr>
                    <pic:cNvPicPr>
                      <a:picLocks noChangeAspect="1"/>
                    </pic:cNvPicPr>
                  </pic:nvPicPr>
                  <pic:blipFill>
                    <a:blip r:embed="rId14"/>
                    <a:stretch>
                      <a:fillRect/>
                    </a:stretch>
                  </pic:blipFill>
                  <pic:spPr>
                    <a:xfrm>
                      <a:off x="0" y="0"/>
                      <a:ext cx="4191414" cy="4145099"/>
                    </a:xfrm>
                    <a:prstGeom prst="rect">
                      <a:avLst/>
                    </a:prstGeom>
                  </pic:spPr>
                </pic:pic>
              </a:graphicData>
            </a:graphic>
          </wp:inline>
        </w:drawing>
      </w:r>
    </w:p>
    <w:p w14:paraId="1F3EF280" w14:textId="77777777" w:rsidR="00860A4A" w:rsidRPr="00362648" w:rsidRDefault="00976E7E" w:rsidP="00362648">
      <w:pPr>
        <w:pStyle w:val="a4"/>
        <w:numPr>
          <w:ilvl w:val="0"/>
          <w:numId w:val="2"/>
        </w:numPr>
        <w:ind w:firstLineChars="0"/>
        <w:rPr>
          <w:szCs w:val="24"/>
        </w:rPr>
      </w:pPr>
      <w:r w:rsidRPr="00C85430">
        <w:rPr>
          <w:szCs w:val="24"/>
        </w:rPr>
        <w:t xml:space="preserve">| </w:t>
      </w:r>
      <w:r w:rsidR="00BE5549" w:rsidRPr="00BE5549">
        <w:rPr>
          <w:b/>
          <w:szCs w:val="24"/>
        </w:rPr>
        <w:t>Time-dependent s</w:t>
      </w:r>
      <w:r w:rsidR="00FC08C7" w:rsidRPr="00BE5549">
        <w:rPr>
          <w:b/>
          <w:szCs w:val="24"/>
        </w:rPr>
        <w:t xml:space="preserve">chematics of the </w:t>
      </w:r>
      <w:r w:rsidR="00BE5549" w:rsidRPr="00BE5549">
        <w:rPr>
          <w:b/>
          <w:szCs w:val="24"/>
        </w:rPr>
        <w:t>ball-mov</w:t>
      </w:r>
      <w:r w:rsidR="00CC1FE2">
        <w:rPr>
          <w:b/>
          <w:szCs w:val="24"/>
        </w:rPr>
        <w:t>ement</w:t>
      </w:r>
      <w:r w:rsidR="00BE5549" w:rsidRPr="00BE5549">
        <w:rPr>
          <w:b/>
          <w:szCs w:val="24"/>
        </w:rPr>
        <w:t xml:space="preserve"> dataset</w:t>
      </w:r>
      <w:r w:rsidR="00BE5549">
        <w:rPr>
          <w:szCs w:val="24"/>
        </w:rPr>
        <w:t>.</w:t>
      </w:r>
      <w:r w:rsidR="00B9591C">
        <w:rPr>
          <w:szCs w:val="24"/>
        </w:rPr>
        <w:t xml:space="preserve"> The</w:t>
      </w:r>
      <w:r w:rsidR="00BB5EC0">
        <w:rPr>
          <w:szCs w:val="24"/>
        </w:rPr>
        <w:t xml:space="preserve"> diagrams show the four frames uniformly sampled from the </w:t>
      </w:r>
      <w:r w:rsidR="002D0E42">
        <w:rPr>
          <w:szCs w:val="24"/>
        </w:rPr>
        <w:t>4-second</w:t>
      </w:r>
      <w:r w:rsidR="00A3118E">
        <w:rPr>
          <w:szCs w:val="24"/>
        </w:rPr>
        <w:t xml:space="preserve"> </w:t>
      </w:r>
      <w:r w:rsidR="001319DF">
        <w:rPr>
          <w:szCs w:val="24"/>
        </w:rPr>
        <w:t>sequence</w:t>
      </w:r>
      <w:r w:rsidR="002D0E42">
        <w:rPr>
          <w:szCs w:val="24"/>
        </w:rPr>
        <w:t xml:space="preserve"> of</w:t>
      </w:r>
      <w:r w:rsidR="001319DF">
        <w:rPr>
          <w:szCs w:val="24"/>
        </w:rPr>
        <w:t xml:space="preserve"> </w:t>
      </w:r>
      <w:r w:rsidR="00A3118E">
        <w:rPr>
          <w:szCs w:val="24"/>
        </w:rPr>
        <w:t xml:space="preserve">event data </w:t>
      </w:r>
      <w:r w:rsidR="00415336">
        <w:rPr>
          <w:szCs w:val="24"/>
        </w:rPr>
        <w:t>recording the</w:t>
      </w:r>
      <w:r w:rsidR="00A3118E">
        <w:rPr>
          <w:szCs w:val="24"/>
        </w:rPr>
        <w:t xml:space="preserve"> movements. The white pixel denotes the positive event, while the black pixel denotes the negative event.</w:t>
      </w:r>
      <w:r w:rsidR="002A2FF5">
        <w:rPr>
          <w:szCs w:val="24"/>
        </w:rPr>
        <w:t xml:space="preserve"> </w:t>
      </w:r>
      <w:r w:rsidR="00492876">
        <w:rPr>
          <w:szCs w:val="24"/>
        </w:rPr>
        <w:t xml:space="preserve">The events are normally recorded at the edge of objects while </w:t>
      </w:r>
      <w:r w:rsidR="00B165BB">
        <w:rPr>
          <w:szCs w:val="24"/>
        </w:rPr>
        <w:t>they</w:t>
      </w:r>
      <w:r w:rsidR="00492876">
        <w:rPr>
          <w:szCs w:val="24"/>
        </w:rPr>
        <w:t xml:space="preserve"> move.</w:t>
      </w:r>
      <w:r w:rsidR="00B37707">
        <w:rPr>
          <w:szCs w:val="24"/>
        </w:rPr>
        <w:t xml:space="preserve"> </w:t>
      </w:r>
      <w:r w:rsidR="004D58E9" w:rsidRPr="004D58E9">
        <w:rPr>
          <w:szCs w:val="24"/>
        </w:rPr>
        <w:t>For the in-depth movements (the first four categories), the edge is observed to expand as the object approaches and to contract as it moves away.</w:t>
      </w:r>
      <w:r w:rsidR="00115E21">
        <w:rPr>
          <w:szCs w:val="24"/>
        </w:rPr>
        <w:t xml:space="preserve"> Moreover, </w:t>
      </w:r>
      <w:r w:rsidR="00DA131A">
        <w:rPr>
          <w:szCs w:val="24"/>
        </w:rPr>
        <w:t xml:space="preserve">usually </w:t>
      </w:r>
      <w:r w:rsidR="00764588">
        <w:rPr>
          <w:szCs w:val="24"/>
        </w:rPr>
        <w:t xml:space="preserve">only </w:t>
      </w:r>
      <w:r w:rsidR="008F58C1">
        <w:rPr>
          <w:szCs w:val="24"/>
        </w:rPr>
        <w:t>a single</w:t>
      </w:r>
      <w:r w:rsidR="00764588">
        <w:rPr>
          <w:szCs w:val="24"/>
        </w:rPr>
        <w:t xml:space="preserve"> particular polarity of events </w:t>
      </w:r>
      <w:r w:rsidR="004F36D3">
        <w:rPr>
          <w:szCs w:val="24"/>
        </w:rPr>
        <w:t>is</w:t>
      </w:r>
      <w:r w:rsidR="00764588">
        <w:rPr>
          <w:szCs w:val="24"/>
        </w:rPr>
        <w:t xml:space="preserve"> recorded</w:t>
      </w:r>
      <w:r w:rsidR="001C2020">
        <w:rPr>
          <w:szCs w:val="24"/>
        </w:rPr>
        <w:t xml:space="preserve"> at </w:t>
      </w:r>
      <w:r w:rsidR="00BD621B">
        <w:rPr>
          <w:szCs w:val="24"/>
        </w:rPr>
        <w:t xml:space="preserve">a </w:t>
      </w:r>
      <w:r w:rsidR="001C2020">
        <w:rPr>
          <w:szCs w:val="24"/>
        </w:rPr>
        <w:t>given moment</w:t>
      </w:r>
      <w:r w:rsidR="00764588">
        <w:rPr>
          <w:szCs w:val="24"/>
        </w:rPr>
        <w:t xml:space="preserve">, depending on the </w:t>
      </w:r>
      <w:r w:rsidR="004F36D3">
        <w:rPr>
          <w:szCs w:val="24"/>
        </w:rPr>
        <w:t xml:space="preserve">current </w:t>
      </w:r>
      <w:r w:rsidR="000A5344">
        <w:rPr>
          <w:szCs w:val="24"/>
        </w:rPr>
        <w:t>direction of motion</w:t>
      </w:r>
      <w:r w:rsidR="004F36D3">
        <w:rPr>
          <w:szCs w:val="24"/>
        </w:rPr>
        <w:t>.</w:t>
      </w:r>
      <w:r w:rsidR="00AA5B45">
        <w:rPr>
          <w:szCs w:val="24"/>
        </w:rPr>
        <w:t xml:space="preserve"> </w:t>
      </w:r>
      <w:r w:rsidR="00D917A8">
        <w:rPr>
          <w:szCs w:val="24"/>
        </w:rPr>
        <w:t>For</w:t>
      </w:r>
      <w:r w:rsidR="00AA5B45">
        <w:rPr>
          <w:szCs w:val="24"/>
        </w:rPr>
        <w:t xml:space="preserve"> the in-plane movements</w:t>
      </w:r>
      <w:r w:rsidR="005D1C15">
        <w:rPr>
          <w:szCs w:val="24"/>
        </w:rPr>
        <w:t>, however, the positive and negative events almost always appear in pairs</w:t>
      </w:r>
      <w:r w:rsidR="00D257CE">
        <w:rPr>
          <w:szCs w:val="24"/>
        </w:rPr>
        <w:t xml:space="preserve"> at the opposite edges of </w:t>
      </w:r>
      <w:r w:rsidR="003B6628">
        <w:rPr>
          <w:szCs w:val="24"/>
        </w:rPr>
        <w:t xml:space="preserve">the </w:t>
      </w:r>
      <w:r w:rsidR="00D257CE">
        <w:rPr>
          <w:szCs w:val="24"/>
        </w:rPr>
        <w:t>object.</w:t>
      </w:r>
      <w:r w:rsidR="00362648">
        <w:rPr>
          <w:szCs w:val="24"/>
        </w:rPr>
        <w:br w:type="page"/>
      </w:r>
    </w:p>
    <w:p w14:paraId="4CE9D4AB" w14:textId="77777777" w:rsidR="001D6320" w:rsidRDefault="00333A4C" w:rsidP="00C94E01">
      <w:pPr>
        <w:pStyle w:val="a4"/>
        <w:ind w:firstLineChars="0" w:firstLine="0"/>
        <w:jc w:val="center"/>
        <w:rPr>
          <w:szCs w:val="24"/>
        </w:rPr>
      </w:pPr>
      <w:r>
        <w:rPr>
          <w:noProof/>
        </w:rPr>
        <w:lastRenderedPageBreak/>
        <w:drawing>
          <wp:inline distT="0" distB="0" distL="0" distR="0" wp14:anchorId="0E0A28B9" wp14:editId="36C8E8C5">
            <wp:extent cx="2320119" cy="2739472"/>
            <wp:effectExtent l="0" t="0" r="4445" b="0"/>
            <wp:docPr id="11" name="图片 10">
              <a:extLst xmlns:a="http://schemas.openxmlformats.org/drawingml/2006/main">
                <a:ext uri="{FF2B5EF4-FFF2-40B4-BE49-F238E27FC236}">
                  <a16:creationId xmlns:a16="http://schemas.microsoft.com/office/drawing/2014/main" id="{F1128BEE-BC87-4606-BEE2-B8275DA86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F1128BEE-BC87-4606-BEE2-B8275DA86BF9}"/>
                        </a:ext>
                      </a:extLst>
                    </pic:cNvPr>
                    <pic:cNvPicPr>
                      <a:picLocks noChangeAspect="1"/>
                    </pic:cNvPicPr>
                  </pic:nvPicPr>
                  <pic:blipFill>
                    <a:blip r:embed="rId15"/>
                    <a:stretch>
                      <a:fillRect/>
                    </a:stretch>
                  </pic:blipFill>
                  <pic:spPr>
                    <a:xfrm>
                      <a:off x="0" y="0"/>
                      <a:ext cx="2328489" cy="2749354"/>
                    </a:xfrm>
                    <a:prstGeom prst="rect">
                      <a:avLst/>
                    </a:prstGeom>
                  </pic:spPr>
                </pic:pic>
              </a:graphicData>
            </a:graphic>
          </wp:inline>
        </w:drawing>
      </w:r>
    </w:p>
    <w:p w14:paraId="4190787E" w14:textId="77777777" w:rsidR="00480C44" w:rsidRDefault="001D6320" w:rsidP="00333A4C">
      <w:pPr>
        <w:pStyle w:val="a4"/>
        <w:numPr>
          <w:ilvl w:val="0"/>
          <w:numId w:val="2"/>
        </w:numPr>
        <w:ind w:firstLineChars="0"/>
        <w:rPr>
          <w:szCs w:val="24"/>
        </w:rPr>
      </w:pPr>
      <w:r w:rsidRPr="001705F0">
        <w:rPr>
          <w:szCs w:val="24"/>
        </w:rPr>
        <w:t>|</w:t>
      </w:r>
      <w:r>
        <w:rPr>
          <w:szCs w:val="24"/>
        </w:rPr>
        <w:t xml:space="preserve"> </w:t>
      </w:r>
      <w:r w:rsidR="006A16D9">
        <w:rPr>
          <w:b/>
          <w:szCs w:val="24"/>
        </w:rPr>
        <w:t>Confusion</w:t>
      </w:r>
      <w:r w:rsidR="00F82D68">
        <w:rPr>
          <w:b/>
          <w:szCs w:val="24"/>
        </w:rPr>
        <w:t xml:space="preserve"> matrix</w:t>
      </w:r>
      <w:r w:rsidR="004528F3">
        <w:rPr>
          <w:b/>
          <w:szCs w:val="24"/>
        </w:rPr>
        <w:t xml:space="preserve"> of </w:t>
      </w:r>
      <w:r w:rsidR="00D62F1C">
        <w:rPr>
          <w:b/>
          <w:szCs w:val="24"/>
        </w:rPr>
        <w:t>unipolar reservoir (negative channel)</w:t>
      </w:r>
      <w:r>
        <w:rPr>
          <w:szCs w:val="24"/>
        </w:rPr>
        <w:t xml:space="preserve">. </w:t>
      </w:r>
      <w:r w:rsidR="00EA7649" w:rsidRPr="00E90EA0">
        <w:rPr>
          <w:szCs w:val="24"/>
        </w:rPr>
        <w:t>The</w:t>
      </w:r>
      <w:r w:rsidR="00E90EA0">
        <w:rPr>
          <w:szCs w:val="24"/>
        </w:rPr>
        <w:t xml:space="preserve"> </w:t>
      </w:r>
      <w:r w:rsidR="009124BE">
        <w:rPr>
          <w:szCs w:val="24"/>
        </w:rPr>
        <w:t xml:space="preserve">samples of label 3 and label 4 are difficult for the unipolar reservoir to identify, similar to the </w:t>
      </w:r>
      <w:r w:rsidR="00457E54">
        <w:rPr>
          <w:szCs w:val="24"/>
        </w:rPr>
        <w:t>situation</w:t>
      </w:r>
      <w:r w:rsidR="009124BE">
        <w:rPr>
          <w:szCs w:val="24"/>
        </w:rPr>
        <w:t xml:space="preserve"> of </w:t>
      </w:r>
      <w:r w:rsidR="00EB0C4D">
        <w:rPr>
          <w:szCs w:val="24"/>
        </w:rPr>
        <w:t xml:space="preserve">the </w:t>
      </w:r>
      <w:r w:rsidR="009124BE">
        <w:rPr>
          <w:szCs w:val="24"/>
        </w:rPr>
        <w:t>positive channel.</w:t>
      </w:r>
      <w:r w:rsidR="00A36A05">
        <w:rPr>
          <w:szCs w:val="24"/>
        </w:rPr>
        <w:t xml:space="preserve"> The two labels correspond to </w:t>
      </w:r>
      <w:r w:rsidR="001816EA">
        <w:rPr>
          <w:szCs w:val="24"/>
        </w:rPr>
        <w:t>the</w:t>
      </w:r>
      <w:r w:rsidR="00AE0EFA">
        <w:rPr>
          <w:szCs w:val="24"/>
        </w:rPr>
        <w:t xml:space="preserve"> “</w:t>
      </w:r>
      <w:r w:rsidR="001816EA">
        <w:rPr>
          <w:szCs w:val="24"/>
        </w:rPr>
        <w:t>away-approaching</w:t>
      </w:r>
      <w:r w:rsidR="00AE0EFA">
        <w:rPr>
          <w:szCs w:val="24"/>
        </w:rPr>
        <w:t>”</w:t>
      </w:r>
      <w:r w:rsidR="007A633D">
        <w:rPr>
          <w:szCs w:val="24"/>
        </w:rPr>
        <w:t xml:space="preserve"> and the “</w:t>
      </w:r>
      <w:r w:rsidR="001816EA">
        <w:rPr>
          <w:szCs w:val="24"/>
        </w:rPr>
        <w:t>approaching-away</w:t>
      </w:r>
      <w:r w:rsidR="007A633D">
        <w:rPr>
          <w:szCs w:val="24"/>
        </w:rPr>
        <w:t>” movements</w:t>
      </w:r>
      <w:r w:rsidR="00ED74F9">
        <w:rPr>
          <w:szCs w:val="24"/>
        </w:rPr>
        <w:t xml:space="preserve">. </w:t>
      </w:r>
      <w:r w:rsidR="005E7A4A">
        <w:rPr>
          <w:szCs w:val="24"/>
        </w:rPr>
        <w:t xml:space="preserve">The </w:t>
      </w:r>
      <w:r w:rsidR="00F579C1">
        <w:rPr>
          <w:szCs w:val="24"/>
        </w:rPr>
        <w:t>closely</w:t>
      </w:r>
      <w:r w:rsidR="005E7A4A">
        <w:rPr>
          <w:szCs w:val="24"/>
        </w:rPr>
        <w:t xml:space="preserve"> coupl</w:t>
      </w:r>
      <w:r w:rsidR="00F579C1">
        <w:rPr>
          <w:szCs w:val="24"/>
        </w:rPr>
        <w:t>ed</w:t>
      </w:r>
      <w:r w:rsidR="005E7A4A">
        <w:rPr>
          <w:szCs w:val="24"/>
        </w:rPr>
        <w:t xml:space="preserve"> </w:t>
      </w:r>
      <w:r w:rsidR="00244A75">
        <w:rPr>
          <w:szCs w:val="24"/>
        </w:rPr>
        <w:t xml:space="preserve">positive and negative channels make it challenging </w:t>
      </w:r>
      <w:r w:rsidR="00B47043">
        <w:rPr>
          <w:szCs w:val="24"/>
        </w:rPr>
        <w:t xml:space="preserve">to make </w:t>
      </w:r>
      <w:r w:rsidR="00987294">
        <w:rPr>
          <w:szCs w:val="24"/>
        </w:rPr>
        <w:t xml:space="preserve">a </w:t>
      </w:r>
      <w:r w:rsidR="00B47043">
        <w:rPr>
          <w:szCs w:val="24"/>
        </w:rPr>
        <w:t>correct inference based on a single channel.</w:t>
      </w:r>
    </w:p>
    <w:p w14:paraId="5E6B417A" w14:textId="77777777" w:rsidR="00480C44" w:rsidRDefault="00480C44">
      <w:pPr>
        <w:widowControl/>
        <w:spacing w:line="240" w:lineRule="auto"/>
        <w:jc w:val="left"/>
        <w:rPr>
          <w:szCs w:val="24"/>
        </w:rPr>
      </w:pPr>
      <w:r>
        <w:rPr>
          <w:szCs w:val="24"/>
        </w:rPr>
        <w:br w:type="page"/>
      </w:r>
    </w:p>
    <w:p w14:paraId="53BBDF01" w14:textId="77777777" w:rsidR="00D87D70" w:rsidRPr="00541E88" w:rsidRDefault="00D9598A" w:rsidP="00EA65C8">
      <w:pPr>
        <w:pStyle w:val="a5"/>
        <w:spacing w:before="163" w:after="163"/>
        <w:rPr>
          <w:rFonts w:eastAsiaTheme="minorEastAsia"/>
        </w:rPr>
      </w:pPr>
      <w:r>
        <w:lastRenderedPageBreak/>
        <w:drawing>
          <wp:inline distT="0" distB="0" distL="0" distR="0" wp14:anchorId="5496A3CF" wp14:editId="20E630A9">
            <wp:extent cx="5578084" cy="4560570"/>
            <wp:effectExtent l="0" t="0" r="0" b="0"/>
            <wp:docPr id="2" name="图片 1">
              <a:extLst xmlns:a="http://schemas.openxmlformats.org/drawingml/2006/main">
                <a:ext uri="{FF2B5EF4-FFF2-40B4-BE49-F238E27FC236}">
                  <a16:creationId xmlns:a16="http://schemas.microsoft.com/office/drawing/2014/main" id="{9BBCD4EF-A123-47A1-B3FC-814DC17503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9BBCD4EF-A123-47A1-B3FC-814DC1750375}"/>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78084" cy="4560570"/>
                    </a:xfrm>
                    <a:prstGeom prst="rect">
                      <a:avLst/>
                    </a:prstGeom>
                  </pic:spPr>
                </pic:pic>
              </a:graphicData>
            </a:graphic>
          </wp:inline>
        </w:drawing>
      </w:r>
    </w:p>
    <w:p w14:paraId="6967029A" w14:textId="77777777" w:rsidR="00DC68D1" w:rsidRDefault="00DC68D1" w:rsidP="00DC68D1">
      <w:pPr>
        <w:pStyle w:val="a4"/>
        <w:numPr>
          <w:ilvl w:val="0"/>
          <w:numId w:val="2"/>
        </w:numPr>
        <w:ind w:firstLineChars="0"/>
        <w:rPr>
          <w:szCs w:val="24"/>
        </w:rPr>
      </w:pPr>
      <w:r w:rsidRPr="001705F0">
        <w:rPr>
          <w:szCs w:val="24"/>
        </w:rPr>
        <w:t>|</w:t>
      </w:r>
      <w:r>
        <w:rPr>
          <w:szCs w:val="24"/>
        </w:rPr>
        <w:t xml:space="preserve"> </w:t>
      </w:r>
      <w:r w:rsidRPr="00552D44">
        <w:rPr>
          <w:b/>
          <w:szCs w:val="24"/>
        </w:rPr>
        <w:t xml:space="preserve">Schematics </w:t>
      </w:r>
      <w:r w:rsidR="009F2255" w:rsidRPr="00552D44">
        <w:rPr>
          <w:b/>
          <w:szCs w:val="24"/>
        </w:rPr>
        <w:t xml:space="preserve">of the circuits for </w:t>
      </w:r>
      <w:r w:rsidR="00024FE8" w:rsidRPr="00552D44">
        <w:rPr>
          <w:b/>
          <w:szCs w:val="24"/>
        </w:rPr>
        <w:t>DVS data processing</w:t>
      </w:r>
      <w:r>
        <w:rPr>
          <w:szCs w:val="24"/>
        </w:rPr>
        <w:t>.</w:t>
      </w:r>
      <w:r w:rsidR="001A6591">
        <w:rPr>
          <w:szCs w:val="24"/>
        </w:rPr>
        <w:t xml:space="preserve"> </w:t>
      </w:r>
      <w:proofErr w:type="spellStart"/>
      <w:r w:rsidR="00D0333B" w:rsidRPr="00D0333B">
        <w:rPr>
          <w:b/>
          <w:szCs w:val="24"/>
        </w:rPr>
        <w:t>a</w:t>
      </w:r>
      <w:proofErr w:type="spellEnd"/>
      <w:r w:rsidR="00D0333B">
        <w:rPr>
          <w:b/>
          <w:szCs w:val="24"/>
        </w:rPr>
        <w:t xml:space="preserve"> </w:t>
      </w:r>
      <w:proofErr w:type="gramStart"/>
      <w:r w:rsidR="00D0333B">
        <w:rPr>
          <w:szCs w:val="24"/>
        </w:rPr>
        <w:t>F</w:t>
      </w:r>
      <w:r w:rsidR="00D0333B" w:rsidRPr="00D0333B">
        <w:rPr>
          <w:szCs w:val="24"/>
        </w:rPr>
        <w:t>or</w:t>
      </w:r>
      <w:proofErr w:type="gramEnd"/>
      <w:r w:rsidR="00D0333B">
        <w:rPr>
          <w:szCs w:val="24"/>
        </w:rPr>
        <w:t xml:space="preserve"> </w:t>
      </w:r>
      <w:r w:rsidR="00E526CA">
        <w:rPr>
          <w:szCs w:val="24"/>
        </w:rPr>
        <w:t xml:space="preserve">the </w:t>
      </w:r>
      <w:r w:rsidR="00D0333B">
        <w:rPr>
          <w:szCs w:val="24"/>
        </w:rPr>
        <w:t xml:space="preserve">frame integration method, </w:t>
      </w:r>
      <w:r w:rsidR="00DA1271">
        <w:rPr>
          <w:szCs w:val="24"/>
        </w:rPr>
        <w:t>an</w:t>
      </w:r>
      <w:r w:rsidR="00F334DD">
        <w:rPr>
          <w:szCs w:val="24"/>
        </w:rPr>
        <w:t xml:space="preserve"> 8-bit counter implemented with D </w:t>
      </w:r>
      <w:r w:rsidR="00DA1271">
        <w:rPr>
          <w:szCs w:val="24"/>
        </w:rPr>
        <w:t>flip-flops</w:t>
      </w:r>
      <w:r w:rsidR="00F334DD">
        <w:rPr>
          <w:szCs w:val="24"/>
        </w:rPr>
        <w:t xml:space="preserve"> is needed for each sign channel.</w:t>
      </w:r>
      <w:r w:rsidR="00136953">
        <w:rPr>
          <w:szCs w:val="24"/>
        </w:rPr>
        <w:t xml:space="preserve"> The event data is input in the form of pulses</w:t>
      </w:r>
      <w:r w:rsidR="00405476">
        <w:rPr>
          <w:szCs w:val="24"/>
        </w:rPr>
        <w:t xml:space="preserve"> and counted. </w:t>
      </w:r>
      <w:r w:rsidR="00405476" w:rsidRPr="00405476">
        <w:rPr>
          <w:b/>
          <w:szCs w:val="24"/>
        </w:rPr>
        <w:t>b</w:t>
      </w:r>
      <w:r w:rsidR="00405476">
        <w:rPr>
          <w:szCs w:val="24"/>
        </w:rPr>
        <w:t xml:space="preserve"> and </w:t>
      </w:r>
      <w:r w:rsidR="00405476" w:rsidRPr="00405476">
        <w:rPr>
          <w:b/>
          <w:szCs w:val="24"/>
        </w:rPr>
        <w:t>c</w:t>
      </w:r>
      <w:r w:rsidR="00405476">
        <w:rPr>
          <w:szCs w:val="24"/>
        </w:rPr>
        <w:t xml:space="preserve"> show that for physical RC systems, </w:t>
      </w:r>
      <w:r w:rsidR="001636EA">
        <w:rPr>
          <w:szCs w:val="24"/>
        </w:rPr>
        <w:t xml:space="preserve">the event data is directly input to the interlayered TFT, </w:t>
      </w:r>
      <w:r w:rsidR="003E563E">
        <w:rPr>
          <w:szCs w:val="24"/>
        </w:rPr>
        <w:t>where the reservoir computation is conducted</w:t>
      </w:r>
      <w:r w:rsidR="000777E1">
        <w:rPr>
          <w:szCs w:val="24"/>
        </w:rPr>
        <w:t xml:space="preserve">. </w:t>
      </w:r>
      <w:r w:rsidR="009E58E7">
        <w:rPr>
          <w:szCs w:val="24"/>
        </w:rPr>
        <w:t>After that, a</w:t>
      </w:r>
      <w:r w:rsidR="000777E1">
        <w:rPr>
          <w:szCs w:val="24"/>
        </w:rPr>
        <w:t xml:space="preserve">n 8-bit </w:t>
      </w:r>
      <w:r w:rsidR="00672CC5">
        <w:rPr>
          <w:szCs w:val="24"/>
        </w:rPr>
        <w:t xml:space="preserve">SAR ADC is needed for each channel to </w:t>
      </w:r>
      <w:r w:rsidR="009E58E7">
        <w:rPr>
          <w:szCs w:val="24"/>
        </w:rPr>
        <w:t xml:space="preserve">quantize the </w:t>
      </w:r>
      <w:r w:rsidR="00B82168">
        <w:rPr>
          <w:szCs w:val="24"/>
        </w:rPr>
        <w:t xml:space="preserve">readout </w:t>
      </w:r>
      <w:r w:rsidR="005F7000">
        <w:rPr>
          <w:szCs w:val="24"/>
        </w:rPr>
        <w:t xml:space="preserve">current of </w:t>
      </w:r>
      <w:r w:rsidR="009A5CE3">
        <w:rPr>
          <w:szCs w:val="24"/>
        </w:rPr>
        <w:t xml:space="preserve">the </w:t>
      </w:r>
      <w:r w:rsidR="005F7000">
        <w:rPr>
          <w:szCs w:val="24"/>
        </w:rPr>
        <w:t>physical reservoir.</w:t>
      </w:r>
      <w:r w:rsidR="000777E1">
        <w:rPr>
          <w:szCs w:val="24"/>
        </w:rPr>
        <w:t xml:space="preserve"> </w:t>
      </w:r>
    </w:p>
    <w:p w14:paraId="2FDBB499" w14:textId="77777777" w:rsidR="00BF59FE" w:rsidRDefault="00BF59FE">
      <w:pPr>
        <w:widowControl/>
        <w:jc w:val="left"/>
        <w:rPr>
          <w:szCs w:val="24"/>
        </w:rPr>
      </w:pPr>
      <w:r>
        <w:rPr>
          <w:szCs w:val="24"/>
        </w:rPr>
        <w:br w:type="page"/>
      </w:r>
    </w:p>
    <w:p w14:paraId="1AAC2594" w14:textId="77777777" w:rsidR="00BF59FE" w:rsidRPr="00BF59FE" w:rsidRDefault="00DB5D5B" w:rsidP="00BF59FE">
      <w:pPr>
        <w:rPr>
          <w:szCs w:val="24"/>
        </w:rPr>
      </w:pPr>
      <w:r>
        <w:rPr>
          <w:noProof/>
        </w:rPr>
        <w:lastRenderedPageBreak/>
        <w:drawing>
          <wp:inline distT="0" distB="0" distL="0" distR="0" wp14:anchorId="3B19EAC7" wp14:editId="5D2BFC0C">
            <wp:extent cx="5731510" cy="2920204"/>
            <wp:effectExtent l="0" t="0" r="2540" b="0"/>
            <wp:docPr id="3" name="图片 2">
              <a:extLst xmlns:a="http://schemas.openxmlformats.org/drawingml/2006/main">
                <a:ext uri="{FF2B5EF4-FFF2-40B4-BE49-F238E27FC236}">
                  <a16:creationId xmlns:a16="http://schemas.microsoft.com/office/drawing/2014/main" id="{D1D0217D-369B-4D0C-943B-5F5765E5C1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D1D0217D-369B-4D0C-943B-5F5765E5C1B7}"/>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2920204"/>
                    </a:xfrm>
                    <a:prstGeom prst="rect">
                      <a:avLst/>
                    </a:prstGeom>
                  </pic:spPr>
                </pic:pic>
              </a:graphicData>
            </a:graphic>
          </wp:inline>
        </w:drawing>
      </w:r>
    </w:p>
    <w:p w14:paraId="592A69FE" w14:textId="77777777" w:rsidR="00AE32C2" w:rsidRPr="002904D2" w:rsidRDefault="00AE32C2" w:rsidP="00AE32C2">
      <w:pPr>
        <w:pStyle w:val="a4"/>
        <w:numPr>
          <w:ilvl w:val="0"/>
          <w:numId w:val="2"/>
        </w:numPr>
        <w:ind w:firstLineChars="0"/>
      </w:pPr>
      <w:r w:rsidRPr="001705F0">
        <w:rPr>
          <w:szCs w:val="24"/>
        </w:rPr>
        <w:t>|</w:t>
      </w:r>
      <w:r>
        <w:rPr>
          <w:szCs w:val="24"/>
        </w:rPr>
        <w:t xml:space="preserve"> </w:t>
      </w:r>
      <w:r w:rsidR="00B626C2">
        <w:rPr>
          <w:b/>
          <w:szCs w:val="24"/>
        </w:rPr>
        <w:t xml:space="preserve">Comparison of the </w:t>
      </w:r>
      <w:r w:rsidR="002112F4">
        <w:rPr>
          <w:b/>
          <w:szCs w:val="24"/>
        </w:rPr>
        <w:t>energy consumption</w:t>
      </w:r>
      <w:r>
        <w:rPr>
          <w:szCs w:val="24"/>
        </w:rPr>
        <w:t xml:space="preserve">. </w:t>
      </w:r>
      <w:proofErr w:type="spellStart"/>
      <w:r w:rsidRPr="00D0333B">
        <w:rPr>
          <w:b/>
          <w:szCs w:val="24"/>
        </w:rPr>
        <w:t>a</w:t>
      </w:r>
      <w:proofErr w:type="spellEnd"/>
      <w:r>
        <w:rPr>
          <w:b/>
          <w:szCs w:val="24"/>
        </w:rPr>
        <w:t xml:space="preserve"> </w:t>
      </w:r>
      <w:proofErr w:type="gramStart"/>
      <w:r w:rsidR="00E96B21">
        <w:rPr>
          <w:szCs w:val="24"/>
        </w:rPr>
        <w:t>Th</w:t>
      </w:r>
      <w:r w:rsidR="00E96B21" w:rsidRPr="002904D2">
        <w:t>e</w:t>
      </w:r>
      <w:proofErr w:type="gramEnd"/>
      <w:r w:rsidR="00E96B21" w:rsidRPr="002904D2">
        <w:t xml:space="preserve"> histogram</w:t>
      </w:r>
      <w:r w:rsidR="002904D2" w:rsidRPr="002904D2">
        <w:rPr>
          <w:rFonts w:eastAsiaTheme="minorEastAsia"/>
        </w:rPr>
        <w:t>s</w:t>
      </w:r>
      <w:r w:rsidR="00E96B21" w:rsidRPr="002904D2">
        <w:t xml:space="preserve"> of </w:t>
      </w:r>
      <w:r w:rsidR="00061631" w:rsidRPr="002904D2">
        <w:rPr>
          <w:i/>
        </w:rPr>
        <w:t>I</w:t>
      </w:r>
      <w:r w:rsidR="00061631" w:rsidRPr="002904D2">
        <w:rPr>
          <w:vertAlign w:val="subscript"/>
        </w:rPr>
        <w:t>d</w:t>
      </w:r>
      <w:r w:rsidRPr="002904D2">
        <w:t xml:space="preserve"> </w:t>
      </w:r>
      <w:r w:rsidR="00061631" w:rsidRPr="002904D2">
        <w:t xml:space="preserve">in the bipolar and unipolar physical reservoir. </w:t>
      </w:r>
      <w:r w:rsidR="006E34DE">
        <w:t xml:space="preserve">In the bipolar case, </w:t>
      </w:r>
      <w:r w:rsidR="005509BB">
        <w:t xml:space="preserve">the distribution of </w:t>
      </w:r>
      <w:r w:rsidR="005509BB" w:rsidRPr="005509BB">
        <w:rPr>
          <w:i/>
        </w:rPr>
        <w:t>I</w:t>
      </w:r>
      <w:r w:rsidR="005509BB" w:rsidRPr="005509BB">
        <w:rPr>
          <w:vertAlign w:val="subscript"/>
        </w:rPr>
        <w:t>d</w:t>
      </w:r>
      <w:r w:rsidR="005509BB">
        <w:t xml:space="preserve"> is </w:t>
      </w:r>
      <w:r w:rsidR="00FA6A9C">
        <w:t>left</w:t>
      </w:r>
      <w:r w:rsidR="00F2679C">
        <w:t>-</w:t>
      </w:r>
      <w:r w:rsidR="00FA6A9C">
        <w:t>shifted</w:t>
      </w:r>
      <w:r w:rsidR="00CF30A3">
        <w:t xml:space="preserve"> due to the </w:t>
      </w:r>
      <w:r w:rsidR="003E768B">
        <w:t>negative response.</w:t>
      </w:r>
      <w:r w:rsidR="006E34DE">
        <w:t xml:space="preserve"> </w:t>
      </w:r>
      <w:r w:rsidRPr="002904D2">
        <w:rPr>
          <w:b/>
        </w:rPr>
        <w:t>b</w:t>
      </w:r>
      <w:r w:rsidRPr="002904D2">
        <w:t xml:space="preserve"> </w:t>
      </w:r>
      <w:proofErr w:type="gramStart"/>
      <w:r w:rsidR="00E049E4">
        <w:t>The</w:t>
      </w:r>
      <w:proofErr w:type="gramEnd"/>
      <w:r w:rsidR="00E049E4">
        <w:t xml:space="preserve"> </w:t>
      </w:r>
      <w:r w:rsidR="00944676">
        <w:t>simulated energy consum</w:t>
      </w:r>
      <w:r w:rsidR="00CD1DD2">
        <w:t>ed</w:t>
      </w:r>
      <w:r w:rsidR="00944676">
        <w:t xml:space="preserve"> </w:t>
      </w:r>
      <w:r w:rsidR="002653F8">
        <w:t>per sample</w:t>
      </w:r>
      <w:r w:rsidR="004132B9">
        <w:t xml:space="preserve"> for classif</w:t>
      </w:r>
      <w:r w:rsidR="0016362E">
        <w:t>ication</w:t>
      </w:r>
      <w:r w:rsidR="00104D19">
        <w:t>.</w:t>
      </w:r>
      <w:r w:rsidR="00057644">
        <w:t xml:space="preserve"> The simulation is conducted with 28-nm PDK in Cadence.</w:t>
      </w:r>
      <w:r w:rsidR="003F7942">
        <w:t xml:space="preserve"> </w:t>
      </w:r>
      <w:r w:rsidR="00ED4D84">
        <w:t xml:space="preserve">For frame integration, the energy consumption includes </w:t>
      </w:r>
      <w:r w:rsidR="004F2023">
        <w:t xml:space="preserve">the </w:t>
      </w:r>
      <w:r w:rsidR="00F0450E">
        <w:t>two 8-bit digital counters</w:t>
      </w:r>
      <w:r w:rsidR="0030427D">
        <w:t xml:space="preserve">. </w:t>
      </w:r>
      <w:r w:rsidR="003D03C1">
        <w:t>For</w:t>
      </w:r>
      <w:r w:rsidR="0030427D">
        <w:t xml:space="preserve"> </w:t>
      </w:r>
      <w:r w:rsidR="006C147A">
        <w:t xml:space="preserve">physical reservoirs, </w:t>
      </w:r>
      <w:r w:rsidR="008C7B0C">
        <w:t>it</w:t>
      </w:r>
      <w:r w:rsidR="006C147A">
        <w:t xml:space="preserve"> consists of the </w:t>
      </w:r>
      <w:r w:rsidR="008C7B0C">
        <w:t>energy</w:t>
      </w:r>
      <w:r w:rsidR="003F2A0C">
        <w:t xml:space="preserve"> of </w:t>
      </w:r>
      <w:r w:rsidR="00537CE5">
        <w:t xml:space="preserve">the </w:t>
      </w:r>
      <w:r w:rsidR="003F2A0C">
        <w:t xml:space="preserve">interlayered TFT </w:t>
      </w:r>
      <w:r w:rsidR="00537CE5">
        <w:t>and the 8-bit SAR ADC.</w:t>
      </w:r>
      <w:r w:rsidR="003B0B56">
        <w:t xml:space="preserve"> It is demonstrated that the bipolar RC method is more advantageous in energy efficiency.</w:t>
      </w:r>
    </w:p>
    <w:p w14:paraId="4B311D33" w14:textId="77777777" w:rsidR="00DC5DAF" w:rsidRPr="00AE32C2" w:rsidRDefault="00DC5DAF" w:rsidP="00DC68D1"/>
    <w:sectPr w:rsidR="00DC5DAF" w:rsidRPr="00AE32C2" w:rsidSect="00A52F56">
      <w:footerReference w:type="default" r:id="rId18"/>
      <w:pgSz w:w="11906" w:h="16838"/>
      <w:pgMar w:top="1440" w:right="1440" w:bottom="1440" w:left="1440" w:header="851" w:footer="992" w:gutter="0"/>
      <w:lnNumType w:countBy="1" w:restart="continuous"/>
      <w:cols w:space="425"/>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634D" w16cex:dateUtc="2026-01-06T02:32:00Z"/>
  <w16cex:commentExtensible w16cex:durableId="2D076736" w16cex:dateUtc="2026-01-06T0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BD6AD" w14:textId="77777777" w:rsidR="0027648F" w:rsidRDefault="0027648F" w:rsidP="002F755F">
      <w:pPr>
        <w:spacing w:line="240" w:lineRule="auto"/>
      </w:pPr>
      <w:r>
        <w:separator/>
      </w:r>
    </w:p>
  </w:endnote>
  <w:endnote w:type="continuationSeparator" w:id="0">
    <w:p w14:paraId="7713D2C8" w14:textId="77777777" w:rsidR="0027648F" w:rsidRDefault="0027648F" w:rsidP="002F7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551370"/>
      <w:docPartObj>
        <w:docPartGallery w:val="Page Numbers (Bottom of Page)"/>
        <w:docPartUnique/>
      </w:docPartObj>
    </w:sdtPr>
    <w:sdtEndPr/>
    <w:sdtContent>
      <w:p w14:paraId="18754F4B" w14:textId="77777777" w:rsidR="002F755F" w:rsidRDefault="002F755F">
        <w:pPr>
          <w:pStyle w:val="a9"/>
          <w:jc w:val="center"/>
        </w:pPr>
        <w:r>
          <w:fldChar w:fldCharType="begin"/>
        </w:r>
        <w:r>
          <w:instrText>PAGE   \* MERGEFORMAT</w:instrText>
        </w:r>
        <w:r>
          <w:fldChar w:fldCharType="separate"/>
        </w:r>
        <w:r>
          <w:rPr>
            <w:lang w:val="zh-CN"/>
          </w:rPr>
          <w:t>2</w:t>
        </w:r>
        <w:r>
          <w:fldChar w:fldCharType="end"/>
        </w:r>
      </w:p>
    </w:sdtContent>
  </w:sdt>
  <w:p w14:paraId="676FAC1D" w14:textId="77777777" w:rsidR="002F755F" w:rsidRDefault="002F75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DF83" w14:textId="77777777" w:rsidR="0027648F" w:rsidRDefault="0027648F" w:rsidP="002F755F">
      <w:pPr>
        <w:spacing w:line="240" w:lineRule="auto"/>
      </w:pPr>
      <w:r>
        <w:separator/>
      </w:r>
    </w:p>
  </w:footnote>
  <w:footnote w:type="continuationSeparator" w:id="0">
    <w:p w14:paraId="27D7AEFF" w14:textId="77777777" w:rsidR="0027648F" w:rsidRDefault="0027648F" w:rsidP="002F75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65B9D"/>
    <w:multiLevelType w:val="hybridMultilevel"/>
    <w:tmpl w:val="E034BF3A"/>
    <w:lvl w:ilvl="0" w:tplc="07968760">
      <w:start w:val="1"/>
      <w:numFmt w:val="decimal"/>
      <w:lvlText w:val="Supplementary Figure %1"/>
      <w:lvlJc w:val="left"/>
      <w:pPr>
        <w:ind w:left="0" w:firstLine="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966715"/>
    <w:multiLevelType w:val="hybridMultilevel"/>
    <w:tmpl w:val="B2502F16"/>
    <w:lvl w:ilvl="0" w:tplc="39C25314">
      <w:start w:val="1"/>
      <w:numFmt w:val="decimal"/>
      <w:lvlText w:val="Supplementary Figure %1 |"/>
      <w:lvlJc w:val="left"/>
      <w:pPr>
        <w:ind w:left="420" w:hanging="42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10234A"/>
    <w:multiLevelType w:val="hybridMultilevel"/>
    <w:tmpl w:val="8286E034"/>
    <w:lvl w:ilvl="0" w:tplc="984AF296">
      <w:start w:val="1"/>
      <w:numFmt w:val="decimal"/>
      <w:lvlText w:val="Supplementary Figure %1"/>
      <w:lvlJc w:val="left"/>
      <w:pPr>
        <w:ind w:left="0" w:firstLine="0"/>
      </w:pPr>
      <w:rPr>
        <w:rFonts w:ascii="Times New Roman" w:hAnsi="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9C"/>
    <w:rsid w:val="0000518F"/>
    <w:rsid w:val="00006DA7"/>
    <w:rsid w:val="00012036"/>
    <w:rsid w:val="000125FB"/>
    <w:rsid w:val="00013417"/>
    <w:rsid w:val="0001450C"/>
    <w:rsid w:val="00021514"/>
    <w:rsid w:val="00024FE8"/>
    <w:rsid w:val="00026361"/>
    <w:rsid w:val="000264D7"/>
    <w:rsid w:val="0003025E"/>
    <w:rsid w:val="000514B4"/>
    <w:rsid w:val="00052904"/>
    <w:rsid w:val="00055DA8"/>
    <w:rsid w:val="00056529"/>
    <w:rsid w:val="00057644"/>
    <w:rsid w:val="00061631"/>
    <w:rsid w:val="0006678B"/>
    <w:rsid w:val="000675C3"/>
    <w:rsid w:val="000777E1"/>
    <w:rsid w:val="000810AD"/>
    <w:rsid w:val="00081BEC"/>
    <w:rsid w:val="00090DBB"/>
    <w:rsid w:val="00093311"/>
    <w:rsid w:val="000A1F5C"/>
    <w:rsid w:val="000A5344"/>
    <w:rsid w:val="000C0839"/>
    <w:rsid w:val="000C19DA"/>
    <w:rsid w:val="000C1DB5"/>
    <w:rsid w:val="000C24A6"/>
    <w:rsid w:val="000D16CD"/>
    <w:rsid w:val="000D3755"/>
    <w:rsid w:val="000D7648"/>
    <w:rsid w:val="0010071D"/>
    <w:rsid w:val="00103DD8"/>
    <w:rsid w:val="00104D19"/>
    <w:rsid w:val="00115E21"/>
    <w:rsid w:val="0011614C"/>
    <w:rsid w:val="00121477"/>
    <w:rsid w:val="001319DF"/>
    <w:rsid w:val="00134A74"/>
    <w:rsid w:val="00136953"/>
    <w:rsid w:val="00144615"/>
    <w:rsid w:val="00151519"/>
    <w:rsid w:val="0016362E"/>
    <w:rsid w:val="001636EA"/>
    <w:rsid w:val="001705F0"/>
    <w:rsid w:val="001739F8"/>
    <w:rsid w:val="001771E0"/>
    <w:rsid w:val="001816EA"/>
    <w:rsid w:val="0018300B"/>
    <w:rsid w:val="0019010E"/>
    <w:rsid w:val="00190865"/>
    <w:rsid w:val="00195D0B"/>
    <w:rsid w:val="001A51B1"/>
    <w:rsid w:val="001A5956"/>
    <w:rsid w:val="001A6591"/>
    <w:rsid w:val="001B694A"/>
    <w:rsid w:val="001C2020"/>
    <w:rsid w:val="001D0B9A"/>
    <w:rsid w:val="001D2176"/>
    <w:rsid w:val="001D21D7"/>
    <w:rsid w:val="001D4432"/>
    <w:rsid w:val="001D6320"/>
    <w:rsid w:val="001E08E4"/>
    <w:rsid w:val="001E79D6"/>
    <w:rsid w:val="001F183D"/>
    <w:rsid w:val="00204E3D"/>
    <w:rsid w:val="00205EB2"/>
    <w:rsid w:val="00210BA2"/>
    <w:rsid w:val="002112F4"/>
    <w:rsid w:val="002145BA"/>
    <w:rsid w:val="00220419"/>
    <w:rsid w:val="002272D4"/>
    <w:rsid w:val="00227EE9"/>
    <w:rsid w:val="00234694"/>
    <w:rsid w:val="00237340"/>
    <w:rsid w:val="00240CEA"/>
    <w:rsid w:val="00242429"/>
    <w:rsid w:val="00244A75"/>
    <w:rsid w:val="00246B1A"/>
    <w:rsid w:val="00251520"/>
    <w:rsid w:val="002653F8"/>
    <w:rsid w:val="0026561B"/>
    <w:rsid w:val="00265DEB"/>
    <w:rsid w:val="0027344B"/>
    <w:rsid w:val="0027648F"/>
    <w:rsid w:val="002904D2"/>
    <w:rsid w:val="002A0CD7"/>
    <w:rsid w:val="002A2FF5"/>
    <w:rsid w:val="002A38CB"/>
    <w:rsid w:val="002A4925"/>
    <w:rsid w:val="002A5323"/>
    <w:rsid w:val="002B33F0"/>
    <w:rsid w:val="002C7595"/>
    <w:rsid w:val="002D0E42"/>
    <w:rsid w:val="002D2EB5"/>
    <w:rsid w:val="002D422A"/>
    <w:rsid w:val="002D46BF"/>
    <w:rsid w:val="002D5F19"/>
    <w:rsid w:val="002E576C"/>
    <w:rsid w:val="002F59A7"/>
    <w:rsid w:val="002F755F"/>
    <w:rsid w:val="0030337B"/>
    <w:rsid w:val="0030427D"/>
    <w:rsid w:val="003062BA"/>
    <w:rsid w:val="003103B1"/>
    <w:rsid w:val="00310E64"/>
    <w:rsid w:val="00316AD4"/>
    <w:rsid w:val="003210F8"/>
    <w:rsid w:val="00333A4C"/>
    <w:rsid w:val="0034260F"/>
    <w:rsid w:val="00356268"/>
    <w:rsid w:val="00362648"/>
    <w:rsid w:val="0036409E"/>
    <w:rsid w:val="003810FF"/>
    <w:rsid w:val="0038111A"/>
    <w:rsid w:val="003824BC"/>
    <w:rsid w:val="0038295C"/>
    <w:rsid w:val="00385A0A"/>
    <w:rsid w:val="003863D4"/>
    <w:rsid w:val="0039345A"/>
    <w:rsid w:val="003A2D2D"/>
    <w:rsid w:val="003B0B56"/>
    <w:rsid w:val="003B1674"/>
    <w:rsid w:val="003B5AF8"/>
    <w:rsid w:val="003B6628"/>
    <w:rsid w:val="003B66B9"/>
    <w:rsid w:val="003D03C1"/>
    <w:rsid w:val="003D3D5B"/>
    <w:rsid w:val="003D569B"/>
    <w:rsid w:val="003E563E"/>
    <w:rsid w:val="003E68A6"/>
    <w:rsid w:val="003E768B"/>
    <w:rsid w:val="003F2A0C"/>
    <w:rsid w:val="003F7942"/>
    <w:rsid w:val="00400F5C"/>
    <w:rsid w:val="00401CD5"/>
    <w:rsid w:val="004037C2"/>
    <w:rsid w:val="00405476"/>
    <w:rsid w:val="00407A98"/>
    <w:rsid w:val="004132B9"/>
    <w:rsid w:val="00415336"/>
    <w:rsid w:val="004201C1"/>
    <w:rsid w:val="00424555"/>
    <w:rsid w:val="0042632B"/>
    <w:rsid w:val="00430C6D"/>
    <w:rsid w:val="00432AF8"/>
    <w:rsid w:val="00443367"/>
    <w:rsid w:val="004528F3"/>
    <w:rsid w:val="00457E54"/>
    <w:rsid w:val="0047297B"/>
    <w:rsid w:val="0047351C"/>
    <w:rsid w:val="00473DF8"/>
    <w:rsid w:val="00480C44"/>
    <w:rsid w:val="004821BD"/>
    <w:rsid w:val="00482A18"/>
    <w:rsid w:val="0048498B"/>
    <w:rsid w:val="00492876"/>
    <w:rsid w:val="00495D35"/>
    <w:rsid w:val="004965BF"/>
    <w:rsid w:val="004A2E8C"/>
    <w:rsid w:val="004A5921"/>
    <w:rsid w:val="004A6090"/>
    <w:rsid w:val="004B0E8A"/>
    <w:rsid w:val="004B2B1C"/>
    <w:rsid w:val="004B5DF3"/>
    <w:rsid w:val="004B7172"/>
    <w:rsid w:val="004C39F7"/>
    <w:rsid w:val="004C5323"/>
    <w:rsid w:val="004C699C"/>
    <w:rsid w:val="004D58E9"/>
    <w:rsid w:val="004E0CD0"/>
    <w:rsid w:val="004E2EC7"/>
    <w:rsid w:val="004F2023"/>
    <w:rsid w:val="004F24B1"/>
    <w:rsid w:val="004F36D3"/>
    <w:rsid w:val="004F5B70"/>
    <w:rsid w:val="0050060D"/>
    <w:rsid w:val="00510195"/>
    <w:rsid w:val="0051039F"/>
    <w:rsid w:val="005161B7"/>
    <w:rsid w:val="00537CE5"/>
    <w:rsid w:val="00541E88"/>
    <w:rsid w:val="00543B7E"/>
    <w:rsid w:val="0054417B"/>
    <w:rsid w:val="00545B2E"/>
    <w:rsid w:val="00547BB3"/>
    <w:rsid w:val="005509BB"/>
    <w:rsid w:val="00552815"/>
    <w:rsid w:val="00552D44"/>
    <w:rsid w:val="00555F39"/>
    <w:rsid w:val="00564862"/>
    <w:rsid w:val="00575053"/>
    <w:rsid w:val="00584B7F"/>
    <w:rsid w:val="00586699"/>
    <w:rsid w:val="005869D4"/>
    <w:rsid w:val="00587D47"/>
    <w:rsid w:val="00596E98"/>
    <w:rsid w:val="005A1029"/>
    <w:rsid w:val="005A2966"/>
    <w:rsid w:val="005A346D"/>
    <w:rsid w:val="005A52E4"/>
    <w:rsid w:val="005B251D"/>
    <w:rsid w:val="005D0FB0"/>
    <w:rsid w:val="005D1C15"/>
    <w:rsid w:val="005D4C1F"/>
    <w:rsid w:val="005E0121"/>
    <w:rsid w:val="005E1B6F"/>
    <w:rsid w:val="005E2F80"/>
    <w:rsid w:val="005E7A4A"/>
    <w:rsid w:val="005F1858"/>
    <w:rsid w:val="005F7000"/>
    <w:rsid w:val="00602DC1"/>
    <w:rsid w:val="006040A2"/>
    <w:rsid w:val="00611F64"/>
    <w:rsid w:val="0061580C"/>
    <w:rsid w:val="00615AB7"/>
    <w:rsid w:val="0062457A"/>
    <w:rsid w:val="0063411D"/>
    <w:rsid w:val="006373F6"/>
    <w:rsid w:val="00637674"/>
    <w:rsid w:val="0065264A"/>
    <w:rsid w:val="00666938"/>
    <w:rsid w:val="0067150E"/>
    <w:rsid w:val="00672CC5"/>
    <w:rsid w:val="006773F6"/>
    <w:rsid w:val="00683318"/>
    <w:rsid w:val="00685B86"/>
    <w:rsid w:val="00694FD7"/>
    <w:rsid w:val="0069603F"/>
    <w:rsid w:val="006A16D9"/>
    <w:rsid w:val="006A5BC0"/>
    <w:rsid w:val="006A6678"/>
    <w:rsid w:val="006A7646"/>
    <w:rsid w:val="006B5374"/>
    <w:rsid w:val="006C147A"/>
    <w:rsid w:val="006C1EE3"/>
    <w:rsid w:val="006C64C1"/>
    <w:rsid w:val="006D05EE"/>
    <w:rsid w:val="006D2FB4"/>
    <w:rsid w:val="006D4B2D"/>
    <w:rsid w:val="006D4E2C"/>
    <w:rsid w:val="006E34DE"/>
    <w:rsid w:val="006F50B0"/>
    <w:rsid w:val="006F6606"/>
    <w:rsid w:val="006F78D5"/>
    <w:rsid w:val="00700E42"/>
    <w:rsid w:val="00726DCF"/>
    <w:rsid w:val="00751F7D"/>
    <w:rsid w:val="00762285"/>
    <w:rsid w:val="00763AC4"/>
    <w:rsid w:val="00764588"/>
    <w:rsid w:val="007678A6"/>
    <w:rsid w:val="00767D0A"/>
    <w:rsid w:val="007946B3"/>
    <w:rsid w:val="007A3082"/>
    <w:rsid w:val="007A563D"/>
    <w:rsid w:val="007A633D"/>
    <w:rsid w:val="007B38A6"/>
    <w:rsid w:val="007B417C"/>
    <w:rsid w:val="007B7863"/>
    <w:rsid w:val="007C30BF"/>
    <w:rsid w:val="007C5CDD"/>
    <w:rsid w:val="007C7749"/>
    <w:rsid w:val="007D4806"/>
    <w:rsid w:val="007D52D7"/>
    <w:rsid w:val="007D6A25"/>
    <w:rsid w:val="007E043F"/>
    <w:rsid w:val="007E4F26"/>
    <w:rsid w:val="007F6E70"/>
    <w:rsid w:val="00801D57"/>
    <w:rsid w:val="00811E07"/>
    <w:rsid w:val="00821465"/>
    <w:rsid w:val="0083061A"/>
    <w:rsid w:val="00832DCA"/>
    <w:rsid w:val="00841487"/>
    <w:rsid w:val="008451CE"/>
    <w:rsid w:val="008575DF"/>
    <w:rsid w:val="00860A4A"/>
    <w:rsid w:val="0086194A"/>
    <w:rsid w:val="008631D5"/>
    <w:rsid w:val="0087003C"/>
    <w:rsid w:val="00870F80"/>
    <w:rsid w:val="008830A5"/>
    <w:rsid w:val="008830B5"/>
    <w:rsid w:val="0088736F"/>
    <w:rsid w:val="00894A4E"/>
    <w:rsid w:val="00896E7E"/>
    <w:rsid w:val="008974F3"/>
    <w:rsid w:val="008A1331"/>
    <w:rsid w:val="008A2B4B"/>
    <w:rsid w:val="008A5117"/>
    <w:rsid w:val="008B410C"/>
    <w:rsid w:val="008C3C41"/>
    <w:rsid w:val="008C5996"/>
    <w:rsid w:val="008C7B0C"/>
    <w:rsid w:val="008D330E"/>
    <w:rsid w:val="008E03ED"/>
    <w:rsid w:val="008E58FD"/>
    <w:rsid w:val="008F58C1"/>
    <w:rsid w:val="00902418"/>
    <w:rsid w:val="009040CC"/>
    <w:rsid w:val="00906063"/>
    <w:rsid w:val="00906A6D"/>
    <w:rsid w:val="009124BE"/>
    <w:rsid w:val="00917236"/>
    <w:rsid w:val="009202F2"/>
    <w:rsid w:val="009209EF"/>
    <w:rsid w:val="009211D8"/>
    <w:rsid w:val="00923163"/>
    <w:rsid w:val="00924F45"/>
    <w:rsid w:val="009316FE"/>
    <w:rsid w:val="009363B1"/>
    <w:rsid w:val="00944676"/>
    <w:rsid w:val="00954AE0"/>
    <w:rsid w:val="00967351"/>
    <w:rsid w:val="0097378A"/>
    <w:rsid w:val="00975CC1"/>
    <w:rsid w:val="00976E7E"/>
    <w:rsid w:val="00981572"/>
    <w:rsid w:val="00981FB9"/>
    <w:rsid w:val="00982C34"/>
    <w:rsid w:val="00987294"/>
    <w:rsid w:val="00990781"/>
    <w:rsid w:val="00994699"/>
    <w:rsid w:val="009A01D0"/>
    <w:rsid w:val="009A5081"/>
    <w:rsid w:val="009A5CE3"/>
    <w:rsid w:val="009B3229"/>
    <w:rsid w:val="009B554A"/>
    <w:rsid w:val="009C0088"/>
    <w:rsid w:val="009C2A23"/>
    <w:rsid w:val="009C72DA"/>
    <w:rsid w:val="009E58E7"/>
    <w:rsid w:val="009F0848"/>
    <w:rsid w:val="009F2255"/>
    <w:rsid w:val="009F6F07"/>
    <w:rsid w:val="009F707B"/>
    <w:rsid w:val="00A037B8"/>
    <w:rsid w:val="00A12166"/>
    <w:rsid w:val="00A125D6"/>
    <w:rsid w:val="00A16702"/>
    <w:rsid w:val="00A16F04"/>
    <w:rsid w:val="00A207A4"/>
    <w:rsid w:val="00A25D77"/>
    <w:rsid w:val="00A303D7"/>
    <w:rsid w:val="00A3118E"/>
    <w:rsid w:val="00A36A05"/>
    <w:rsid w:val="00A36F5D"/>
    <w:rsid w:val="00A43C26"/>
    <w:rsid w:val="00A44133"/>
    <w:rsid w:val="00A464DF"/>
    <w:rsid w:val="00A52F56"/>
    <w:rsid w:val="00A549FD"/>
    <w:rsid w:val="00A54A7C"/>
    <w:rsid w:val="00A54F09"/>
    <w:rsid w:val="00A635B6"/>
    <w:rsid w:val="00A83647"/>
    <w:rsid w:val="00A8577F"/>
    <w:rsid w:val="00A869C5"/>
    <w:rsid w:val="00A87623"/>
    <w:rsid w:val="00A959AF"/>
    <w:rsid w:val="00A9748E"/>
    <w:rsid w:val="00AA0150"/>
    <w:rsid w:val="00AA5B45"/>
    <w:rsid w:val="00AB3E0F"/>
    <w:rsid w:val="00AB46A8"/>
    <w:rsid w:val="00AC1CBD"/>
    <w:rsid w:val="00AC2038"/>
    <w:rsid w:val="00AC360F"/>
    <w:rsid w:val="00AC52B6"/>
    <w:rsid w:val="00AE0EFA"/>
    <w:rsid w:val="00AE32C2"/>
    <w:rsid w:val="00AF3E46"/>
    <w:rsid w:val="00B122CB"/>
    <w:rsid w:val="00B14D1A"/>
    <w:rsid w:val="00B165BB"/>
    <w:rsid w:val="00B210CD"/>
    <w:rsid w:val="00B220D2"/>
    <w:rsid w:val="00B25ED9"/>
    <w:rsid w:val="00B261C4"/>
    <w:rsid w:val="00B338EB"/>
    <w:rsid w:val="00B37707"/>
    <w:rsid w:val="00B47043"/>
    <w:rsid w:val="00B60E76"/>
    <w:rsid w:val="00B626C2"/>
    <w:rsid w:val="00B6557D"/>
    <w:rsid w:val="00B75492"/>
    <w:rsid w:val="00B75B35"/>
    <w:rsid w:val="00B82168"/>
    <w:rsid w:val="00B84C7A"/>
    <w:rsid w:val="00B9591C"/>
    <w:rsid w:val="00BB2D44"/>
    <w:rsid w:val="00BB51CB"/>
    <w:rsid w:val="00BB5EAB"/>
    <w:rsid w:val="00BB5EC0"/>
    <w:rsid w:val="00BC33F2"/>
    <w:rsid w:val="00BC663F"/>
    <w:rsid w:val="00BD0619"/>
    <w:rsid w:val="00BD2B33"/>
    <w:rsid w:val="00BD4704"/>
    <w:rsid w:val="00BD621B"/>
    <w:rsid w:val="00BD7EC5"/>
    <w:rsid w:val="00BE5549"/>
    <w:rsid w:val="00BE5CD4"/>
    <w:rsid w:val="00BF1F0B"/>
    <w:rsid w:val="00BF59FE"/>
    <w:rsid w:val="00BF7FAA"/>
    <w:rsid w:val="00C06F5D"/>
    <w:rsid w:val="00C0707D"/>
    <w:rsid w:val="00C07407"/>
    <w:rsid w:val="00C17086"/>
    <w:rsid w:val="00C225B5"/>
    <w:rsid w:val="00C2317D"/>
    <w:rsid w:val="00C243E6"/>
    <w:rsid w:val="00C31D89"/>
    <w:rsid w:val="00C470EE"/>
    <w:rsid w:val="00C47F33"/>
    <w:rsid w:val="00C51D20"/>
    <w:rsid w:val="00C64421"/>
    <w:rsid w:val="00C6743E"/>
    <w:rsid w:val="00C7007B"/>
    <w:rsid w:val="00C7629F"/>
    <w:rsid w:val="00C85430"/>
    <w:rsid w:val="00C902A2"/>
    <w:rsid w:val="00C93459"/>
    <w:rsid w:val="00C94E01"/>
    <w:rsid w:val="00C96603"/>
    <w:rsid w:val="00CA5487"/>
    <w:rsid w:val="00CA5DBF"/>
    <w:rsid w:val="00CB38C1"/>
    <w:rsid w:val="00CC1FE2"/>
    <w:rsid w:val="00CC5291"/>
    <w:rsid w:val="00CC572A"/>
    <w:rsid w:val="00CD1DD2"/>
    <w:rsid w:val="00CD5EC8"/>
    <w:rsid w:val="00CE4BB7"/>
    <w:rsid w:val="00CE61E5"/>
    <w:rsid w:val="00CF30A3"/>
    <w:rsid w:val="00D0333B"/>
    <w:rsid w:val="00D0484A"/>
    <w:rsid w:val="00D12743"/>
    <w:rsid w:val="00D136AA"/>
    <w:rsid w:val="00D176EA"/>
    <w:rsid w:val="00D257CE"/>
    <w:rsid w:val="00D276C9"/>
    <w:rsid w:val="00D34F7F"/>
    <w:rsid w:val="00D36D14"/>
    <w:rsid w:val="00D37259"/>
    <w:rsid w:val="00D442B0"/>
    <w:rsid w:val="00D45026"/>
    <w:rsid w:val="00D50694"/>
    <w:rsid w:val="00D51E8A"/>
    <w:rsid w:val="00D52612"/>
    <w:rsid w:val="00D5362B"/>
    <w:rsid w:val="00D540E9"/>
    <w:rsid w:val="00D5643E"/>
    <w:rsid w:val="00D62F1C"/>
    <w:rsid w:val="00D65FAC"/>
    <w:rsid w:val="00D674A6"/>
    <w:rsid w:val="00D72FFF"/>
    <w:rsid w:val="00D86144"/>
    <w:rsid w:val="00D87D70"/>
    <w:rsid w:val="00D917A8"/>
    <w:rsid w:val="00D943D5"/>
    <w:rsid w:val="00D9598A"/>
    <w:rsid w:val="00DA1271"/>
    <w:rsid w:val="00DA131A"/>
    <w:rsid w:val="00DA552B"/>
    <w:rsid w:val="00DB5D5B"/>
    <w:rsid w:val="00DC38B0"/>
    <w:rsid w:val="00DC588B"/>
    <w:rsid w:val="00DC5DAF"/>
    <w:rsid w:val="00DC68D1"/>
    <w:rsid w:val="00DD04B7"/>
    <w:rsid w:val="00DD47A5"/>
    <w:rsid w:val="00DD542F"/>
    <w:rsid w:val="00DE551D"/>
    <w:rsid w:val="00DF2868"/>
    <w:rsid w:val="00DF5188"/>
    <w:rsid w:val="00DF7D21"/>
    <w:rsid w:val="00E04265"/>
    <w:rsid w:val="00E049E4"/>
    <w:rsid w:val="00E14017"/>
    <w:rsid w:val="00E15070"/>
    <w:rsid w:val="00E26E9D"/>
    <w:rsid w:val="00E3173D"/>
    <w:rsid w:val="00E35D4B"/>
    <w:rsid w:val="00E41EF0"/>
    <w:rsid w:val="00E43F1C"/>
    <w:rsid w:val="00E4789F"/>
    <w:rsid w:val="00E526CA"/>
    <w:rsid w:val="00E61045"/>
    <w:rsid w:val="00E719D8"/>
    <w:rsid w:val="00E76307"/>
    <w:rsid w:val="00E77E75"/>
    <w:rsid w:val="00E84909"/>
    <w:rsid w:val="00E87339"/>
    <w:rsid w:val="00E90EA0"/>
    <w:rsid w:val="00E9699E"/>
    <w:rsid w:val="00E96B21"/>
    <w:rsid w:val="00EA65C8"/>
    <w:rsid w:val="00EA7649"/>
    <w:rsid w:val="00EB0C4D"/>
    <w:rsid w:val="00EB3F41"/>
    <w:rsid w:val="00EC0202"/>
    <w:rsid w:val="00ED3933"/>
    <w:rsid w:val="00ED4D84"/>
    <w:rsid w:val="00ED74F9"/>
    <w:rsid w:val="00EF18F6"/>
    <w:rsid w:val="00EF4236"/>
    <w:rsid w:val="00F0450E"/>
    <w:rsid w:val="00F10416"/>
    <w:rsid w:val="00F15CD2"/>
    <w:rsid w:val="00F22F96"/>
    <w:rsid w:val="00F2679C"/>
    <w:rsid w:val="00F300C0"/>
    <w:rsid w:val="00F334DD"/>
    <w:rsid w:val="00F3359E"/>
    <w:rsid w:val="00F4439C"/>
    <w:rsid w:val="00F4629C"/>
    <w:rsid w:val="00F47A21"/>
    <w:rsid w:val="00F52FB4"/>
    <w:rsid w:val="00F5327D"/>
    <w:rsid w:val="00F554CB"/>
    <w:rsid w:val="00F579C1"/>
    <w:rsid w:val="00F63C4B"/>
    <w:rsid w:val="00F644D7"/>
    <w:rsid w:val="00F67C98"/>
    <w:rsid w:val="00F76124"/>
    <w:rsid w:val="00F82D68"/>
    <w:rsid w:val="00F96C78"/>
    <w:rsid w:val="00FA3AC8"/>
    <w:rsid w:val="00FA6A9C"/>
    <w:rsid w:val="00FA74E9"/>
    <w:rsid w:val="00FB0B7C"/>
    <w:rsid w:val="00FC08C7"/>
    <w:rsid w:val="00FC202B"/>
    <w:rsid w:val="00FC26AA"/>
    <w:rsid w:val="00FC593E"/>
    <w:rsid w:val="00FD1F17"/>
    <w:rsid w:val="00FD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6A110"/>
  <w15:chartTrackingRefBased/>
  <w15:docId w15:val="{5788A8E3-2E01-45BE-8333-0849982B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78A"/>
    <w:pPr>
      <w:widowControl w:val="0"/>
      <w:spacing w:line="360" w:lineRule="auto"/>
      <w:jc w:val="both"/>
    </w:pPr>
    <w:rPr>
      <w:rFonts w:ascii="Times New Roman" w:eastAsia="Times New Roman" w:hAnsi="Times New Roman" w:cs="Times New Roman"/>
      <w:sz w:val="24"/>
      <w:szCs w:val="28"/>
    </w:rPr>
  </w:style>
  <w:style w:type="paragraph" w:styleId="2">
    <w:name w:val="heading 2"/>
    <w:basedOn w:val="a"/>
    <w:next w:val="a"/>
    <w:link w:val="20"/>
    <w:uiPriority w:val="9"/>
    <w:unhideWhenUsed/>
    <w:qFormat/>
    <w:rsid w:val="00D87D70"/>
    <w:pPr>
      <w:keepNext/>
      <w:keepLines/>
      <w:spacing w:before="240" w:after="240"/>
      <w:outlineLvl w:val="1"/>
    </w:pPr>
    <w:rPr>
      <w:rFonts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87D70"/>
    <w:rPr>
      <w:rFonts w:ascii="Times New Roman" w:eastAsia="Times New Roman" w:hAnsi="Times New Roman" w:cstheme="majorBidi"/>
      <w:b/>
      <w:bCs/>
      <w:sz w:val="28"/>
      <w:szCs w:val="32"/>
    </w:rPr>
  </w:style>
  <w:style w:type="paragraph" w:customStyle="1" w:styleId="a3">
    <w:name w:val="图注"/>
    <w:basedOn w:val="a"/>
    <w:next w:val="a"/>
    <w:qFormat/>
    <w:rsid w:val="00D87D70"/>
    <w:pPr>
      <w:widowControl/>
    </w:pPr>
    <w:rPr>
      <w:szCs w:val="24"/>
    </w:rPr>
  </w:style>
  <w:style w:type="paragraph" w:styleId="a4">
    <w:name w:val="List Paragraph"/>
    <w:basedOn w:val="a"/>
    <w:uiPriority w:val="34"/>
    <w:qFormat/>
    <w:rsid w:val="00B220D2"/>
    <w:pPr>
      <w:ind w:firstLineChars="200" w:firstLine="420"/>
    </w:pPr>
  </w:style>
  <w:style w:type="paragraph" w:customStyle="1" w:styleId="a5">
    <w:name w:val="图"/>
    <w:basedOn w:val="a"/>
    <w:qFormat/>
    <w:rsid w:val="00E4789F"/>
    <w:pPr>
      <w:spacing w:beforeLines="50" w:before="50" w:afterLines="50" w:after="50"/>
      <w:jc w:val="center"/>
    </w:pPr>
    <w:rPr>
      <w:noProof/>
    </w:rPr>
  </w:style>
  <w:style w:type="character" w:styleId="a6">
    <w:name w:val="line number"/>
    <w:basedOn w:val="a0"/>
    <w:uiPriority w:val="99"/>
    <w:semiHidden/>
    <w:unhideWhenUsed/>
    <w:rsid w:val="00E35D4B"/>
  </w:style>
  <w:style w:type="paragraph" w:styleId="a7">
    <w:name w:val="header"/>
    <w:basedOn w:val="a"/>
    <w:link w:val="a8"/>
    <w:uiPriority w:val="99"/>
    <w:unhideWhenUsed/>
    <w:rsid w:val="002F755F"/>
    <w:pPr>
      <w:pBdr>
        <w:bottom w:val="single" w:sz="6" w:space="1" w:color="auto"/>
      </w:pBdr>
      <w:tabs>
        <w:tab w:val="center" w:pos="4513"/>
        <w:tab w:val="right" w:pos="9026"/>
      </w:tabs>
      <w:snapToGrid w:val="0"/>
      <w:spacing w:line="240" w:lineRule="auto"/>
      <w:jc w:val="center"/>
    </w:pPr>
    <w:rPr>
      <w:sz w:val="18"/>
      <w:szCs w:val="18"/>
    </w:rPr>
  </w:style>
  <w:style w:type="character" w:customStyle="1" w:styleId="a8">
    <w:name w:val="页眉 字符"/>
    <w:basedOn w:val="a0"/>
    <w:link w:val="a7"/>
    <w:uiPriority w:val="99"/>
    <w:rsid w:val="002F755F"/>
    <w:rPr>
      <w:rFonts w:ascii="Times New Roman" w:eastAsia="Times New Roman" w:hAnsi="Times New Roman" w:cs="Times New Roman"/>
      <w:sz w:val="18"/>
      <w:szCs w:val="18"/>
    </w:rPr>
  </w:style>
  <w:style w:type="paragraph" w:styleId="a9">
    <w:name w:val="footer"/>
    <w:basedOn w:val="a"/>
    <w:link w:val="aa"/>
    <w:uiPriority w:val="99"/>
    <w:unhideWhenUsed/>
    <w:rsid w:val="002F755F"/>
    <w:pPr>
      <w:tabs>
        <w:tab w:val="center" w:pos="4513"/>
        <w:tab w:val="right" w:pos="9026"/>
      </w:tabs>
      <w:snapToGrid w:val="0"/>
      <w:spacing w:line="240" w:lineRule="auto"/>
      <w:jc w:val="left"/>
    </w:pPr>
    <w:rPr>
      <w:sz w:val="18"/>
      <w:szCs w:val="18"/>
    </w:rPr>
  </w:style>
  <w:style w:type="character" w:customStyle="1" w:styleId="aa">
    <w:name w:val="页脚 字符"/>
    <w:basedOn w:val="a0"/>
    <w:link w:val="a9"/>
    <w:uiPriority w:val="99"/>
    <w:rsid w:val="002F755F"/>
    <w:rPr>
      <w:rFonts w:ascii="Times New Roman" w:eastAsia="Times New Roman" w:hAnsi="Times New Roman" w:cs="Times New Roman"/>
      <w:sz w:val="18"/>
      <w:szCs w:val="18"/>
    </w:rPr>
  </w:style>
  <w:style w:type="character" w:styleId="ab">
    <w:name w:val="annotation reference"/>
    <w:basedOn w:val="a0"/>
    <w:uiPriority w:val="99"/>
    <w:semiHidden/>
    <w:unhideWhenUsed/>
    <w:rsid w:val="00E3173D"/>
    <w:rPr>
      <w:sz w:val="21"/>
      <w:szCs w:val="21"/>
    </w:rPr>
  </w:style>
  <w:style w:type="paragraph" w:styleId="ac">
    <w:name w:val="annotation text"/>
    <w:basedOn w:val="a"/>
    <w:link w:val="ad"/>
    <w:uiPriority w:val="99"/>
    <w:semiHidden/>
    <w:unhideWhenUsed/>
    <w:rsid w:val="00E3173D"/>
    <w:pPr>
      <w:jc w:val="left"/>
    </w:pPr>
  </w:style>
  <w:style w:type="character" w:customStyle="1" w:styleId="ad">
    <w:name w:val="批注文字 字符"/>
    <w:basedOn w:val="a0"/>
    <w:link w:val="ac"/>
    <w:uiPriority w:val="99"/>
    <w:semiHidden/>
    <w:rsid w:val="00E3173D"/>
    <w:rPr>
      <w:rFonts w:ascii="Times New Roman" w:eastAsia="Times New Roman" w:hAnsi="Times New Roman" w:cs="Times New Roman"/>
      <w:sz w:val="24"/>
      <w:szCs w:val="28"/>
    </w:rPr>
  </w:style>
  <w:style w:type="paragraph" w:styleId="ae">
    <w:name w:val="annotation subject"/>
    <w:basedOn w:val="ac"/>
    <w:next w:val="ac"/>
    <w:link w:val="af"/>
    <w:uiPriority w:val="99"/>
    <w:semiHidden/>
    <w:unhideWhenUsed/>
    <w:rsid w:val="00E3173D"/>
    <w:rPr>
      <w:b/>
      <w:bCs/>
    </w:rPr>
  </w:style>
  <w:style w:type="character" w:customStyle="1" w:styleId="af">
    <w:name w:val="批注主题 字符"/>
    <w:basedOn w:val="ad"/>
    <w:link w:val="ae"/>
    <w:uiPriority w:val="99"/>
    <w:semiHidden/>
    <w:rsid w:val="00E3173D"/>
    <w:rPr>
      <w:rFonts w:ascii="Times New Roman" w:eastAsia="Times New Roman" w:hAnsi="Times New Roman" w:cs="Times New Roman"/>
      <w:b/>
      <w:bCs/>
      <w:sz w:val="24"/>
      <w:szCs w:val="28"/>
    </w:rPr>
  </w:style>
  <w:style w:type="paragraph" w:styleId="af0">
    <w:name w:val="Balloon Text"/>
    <w:basedOn w:val="a"/>
    <w:link w:val="af1"/>
    <w:uiPriority w:val="99"/>
    <w:semiHidden/>
    <w:unhideWhenUsed/>
    <w:rsid w:val="003810FF"/>
    <w:pPr>
      <w:spacing w:line="240" w:lineRule="auto"/>
    </w:pPr>
    <w:rPr>
      <w:sz w:val="18"/>
      <w:szCs w:val="18"/>
    </w:rPr>
  </w:style>
  <w:style w:type="character" w:customStyle="1" w:styleId="af1">
    <w:name w:val="批注框文本 字符"/>
    <w:basedOn w:val="a0"/>
    <w:link w:val="af0"/>
    <w:uiPriority w:val="99"/>
    <w:semiHidden/>
    <w:rsid w:val="003810FF"/>
    <w:rPr>
      <w:rFonts w:ascii="Times New Roman" w:eastAsia="Times New Roman" w:hAnsi="Times New Roman" w:cs="Times New Roman"/>
      <w:sz w:val="18"/>
      <w:szCs w:val="18"/>
    </w:rPr>
  </w:style>
  <w:style w:type="character" w:customStyle="1" w:styleId="katex-mathml">
    <w:name w:val="katex-mathml"/>
    <w:basedOn w:val="a0"/>
    <w:rsid w:val="00967351"/>
  </w:style>
  <w:style w:type="character" w:customStyle="1" w:styleId="mord">
    <w:name w:val="mord"/>
    <w:basedOn w:val="a0"/>
    <w:rsid w:val="00967351"/>
  </w:style>
  <w:style w:type="character" w:customStyle="1" w:styleId="vlist-s">
    <w:name w:val="vlist-s"/>
    <w:basedOn w:val="a0"/>
    <w:rsid w:val="00967351"/>
  </w:style>
  <w:style w:type="paragraph" w:customStyle="1" w:styleId="aug">
    <w:name w:val="aug"/>
    <w:basedOn w:val="a"/>
    <w:rsid w:val="00CE61E5"/>
    <w:pPr>
      <w:widowControl/>
      <w:spacing w:after="240" w:line="480" w:lineRule="atLeast"/>
      <w:ind w:firstLineChars="200" w:firstLine="200"/>
      <w:jc w:val="left"/>
    </w:pPr>
    <w:rPr>
      <w:rFonts w:eastAsia="SimSun"/>
      <w:kern w:val="0"/>
      <w:szCs w:val="20"/>
      <w:lang w:val="en-GB" w:eastAsia="en-US"/>
    </w:rPr>
  </w:style>
  <w:style w:type="character" w:styleId="af2">
    <w:name w:val="Hyperlink"/>
    <w:basedOn w:val="a0"/>
    <w:uiPriority w:val="99"/>
    <w:unhideWhenUsed/>
    <w:rsid w:val="00CE61E5"/>
    <w:rPr>
      <w:color w:val="0563C1" w:themeColor="hyperlink"/>
      <w:u w:val="single"/>
    </w:rPr>
  </w:style>
  <w:style w:type="paragraph" w:customStyle="1" w:styleId="AuthorsFull">
    <w:name w:val="Authors Full"/>
    <w:basedOn w:val="a"/>
    <w:rsid w:val="00CE61E5"/>
    <w:pPr>
      <w:widowControl/>
      <w:spacing w:line="480" w:lineRule="auto"/>
      <w:ind w:firstLineChars="200" w:firstLine="200"/>
      <w:jc w:val="left"/>
    </w:pPr>
    <w:rPr>
      <w:rFonts w:eastAsia="MS Mincho"/>
      <w:i/>
      <w:kern w:val="0"/>
      <w:szCs w:val="24"/>
      <w:lang w:eastAsia="ja-JP"/>
    </w:rPr>
  </w:style>
  <w:style w:type="paragraph" w:customStyle="1" w:styleId="Tableofcontents">
    <w:name w:val="Table of contents"/>
    <w:basedOn w:val="a"/>
    <w:autoRedefine/>
    <w:rsid w:val="00CE61E5"/>
    <w:pPr>
      <w:widowControl/>
      <w:spacing w:line="480" w:lineRule="auto"/>
      <w:ind w:firstLineChars="200" w:firstLine="200"/>
    </w:pPr>
    <w:rPr>
      <w:rFonts w:eastAsia="MS Mincho"/>
      <w:i/>
      <w:kern w:val="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0BF9-8784-43A9-9E8C-A75115F9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2501</Words>
  <Characters>14258</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86187</dc:creator>
  <cp:keywords/>
  <dc:description/>
  <cp:lastModifiedBy>86187</cp:lastModifiedBy>
  <cp:revision>3</cp:revision>
  <dcterms:created xsi:type="dcterms:W3CDTF">2026-01-19T08:02:00Z</dcterms:created>
  <dcterms:modified xsi:type="dcterms:W3CDTF">2026-01-19T10:56:00Z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10f85918-b3cf-43a7-9991-b305306a0ac1</vt:lpwstr>
  </property>
  <property fmtid="{D5CDD505-2E9C-101B-9397-08002B2CF9AE}" pid="3" name="Mendeley Recent Style Id 0_1">
    <vt:lpwstr>http://www.zotero.org/styles/american-medical-association-brackets</vt:lpwstr>
  </property>
  <property fmtid="{D5CDD505-2E9C-101B-9397-08002B2CF9AE}" pid="4" name="Mendeley Recent Style Name 0_1">
    <vt:lpwstr>American Medical Association 11th edition (brackets)</vt:lpwstr>
  </property>
  <property fmtid="{D5CDD505-2E9C-101B-9397-08002B2CF9AE}" pid="5" name="Mendeley Recent Style Id 1_1">
    <vt:lpwstr>http://www.zotero.org/styles/american-medical-association-no-et-al</vt:lpwstr>
  </property>
  <property fmtid="{D5CDD505-2E9C-101B-9397-08002B2CF9AE}" pid="6" name="Mendeley Recent Style Name 1_1">
    <vt:lpwstr>American Medical Association 11th edition (no "et al.")</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http://www.zotero.org/styles/nature-communications</vt:lpwstr>
  </property>
  <property fmtid="{D5CDD505-2E9C-101B-9397-08002B2CF9AE}" pid="14" name="Mendeley Recent Style Name 5_1">
    <vt:lpwstr>Nature Communications</vt:lpwstr>
  </property>
  <property fmtid="{D5CDD505-2E9C-101B-9397-08002B2CF9AE}" pid="15" name="Mendeley Recent Style Id 6_1">
    <vt:lpwstr>http://csl.mendeley.com/styles/658103611/Revision-R7-2</vt:lpwstr>
  </property>
  <property fmtid="{D5CDD505-2E9C-101B-9397-08002B2CF9AE}" pid="16" name="Mendeley Recent Style Name 6_1">
    <vt:lpwstr>Revision - R7 Chen</vt:lpwstr>
  </property>
  <property fmtid="{D5CDD505-2E9C-101B-9397-08002B2CF9AE}" pid="17" name="Mendeley Recent Style Id 7_1">
    <vt:lpwstr>http://csl.mendeley.com/styles/658103611/Revision-R7-4</vt:lpwstr>
  </property>
  <property fmtid="{D5CDD505-2E9C-101B-9397-08002B2CF9AE}" pid="18" name="Mendeley Recent Style Name 7_1">
    <vt:lpwstr>Revision2 - R7 Chen</vt:lpwstr>
  </property>
  <property fmtid="{D5CDD505-2E9C-101B-9397-08002B2CF9AE}" pid="19" name="Mendeley Recent Style Id 8_1">
    <vt:lpwstr>http://www.zotero.org/styles/science-advances</vt:lpwstr>
  </property>
  <property fmtid="{D5CDD505-2E9C-101B-9397-08002B2CF9AE}" pid="20" name="Mendeley Recent Style Name 8_1">
    <vt:lpwstr>Science Advances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6d6356d9-5cf0-311c-9dc6-9adf4796169e</vt:lpwstr>
  </property>
  <property fmtid="{D5CDD505-2E9C-101B-9397-08002B2CF9AE}" pid="25" name="Mendeley Citation Style_1">
    <vt:lpwstr>http://www.zotero.org/styles/american-medical-association-no-et-al</vt:lpwstr>
  </property>
</Properties>
</file>