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56E319" w14:textId="7261577D" w:rsidR="009921E2" w:rsidRDefault="009921E2">
      <w:pPr>
        <w:rPr>
          <w:noProof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08"/>
        <w:gridCol w:w="4968"/>
      </w:tblGrid>
      <w:tr w:rsidR="008B5BCF" w14:paraId="09D9201E" w14:textId="77777777" w:rsidTr="0050121A">
        <w:tc>
          <w:tcPr>
            <w:tcW w:w="4608" w:type="dxa"/>
            <w:tcBorders>
              <w:top w:val="single" w:sz="4" w:space="0" w:color="auto"/>
              <w:bottom w:val="single" w:sz="4" w:space="0" w:color="auto"/>
            </w:tcBorders>
          </w:tcPr>
          <w:p w14:paraId="725F5AEE" w14:textId="33F03914" w:rsidR="008B5BCF" w:rsidRDefault="00000000">
            <w:pPr>
              <w:rPr>
                <w:noProof/>
              </w:rPr>
            </w:pPr>
            <w:r>
              <w:rPr>
                <w:noProof/>
              </w:rPr>
              <w:pict w14:anchorId="7C799755">
                <v:shapetype id="_x0000_t67" coordsize="21600,21600" o:spt="67" adj="16200,5400" path="m0@0l@1@0@1,0@2,0@2@0,21600@0,10800,216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10800,0;0,@0;10800,21600;21600,@0" o:connectangles="270,180,90,0" textboxrect="@1,0,@2,@6"/>
                  <v:handles>
                    <v:h position="#1,#0" xrange="0,10800" yrange="0,21600"/>
                  </v:handles>
                </v:shapetype>
                <v:shape id="_x0000_s1215" type="#_x0000_t67" style="position:absolute;margin-left:83.15pt;margin-top:148.95pt;width:33.15pt;height:32.45pt;z-index:251662336" fillcolor="black [3200]" strokecolor="#f2f2f2 [3041]" strokeweight="3pt">
                  <v:shadow on="t" type="perspective" color="#7f7f7f [1601]" opacity=".5" offset="1pt" offset2="-1pt"/>
                  <v:textbox style="layout-flow:vertical-ideographic"/>
                </v:shape>
              </w:pict>
            </w:r>
            <w:r>
              <w:rPr>
                <w:noProof/>
              </w:rPr>
              <w:pict w14:anchorId="685ABDB2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206" type="#_x0000_t202" style="position:absolute;margin-left:11.6pt;margin-top:2.9pt;width:201.35pt;height:39.6pt;z-index:251659264" filled="f" stroked="f">
                  <v:textbox style="mso-next-textbox:#_x0000_s1206">
                    <w:txbxContent>
                      <w:p w14:paraId="7C2C56FD" w14:textId="1BF93517" w:rsidR="008B5BCF" w:rsidRPr="00497166" w:rsidRDefault="00151447" w:rsidP="00497166">
                        <w:pPr>
                          <w:jc w:val="center"/>
                          <w:rPr>
                            <w:rFonts w:asciiTheme="majorBidi" w:hAnsiTheme="majorBidi" w:cstheme="majorBidi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497166">
                          <w:rPr>
                            <w:rFonts w:asciiTheme="majorBidi" w:hAnsiTheme="majorBidi" w:cstheme="majorBidi"/>
                            <w:b/>
                            <w:bCs/>
                            <w:sz w:val="24"/>
                            <w:szCs w:val="24"/>
                          </w:rPr>
                          <w:t>Transient head simulation in Moldflow</w:t>
                        </w:r>
                      </w:p>
                    </w:txbxContent>
                  </v:textbox>
                </v:shape>
              </w:pict>
            </w:r>
            <w:r w:rsidR="00151447">
              <w:object w:dxaOrig="4320" w:dyaOrig="3465" w14:anchorId="3C28FF01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in;height:173.25pt" o:ole="">
                  <v:imagedata r:id="rId4" o:title=""/>
                </v:shape>
                <o:OLEObject Type="Embed" ProgID="PBrush" ShapeID="_x0000_i1025" DrawAspect="Content" ObjectID="_1831103669" r:id="rId5"/>
              </w:object>
            </w:r>
          </w:p>
        </w:tc>
        <w:tc>
          <w:tcPr>
            <w:tcW w:w="4968" w:type="dxa"/>
            <w:tcBorders>
              <w:top w:val="single" w:sz="4" w:space="0" w:color="auto"/>
              <w:bottom w:val="single" w:sz="4" w:space="0" w:color="auto"/>
            </w:tcBorders>
          </w:tcPr>
          <w:p w14:paraId="4F304523" w14:textId="693241B8" w:rsidR="008B5BCF" w:rsidRDefault="00000000">
            <w:pPr>
              <w:rPr>
                <w:noProof/>
              </w:rPr>
            </w:pPr>
            <w:r>
              <w:rPr>
                <w:noProof/>
              </w:rPr>
              <w:pict w14:anchorId="7C799755">
                <v:shape id="_x0000_s1225" type="#_x0000_t67" style="position:absolute;margin-left:87.95pt;margin-top:148.95pt;width:33.15pt;height:32.45pt;z-index:251664384;mso-position-horizontal-relative:text;mso-position-vertical-relative:text" fillcolor="black [3200]" strokecolor="#f2f2f2 [3041]" strokeweight="3pt">
                  <v:shadow on="t" type="perspective" color="#7f7f7f [1601]" opacity=".5" offset="1pt" offset2="-1pt"/>
                  <v:textbox style="layout-flow:vertical-ideographic"/>
                </v:shape>
              </w:pict>
            </w:r>
            <w:r>
              <w:rPr>
                <w:noProof/>
              </w:rPr>
              <w:pict w14:anchorId="1C180D6A">
                <v:shape id="_x0000_s1224" type="#_x0000_t202" style="position:absolute;margin-left:35.8pt;margin-top:1pt;width:170.2pt;height:36.1pt;z-index:251663360;mso-position-horizontal-relative:text;mso-position-vertical-relative:text" filled="f" stroked="f">
                  <v:textbox style="mso-next-textbox:#_x0000_s1224">
                    <w:txbxContent>
                      <w:p w14:paraId="61C7549A" w14:textId="68BFA9FF" w:rsidR="00151447" w:rsidRPr="00497166" w:rsidRDefault="00151447" w:rsidP="00497166">
                        <w:pPr>
                          <w:jc w:val="center"/>
                          <w:rPr>
                            <w:rFonts w:asciiTheme="majorBidi" w:hAnsiTheme="majorBidi" w:cstheme="majorBidi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497166">
                          <w:rPr>
                            <w:rFonts w:asciiTheme="majorBidi" w:hAnsiTheme="majorBidi" w:cstheme="majorBidi"/>
                            <w:b/>
                            <w:bCs/>
                            <w:sz w:val="24"/>
                            <w:szCs w:val="24"/>
                          </w:rPr>
                          <w:t>Transient salinity simulation in SEAWAT</w:t>
                        </w:r>
                      </w:p>
                    </w:txbxContent>
                  </v:textbox>
                </v:shape>
              </w:pict>
            </w:r>
            <w:r w:rsidR="00151447">
              <w:object w:dxaOrig="4320" w:dyaOrig="3393" w14:anchorId="1BE2A290">
                <v:shape id="_x0000_i1026" type="#_x0000_t75" style="width:3in;height:173.25pt;mso-position-horizontal:absolute;mso-position-horizontal-relative:text;mso-position-vertical:absolute;mso-position-vertical-relative:text" o:ole="" o:preferrelative="f">
                  <v:imagedata r:id="rId6" o:title=""/>
                  <o:lock v:ext="edit" aspectratio="f"/>
                </v:shape>
                <o:OLEObject Type="Embed" ProgID="PBrush" ShapeID="_x0000_i1026" DrawAspect="Content" ObjectID="_1831103670" r:id="rId7"/>
              </w:object>
            </w:r>
          </w:p>
        </w:tc>
      </w:tr>
      <w:tr w:rsidR="00552822" w14:paraId="426B6131" w14:textId="77777777" w:rsidTr="003C5D2E">
        <w:trPr>
          <w:trHeight w:val="3446"/>
        </w:trPr>
        <w:tc>
          <w:tcPr>
            <w:tcW w:w="4608" w:type="dxa"/>
            <w:tcBorders>
              <w:top w:val="single" w:sz="4" w:space="0" w:color="auto"/>
              <w:bottom w:val="single" w:sz="4" w:space="0" w:color="auto"/>
            </w:tcBorders>
          </w:tcPr>
          <w:p w14:paraId="704D0411" w14:textId="015ACD09" w:rsidR="00552822" w:rsidRDefault="00000000">
            <w:pPr>
              <w:rPr>
                <w:noProof/>
              </w:rPr>
            </w:pPr>
            <w:r>
              <w:rPr>
                <w:noProof/>
              </w:rPr>
              <w:pict w14:anchorId="6DF4A156">
                <v:shape id="_x0000_s1226" type="#_x0000_t202" style="position:absolute;margin-left:27.4pt;margin-top:6.35pt;width:170.6pt;height:42.25pt;z-index:251665408;mso-position-horizontal-relative:text;mso-position-vertical-relative:text" filled="f" stroked="f">
                  <v:textbox style="mso-next-textbox:#_x0000_s1226">
                    <w:txbxContent>
                      <w:p w14:paraId="5CDE5E45" w14:textId="40C3CB50" w:rsidR="00E66CF2" w:rsidRPr="00E66CF2" w:rsidRDefault="00E66CF2" w:rsidP="00E66CF2">
                        <w:pPr>
                          <w:jc w:val="center"/>
                          <w:rPr>
                            <w:rFonts w:asciiTheme="majorBidi" w:hAnsiTheme="majorBidi" w:cstheme="majorBidi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E66CF2">
                          <w:rPr>
                            <w:rFonts w:asciiTheme="majorBidi" w:hAnsiTheme="majorBidi" w:cstheme="majorBidi"/>
                            <w:b/>
                            <w:bCs/>
                            <w:sz w:val="24"/>
                            <w:szCs w:val="24"/>
                          </w:rPr>
                          <w:t xml:space="preserve">Identifying </w:t>
                        </w: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sz w:val="24"/>
                            <w:szCs w:val="24"/>
                          </w:rPr>
                          <w:t>the</w:t>
                        </w:r>
                        <w:r w:rsidRPr="00E66CF2">
                          <w:rPr>
                            <w:rFonts w:asciiTheme="majorBidi" w:hAnsiTheme="majorBidi" w:cstheme="majorBidi"/>
                            <w:b/>
                            <w:bCs/>
                            <w:sz w:val="24"/>
                            <w:szCs w:val="24"/>
                          </w:rPr>
                          <w:t xml:space="preserve"> </w:t>
                        </w: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sz w:val="24"/>
                            <w:szCs w:val="24"/>
                          </w:rPr>
                          <w:t xml:space="preserve">wells </w:t>
                        </w:r>
                        <w:r w:rsidRPr="00E66CF2">
                          <w:rPr>
                            <w:rFonts w:asciiTheme="majorBidi" w:hAnsiTheme="majorBidi" w:cstheme="majorBidi"/>
                            <w:b/>
                            <w:bCs/>
                            <w:sz w:val="24"/>
                            <w:szCs w:val="24"/>
                          </w:rPr>
                          <w:t xml:space="preserve">impact </w:t>
                        </w: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sz w:val="24"/>
                            <w:szCs w:val="24"/>
                          </w:rPr>
                          <w:t>for head</w:t>
                        </w:r>
                      </w:p>
                    </w:txbxContent>
                  </v:textbox>
                </v:shape>
              </w:pict>
            </w:r>
            <w:r w:rsidR="00497166">
              <w:rPr>
                <w:noProof/>
              </w:rPr>
              <w:drawing>
                <wp:inline distT="0" distB="0" distL="0" distR="0" wp14:anchorId="25FE91B7" wp14:editId="4360782C">
                  <wp:extent cx="2742607" cy="1968500"/>
                  <wp:effectExtent l="0" t="0" r="0" b="0"/>
                  <wp:docPr id="62118067" name="Picture 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2607" cy="1968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68" w:type="dxa"/>
            <w:tcBorders>
              <w:top w:val="single" w:sz="4" w:space="0" w:color="auto"/>
              <w:bottom w:val="single" w:sz="4" w:space="0" w:color="auto"/>
            </w:tcBorders>
          </w:tcPr>
          <w:p w14:paraId="55A1FCC8" w14:textId="325B9DFF" w:rsidR="00552822" w:rsidRDefault="00000000">
            <w:pPr>
              <w:rPr>
                <w:noProof/>
              </w:rPr>
            </w:pPr>
            <w:r>
              <w:rPr>
                <w:noProof/>
              </w:rPr>
              <w:pict w14:anchorId="7FC9029E">
                <v:shape id="_x0000_s1227" type="#_x0000_t202" style="position:absolute;margin-left:43.5pt;margin-top:6.35pt;width:136.95pt;height:50.1pt;z-index:251666432;mso-position-horizontal-relative:text;mso-position-vertical-relative:text" filled="f" stroked="f">
                  <v:textbox style="mso-next-textbox:#_x0000_s1227">
                    <w:txbxContent>
                      <w:p w14:paraId="41A803A6" w14:textId="335929B8" w:rsidR="00E66CF2" w:rsidRPr="00E66CF2" w:rsidRDefault="00E66CF2" w:rsidP="00E66CF2">
                        <w:pPr>
                          <w:jc w:val="center"/>
                          <w:rPr>
                            <w:rFonts w:asciiTheme="majorBidi" w:hAnsiTheme="majorBidi" w:cstheme="majorBidi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E66CF2">
                          <w:rPr>
                            <w:rFonts w:asciiTheme="majorBidi" w:hAnsiTheme="majorBidi" w:cstheme="majorBidi"/>
                            <w:b/>
                            <w:bCs/>
                            <w:sz w:val="24"/>
                            <w:szCs w:val="24"/>
                          </w:rPr>
                          <w:t xml:space="preserve">Identifying </w:t>
                        </w: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sz w:val="24"/>
                            <w:szCs w:val="24"/>
                          </w:rPr>
                          <w:t>the</w:t>
                        </w:r>
                        <w:r w:rsidRPr="00E66CF2">
                          <w:rPr>
                            <w:rFonts w:asciiTheme="majorBidi" w:hAnsiTheme="majorBidi" w:cstheme="majorBidi"/>
                            <w:b/>
                            <w:bCs/>
                            <w:sz w:val="24"/>
                            <w:szCs w:val="24"/>
                          </w:rPr>
                          <w:t xml:space="preserve"> </w:t>
                        </w: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sz w:val="24"/>
                            <w:szCs w:val="24"/>
                          </w:rPr>
                          <w:t xml:space="preserve">wells </w:t>
                        </w:r>
                        <w:r w:rsidRPr="00E66CF2">
                          <w:rPr>
                            <w:rFonts w:asciiTheme="majorBidi" w:hAnsiTheme="majorBidi" w:cstheme="majorBidi"/>
                            <w:b/>
                            <w:bCs/>
                            <w:sz w:val="24"/>
                            <w:szCs w:val="24"/>
                          </w:rPr>
                          <w:t xml:space="preserve">impact </w:t>
                        </w: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sz w:val="24"/>
                            <w:szCs w:val="24"/>
                          </w:rPr>
                          <w:t>for salinity</w:t>
                        </w:r>
                      </w:p>
                      <w:p w14:paraId="5D76766F" w14:textId="77777777" w:rsidR="00E66CF2" w:rsidRDefault="00E66CF2"/>
                    </w:txbxContent>
                  </v:textbox>
                </v:shape>
              </w:pict>
            </w:r>
            <w:r w:rsidR="00497166">
              <w:rPr>
                <w:noProof/>
              </w:rPr>
              <w:drawing>
                <wp:inline distT="0" distB="0" distL="0" distR="0" wp14:anchorId="7773E8C0" wp14:editId="350607A8">
                  <wp:extent cx="2743200" cy="1930400"/>
                  <wp:effectExtent l="0" t="0" r="0" b="0"/>
                  <wp:docPr id="1854936954" name="Pictur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0" cy="1930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DA029AE" w14:textId="25F82413" w:rsidR="001C60C3" w:rsidRDefault="00000000" w:rsidP="00380F49">
      <w:r>
        <w:rPr>
          <w:noProof/>
        </w:rPr>
        <w:pict w14:anchorId="7C799755">
          <v:shape id="_x0000_s1231" type="#_x0000_t67" style="position:absolute;margin-left:97.6pt;margin-top:2.05pt;width:33.15pt;height:32.45pt;z-index:251667456;mso-position-horizontal-relative:text;mso-position-vertical-relative:text" fillcolor="black [3200]" strokecolor="#f2f2f2 [3041]" strokeweight="3pt">
            <v:shadow on="t" type="perspective" color="#7f7f7f [1601]" opacity=".5" offset="1pt" offset2="-1pt"/>
            <v:textbox style="layout-flow:vertical-ideographic"/>
          </v:shape>
        </w:pict>
      </w:r>
    </w:p>
    <w:p w14:paraId="6E701470" w14:textId="00594EC0" w:rsidR="003C5D2E" w:rsidRDefault="00F96C6B" w:rsidP="00380F49">
      <w:r>
        <w:rPr>
          <w:noProof/>
        </w:rPr>
        <w:pict w14:anchorId="4FBE8BC2">
          <v:shape id="_x0000_s1232" type="#_x0000_t202" style="position:absolute;margin-left:24pt;margin-top:22.15pt;width:214.9pt;height:47pt;z-index:251668480" filled="f" stroked="f">
            <v:textbox>
              <w:txbxContent>
                <w:p w14:paraId="323F40F5" w14:textId="7427F75E" w:rsidR="003C5D2E" w:rsidRPr="003C5D2E" w:rsidRDefault="003C5D2E" w:rsidP="003C5D2E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  <w:r w:rsidRPr="003C5D2E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 xml:space="preserve">Finding </w:t>
                  </w:r>
                  <w:r w:rsidR="007C3F25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 xml:space="preserve">the </w:t>
                  </w:r>
                  <w:r w:rsidRPr="003C5D2E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 xml:space="preserve">estimated pareto solution </w:t>
                  </w:r>
                  <w:r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 xml:space="preserve">by </w:t>
                  </w:r>
                  <w:r w:rsidRPr="003C5D2E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(NSGAII-</w:t>
                  </w:r>
                  <w:r w:rsidR="00F96C6B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Clustering-</w:t>
                  </w:r>
                  <w:r w:rsidR="00F96C6B" w:rsidRPr="00F96C6B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 xml:space="preserve"> </w:t>
                  </w:r>
                  <w:r w:rsidR="00F96C6B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RF</w:t>
                  </w:r>
                  <w:r w:rsidRPr="003C5D2E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)</w:t>
                  </w:r>
                </w:p>
              </w:txbxContent>
            </v:textbox>
          </v:shape>
        </w:pict>
      </w:r>
      <w:r w:rsidR="00000000">
        <w:rPr>
          <w:noProof/>
        </w:rPr>
        <w:pict w14:anchorId="614CA743">
          <v:shape id="_x0000_s1237" type="#_x0000_t202" style="position:absolute;margin-left:264.75pt;margin-top:17.15pt;width:193.8pt;height:57.4pt;z-index:251670528" filled="f" stroked="f">
            <v:textbox>
              <w:txbxContent>
                <w:p w14:paraId="72961BB4" w14:textId="4FE5537F" w:rsidR="00B12E58" w:rsidRPr="003C5D2E" w:rsidRDefault="007C3F25" w:rsidP="00B12E58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 xml:space="preserve">Finding the </w:t>
                  </w:r>
                  <w:r w:rsidR="00B12E58" w:rsidRPr="003C5D2E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 xml:space="preserve">estimated pareto solution </w:t>
                  </w:r>
                  <w:r w:rsidR="00B12E58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 xml:space="preserve">by </w:t>
                  </w:r>
                  <w:r w:rsidR="00B12E58" w:rsidRPr="003C5D2E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(NSGAII-</w:t>
                  </w:r>
                  <w:r w:rsidR="00B64815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SEAWAT-RF</w:t>
                  </w:r>
                  <w:r w:rsidR="00B12E58" w:rsidRPr="003C5D2E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)</w:t>
                  </w:r>
                </w:p>
                <w:p w14:paraId="7006CEBD" w14:textId="4F2C53C2" w:rsidR="00B12E58" w:rsidRDefault="00B12E58"/>
              </w:txbxContent>
            </v:textbox>
          </v:shape>
        </w:pic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8"/>
        <w:gridCol w:w="4788"/>
      </w:tblGrid>
      <w:tr w:rsidR="0050121A" w14:paraId="70F5F2D6" w14:textId="77777777" w:rsidTr="003C5D2E">
        <w:tc>
          <w:tcPr>
            <w:tcW w:w="4788" w:type="dxa"/>
          </w:tcPr>
          <w:p w14:paraId="400A4DBE" w14:textId="53C7AF1C" w:rsidR="0050121A" w:rsidRDefault="00000000" w:rsidP="00380F49">
            <w:r>
              <w:rPr>
                <w:noProof/>
              </w:rPr>
              <w:pict w14:anchorId="7C799755">
                <v:shape id="_x0000_s1233" type="#_x0000_t67" style="position:absolute;margin-left:206.1pt;margin-top:48.2pt;width:33.15pt;height:32.45pt;rotation:270;z-index:251669504" fillcolor="black [3200]" strokecolor="#f2f2f2 [3041]" strokeweight="3pt">
                  <v:shadow on="t" type="perspective" color="#7f7f7f [1601]" opacity=".5" offset="1pt" offset2="-1pt"/>
                  <v:textbox style="layout-flow:vertical-ideographic"/>
                </v:shape>
              </w:pict>
            </w:r>
            <w:r w:rsidR="003C5D2E">
              <w:rPr>
                <w:noProof/>
              </w:rPr>
              <w:drawing>
                <wp:inline distT="0" distB="0" distL="0" distR="0" wp14:anchorId="3AA4549A" wp14:editId="5401888B">
                  <wp:extent cx="2679700" cy="2023354"/>
                  <wp:effectExtent l="0" t="0" r="0" b="0"/>
                  <wp:docPr id="130804793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483245D-AD72-4E26-007A-083613FF3967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0"/>
                    </a:graphicData>
                  </a:graphic>
                </wp:inline>
              </w:drawing>
            </w:r>
          </w:p>
        </w:tc>
        <w:tc>
          <w:tcPr>
            <w:tcW w:w="4788" w:type="dxa"/>
          </w:tcPr>
          <w:p w14:paraId="6655499D" w14:textId="4E28A8AD" w:rsidR="0050121A" w:rsidRDefault="003C5D2E" w:rsidP="00380F49">
            <w:r>
              <w:rPr>
                <w:noProof/>
              </w:rPr>
              <w:drawing>
                <wp:inline distT="0" distB="0" distL="0" distR="0" wp14:anchorId="7D5F93E9" wp14:editId="5C2D16B3">
                  <wp:extent cx="2820670" cy="2023110"/>
                  <wp:effectExtent l="0" t="0" r="0" b="0"/>
                  <wp:docPr id="823198258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483245D-AD72-4E26-007A-083613FF3967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1"/>
                    </a:graphicData>
                  </a:graphic>
                </wp:inline>
              </w:drawing>
            </w:r>
          </w:p>
        </w:tc>
      </w:tr>
      <w:tr w:rsidR="0050121A" w14:paraId="58C6CBEC" w14:textId="77777777" w:rsidTr="003C5D2E">
        <w:tc>
          <w:tcPr>
            <w:tcW w:w="4788" w:type="dxa"/>
          </w:tcPr>
          <w:p w14:paraId="2671DDAD" w14:textId="77777777" w:rsidR="0050121A" w:rsidRDefault="0050121A" w:rsidP="00380F49"/>
        </w:tc>
        <w:tc>
          <w:tcPr>
            <w:tcW w:w="4788" w:type="dxa"/>
          </w:tcPr>
          <w:p w14:paraId="7951F8E8" w14:textId="77777777" w:rsidR="0050121A" w:rsidRDefault="0050121A" w:rsidP="00380F49"/>
        </w:tc>
      </w:tr>
    </w:tbl>
    <w:p w14:paraId="33A5DBFD" w14:textId="3D653343" w:rsidR="0050121A" w:rsidRDefault="0050121A" w:rsidP="00380F49"/>
    <w:p w14:paraId="3095CD56" w14:textId="77777777" w:rsidR="0050121A" w:rsidRDefault="0050121A" w:rsidP="00380F49"/>
    <w:sectPr w:rsidR="0050121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B2DD1"/>
    <w:rsid w:val="000E1160"/>
    <w:rsid w:val="00145E58"/>
    <w:rsid w:val="00151447"/>
    <w:rsid w:val="0016580D"/>
    <w:rsid w:val="001C60C3"/>
    <w:rsid w:val="001F770E"/>
    <w:rsid w:val="0020723E"/>
    <w:rsid w:val="002A2869"/>
    <w:rsid w:val="00380F49"/>
    <w:rsid w:val="003C5D2E"/>
    <w:rsid w:val="00445BC9"/>
    <w:rsid w:val="00465B33"/>
    <w:rsid w:val="00497166"/>
    <w:rsid w:val="004F4C73"/>
    <w:rsid w:val="0050121A"/>
    <w:rsid w:val="00552822"/>
    <w:rsid w:val="00603501"/>
    <w:rsid w:val="0066633A"/>
    <w:rsid w:val="006B2DD1"/>
    <w:rsid w:val="006C564B"/>
    <w:rsid w:val="006D593B"/>
    <w:rsid w:val="00700BB8"/>
    <w:rsid w:val="00732408"/>
    <w:rsid w:val="007C3F25"/>
    <w:rsid w:val="008B5BCF"/>
    <w:rsid w:val="009250AE"/>
    <w:rsid w:val="009842C3"/>
    <w:rsid w:val="009921E2"/>
    <w:rsid w:val="00A44508"/>
    <w:rsid w:val="00B12E58"/>
    <w:rsid w:val="00B25A2A"/>
    <w:rsid w:val="00B64815"/>
    <w:rsid w:val="00BC4410"/>
    <w:rsid w:val="00C10905"/>
    <w:rsid w:val="00E35AA4"/>
    <w:rsid w:val="00E36B8E"/>
    <w:rsid w:val="00E66CF2"/>
    <w:rsid w:val="00F027F4"/>
    <w:rsid w:val="00F45E31"/>
    <w:rsid w:val="00F651F4"/>
    <w:rsid w:val="00F96C6B"/>
    <w:rsid w:val="00FC6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38"/>
    <o:shapelayout v:ext="edit">
      <o:idmap v:ext="edit" data="1"/>
    </o:shapelayout>
  </w:shapeDefaults>
  <w:decimalSymbol w:val="."/>
  <w:listSeparator w:val=","/>
  <w14:docId w14:val="0B000632"/>
  <w15:chartTrackingRefBased/>
  <w15:docId w15:val="{104F354D-9F8A-4322-98DE-2DEF48469E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B2DD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B2DD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B2DD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B2DD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B2DD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B2DD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B2DD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B2DD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B2DD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B2DD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B2DD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B2DD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B2DD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B2DD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B2DD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B2DD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B2DD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B2DD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B2DD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B2D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B2DD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B2DD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B2DD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B2DD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B2DD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B2DD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B2DD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B2DD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B2DD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6D5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8B5B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bidi="fa-I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chart" Target="charts/chart2.xml"/><Relationship Id="rId5" Type="http://schemas.openxmlformats.org/officeDocument/2006/relationships/oleObject" Target="embeddings/oleObject1.bin"/><Relationship Id="rId10" Type="http://schemas.openxmlformats.org/officeDocument/2006/relationships/chart" Target="charts/chart1.xml"/><Relationship Id="rId4" Type="http://schemas.openxmlformats.org/officeDocument/2006/relationships/image" Target="media/image1.png"/><Relationship Id="rId9" Type="http://schemas.openxmlformats.org/officeDocument/2006/relationships/image" Target="media/image4.jpe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alira\OneDrive\Desktop\Paper-first%20section\pareto%20(version%201)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alira\OneDrive\Desktop\Paper-first%20section\pareto%20(version%201)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4217598984961002"/>
          <c:y val="0.11269103282391248"/>
          <c:w val="0.79519386498488642"/>
          <c:h val="0.6829594040857887"/>
        </c:manualLayout>
      </c:layout>
      <c:scatterChart>
        <c:scatterStyle val="lineMarker"/>
        <c:varyColors val="0"/>
        <c:ser>
          <c:idx val="0"/>
          <c:order val="0"/>
          <c:tx>
            <c:strRef>
              <c:f>Sheet1!$K$43</c:f>
              <c:strCache>
                <c:ptCount val="1"/>
                <c:pt idx="0">
                  <c:v>SI (SEAWAT-NSGAII)</c:v>
                </c:pt>
              </c:strCache>
            </c:strRef>
          </c:tx>
          <c:spPr>
            <a:ln w="3175" cap="rnd">
              <a:noFill/>
              <a:round/>
            </a:ln>
            <a:effectLst/>
          </c:spPr>
          <c:marker>
            <c:symbol val="x"/>
            <c:size val="5"/>
            <c:spPr>
              <a:solidFill>
                <a:schemeClr val="accent1"/>
              </a:solidFill>
              <a:ln w="3175">
                <a:solidFill>
                  <a:srgbClr val="7030A0"/>
                </a:solidFill>
              </a:ln>
              <a:effectLst/>
            </c:spPr>
          </c:marker>
          <c:xVal>
            <c:numRef>
              <c:f>Sheet1!$J$44:$J$58</c:f>
              <c:numCache>
                <c:formatCode>General</c:formatCode>
                <c:ptCount val="15"/>
                <c:pt idx="0">
                  <c:v>176.46042441791292</c:v>
                </c:pt>
                <c:pt idx="1">
                  <c:v>156.85371059370041</c:v>
                </c:pt>
                <c:pt idx="2">
                  <c:v>147.05035368159412</c:v>
                </c:pt>
                <c:pt idx="3">
                  <c:v>137.24699676948782</c:v>
                </c:pt>
                <c:pt idx="4">
                  <c:v>127.44363985738157</c:v>
                </c:pt>
                <c:pt idx="5">
                  <c:v>117.64028294527529</c:v>
                </c:pt>
                <c:pt idx="6">
                  <c:v>107.83692603316904</c:v>
                </c:pt>
                <c:pt idx="7">
                  <c:v>98.03356912106274</c:v>
                </c:pt>
                <c:pt idx="8">
                  <c:v>78.426855296850206</c:v>
                </c:pt>
                <c:pt idx="9">
                  <c:v>68.623498384743911</c:v>
                </c:pt>
                <c:pt idx="10">
                  <c:v>58.820141472637644</c:v>
                </c:pt>
                <c:pt idx="11">
                  <c:v>49.01678456053137</c:v>
                </c:pt>
                <c:pt idx="12">
                  <c:v>39.213427648425103</c:v>
                </c:pt>
                <c:pt idx="13">
                  <c:v>29.410070736318822</c:v>
                </c:pt>
                <c:pt idx="14">
                  <c:v>19.606713824212552</c:v>
                </c:pt>
              </c:numCache>
            </c:numRef>
          </c:xVal>
          <c:yVal>
            <c:numRef>
              <c:f>Sheet1!$K$44:$K$58</c:f>
              <c:numCache>
                <c:formatCode>General</c:formatCode>
                <c:ptCount val="15"/>
                <c:pt idx="0">
                  <c:v>2.27</c:v>
                </c:pt>
                <c:pt idx="1">
                  <c:v>2.1390374331550803</c:v>
                </c:pt>
                <c:pt idx="2">
                  <c:v>2.0053475935828877</c:v>
                </c:pt>
                <c:pt idx="3">
                  <c:v>1.9385026737967919</c:v>
                </c:pt>
                <c:pt idx="4">
                  <c:v>1.8716577540106953</c:v>
                </c:pt>
                <c:pt idx="5">
                  <c:v>1.804812834224599</c:v>
                </c:pt>
                <c:pt idx="6">
                  <c:v>1.7780748663101607</c:v>
                </c:pt>
                <c:pt idx="7">
                  <c:v>1.7647058823529411</c:v>
                </c:pt>
                <c:pt idx="8">
                  <c:v>1.6711229946524064</c:v>
                </c:pt>
                <c:pt idx="9">
                  <c:v>1.4705882352941178</c:v>
                </c:pt>
                <c:pt idx="10">
                  <c:v>1.4304812834224601</c:v>
                </c:pt>
                <c:pt idx="11">
                  <c:v>1.4037433155080217</c:v>
                </c:pt>
                <c:pt idx="12">
                  <c:v>1.4037433155080217</c:v>
                </c:pt>
                <c:pt idx="13">
                  <c:v>1.3368983957219254</c:v>
                </c:pt>
                <c:pt idx="14">
                  <c:v>1.3235294117647061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5D28-42F0-9B43-EA34A475ADBE}"/>
            </c:ext>
          </c:extLst>
        </c:ser>
        <c:ser>
          <c:idx val="3"/>
          <c:order val="1"/>
          <c:tx>
            <c:v>RMC-NSGAII</c:v>
          </c:tx>
          <c:spPr>
            <a:ln w="3175" cap="rnd">
              <a:solidFill>
                <a:schemeClr val="tx1">
                  <a:lumMod val="95000"/>
                  <a:lumOff val="5000"/>
                </a:schemeClr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tx1"/>
              </a:solidFill>
              <a:ln w="3175">
                <a:solidFill>
                  <a:schemeClr val="tx1">
                    <a:lumMod val="95000"/>
                    <a:lumOff val="5000"/>
                  </a:schemeClr>
                </a:solidFill>
              </a:ln>
              <a:effectLst/>
            </c:spPr>
          </c:marker>
          <c:xVal>
            <c:numRef>
              <c:f>Sheet1!$L$63:$L$85</c:f>
              <c:numCache>
                <c:formatCode>General</c:formatCode>
                <c:ptCount val="23"/>
                <c:pt idx="0">
                  <c:v>175</c:v>
                </c:pt>
                <c:pt idx="1">
                  <c:v>168</c:v>
                </c:pt>
                <c:pt idx="2">
                  <c:v>161</c:v>
                </c:pt>
                <c:pt idx="3">
                  <c:v>154</c:v>
                </c:pt>
                <c:pt idx="4">
                  <c:v>147</c:v>
                </c:pt>
                <c:pt idx="5">
                  <c:v>140</c:v>
                </c:pt>
                <c:pt idx="6">
                  <c:v>133</c:v>
                </c:pt>
                <c:pt idx="7">
                  <c:v>126</c:v>
                </c:pt>
                <c:pt idx="8">
                  <c:v>119</c:v>
                </c:pt>
                <c:pt idx="9">
                  <c:v>112</c:v>
                </c:pt>
                <c:pt idx="10">
                  <c:v>105</c:v>
                </c:pt>
                <c:pt idx="11">
                  <c:v>98</c:v>
                </c:pt>
                <c:pt idx="12">
                  <c:v>91</c:v>
                </c:pt>
                <c:pt idx="13">
                  <c:v>84</c:v>
                </c:pt>
                <c:pt idx="14">
                  <c:v>77</c:v>
                </c:pt>
                <c:pt idx="15">
                  <c:v>70</c:v>
                </c:pt>
                <c:pt idx="16">
                  <c:v>63</c:v>
                </c:pt>
                <c:pt idx="17">
                  <c:v>56</c:v>
                </c:pt>
                <c:pt idx="18">
                  <c:v>49</c:v>
                </c:pt>
                <c:pt idx="19">
                  <c:v>42</c:v>
                </c:pt>
                <c:pt idx="20">
                  <c:v>35</c:v>
                </c:pt>
                <c:pt idx="21">
                  <c:v>28</c:v>
                </c:pt>
                <c:pt idx="22">
                  <c:v>21</c:v>
                </c:pt>
              </c:numCache>
            </c:numRef>
          </c:xVal>
          <c:yVal>
            <c:numRef>
              <c:f>Sheet1!$M$63:$M$85</c:f>
              <c:numCache>
                <c:formatCode>General</c:formatCode>
                <c:ptCount val="23"/>
                <c:pt idx="0">
                  <c:v>3.21</c:v>
                </c:pt>
                <c:pt idx="1">
                  <c:v>3.12</c:v>
                </c:pt>
                <c:pt idx="2">
                  <c:v>2.9</c:v>
                </c:pt>
                <c:pt idx="3">
                  <c:v>2.6</c:v>
                </c:pt>
                <c:pt idx="4">
                  <c:v>2.5499999999999998</c:v>
                </c:pt>
                <c:pt idx="5">
                  <c:v>2.4500000000000002</c:v>
                </c:pt>
                <c:pt idx="6">
                  <c:v>2.34</c:v>
                </c:pt>
                <c:pt idx="7">
                  <c:v>2.2999999999999998</c:v>
                </c:pt>
                <c:pt idx="8">
                  <c:v>2.2000000000000002</c:v>
                </c:pt>
                <c:pt idx="9">
                  <c:v>2.1</c:v>
                </c:pt>
                <c:pt idx="10">
                  <c:v>1.96</c:v>
                </c:pt>
                <c:pt idx="11">
                  <c:v>1.93</c:v>
                </c:pt>
                <c:pt idx="12">
                  <c:v>1.91</c:v>
                </c:pt>
                <c:pt idx="13">
                  <c:v>1.89</c:v>
                </c:pt>
                <c:pt idx="14">
                  <c:v>1.83</c:v>
                </c:pt>
                <c:pt idx="15">
                  <c:v>1.8</c:v>
                </c:pt>
                <c:pt idx="16">
                  <c:v>1.72</c:v>
                </c:pt>
                <c:pt idx="17">
                  <c:v>1.71</c:v>
                </c:pt>
                <c:pt idx="18">
                  <c:v>1.65</c:v>
                </c:pt>
                <c:pt idx="19">
                  <c:v>1.62</c:v>
                </c:pt>
                <c:pt idx="20">
                  <c:v>1.45</c:v>
                </c:pt>
                <c:pt idx="21">
                  <c:v>1.4</c:v>
                </c:pt>
                <c:pt idx="22">
                  <c:v>1.39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5D28-42F0-9B43-EA34A475ADB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955192368"/>
        <c:axId val="955200528"/>
      </c:scatterChart>
      <c:valAx>
        <c:axId val="955192368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2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Total extration rate (mm</a:t>
                </a:r>
                <a:r>
                  <a:rPr lang="en-US" sz="1200" b="0" i="0" u="none" strike="noStrike" kern="1200" baseline="3000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3</a:t>
                </a:r>
                <a:r>
                  <a:rPr lang="en-US" sz="12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/year)</a:t>
                </a:r>
                <a:endParaRPr lang="en-US" sz="1200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in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it-IT"/>
          </a:p>
        </c:txPr>
        <c:crossAx val="955200528"/>
        <c:crosses val="autoZero"/>
        <c:crossBetween val="midCat"/>
      </c:valAx>
      <c:valAx>
        <c:axId val="955200528"/>
        <c:scaling>
          <c:orientation val="minMax"/>
          <c:min val="1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2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SI (km)</a:t>
                </a:r>
                <a:endParaRPr lang="en-US" sz="1200" b="0" i="0" u="none" strike="noStrike" kern="1200" baseline="0">
                  <a:solidFill>
                    <a:sysClr val="windowText" lastClr="000000">
                      <a:lumMod val="65000"/>
                      <a:lumOff val="35000"/>
                    </a:sysClr>
                  </a:solidFill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in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it-IT"/>
          </a:p>
        </c:txPr>
        <c:crossAx val="955192368"/>
        <c:crosses val="autoZero"/>
        <c:crossBetween val="midCat"/>
      </c:valAx>
      <c:spPr>
        <a:noFill/>
        <a:ln>
          <a:solidFill>
            <a:sysClr val="windowText" lastClr="000000"/>
          </a:solidFill>
        </a:ln>
        <a:effectLst/>
      </c:spPr>
    </c:plotArea>
    <c:legend>
      <c:legendPos val="r"/>
      <c:layout>
        <c:manualLayout>
          <c:xMode val="edge"/>
          <c:yMode val="edge"/>
          <c:x val="0.45004963242153972"/>
          <c:y val="0.58133694225721788"/>
          <c:w val="0.50402246520132854"/>
          <c:h val="0.25296205161854768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it-IT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it-IT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5758277288729272"/>
          <c:y val="0.11269103282391248"/>
          <c:w val="0.78291717925173809"/>
          <c:h val="0.67313294877688312"/>
        </c:manualLayout>
      </c:layout>
      <c:scatterChart>
        <c:scatterStyle val="lineMarker"/>
        <c:varyColors val="0"/>
        <c:ser>
          <c:idx val="0"/>
          <c:order val="0"/>
          <c:tx>
            <c:strRef>
              <c:f>Sheet1!$K$43</c:f>
              <c:strCache>
                <c:ptCount val="1"/>
                <c:pt idx="0">
                  <c:v>SI (SEAWAT-NSGAII)</c:v>
                </c:pt>
              </c:strCache>
            </c:strRef>
          </c:tx>
          <c:spPr>
            <a:ln w="3175" cap="rnd">
              <a:noFill/>
              <a:round/>
            </a:ln>
            <a:effectLst/>
          </c:spPr>
          <c:marker>
            <c:symbol val="x"/>
            <c:size val="5"/>
            <c:spPr>
              <a:solidFill>
                <a:schemeClr val="accent1"/>
              </a:solidFill>
              <a:ln w="3175">
                <a:solidFill>
                  <a:srgbClr val="7030A0"/>
                </a:solidFill>
              </a:ln>
              <a:effectLst/>
            </c:spPr>
          </c:marker>
          <c:xVal>
            <c:numRef>
              <c:f>Sheet1!$J$44:$J$58</c:f>
              <c:numCache>
                <c:formatCode>General</c:formatCode>
                <c:ptCount val="15"/>
                <c:pt idx="0">
                  <c:v>176.46042441791292</c:v>
                </c:pt>
                <c:pt idx="1">
                  <c:v>156.85371059370041</c:v>
                </c:pt>
                <c:pt idx="2">
                  <c:v>147.05035368159412</c:v>
                </c:pt>
                <c:pt idx="3">
                  <c:v>137.24699676948782</c:v>
                </c:pt>
                <c:pt idx="4">
                  <c:v>127.44363985738157</c:v>
                </c:pt>
                <c:pt idx="5">
                  <c:v>117.64028294527529</c:v>
                </c:pt>
                <c:pt idx="6">
                  <c:v>107.83692603316904</c:v>
                </c:pt>
                <c:pt idx="7">
                  <c:v>98.03356912106274</c:v>
                </c:pt>
                <c:pt idx="8">
                  <c:v>78.426855296850206</c:v>
                </c:pt>
                <c:pt idx="9">
                  <c:v>68.623498384743911</c:v>
                </c:pt>
                <c:pt idx="10">
                  <c:v>58.820141472637644</c:v>
                </c:pt>
                <c:pt idx="11">
                  <c:v>49.01678456053137</c:v>
                </c:pt>
                <c:pt idx="12">
                  <c:v>39.213427648425103</c:v>
                </c:pt>
                <c:pt idx="13">
                  <c:v>29.410070736318822</c:v>
                </c:pt>
                <c:pt idx="14">
                  <c:v>19.606713824212552</c:v>
                </c:pt>
              </c:numCache>
            </c:numRef>
          </c:xVal>
          <c:yVal>
            <c:numRef>
              <c:f>Sheet1!$K$44:$K$58</c:f>
              <c:numCache>
                <c:formatCode>General</c:formatCode>
                <c:ptCount val="15"/>
                <c:pt idx="0">
                  <c:v>2.27</c:v>
                </c:pt>
                <c:pt idx="1">
                  <c:v>2.1390374331550803</c:v>
                </c:pt>
                <c:pt idx="2">
                  <c:v>2.0053475935828877</c:v>
                </c:pt>
                <c:pt idx="3">
                  <c:v>1.9385026737967919</c:v>
                </c:pt>
                <c:pt idx="4">
                  <c:v>1.8716577540106953</c:v>
                </c:pt>
                <c:pt idx="5">
                  <c:v>1.804812834224599</c:v>
                </c:pt>
                <c:pt idx="6">
                  <c:v>1.7780748663101607</c:v>
                </c:pt>
                <c:pt idx="7">
                  <c:v>1.7647058823529411</c:v>
                </c:pt>
                <c:pt idx="8">
                  <c:v>1.6711229946524064</c:v>
                </c:pt>
                <c:pt idx="9">
                  <c:v>1.4705882352941178</c:v>
                </c:pt>
                <c:pt idx="10">
                  <c:v>1.4304812834224601</c:v>
                </c:pt>
                <c:pt idx="11">
                  <c:v>1.4037433155080217</c:v>
                </c:pt>
                <c:pt idx="12">
                  <c:v>1.4037433155080217</c:v>
                </c:pt>
                <c:pt idx="13">
                  <c:v>1.3368983957219254</c:v>
                </c:pt>
                <c:pt idx="14">
                  <c:v>1.3235294117647061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4532-4B43-A7BA-BB4F39370FDF}"/>
            </c:ext>
          </c:extLst>
        </c:ser>
        <c:ser>
          <c:idx val="1"/>
          <c:order val="1"/>
          <c:tx>
            <c:strRef>
              <c:f>Sheet1!$L$43</c:f>
              <c:strCache>
                <c:ptCount val="1"/>
                <c:pt idx="0">
                  <c:v>SI (SEAWAT-RMC-RF-NSGA-II)</c:v>
                </c:pt>
              </c:strCache>
            </c:strRef>
          </c:tx>
          <c:spPr>
            <a:ln w="3175" cap="rnd">
              <a:solidFill>
                <a:srgbClr val="92D050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rgbClr val="92D050"/>
              </a:solidFill>
              <a:ln w="3175">
                <a:solidFill>
                  <a:srgbClr val="92D050"/>
                </a:solidFill>
              </a:ln>
              <a:effectLst/>
            </c:spPr>
          </c:marker>
          <c:xVal>
            <c:numRef>
              <c:f>Sheet1!$J$44:$J$58</c:f>
              <c:numCache>
                <c:formatCode>General</c:formatCode>
                <c:ptCount val="15"/>
                <c:pt idx="0">
                  <c:v>176.46042441791292</c:v>
                </c:pt>
                <c:pt idx="1">
                  <c:v>156.85371059370041</c:v>
                </c:pt>
                <c:pt idx="2">
                  <c:v>147.05035368159412</c:v>
                </c:pt>
                <c:pt idx="3">
                  <c:v>137.24699676948782</c:v>
                </c:pt>
                <c:pt idx="4">
                  <c:v>127.44363985738157</c:v>
                </c:pt>
                <c:pt idx="5">
                  <c:v>117.64028294527529</c:v>
                </c:pt>
                <c:pt idx="6">
                  <c:v>107.83692603316904</c:v>
                </c:pt>
                <c:pt idx="7">
                  <c:v>98.03356912106274</c:v>
                </c:pt>
                <c:pt idx="8">
                  <c:v>78.426855296850206</c:v>
                </c:pt>
                <c:pt idx="9">
                  <c:v>68.623498384743911</c:v>
                </c:pt>
                <c:pt idx="10">
                  <c:v>58.820141472637644</c:v>
                </c:pt>
                <c:pt idx="11">
                  <c:v>49.01678456053137</c:v>
                </c:pt>
                <c:pt idx="12">
                  <c:v>39.213427648425103</c:v>
                </c:pt>
                <c:pt idx="13">
                  <c:v>29.410070736318822</c:v>
                </c:pt>
                <c:pt idx="14">
                  <c:v>19.606713824212552</c:v>
                </c:pt>
              </c:numCache>
            </c:numRef>
          </c:xVal>
          <c:yVal>
            <c:numRef>
              <c:f>Sheet1!$L$44:$L$58</c:f>
              <c:numCache>
                <c:formatCode>General</c:formatCode>
                <c:ptCount val="15"/>
                <c:pt idx="0">
                  <c:v>2.3776470588235297</c:v>
                </c:pt>
                <c:pt idx="1">
                  <c:v>2.3294117647058825</c:v>
                </c:pt>
                <c:pt idx="2">
                  <c:v>2.1411764705882352</c:v>
                </c:pt>
                <c:pt idx="3">
                  <c:v>1.9647058823529411</c:v>
                </c:pt>
                <c:pt idx="4">
                  <c:v>1.9094117647058824</c:v>
                </c:pt>
                <c:pt idx="5">
                  <c:v>1.8588235294117648</c:v>
                </c:pt>
                <c:pt idx="6">
                  <c:v>1.78647058823529</c:v>
                </c:pt>
                <c:pt idx="7">
                  <c:v>1.77117647058824</c:v>
                </c:pt>
                <c:pt idx="8">
                  <c:v>1.6823529411764699</c:v>
                </c:pt>
                <c:pt idx="9">
                  <c:v>1.48705882352941</c:v>
                </c:pt>
                <c:pt idx="10">
                  <c:v>1.46470588235294</c:v>
                </c:pt>
                <c:pt idx="11">
                  <c:v>1.4317647058823499</c:v>
                </c:pt>
                <c:pt idx="12">
                  <c:v>1.4405882352941199</c:v>
                </c:pt>
                <c:pt idx="13">
                  <c:v>1.3458823529411801</c:v>
                </c:pt>
                <c:pt idx="14">
                  <c:v>1.3352941176470601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4532-4B43-A7BA-BB4F39370FD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955192368"/>
        <c:axId val="955200528"/>
      </c:scatterChart>
      <c:valAx>
        <c:axId val="955192368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2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Total extration rate (mm</a:t>
                </a:r>
                <a:r>
                  <a:rPr lang="en-US" sz="1200" b="0" i="0" u="none" strike="noStrike" kern="1200" baseline="3000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3</a:t>
                </a:r>
                <a:r>
                  <a:rPr lang="en-US" sz="12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/year)</a:t>
                </a:r>
                <a:endParaRPr lang="en-US" sz="1200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in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it-IT"/>
          </a:p>
        </c:txPr>
        <c:crossAx val="955200528"/>
        <c:crosses val="autoZero"/>
        <c:crossBetween val="midCat"/>
      </c:valAx>
      <c:valAx>
        <c:axId val="955200528"/>
        <c:scaling>
          <c:orientation val="minMax"/>
          <c:min val="1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2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SI (km)</a:t>
                </a:r>
                <a:endParaRPr lang="en-US" sz="1200" b="0" i="0" u="none" strike="noStrike" kern="1200" baseline="0">
                  <a:solidFill>
                    <a:sysClr val="windowText" lastClr="000000">
                      <a:lumMod val="65000"/>
                      <a:lumOff val="35000"/>
                    </a:sysClr>
                  </a:solidFill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in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it-IT"/>
          </a:p>
        </c:txPr>
        <c:crossAx val="955192368"/>
        <c:crosses val="autoZero"/>
        <c:crossBetween val="midCat"/>
      </c:valAx>
      <c:spPr>
        <a:noFill/>
        <a:ln>
          <a:solidFill>
            <a:sysClr val="windowText" lastClr="000000"/>
          </a:solidFill>
        </a:ln>
        <a:effectLst/>
      </c:spPr>
    </c:plotArea>
    <c:legend>
      <c:legendPos val="r"/>
      <c:layout>
        <c:manualLayout>
          <c:xMode val="edge"/>
          <c:yMode val="edge"/>
          <c:x val="0.43030348218682979"/>
          <c:y val="0.54661472003499556"/>
          <c:w val="0.52376861813280073"/>
          <c:h val="0.28768427384076989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it-IT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it-IT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1686</TotalTime>
  <Pages>1</Pages>
  <Words>10</Words>
  <Characters>57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</dc:creator>
  <cp:keywords/>
  <dc:description/>
  <cp:lastModifiedBy>Ali Ranjbar</cp:lastModifiedBy>
  <cp:revision>27</cp:revision>
  <dcterms:created xsi:type="dcterms:W3CDTF">2024-03-29T03:23:00Z</dcterms:created>
  <dcterms:modified xsi:type="dcterms:W3CDTF">2026-01-28T01:07:00Z</dcterms:modified>
</cp:coreProperties>
</file>