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24AA" w14:textId="77777777" w:rsidR="000C0C27" w:rsidRPr="00F90ACF" w:rsidRDefault="000C0C27" w:rsidP="000C0C27">
      <w:pPr>
        <w:spacing w:after="0" w:line="480" w:lineRule="auto"/>
        <w:jc w:val="both"/>
        <w:rPr>
          <w:b/>
          <w:bCs/>
          <w:szCs w:val="24"/>
        </w:rPr>
      </w:pPr>
      <w:r w:rsidRPr="00F90ACF">
        <w:rPr>
          <w:b/>
          <w:bCs/>
          <w:szCs w:val="24"/>
        </w:rPr>
        <w:t xml:space="preserve">Table </w:t>
      </w:r>
      <w:r>
        <w:rPr>
          <w:b/>
          <w:bCs/>
          <w:szCs w:val="24"/>
        </w:rPr>
        <w:t>1</w:t>
      </w:r>
      <w:r w:rsidRPr="00F90ACF">
        <w:rPr>
          <w:b/>
          <w:bCs/>
          <w:szCs w:val="24"/>
        </w:rPr>
        <w:t>: Search Strategy for Major Databases</w:t>
      </w:r>
    </w:p>
    <w:tbl>
      <w:tblPr>
        <w:tblStyle w:val="TableGridLight1"/>
        <w:tblW w:w="4771" w:type="pct"/>
        <w:tblLook w:val="04A0" w:firstRow="1" w:lastRow="0" w:firstColumn="1" w:lastColumn="0" w:noHBand="0" w:noVBand="1"/>
      </w:tblPr>
      <w:tblGrid>
        <w:gridCol w:w="2219"/>
        <w:gridCol w:w="8799"/>
        <w:gridCol w:w="2503"/>
      </w:tblGrid>
      <w:tr w:rsidR="00D61576" w:rsidRPr="00AB2AC7" w14:paraId="51513AC4" w14:textId="77777777" w:rsidTr="00D61576">
        <w:trPr>
          <w:trHeight w:val="406"/>
        </w:trPr>
        <w:tc>
          <w:tcPr>
            <w:tcW w:w="822" w:type="pct"/>
            <w:hideMark/>
          </w:tcPr>
          <w:p w14:paraId="763F852E" w14:textId="77777777" w:rsidR="00D61576" w:rsidRPr="00AB2AC7" w:rsidRDefault="00D61576" w:rsidP="00443E11">
            <w:pPr>
              <w:spacing w:after="160" w:line="259" w:lineRule="auto"/>
              <w:rPr>
                <w:b/>
                <w:bCs/>
                <w:sz w:val="22"/>
                <w:szCs w:val="20"/>
              </w:rPr>
            </w:pPr>
            <w:r w:rsidRPr="00AB2AC7">
              <w:rPr>
                <w:b/>
                <w:bCs/>
                <w:sz w:val="22"/>
                <w:szCs w:val="20"/>
              </w:rPr>
              <w:t>Database</w:t>
            </w:r>
          </w:p>
        </w:tc>
        <w:tc>
          <w:tcPr>
            <w:tcW w:w="3251" w:type="pct"/>
            <w:hideMark/>
          </w:tcPr>
          <w:p w14:paraId="7DE51F0F" w14:textId="77777777" w:rsidR="00D61576" w:rsidRPr="00AB2AC7" w:rsidRDefault="00D61576" w:rsidP="00443E11">
            <w:pPr>
              <w:spacing w:after="160" w:line="259" w:lineRule="auto"/>
              <w:rPr>
                <w:b/>
                <w:bCs/>
                <w:sz w:val="22"/>
                <w:szCs w:val="20"/>
              </w:rPr>
            </w:pPr>
            <w:r w:rsidRPr="00AB2AC7">
              <w:rPr>
                <w:b/>
                <w:bCs/>
                <w:sz w:val="22"/>
                <w:szCs w:val="20"/>
              </w:rPr>
              <w:t>Core Search Strategy (Concept Summary)</w:t>
            </w:r>
          </w:p>
        </w:tc>
        <w:tc>
          <w:tcPr>
            <w:tcW w:w="927" w:type="pct"/>
            <w:hideMark/>
          </w:tcPr>
          <w:p w14:paraId="59E56B46" w14:textId="77777777" w:rsidR="00D61576" w:rsidRPr="00AB2AC7" w:rsidRDefault="00D61576" w:rsidP="00443E11">
            <w:pPr>
              <w:spacing w:after="160" w:line="259" w:lineRule="auto"/>
              <w:rPr>
                <w:b/>
                <w:bCs/>
                <w:sz w:val="22"/>
                <w:szCs w:val="20"/>
              </w:rPr>
            </w:pPr>
            <w:r w:rsidRPr="00AB2AC7">
              <w:rPr>
                <w:b/>
                <w:bCs/>
                <w:sz w:val="22"/>
                <w:szCs w:val="20"/>
              </w:rPr>
              <w:t>Limits Applied</w:t>
            </w:r>
          </w:p>
        </w:tc>
      </w:tr>
      <w:tr w:rsidR="00D61576" w:rsidRPr="00AB2AC7" w14:paraId="29438D46" w14:textId="77777777" w:rsidTr="00D61576">
        <w:trPr>
          <w:trHeight w:val="661"/>
        </w:trPr>
        <w:tc>
          <w:tcPr>
            <w:tcW w:w="822" w:type="pct"/>
            <w:hideMark/>
          </w:tcPr>
          <w:p w14:paraId="34483EFB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PubMed</w:t>
            </w:r>
            <w:r>
              <w:rPr>
                <w:sz w:val="22"/>
                <w:szCs w:val="20"/>
              </w:rPr>
              <w:t>/</w:t>
            </w:r>
          </w:p>
          <w:p w14:paraId="52A4EB7D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MEDLINE</w:t>
            </w:r>
          </w:p>
        </w:tc>
        <w:tc>
          <w:tcPr>
            <w:tcW w:w="3251" w:type="pct"/>
            <w:hideMark/>
          </w:tcPr>
          <w:p w14:paraId="1BEAFF1E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E646F">
              <w:rPr>
                <w:sz w:val="22"/>
                <w:szCs w:val="20"/>
              </w:rPr>
              <w:t>("Pyrexia of Unknown Origin"[tiab] OR "Fever of Unknown Origin"[tiab] OR PUO[tiab] OR FUO[tiab] OR "Pyrexia of Unknown Origin"[MeSH]) AND (Nepal OR India OR Pakistan OR Bangladesh OR Sri Lanka OR Bhutan OR Maldives OR Afghanistan)</w:t>
            </w:r>
          </w:p>
        </w:tc>
        <w:tc>
          <w:tcPr>
            <w:tcW w:w="927" w:type="pct"/>
            <w:hideMark/>
          </w:tcPr>
          <w:p w14:paraId="2149DA2C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English; Humans; 2000–2025</w:t>
            </w:r>
          </w:p>
        </w:tc>
      </w:tr>
      <w:tr w:rsidR="00D61576" w:rsidRPr="00AB2AC7" w14:paraId="6839B8E4" w14:textId="77777777" w:rsidTr="00D61576">
        <w:trPr>
          <w:trHeight w:val="720"/>
        </w:trPr>
        <w:tc>
          <w:tcPr>
            <w:tcW w:w="822" w:type="pct"/>
            <w:hideMark/>
          </w:tcPr>
          <w:p w14:paraId="1F8F6E41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Embase</w:t>
            </w:r>
          </w:p>
        </w:tc>
        <w:tc>
          <w:tcPr>
            <w:tcW w:w="3251" w:type="pct"/>
            <w:hideMark/>
          </w:tcPr>
          <w:p w14:paraId="5C857373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35463D">
              <w:t>('pyrexia of unknown origin' OR 'fever of unknown origin' OR PUO OR FUO) AND (Nepal OR India OR Pakistan OR Bangladesh OR Sri Lanka OR Bhutan OR Maldives OR Afghanistan)</w:t>
            </w:r>
          </w:p>
        </w:tc>
        <w:tc>
          <w:tcPr>
            <w:tcW w:w="927" w:type="pct"/>
            <w:hideMark/>
          </w:tcPr>
          <w:p w14:paraId="06AAF9B1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 xml:space="preserve">English; </w:t>
            </w:r>
            <w:r>
              <w:rPr>
                <w:sz w:val="22"/>
                <w:szCs w:val="20"/>
              </w:rPr>
              <w:t>human</w:t>
            </w:r>
            <w:r w:rsidRPr="00AB2AC7">
              <w:rPr>
                <w:sz w:val="22"/>
                <w:szCs w:val="20"/>
              </w:rPr>
              <w:t xml:space="preserve"> studies; 2000–2025</w:t>
            </w:r>
          </w:p>
        </w:tc>
      </w:tr>
      <w:tr w:rsidR="00D61576" w:rsidRPr="00AB2AC7" w14:paraId="4FEFA2FA" w14:textId="77777777" w:rsidTr="00D61576">
        <w:trPr>
          <w:trHeight w:val="661"/>
        </w:trPr>
        <w:tc>
          <w:tcPr>
            <w:tcW w:w="822" w:type="pct"/>
            <w:hideMark/>
          </w:tcPr>
          <w:p w14:paraId="0976E882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Scopus</w:t>
            </w:r>
          </w:p>
        </w:tc>
        <w:tc>
          <w:tcPr>
            <w:tcW w:w="3251" w:type="pct"/>
            <w:hideMark/>
          </w:tcPr>
          <w:p w14:paraId="31C2895C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E646F">
              <w:rPr>
                <w:sz w:val="22"/>
                <w:szCs w:val="20"/>
              </w:rPr>
              <w:t>("pyrexia of unknown origin" OR "fever of unknown origin" OR PUO OR FUO) AND (Nepal OR India OR Pakistan OR Bangladesh OR Sri Lanka OR Bhutan OR Maldives OR Afghanistan)</w:t>
            </w:r>
          </w:p>
        </w:tc>
        <w:tc>
          <w:tcPr>
            <w:tcW w:w="927" w:type="pct"/>
            <w:hideMark/>
          </w:tcPr>
          <w:p w14:paraId="0F1C68DD" w14:textId="77777777" w:rsidR="00D61576" w:rsidRPr="00AB2AC7" w:rsidRDefault="00D61576" w:rsidP="00443E11">
            <w:pPr>
              <w:spacing w:after="160" w:line="259" w:lineRule="auto"/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English; 2000–2025</w:t>
            </w:r>
          </w:p>
        </w:tc>
      </w:tr>
      <w:tr w:rsidR="00D61576" w:rsidRPr="00AB2AC7" w14:paraId="5AF5C649" w14:textId="77777777" w:rsidTr="00D61576">
        <w:trPr>
          <w:trHeight w:val="661"/>
        </w:trPr>
        <w:tc>
          <w:tcPr>
            <w:tcW w:w="822" w:type="pct"/>
          </w:tcPr>
          <w:p w14:paraId="374C2F9B" w14:textId="77777777" w:rsidR="00D61576" w:rsidRPr="00AB2AC7" w:rsidRDefault="00D61576" w:rsidP="00443E11">
            <w:pPr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Google Scholars</w:t>
            </w:r>
          </w:p>
        </w:tc>
        <w:tc>
          <w:tcPr>
            <w:tcW w:w="3251" w:type="pct"/>
          </w:tcPr>
          <w:p w14:paraId="00CB1E89" w14:textId="77777777" w:rsidR="00D61576" w:rsidRPr="00AB2AC7" w:rsidRDefault="00D61576" w:rsidP="00443E11">
            <w:pPr>
              <w:rPr>
                <w:sz w:val="22"/>
                <w:szCs w:val="20"/>
              </w:rPr>
            </w:pPr>
            <w:r w:rsidRPr="00AE646F">
              <w:rPr>
                <w:sz w:val="22"/>
                <w:szCs w:val="20"/>
              </w:rPr>
              <w:t>Keyword-based search combining PUO-related terms with individual South Asian country names</w:t>
            </w:r>
          </w:p>
        </w:tc>
        <w:tc>
          <w:tcPr>
            <w:tcW w:w="927" w:type="pct"/>
          </w:tcPr>
          <w:p w14:paraId="0B5F1D5A" w14:textId="77A1A490" w:rsidR="00D61576" w:rsidRPr="00AB2AC7" w:rsidRDefault="0074234F" w:rsidP="00443E1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NA</w:t>
            </w:r>
          </w:p>
        </w:tc>
      </w:tr>
      <w:tr w:rsidR="00D61576" w:rsidRPr="00AB2AC7" w14:paraId="246C46CA" w14:textId="77777777" w:rsidTr="00D61576">
        <w:trPr>
          <w:trHeight w:val="725"/>
        </w:trPr>
        <w:tc>
          <w:tcPr>
            <w:tcW w:w="822" w:type="pct"/>
          </w:tcPr>
          <w:p w14:paraId="21C4B387" w14:textId="77777777" w:rsidR="00D61576" w:rsidRPr="00AB2AC7" w:rsidRDefault="00D61576" w:rsidP="00443E11">
            <w:pPr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IMSEAR</w:t>
            </w:r>
          </w:p>
        </w:tc>
        <w:tc>
          <w:tcPr>
            <w:tcW w:w="3251" w:type="pct"/>
            <w:tcBorders>
              <w:lef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1576" w:rsidRPr="00AE646F" w14:paraId="254CFB19" w14:textId="77777777" w:rsidTr="00D61576">
              <w:trPr>
                <w:trHeight w:val="120"/>
                <w:tblCellSpacing w:w="15" w:type="dxa"/>
              </w:trPr>
              <w:tc>
                <w:tcPr>
                  <w:tcW w:w="32" w:type="dxa"/>
                  <w:vAlign w:val="center"/>
                  <w:hideMark/>
                </w:tcPr>
                <w:p w14:paraId="12280B7A" w14:textId="77777777" w:rsidR="00D61576" w:rsidRPr="00AE646F" w:rsidRDefault="00D61576" w:rsidP="00443E11">
                  <w:pPr>
                    <w:spacing w:after="0" w:line="240" w:lineRule="auto"/>
                    <w:rPr>
                      <w:sz w:val="22"/>
                      <w:szCs w:val="20"/>
                    </w:rPr>
                  </w:pPr>
                </w:p>
              </w:tc>
            </w:tr>
          </w:tbl>
          <w:p w14:paraId="1549B544" w14:textId="77777777" w:rsidR="00D61576" w:rsidRPr="00AE646F" w:rsidRDefault="00D61576" w:rsidP="00443E11">
            <w:pPr>
              <w:rPr>
                <w:vanish/>
                <w:sz w:val="22"/>
                <w:szCs w:val="20"/>
              </w:rPr>
            </w:pPr>
          </w:p>
          <w:tbl>
            <w:tblPr>
              <w:tblW w:w="858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83"/>
            </w:tblGrid>
            <w:tr w:rsidR="00D61576" w:rsidRPr="00AE646F" w14:paraId="07F2C266" w14:textId="77777777" w:rsidTr="00D61576">
              <w:trPr>
                <w:trHeight w:val="380"/>
                <w:tblCellSpacing w:w="15" w:type="dxa"/>
              </w:trPr>
              <w:tc>
                <w:tcPr>
                  <w:tcW w:w="8523" w:type="dxa"/>
                  <w:vAlign w:val="center"/>
                  <w:hideMark/>
                </w:tcPr>
                <w:p w14:paraId="47BBBA9C" w14:textId="77777777" w:rsidR="00D61576" w:rsidRPr="00AE646F" w:rsidRDefault="00D61576" w:rsidP="00443E11">
                  <w:pPr>
                    <w:spacing w:after="0" w:line="240" w:lineRule="auto"/>
                    <w:rPr>
                      <w:sz w:val="22"/>
                      <w:szCs w:val="20"/>
                    </w:rPr>
                  </w:pPr>
                  <w:r w:rsidRPr="00AE646F">
                    <w:rPr>
                      <w:sz w:val="22"/>
                      <w:szCs w:val="20"/>
                    </w:rPr>
                    <w:t>(fever OR pyrexia OR febrile) AND (unknown origin OR unknown cause OR unexplained) AND (Nepal OR India OR Pakistan OR Bangladesh OR Sri Lanka OR Bhutan OR Maldives OR Afghanistan)</w:t>
                  </w:r>
                </w:p>
              </w:tc>
            </w:tr>
          </w:tbl>
          <w:p w14:paraId="071880B9" w14:textId="77777777" w:rsidR="00D61576" w:rsidRPr="00AB2AC7" w:rsidRDefault="00D61576" w:rsidP="00443E11">
            <w:pPr>
              <w:rPr>
                <w:sz w:val="22"/>
                <w:szCs w:val="20"/>
              </w:rPr>
            </w:pPr>
            <w:r w:rsidRPr="00AE646F" w:rsidDel="00AE646F">
              <w:rPr>
                <w:sz w:val="22"/>
                <w:szCs w:val="20"/>
              </w:rPr>
              <w:t xml:space="preserve"> </w:t>
            </w:r>
          </w:p>
        </w:tc>
        <w:tc>
          <w:tcPr>
            <w:tcW w:w="927" w:type="pct"/>
          </w:tcPr>
          <w:p w14:paraId="520EFF7D" w14:textId="77777777" w:rsidR="00D61576" w:rsidRPr="00AB2AC7" w:rsidRDefault="00D61576" w:rsidP="00443E11">
            <w:pPr>
              <w:rPr>
                <w:sz w:val="22"/>
                <w:szCs w:val="20"/>
              </w:rPr>
            </w:pPr>
            <w:r w:rsidRPr="00AB2AC7">
              <w:rPr>
                <w:sz w:val="22"/>
                <w:szCs w:val="20"/>
              </w:rPr>
              <w:t>English; 2000–2025</w:t>
            </w:r>
          </w:p>
        </w:tc>
      </w:tr>
    </w:tbl>
    <w:p w14:paraId="5EE956A3" w14:textId="1C5E3CDA" w:rsidR="00277304" w:rsidRDefault="00277304"/>
    <w:sectPr w:rsidR="00277304" w:rsidSect="001C4F3B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43F"/>
    <w:rsid w:val="00004368"/>
    <w:rsid w:val="0001D45C"/>
    <w:rsid w:val="000B09EC"/>
    <w:rsid w:val="000C0C27"/>
    <w:rsid w:val="00146E8D"/>
    <w:rsid w:val="00193397"/>
    <w:rsid w:val="001C4F3B"/>
    <w:rsid w:val="00232671"/>
    <w:rsid w:val="00277304"/>
    <w:rsid w:val="002B58AB"/>
    <w:rsid w:val="002D7E0C"/>
    <w:rsid w:val="002E30B9"/>
    <w:rsid w:val="00413A4B"/>
    <w:rsid w:val="0044423D"/>
    <w:rsid w:val="004E2427"/>
    <w:rsid w:val="00510639"/>
    <w:rsid w:val="005312BD"/>
    <w:rsid w:val="005B69AD"/>
    <w:rsid w:val="005F2343"/>
    <w:rsid w:val="00621987"/>
    <w:rsid w:val="006E55FA"/>
    <w:rsid w:val="006F7EB1"/>
    <w:rsid w:val="0074234F"/>
    <w:rsid w:val="007C0FC2"/>
    <w:rsid w:val="00887C40"/>
    <w:rsid w:val="00A6120F"/>
    <w:rsid w:val="00A766F6"/>
    <w:rsid w:val="00AB2AC7"/>
    <w:rsid w:val="00AD42A7"/>
    <w:rsid w:val="00AD743F"/>
    <w:rsid w:val="00AE55F2"/>
    <w:rsid w:val="00AF6E17"/>
    <w:rsid w:val="00B413D2"/>
    <w:rsid w:val="00BD5271"/>
    <w:rsid w:val="00C04F31"/>
    <w:rsid w:val="00C12FC7"/>
    <w:rsid w:val="00CC49D6"/>
    <w:rsid w:val="00D61576"/>
    <w:rsid w:val="00DF43FB"/>
    <w:rsid w:val="00E36520"/>
    <w:rsid w:val="00E43280"/>
    <w:rsid w:val="00EB05F6"/>
    <w:rsid w:val="00ED1FBB"/>
    <w:rsid w:val="00F33C04"/>
    <w:rsid w:val="00FB7C7F"/>
    <w:rsid w:val="00FD1E13"/>
    <w:rsid w:val="3FFE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5D46"/>
  <w15:docId w15:val="{DD4BD7F7-2AD3-4644-9F48-82DD2779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0C2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4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4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4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4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4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4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43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3F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43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43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43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43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D7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4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43F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D7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4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43F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D743F"/>
    <w:rPr>
      <w:b/>
      <w:bCs/>
      <w:smallCaps/>
      <w:color w:val="2F5496" w:themeColor="accent1" w:themeShade="BF"/>
      <w:spacing w:val="5"/>
    </w:rPr>
  </w:style>
  <w:style w:type="table" w:customStyle="1" w:styleId="GridTable2-Accent51">
    <w:name w:val="Grid Table 2 - Accent 51"/>
    <w:basedOn w:val="TableNormal"/>
    <w:uiPriority w:val="47"/>
    <w:rsid w:val="000C0C2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0C0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Chandramani Wagle</dc:creator>
  <cp:lastModifiedBy>Mr. Chandramani Wagle</cp:lastModifiedBy>
  <cp:revision>17</cp:revision>
  <dcterms:created xsi:type="dcterms:W3CDTF">2025-12-28T10:01:00Z</dcterms:created>
  <dcterms:modified xsi:type="dcterms:W3CDTF">2026-01-21T17:37:00Z</dcterms:modified>
</cp:coreProperties>
</file>