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623E41">
      <w:pPr>
        <w:bidi w:val="0"/>
        <w:rPr>
          <w:rFonts w:hint="default" w:ascii="Times New Roman" w:hAnsi="Times New Roman" w:eastAsia="宋体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 xml:space="preserve">Table S2. </w:t>
      </w:r>
      <w:r>
        <w:rPr>
          <w:rFonts w:hint="default" w:ascii="Times New Roman" w:hAnsi="Times New Roman" w:eastAsia="宋体" w:cs="Times New Roman"/>
          <w:kern w:val="2"/>
          <w:sz w:val="21"/>
          <w:szCs w:val="21"/>
          <w:lang w:val="en-US" w:eastAsia="zh-CN" w:bidi="ar"/>
        </w:rPr>
        <w:t>Performance evaluation metrics of the eight machine learning algorithms.</w:t>
      </w:r>
    </w:p>
    <w:tbl>
      <w:tblPr>
        <w:tblStyle w:val="2"/>
        <w:tblW w:w="8495" w:type="dxa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56" w:type="dxa"/>
          <w:left w:w="96" w:type="dxa"/>
          <w:bottom w:w="56" w:type="dxa"/>
          <w:right w:w="96" w:type="dxa"/>
        </w:tblCellMar>
      </w:tblPr>
      <w:tblGrid>
        <w:gridCol w:w="1489"/>
        <w:gridCol w:w="1214"/>
        <w:gridCol w:w="1741"/>
        <w:gridCol w:w="1165"/>
        <w:gridCol w:w="1721"/>
        <w:gridCol w:w="1165"/>
      </w:tblGrid>
      <w:tr w14:paraId="20D6176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56" w:type="dxa"/>
            <w:left w:w="96" w:type="dxa"/>
            <w:bottom w:w="56" w:type="dxa"/>
            <w:right w:w="96" w:type="dxa"/>
          </w:tblCellMar>
        </w:tblPrEx>
        <w:trPr>
          <w:trHeight w:val="0" w:hRule="atLeast"/>
          <w:tblHeader/>
          <w:jc w:val="center"/>
        </w:trPr>
        <w:tc>
          <w:tcPr>
            <w:tcW w:w="1489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457D934C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b/>
                <w:kern w:val="0"/>
                <w:sz w:val="21"/>
                <w:szCs w:val="21"/>
                <w:lang w:eastAsia="zh-CN"/>
                <w14:ligatures w14:val="none"/>
              </w:rPr>
            </w:pPr>
          </w:p>
        </w:tc>
        <w:tc>
          <w:tcPr>
            <w:tcW w:w="1214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0D65B9DE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b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kern w:val="0"/>
                <w:sz w:val="21"/>
                <w:szCs w:val="21"/>
                <w:lang w:eastAsia="zh-CN"/>
                <w14:ligatures w14:val="none"/>
              </w:rPr>
              <w:t>recall</w:t>
            </w:r>
            <w:r>
              <w:rPr>
                <w:rFonts w:hint="default" w:ascii="Times New Roman" w:hAnsi="Times New Roman" w:eastAsia="宋体" w:cs="Times New Roman"/>
                <w:b/>
                <w:color w:val="000000"/>
                <w:kern w:val="0"/>
                <w:sz w:val="21"/>
                <w:szCs w:val="21"/>
                <w:vertAlign w:val="superscript"/>
                <w:lang w:val="en-US" w:eastAsia="zh-CN"/>
                <w14:ligatures w14:val="none"/>
              </w:rPr>
              <w:t>a</w:t>
            </w:r>
          </w:p>
        </w:tc>
        <w:tc>
          <w:tcPr>
            <w:tcW w:w="1741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1E35D36F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b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kern w:val="0"/>
                <w:sz w:val="21"/>
                <w:szCs w:val="21"/>
                <w:lang w:eastAsia="zh-CN"/>
                <w14:ligatures w14:val="none"/>
              </w:rPr>
              <w:t>precision</w:t>
            </w:r>
            <w:r>
              <w:rPr>
                <w:rFonts w:hint="default" w:ascii="Times New Roman" w:hAnsi="Times New Roman" w:eastAsia="宋体" w:cs="Times New Roman"/>
                <w:b/>
                <w:color w:val="000000"/>
                <w:kern w:val="0"/>
                <w:sz w:val="21"/>
                <w:szCs w:val="21"/>
                <w:vertAlign w:val="superscript"/>
                <w:lang w:val="en-US" w:eastAsia="zh-CN"/>
                <w14:ligatures w14:val="none"/>
              </w:rPr>
              <w:t>b</w:t>
            </w:r>
          </w:p>
        </w:tc>
        <w:tc>
          <w:tcPr>
            <w:tcW w:w="1165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6E229AC8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b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kern w:val="0"/>
                <w:sz w:val="21"/>
                <w:szCs w:val="21"/>
                <w:lang w:eastAsia="zh-CN"/>
                <w14:ligatures w14:val="none"/>
              </w:rPr>
              <w:t>f1</w:t>
            </w:r>
            <w:r>
              <w:rPr>
                <w:rFonts w:hint="default" w:ascii="Times New Roman" w:hAnsi="Times New Roman" w:eastAsia="宋体" w:cs="Times New Roman"/>
                <w:b/>
                <w:color w:val="000000"/>
                <w:kern w:val="0"/>
                <w:sz w:val="21"/>
                <w:szCs w:val="21"/>
                <w:vertAlign w:val="superscript"/>
                <w:lang w:val="en-US" w:eastAsia="zh-CN"/>
                <w14:ligatures w14:val="none"/>
              </w:rPr>
              <w:t>c</w:t>
            </w:r>
          </w:p>
        </w:tc>
        <w:tc>
          <w:tcPr>
            <w:tcW w:w="1721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0981C1E8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b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kern w:val="0"/>
                <w:sz w:val="21"/>
                <w:szCs w:val="21"/>
                <w:lang w:eastAsia="zh-CN"/>
                <w14:ligatures w14:val="none"/>
              </w:rPr>
              <w:t>accuracy</w:t>
            </w:r>
            <w:r>
              <w:rPr>
                <w:rFonts w:hint="default" w:ascii="Times New Roman" w:hAnsi="Times New Roman" w:eastAsia="宋体" w:cs="Times New Roman"/>
                <w:b/>
                <w:color w:val="000000"/>
                <w:kern w:val="0"/>
                <w:sz w:val="21"/>
                <w:szCs w:val="21"/>
                <w:vertAlign w:val="superscript"/>
                <w:lang w:val="en-US" w:eastAsia="zh-CN"/>
                <w14:ligatures w14:val="none"/>
              </w:rPr>
              <w:t>d</w:t>
            </w:r>
          </w:p>
        </w:tc>
        <w:tc>
          <w:tcPr>
            <w:tcW w:w="1165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722FA1B5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b/>
                <w:color w:val="000000"/>
                <w:kern w:val="0"/>
                <w:sz w:val="21"/>
                <w:szCs w:val="21"/>
                <w:lang w:val="en-US" w:eastAsia="zh-CN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color w:val="000000"/>
                <w:kern w:val="0"/>
                <w:sz w:val="21"/>
                <w:szCs w:val="21"/>
                <w:lang w:eastAsia="zh-CN"/>
                <w14:ligatures w14:val="none"/>
              </w:rPr>
              <w:t>auc</w:t>
            </w:r>
            <w:r>
              <w:rPr>
                <w:rFonts w:hint="default" w:ascii="Times New Roman" w:hAnsi="Times New Roman" w:eastAsia="宋体" w:cs="Times New Roman"/>
                <w:b/>
                <w:color w:val="000000"/>
                <w:kern w:val="0"/>
                <w:sz w:val="21"/>
                <w:szCs w:val="21"/>
                <w:vertAlign w:val="superscript"/>
                <w:lang w:val="en-US" w:eastAsia="zh-CN"/>
                <w14:ligatures w14:val="none"/>
              </w:rPr>
              <w:t>e</w:t>
            </w:r>
          </w:p>
        </w:tc>
      </w:tr>
      <w:tr w14:paraId="43F36A5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56" w:type="dxa"/>
            <w:left w:w="96" w:type="dxa"/>
            <w:bottom w:w="56" w:type="dxa"/>
            <w:right w:w="96" w:type="dxa"/>
          </w:tblCellMar>
        </w:tblPrEx>
        <w:trPr>
          <w:trHeight w:val="0" w:hRule="atLeast"/>
          <w:jc w:val="center"/>
        </w:trPr>
        <w:tc>
          <w:tcPr>
            <w:tcW w:w="1489" w:type="dxa"/>
            <w:tcBorders>
              <w:top w:val="single" w:color="auto" w:sz="4" w:space="0"/>
            </w:tcBorders>
            <w:noWrap/>
            <w:vAlign w:val="center"/>
          </w:tcPr>
          <w:p w14:paraId="71FB839B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SVM</w:t>
            </w:r>
          </w:p>
        </w:tc>
        <w:tc>
          <w:tcPr>
            <w:tcW w:w="1214" w:type="dxa"/>
            <w:tcBorders>
              <w:top w:val="single" w:color="auto" w:sz="4" w:space="0"/>
            </w:tcBorders>
            <w:noWrap/>
            <w:vAlign w:val="center"/>
          </w:tcPr>
          <w:p w14:paraId="6263ED98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0.857</w:t>
            </w:r>
          </w:p>
        </w:tc>
        <w:tc>
          <w:tcPr>
            <w:tcW w:w="1741" w:type="dxa"/>
            <w:tcBorders>
              <w:top w:val="single" w:color="auto" w:sz="4" w:space="0"/>
            </w:tcBorders>
            <w:noWrap/>
            <w:vAlign w:val="center"/>
          </w:tcPr>
          <w:p w14:paraId="051306CC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0.800</w:t>
            </w:r>
          </w:p>
        </w:tc>
        <w:tc>
          <w:tcPr>
            <w:tcW w:w="1165" w:type="dxa"/>
            <w:tcBorders>
              <w:top w:val="single" w:color="auto" w:sz="4" w:space="0"/>
            </w:tcBorders>
            <w:noWrap/>
            <w:vAlign w:val="center"/>
          </w:tcPr>
          <w:p w14:paraId="4D442360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0.828</w:t>
            </w:r>
          </w:p>
        </w:tc>
        <w:tc>
          <w:tcPr>
            <w:tcW w:w="1721" w:type="dxa"/>
            <w:tcBorders>
              <w:top w:val="single" w:color="auto" w:sz="4" w:space="0"/>
            </w:tcBorders>
            <w:noWrap/>
            <w:vAlign w:val="center"/>
          </w:tcPr>
          <w:p w14:paraId="5081FD65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0.821</w:t>
            </w:r>
          </w:p>
        </w:tc>
        <w:tc>
          <w:tcPr>
            <w:tcW w:w="1165" w:type="dxa"/>
            <w:tcBorders>
              <w:top w:val="single" w:color="auto" w:sz="4" w:space="0"/>
            </w:tcBorders>
            <w:noWrap/>
            <w:vAlign w:val="center"/>
          </w:tcPr>
          <w:p w14:paraId="7E64D3FA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0.852</w:t>
            </w:r>
          </w:p>
        </w:tc>
      </w:tr>
      <w:tr w14:paraId="157CC99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56" w:type="dxa"/>
            <w:left w:w="96" w:type="dxa"/>
            <w:bottom w:w="56" w:type="dxa"/>
            <w:right w:w="96" w:type="dxa"/>
          </w:tblCellMar>
        </w:tblPrEx>
        <w:trPr>
          <w:trHeight w:val="0" w:hRule="atLeast"/>
          <w:jc w:val="center"/>
        </w:trPr>
        <w:tc>
          <w:tcPr>
            <w:tcW w:w="1489" w:type="dxa"/>
            <w:noWrap/>
            <w:vAlign w:val="center"/>
          </w:tcPr>
          <w:p w14:paraId="5AA59A94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RF</w:t>
            </w:r>
          </w:p>
        </w:tc>
        <w:tc>
          <w:tcPr>
            <w:tcW w:w="1214" w:type="dxa"/>
            <w:noWrap/>
            <w:vAlign w:val="center"/>
          </w:tcPr>
          <w:p w14:paraId="43C4798A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0.643</w:t>
            </w:r>
          </w:p>
        </w:tc>
        <w:tc>
          <w:tcPr>
            <w:tcW w:w="1741" w:type="dxa"/>
            <w:noWrap/>
            <w:vAlign w:val="center"/>
          </w:tcPr>
          <w:p w14:paraId="69FFF225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0.692</w:t>
            </w:r>
          </w:p>
        </w:tc>
        <w:tc>
          <w:tcPr>
            <w:tcW w:w="1165" w:type="dxa"/>
            <w:noWrap/>
            <w:vAlign w:val="center"/>
          </w:tcPr>
          <w:p w14:paraId="4747351C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0.667</w:t>
            </w:r>
          </w:p>
        </w:tc>
        <w:tc>
          <w:tcPr>
            <w:tcW w:w="1721" w:type="dxa"/>
            <w:noWrap/>
            <w:vAlign w:val="center"/>
          </w:tcPr>
          <w:p w14:paraId="10DB58DE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0.679</w:t>
            </w:r>
          </w:p>
        </w:tc>
        <w:tc>
          <w:tcPr>
            <w:tcW w:w="1165" w:type="dxa"/>
            <w:noWrap/>
            <w:vAlign w:val="center"/>
          </w:tcPr>
          <w:p w14:paraId="0DCE3A49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0.847</w:t>
            </w:r>
          </w:p>
        </w:tc>
      </w:tr>
      <w:tr w14:paraId="695BA1D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56" w:type="dxa"/>
            <w:left w:w="96" w:type="dxa"/>
            <w:bottom w:w="56" w:type="dxa"/>
            <w:right w:w="96" w:type="dxa"/>
          </w:tblCellMar>
        </w:tblPrEx>
        <w:trPr>
          <w:trHeight w:val="0" w:hRule="atLeast"/>
          <w:jc w:val="center"/>
        </w:trPr>
        <w:tc>
          <w:tcPr>
            <w:tcW w:w="1489" w:type="dxa"/>
            <w:noWrap/>
            <w:vAlign w:val="center"/>
          </w:tcPr>
          <w:p w14:paraId="4B459089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NNET</w:t>
            </w:r>
          </w:p>
        </w:tc>
        <w:tc>
          <w:tcPr>
            <w:tcW w:w="1214" w:type="dxa"/>
            <w:noWrap/>
            <w:vAlign w:val="center"/>
          </w:tcPr>
          <w:p w14:paraId="20DFB930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0.714</w:t>
            </w:r>
          </w:p>
        </w:tc>
        <w:tc>
          <w:tcPr>
            <w:tcW w:w="1741" w:type="dxa"/>
            <w:noWrap/>
            <w:vAlign w:val="center"/>
          </w:tcPr>
          <w:p w14:paraId="080E4453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0.833</w:t>
            </w:r>
          </w:p>
        </w:tc>
        <w:tc>
          <w:tcPr>
            <w:tcW w:w="1165" w:type="dxa"/>
            <w:noWrap/>
            <w:vAlign w:val="center"/>
          </w:tcPr>
          <w:p w14:paraId="0BBFE1FC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0.769</w:t>
            </w:r>
          </w:p>
        </w:tc>
        <w:tc>
          <w:tcPr>
            <w:tcW w:w="1721" w:type="dxa"/>
            <w:noWrap/>
            <w:vAlign w:val="center"/>
          </w:tcPr>
          <w:p w14:paraId="785B5D88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0.786</w:t>
            </w:r>
          </w:p>
        </w:tc>
        <w:tc>
          <w:tcPr>
            <w:tcW w:w="1165" w:type="dxa"/>
            <w:noWrap/>
            <w:vAlign w:val="center"/>
          </w:tcPr>
          <w:p w14:paraId="344C9561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0.832</w:t>
            </w:r>
          </w:p>
        </w:tc>
      </w:tr>
      <w:tr w14:paraId="58EB132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56" w:type="dxa"/>
            <w:left w:w="96" w:type="dxa"/>
            <w:bottom w:w="56" w:type="dxa"/>
            <w:right w:w="96" w:type="dxa"/>
          </w:tblCellMar>
        </w:tblPrEx>
        <w:trPr>
          <w:trHeight w:val="0" w:hRule="atLeast"/>
          <w:jc w:val="center"/>
        </w:trPr>
        <w:tc>
          <w:tcPr>
            <w:tcW w:w="1489" w:type="dxa"/>
            <w:noWrap/>
            <w:vAlign w:val="center"/>
          </w:tcPr>
          <w:p w14:paraId="3DC793DD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LASSO</w:t>
            </w:r>
          </w:p>
        </w:tc>
        <w:tc>
          <w:tcPr>
            <w:tcW w:w="1214" w:type="dxa"/>
            <w:noWrap/>
            <w:vAlign w:val="center"/>
          </w:tcPr>
          <w:p w14:paraId="42E92291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0.786</w:t>
            </w:r>
          </w:p>
        </w:tc>
        <w:tc>
          <w:tcPr>
            <w:tcW w:w="1741" w:type="dxa"/>
            <w:noWrap/>
            <w:vAlign w:val="center"/>
          </w:tcPr>
          <w:p w14:paraId="167E20BA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0.846</w:t>
            </w:r>
          </w:p>
        </w:tc>
        <w:tc>
          <w:tcPr>
            <w:tcW w:w="1165" w:type="dxa"/>
            <w:noWrap/>
            <w:vAlign w:val="center"/>
          </w:tcPr>
          <w:p w14:paraId="39EB03DE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0.815</w:t>
            </w:r>
          </w:p>
        </w:tc>
        <w:tc>
          <w:tcPr>
            <w:tcW w:w="1721" w:type="dxa"/>
            <w:noWrap/>
            <w:vAlign w:val="center"/>
          </w:tcPr>
          <w:p w14:paraId="597D3455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0.821</w:t>
            </w:r>
          </w:p>
        </w:tc>
        <w:tc>
          <w:tcPr>
            <w:tcW w:w="1165" w:type="dxa"/>
            <w:noWrap/>
            <w:vAlign w:val="center"/>
          </w:tcPr>
          <w:p w14:paraId="49A398D0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0.893</w:t>
            </w:r>
          </w:p>
        </w:tc>
      </w:tr>
      <w:tr w14:paraId="7295466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56" w:type="dxa"/>
            <w:left w:w="96" w:type="dxa"/>
            <w:bottom w:w="56" w:type="dxa"/>
            <w:right w:w="96" w:type="dxa"/>
          </w:tblCellMar>
        </w:tblPrEx>
        <w:trPr>
          <w:trHeight w:val="0" w:hRule="atLeast"/>
          <w:jc w:val="center"/>
        </w:trPr>
        <w:tc>
          <w:tcPr>
            <w:tcW w:w="1489" w:type="dxa"/>
            <w:noWrap/>
            <w:vAlign w:val="center"/>
          </w:tcPr>
          <w:p w14:paraId="3E8AE925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KNN</w:t>
            </w:r>
          </w:p>
        </w:tc>
        <w:tc>
          <w:tcPr>
            <w:tcW w:w="1214" w:type="dxa"/>
            <w:noWrap/>
            <w:vAlign w:val="center"/>
          </w:tcPr>
          <w:p w14:paraId="05D74FC8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0.786</w:t>
            </w:r>
          </w:p>
        </w:tc>
        <w:tc>
          <w:tcPr>
            <w:tcW w:w="1741" w:type="dxa"/>
            <w:noWrap/>
            <w:vAlign w:val="center"/>
          </w:tcPr>
          <w:p w14:paraId="167527C4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0.786</w:t>
            </w:r>
          </w:p>
        </w:tc>
        <w:tc>
          <w:tcPr>
            <w:tcW w:w="1165" w:type="dxa"/>
            <w:noWrap/>
            <w:vAlign w:val="center"/>
          </w:tcPr>
          <w:p w14:paraId="3EFEE098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0.786</w:t>
            </w:r>
          </w:p>
        </w:tc>
        <w:tc>
          <w:tcPr>
            <w:tcW w:w="1721" w:type="dxa"/>
            <w:noWrap/>
            <w:vAlign w:val="center"/>
          </w:tcPr>
          <w:p w14:paraId="515536C0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0.786</w:t>
            </w:r>
          </w:p>
        </w:tc>
        <w:tc>
          <w:tcPr>
            <w:tcW w:w="1165" w:type="dxa"/>
            <w:noWrap/>
            <w:vAlign w:val="center"/>
          </w:tcPr>
          <w:p w14:paraId="68C99186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0.819</w:t>
            </w:r>
          </w:p>
        </w:tc>
      </w:tr>
      <w:tr w14:paraId="336F6CA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56" w:type="dxa"/>
            <w:left w:w="96" w:type="dxa"/>
            <w:bottom w:w="56" w:type="dxa"/>
            <w:right w:w="96" w:type="dxa"/>
          </w:tblCellMar>
        </w:tblPrEx>
        <w:trPr>
          <w:trHeight w:val="0" w:hRule="atLeast"/>
          <w:jc w:val="center"/>
        </w:trPr>
        <w:tc>
          <w:tcPr>
            <w:tcW w:w="1489" w:type="dxa"/>
            <w:noWrap/>
            <w:vAlign w:val="center"/>
          </w:tcPr>
          <w:p w14:paraId="5B1B14A6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GLM</w:t>
            </w:r>
          </w:p>
        </w:tc>
        <w:tc>
          <w:tcPr>
            <w:tcW w:w="1214" w:type="dxa"/>
            <w:noWrap/>
            <w:vAlign w:val="center"/>
          </w:tcPr>
          <w:p w14:paraId="5EAA94F5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0.714</w:t>
            </w:r>
          </w:p>
        </w:tc>
        <w:tc>
          <w:tcPr>
            <w:tcW w:w="1741" w:type="dxa"/>
            <w:noWrap/>
            <w:vAlign w:val="center"/>
          </w:tcPr>
          <w:p w14:paraId="76D59DAA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0.667</w:t>
            </w:r>
          </w:p>
        </w:tc>
        <w:tc>
          <w:tcPr>
            <w:tcW w:w="1165" w:type="dxa"/>
            <w:noWrap/>
            <w:vAlign w:val="center"/>
          </w:tcPr>
          <w:p w14:paraId="42DB21C5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0.690</w:t>
            </w:r>
          </w:p>
        </w:tc>
        <w:tc>
          <w:tcPr>
            <w:tcW w:w="1721" w:type="dxa"/>
            <w:noWrap/>
            <w:vAlign w:val="center"/>
          </w:tcPr>
          <w:p w14:paraId="4015EE6C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0.679</w:t>
            </w:r>
          </w:p>
        </w:tc>
        <w:tc>
          <w:tcPr>
            <w:tcW w:w="1165" w:type="dxa"/>
            <w:noWrap/>
            <w:vAlign w:val="center"/>
          </w:tcPr>
          <w:p w14:paraId="2FDAB4DE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0.765</w:t>
            </w:r>
          </w:p>
        </w:tc>
      </w:tr>
      <w:tr w14:paraId="7F5C020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56" w:type="dxa"/>
            <w:left w:w="96" w:type="dxa"/>
            <w:bottom w:w="56" w:type="dxa"/>
            <w:right w:w="96" w:type="dxa"/>
          </w:tblCellMar>
        </w:tblPrEx>
        <w:trPr>
          <w:trHeight w:val="0" w:hRule="atLeast"/>
          <w:jc w:val="center"/>
        </w:trPr>
        <w:tc>
          <w:tcPr>
            <w:tcW w:w="1489" w:type="dxa"/>
            <w:noWrap/>
            <w:vAlign w:val="center"/>
          </w:tcPr>
          <w:p w14:paraId="1A09BE63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GBM</w:t>
            </w:r>
          </w:p>
        </w:tc>
        <w:tc>
          <w:tcPr>
            <w:tcW w:w="1214" w:type="dxa"/>
            <w:noWrap/>
            <w:vAlign w:val="center"/>
          </w:tcPr>
          <w:p w14:paraId="7FEA865B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0.714</w:t>
            </w:r>
          </w:p>
        </w:tc>
        <w:tc>
          <w:tcPr>
            <w:tcW w:w="1741" w:type="dxa"/>
            <w:noWrap/>
            <w:vAlign w:val="center"/>
          </w:tcPr>
          <w:p w14:paraId="084FDDB8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1.000</w:t>
            </w:r>
          </w:p>
        </w:tc>
        <w:tc>
          <w:tcPr>
            <w:tcW w:w="1165" w:type="dxa"/>
            <w:noWrap/>
            <w:vAlign w:val="center"/>
          </w:tcPr>
          <w:p w14:paraId="428FB592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0.833</w:t>
            </w:r>
          </w:p>
        </w:tc>
        <w:tc>
          <w:tcPr>
            <w:tcW w:w="1721" w:type="dxa"/>
            <w:noWrap/>
            <w:vAlign w:val="center"/>
          </w:tcPr>
          <w:p w14:paraId="4ED4A3EA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0.857</w:t>
            </w:r>
          </w:p>
        </w:tc>
        <w:tc>
          <w:tcPr>
            <w:tcW w:w="1165" w:type="dxa"/>
            <w:noWrap/>
            <w:vAlign w:val="center"/>
          </w:tcPr>
          <w:p w14:paraId="7D834695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0.923</w:t>
            </w:r>
          </w:p>
        </w:tc>
      </w:tr>
      <w:tr w14:paraId="17E3C0A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56" w:type="dxa"/>
            <w:left w:w="96" w:type="dxa"/>
            <w:bottom w:w="56" w:type="dxa"/>
            <w:right w:w="96" w:type="dxa"/>
          </w:tblCellMar>
        </w:tblPrEx>
        <w:trPr>
          <w:trHeight w:val="0" w:hRule="atLeast"/>
          <w:jc w:val="center"/>
        </w:trPr>
        <w:tc>
          <w:tcPr>
            <w:tcW w:w="1489" w:type="dxa"/>
            <w:noWrap/>
            <w:vAlign w:val="center"/>
          </w:tcPr>
          <w:p w14:paraId="198FC60C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DT</w:t>
            </w:r>
          </w:p>
        </w:tc>
        <w:tc>
          <w:tcPr>
            <w:tcW w:w="1214" w:type="dxa"/>
            <w:noWrap/>
            <w:vAlign w:val="center"/>
          </w:tcPr>
          <w:p w14:paraId="3707AEF8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1.000</w:t>
            </w:r>
          </w:p>
        </w:tc>
        <w:tc>
          <w:tcPr>
            <w:tcW w:w="1741" w:type="dxa"/>
            <w:noWrap/>
            <w:vAlign w:val="center"/>
          </w:tcPr>
          <w:p w14:paraId="622E2E03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0.500</w:t>
            </w:r>
          </w:p>
        </w:tc>
        <w:tc>
          <w:tcPr>
            <w:tcW w:w="1165" w:type="dxa"/>
            <w:noWrap/>
            <w:vAlign w:val="center"/>
          </w:tcPr>
          <w:p w14:paraId="5313585E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0.667</w:t>
            </w:r>
          </w:p>
        </w:tc>
        <w:tc>
          <w:tcPr>
            <w:tcW w:w="1721" w:type="dxa"/>
            <w:noWrap/>
            <w:vAlign w:val="center"/>
          </w:tcPr>
          <w:p w14:paraId="68EB0930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0.500</w:t>
            </w:r>
          </w:p>
        </w:tc>
        <w:tc>
          <w:tcPr>
            <w:tcW w:w="1165" w:type="dxa"/>
            <w:noWrap/>
            <w:vAlign w:val="center"/>
          </w:tcPr>
          <w:p w14:paraId="65B58517">
            <w:pPr>
              <w:keepNext w:val="0"/>
              <w:keepLines w:val="0"/>
              <w:widowControl/>
              <w:suppressLineNumbers w:val="0"/>
              <w:snapToGrid w:val="0"/>
              <w:spacing w:before="0" w:beforeAutospacing="0" w:after="0" w:afterAutospacing="0" w:line="240" w:lineRule="auto"/>
              <w:ind w:left="0" w:right="0"/>
              <w:jc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>
              <w:rPr>
                <w:rFonts w:hint="default" w:ascii="Times New Roman" w:hAnsi="Times New Roman" w:eastAsia="宋体" w:cs="Times New Roman"/>
                <w:color w:val="000000"/>
                <w:kern w:val="0"/>
                <w:sz w:val="21"/>
                <w:szCs w:val="21"/>
                <w14:ligatures w14:val="none"/>
              </w:rPr>
              <w:t>0.500</w:t>
            </w:r>
          </w:p>
        </w:tc>
      </w:tr>
    </w:tbl>
    <w:p w14:paraId="2414864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 w:ascii="Times New Roman" w:hAnsi="Times New Roman" w:eastAsia="宋体" w:cs="Times New Roman"/>
          <w:sz w:val="21"/>
          <w:szCs w:val="21"/>
          <w:lang w:eastAsia="zh-CN"/>
        </w:rPr>
      </w:pPr>
      <w:r>
        <w:rPr>
          <w:rFonts w:hint="default" w:ascii="Times New Roman" w:hAnsi="Times New Roman" w:cs="Times New Roman" w:eastAsiaTheme="minorEastAsia"/>
          <w:b/>
          <w:bCs/>
          <w:kern w:val="0"/>
          <w:sz w:val="21"/>
          <w:szCs w:val="21"/>
          <w:vertAlign w:val="superscript"/>
          <w:lang w:val="en-US" w:eastAsia="zh-CN" w:bidi="ar"/>
          <w14:ligatures w14:val="standardContextual"/>
        </w:rPr>
        <w:t>a</w:t>
      </w:r>
      <w:r>
        <w:rPr>
          <w:rFonts w:hint="default" w:ascii="Times New Roman" w:hAnsi="Times New Roman" w:cs="Times New Roman"/>
          <w:kern w:val="0"/>
          <w:sz w:val="21"/>
          <w:szCs w:val="21"/>
          <w:lang w:val="en-US" w:eastAsia="zh-CN" w:bidi="ar"/>
          <w14:ligatures w14:val="standardContextual"/>
        </w:rPr>
        <w:t xml:space="preserve"> </w:t>
      </w:r>
      <w:r>
        <w:rPr>
          <w:rFonts w:hint="default" w:ascii="Times New Roman" w:hAnsi="Times New Roman" w:cs="Times New Roman"/>
          <w:sz w:val="21"/>
          <w:szCs w:val="21"/>
        </w:rPr>
        <w:t>Refers to the proportion of all actual positive samples that are correctly predicted as positive by the model.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sz w:val="21"/>
          <w:szCs w:val="21"/>
          <w:vertAlign w:val="superscript"/>
          <w:lang w:val="en-US" w:eastAsia="zh-CN"/>
        </w:rPr>
        <w:t>b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1"/>
          <w:szCs w:val="21"/>
        </w:rPr>
        <w:t>Refers to the proportion of samples predicted as positive by the model that are actual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ly</w:t>
      </w:r>
      <w:r>
        <w:rPr>
          <w:rFonts w:hint="default" w:ascii="Times New Roman" w:hAnsi="Times New Roman" w:cs="Times New Roman"/>
          <w:sz w:val="21"/>
          <w:szCs w:val="21"/>
        </w:rPr>
        <w:t xml:space="preserve"> positive.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sz w:val="21"/>
          <w:szCs w:val="21"/>
          <w:vertAlign w:val="superscript"/>
          <w:lang w:val="en-US" w:eastAsia="zh-CN"/>
        </w:rPr>
        <w:t>c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1"/>
          <w:szCs w:val="21"/>
        </w:rPr>
        <w:t>The harmonic mean of precision and recall (2 * (Precision * Recall) / (Precision + Recall)), used for a comprehensive evaluation of the model's performance, especially in cases of class imbalance.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sz w:val="21"/>
          <w:szCs w:val="21"/>
          <w:vertAlign w:val="superscript"/>
          <w:lang w:val="en-US" w:eastAsia="zh-CN"/>
        </w:rPr>
        <w:t>d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1"/>
          <w:szCs w:val="21"/>
        </w:rPr>
        <w:t>Refers to the proportion of correctly predicted samples (including true positives and true negatives) out of the total number of samples.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sz w:val="21"/>
          <w:szCs w:val="21"/>
          <w:vertAlign w:val="superscript"/>
          <w:lang w:val="en-US" w:eastAsia="zh-CN"/>
        </w:rPr>
        <w:t>e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1"/>
          <w:szCs w:val="21"/>
        </w:rPr>
        <w:t>Refers to the Area Under the ROC (Receiver Operating Characteristic) Curve. It measures the model's overall ability to distinguish between positive and negative samples. An AUC value closer to 1 indicates better diagnostic performance.</w:t>
      </w:r>
    </w:p>
    <w:p w14:paraId="3144D344">
      <w:pPr>
        <w:rPr>
          <w:rFonts w:hint="default"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hint="default" w:ascii="Times New Roman" w:hAnsi="Times New Roman" w:cs="Times New Roman" w:eastAsiaTheme="minorEastAsia"/>
          <w:sz w:val="21"/>
          <w:szCs w:val="21"/>
          <w:lang w:eastAsia="zh-CN"/>
        </w:rPr>
        <w:drawing>
          <wp:inline distT="0" distB="0" distL="114300" distR="114300">
            <wp:extent cx="5757545" cy="5589270"/>
            <wp:effectExtent l="0" t="0" r="5080" b="1905"/>
            <wp:docPr id="2" name="图片 2" descr="Figure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S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558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BEB4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/>
        <w:textAlignment w:val="auto"/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cs="Times New Roman"/>
          <w:b/>
          <w:bCs/>
          <w:sz w:val="20"/>
          <w:szCs w:val="20"/>
          <w:lang w:eastAsia="zh-CN"/>
        </w:rPr>
        <w:t>Fig.</w:t>
      </w:r>
      <w:r>
        <w:rPr>
          <w:rFonts w:hint="default"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hint="default" w:ascii="Times New Roman" w:hAnsi="Times New Roman" w:cs="Times New Roman"/>
          <w:b/>
          <w:bCs/>
          <w:sz w:val="20"/>
          <w:szCs w:val="20"/>
          <w:lang w:val="en-US" w:eastAsia="zh-CN"/>
        </w:rPr>
        <w:t>S1</w:t>
      </w:r>
      <w:r>
        <w:rPr>
          <w:rFonts w:hint="default" w:ascii="Times New Roman" w:hAnsi="Times New Roman" w:cs="Times New Roman"/>
          <w:b/>
          <w:bCs/>
          <w:sz w:val="20"/>
          <w:szCs w:val="20"/>
        </w:rPr>
        <w:t>.</w:t>
      </w:r>
      <w:r>
        <w:rPr>
          <w:rFonts w:hint="default" w:ascii="Times New Roman" w:hAnsi="Times New Roman" w:cs="Times New Roman"/>
          <w:sz w:val="20"/>
          <w:szCs w:val="20"/>
        </w:rPr>
        <w:t xml:space="preserve"> Identification of key ZDHHC20-related genes. </w:t>
      </w:r>
      <w:r>
        <w:rPr>
          <w:rFonts w:hint="default" w:ascii="Times New Roman" w:hAnsi="Times New Roman" w:cs="Times New Roman"/>
          <w:b/>
          <w:bCs/>
          <w:sz w:val="20"/>
          <w:szCs w:val="20"/>
          <w:lang w:val="en-US" w:eastAsia="zh-CN"/>
        </w:rPr>
        <w:t>(</w:t>
      </w:r>
      <w:r>
        <w:rPr>
          <w:rFonts w:hint="default" w:ascii="Times New Roman" w:hAnsi="Times New Roman" w:cs="Times New Roman"/>
          <w:b/>
          <w:bCs/>
          <w:sz w:val="20"/>
          <w:szCs w:val="20"/>
        </w:rPr>
        <w:t>A</w:t>
      </w:r>
      <w:r>
        <w:rPr>
          <w:rFonts w:hint="default" w:ascii="Times New Roman" w:hAnsi="Times New Roman" w:cs="Times New Roman"/>
          <w:b/>
          <w:bCs/>
          <w:sz w:val="20"/>
          <w:szCs w:val="20"/>
          <w:lang w:val="en-US" w:eastAsia="zh-CN"/>
        </w:rPr>
        <w:t>)</w:t>
      </w:r>
      <w:r>
        <w:rPr>
          <w:rFonts w:hint="default" w:ascii="Times New Roman" w:hAnsi="Times New Roman" w:cs="Times New Roman"/>
          <w:sz w:val="20"/>
          <w:szCs w:val="20"/>
        </w:rPr>
        <w:t xml:space="preserve"> Heatmap of DEGs between the ZDHHC20 high- and low-expression groups. Red indicates upregulation; blue indicates downregulation.</w:t>
      </w:r>
      <w:r>
        <w:rPr>
          <w:rFonts w:hint="default" w:ascii="Times New Roman" w:hAnsi="Times New Roman" w:cs="Times New Roman"/>
          <w:b/>
          <w:bCs/>
          <w:sz w:val="20"/>
          <w:szCs w:val="20"/>
        </w:rPr>
        <w:t xml:space="preserve"> (B) </w:t>
      </w:r>
      <w:r>
        <w:rPr>
          <w:rFonts w:hint="default" w:ascii="Times New Roman" w:hAnsi="Times New Roman" w:cs="Times New Roman"/>
          <w:sz w:val="20"/>
          <w:szCs w:val="20"/>
        </w:rPr>
        <w:t xml:space="preserve">Volcano plot of DEGs between the ZDHHC20 high- and low-expression groups. Red and blue dots represent upregulated and downregulated genes, respectively. The top 10 genes are labeled. </w:t>
      </w:r>
      <w:r>
        <w:rPr>
          <w:rFonts w:hint="default" w:ascii="Times New Roman" w:hAnsi="Times New Roman" w:cs="Times New Roman"/>
          <w:b/>
          <w:bCs/>
          <w:sz w:val="20"/>
          <w:szCs w:val="20"/>
        </w:rPr>
        <w:t>(C)</w:t>
      </w:r>
      <w:r>
        <w:rPr>
          <w:rFonts w:hint="default" w:ascii="Times New Roman" w:hAnsi="Times New Roman" w:cs="Times New Roman"/>
          <w:sz w:val="20"/>
          <w:szCs w:val="20"/>
        </w:rPr>
        <w:t xml:space="preserve"> A Venn diagram showing the intersection of ZDHHC20-related DEGs and genes highly correlated with ZDHHC20. </w:t>
      </w:r>
      <w:r>
        <w:rPr>
          <w:rFonts w:hint="default" w:ascii="Times New Roman" w:hAnsi="Times New Roman" w:cs="Times New Roman"/>
          <w:b/>
          <w:bCs/>
          <w:sz w:val="20"/>
          <w:szCs w:val="20"/>
        </w:rPr>
        <w:t>(D)</w:t>
      </w:r>
      <w:r>
        <w:rPr>
          <w:rFonts w:hint="default" w:ascii="Times New Roman" w:hAnsi="Times New Roman" w:cs="Times New Roman"/>
          <w:sz w:val="20"/>
          <w:szCs w:val="20"/>
        </w:rPr>
        <w:t xml:space="preserve"> Functional enrichment analysis of the 29 intersecting key genes. Significantly enriched pathways (q value &lt; 0.05) are displayed. DEGs: Differentially expressed genes.</w:t>
      </w:r>
    </w:p>
    <w:p w14:paraId="62E15A5F">
      <w:pPr>
        <w:jc w:val="center"/>
        <w:rPr>
          <w:rFonts w:hint="default"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hint="default" w:ascii="Times New Roman" w:hAnsi="Times New Roman" w:cs="Times New Roman" w:eastAsiaTheme="minorEastAsia"/>
          <w:sz w:val="21"/>
          <w:szCs w:val="21"/>
          <w:lang w:eastAsia="zh-CN"/>
        </w:rPr>
        <w:drawing>
          <wp:inline distT="0" distB="0" distL="114300" distR="114300">
            <wp:extent cx="5338445" cy="7242175"/>
            <wp:effectExtent l="0" t="0" r="5080" b="6350"/>
            <wp:docPr id="3" name="图片 3" descr="Figure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igureS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8445" cy="72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8D32F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240" w:after="0"/>
        <w:textAlignment w:val="auto"/>
        <w:rPr>
          <w:rFonts w:hint="default" w:ascii="Times New Roman" w:hAnsi="Times New Roman" w:cs="Times New Roman" w:eastAsiaTheme="minorEastAsia"/>
          <w:sz w:val="20"/>
          <w:szCs w:val="20"/>
          <w:lang w:eastAsia="zh-CN"/>
        </w:rPr>
      </w:pPr>
      <w:r>
        <w:rPr>
          <w:rFonts w:hint="eastAsia" w:cs="Times New Roman" w:eastAsiaTheme="minorEastAsia"/>
          <w:b/>
          <w:bCs/>
          <w:sz w:val="20"/>
          <w:szCs w:val="20"/>
          <w:lang w:eastAsia="zh-CN"/>
        </w:rPr>
        <w:t>Fig.</w:t>
      </w:r>
      <w:r>
        <w:rPr>
          <w:rFonts w:hint="default" w:ascii="Times New Roman" w:hAnsi="Times New Roman" w:cs="Times New Roman" w:eastAsiaTheme="minorEastAsia"/>
          <w:b/>
          <w:bCs/>
          <w:sz w:val="20"/>
          <w:szCs w:val="20"/>
          <w:lang w:eastAsia="zh-CN"/>
        </w:rPr>
        <w:t xml:space="preserve"> S2.</w:t>
      </w:r>
      <w:r>
        <w:rPr>
          <w:rFonts w:hint="default" w:ascii="Times New Roman" w:hAnsi="Times New Roman" w:cs="Times New Roman" w:eastAsiaTheme="minorEastAsia"/>
          <w:sz w:val="20"/>
          <w:szCs w:val="20"/>
          <w:lang w:eastAsia="zh-CN"/>
        </w:rPr>
        <w:t xml:space="preserve"> Quality control and dimensionality reduction clustering of single-cell data. </w:t>
      </w:r>
      <w:r>
        <w:rPr>
          <w:rFonts w:hint="default" w:ascii="Times New Roman" w:hAnsi="Times New Roman" w:cs="Times New Roman"/>
          <w:b/>
          <w:bCs/>
          <w:sz w:val="20"/>
          <w:szCs w:val="20"/>
          <w:lang w:val="en-US" w:eastAsia="zh-CN"/>
        </w:rPr>
        <w:t>(</w:t>
      </w:r>
      <w:r>
        <w:rPr>
          <w:rFonts w:hint="default" w:ascii="Times New Roman" w:hAnsi="Times New Roman" w:cs="Times New Roman" w:eastAsiaTheme="minorEastAsia"/>
          <w:b/>
          <w:bCs/>
          <w:sz w:val="20"/>
          <w:szCs w:val="20"/>
          <w:lang w:eastAsia="zh-CN"/>
        </w:rPr>
        <w:t>A</w:t>
      </w:r>
      <w:r>
        <w:rPr>
          <w:rFonts w:hint="default" w:ascii="Times New Roman" w:hAnsi="Times New Roman" w:cs="Times New Roman"/>
          <w:b/>
          <w:bCs/>
          <w:sz w:val="20"/>
          <w:szCs w:val="20"/>
          <w:lang w:val="en-US" w:eastAsia="zh-CN"/>
        </w:rPr>
        <w:t>)</w:t>
      </w:r>
      <w:r>
        <w:rPr>
          <w:rFonts w:hint="default" w:ascii="Times New Roman" w:hAnsi="Times New Roman" w:cs="Times New Roman" w:eastAsiaTheme="minorEastAsia"/>
          <w:sz w:val="20"/>
          <w:szCs w:val="20"/>
          <w:lang w:eastAsia="zh-CN"/>
        </w:rPr>
        <w:t xml:space="preserve"> Quality control of single-nucleus data. </w:t>
      </w:r>
      <w:r>
        <w:rPr>
          <w:rFonts w:hint="default" w:ascii="Times New Roman" w:hAnsi="Times New Roman" w:cs="Times New Roman"/>
          <w:b/>
          <w:bCs/>
          <w:sz w:val="20"/>
          <w:szCs w:val="20"/>
          <w:lang w:val="en-US" w:eastAsia="zh-CN"/>
        </w:rPr>
        <w:t>(</w:t>
      </w:r>
      <w:r>
        <w:rPr>
          <w:rFonts w:hint="default" w:ascii="Times New Roman" w:hAnsi="Times New Roman" w:cs="Times New Roman" w:eastAsiaTheme="minorEastAsia"/>
          <w:b/>
          <w:bCs/>
          <w:sz w:val="20"/>
          <w:szCs w:val="20"/>
          <w:lang w:eastAsia="zh-CN"/>
        </w:rPr>
        <w:t>B</w:t>
      </w:r>
      <w:r>
        <w:rPr>
          <w:rFonts w:hint="default" w:ascii="Times New Roman" w:hAnsi="Times New Roman" w:cs="Times New Roman"/>
          <w:b/>
          <w:bCs/>
          <w:sz w:val="20"/>
          <w:szCs w:val="20"/>
          <w:lang w:val="en-US" w:eastAsia="zh-CN"/>
        </w:rPr>
        <w:t>)</w:t>
      </w:r>
      <w:r>
        <w:rPr>
          <w:rFonts w:hint="default" w:ascii="Times New Roman" w:hAnsi="Times New Roman" w:cs="Times New Roman" w:eastAsiaTheme="minorEastAsia"/>
          <w:sz w:val="20"/>
          <w:szCs w:val="20"/>
          <w:lang w:eastAsia="zh-CN"/>
        </w:rPr>
        <w:t xml:space="preserve"> Top 2000 highly variable genes (HVGs), with red dots representing HVGs and black dots 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denoting</w:t>
      </w:r>
      <w:r>
        <w:rPr>
          <w:rFonts w:hint="default" w:ascii="Times New Roman" w:hAnsi="Times New Roman" w:cs="Times New Roman" w:eastAsiaTheme="minorEastAsia"/>
          <w:sz w:val="20"/>
          <w:szCs w:val="20"/>
          <w:lang w:eastAsia="zh-CN"/>
        </w:rPr>
        <w:t xml:space="preserve"> relatively stable genes. </w:t>
      </w:r>
      <w:r>
        <w:rPr>
          <w:rFonts w:hint="default" w:ascii="Times New Roman" w:hAnsi="Times New Roman" w:cs="Times New Roman"/>
          <w:b/>
          <w:bCs/>
          <w:sz w:val="20"/>
          <w:szCs w:val="20"/>
          <w:lang w:val="en-US" w:eastAsia="zh-CN"/>
        </w:rPr>
        <w:t>(</w:t>
      </w:r>
      <w:r>
        <w:rPr>
          <w:rFonts w:hint="default" w:ascii="Times New Roman" w:hAnsi="Times New Roman" w:cs="Times New Roman" w:eastAsiaTheme="minorEastAsia"/>
          <w:b/>
          <w:bCs/>
          <w:sz w:val="20"/>
          <w:szCs w:val="20"/>
          <w:lang w:eastAsia="zh-CN"/>
        </w:rPr>
        <w:t>C</w:t>
      </w:r>
      <w:r>
        <w:rPr>
          <w:rFonts w:hint="default" w:ascii="Times New Roman" w:hAnsi="Times New Roman" w:cs="Times New Roman"/>
          <w:b/>
          <w:bCs/>
          <w:sz w:val="20"/>
          <w:szCs w:val="20"/>
          <w:lang w:val="en-US" w:eastAsia="zh-CN"/>
        </w:rPr>
        <w:t>)</w:t>
      </w:r>
      <w:r>
        <w:rPr>
          <w:rFonts w:hint="default" w:ascii="Times New Roman" w:hAnsi="Times New Roman" w:cs="Times New Roman" w:eastAsiaTheme="minorEastAsia"/>
          <w:sz w:val="20"/>
          <w:szCs w:val="20"/>
          <w:lang w:eastAsia="zh-CN"/>
        </w:rPr>
        <w:t xml:space="preserve"> Elbow plot 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for</w:t>
      </w:r>
      <w:r>
        <w:rPr>
          <w:rFonts w:hint="default" w:ascii="Times New Roman" w:hAnsi="Times New Roman" w:cs="Times New Roman" w:eastAsiaTheme="minorEastAsia"/>
          <w:sz w:val="20"/>
          <w:szCs w:val="20"/>
          <w:lang w:eastAsia="zh-CN"/>
        </w:rPr>
        <w:t xml:space="preserve"> determin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ing</w:t>
      </w:r>
      <w:r>
        <w:rPr>
          <w:rFonts w:hint="default" w:ascii="Times New Roman" w:hAnsi="Times New Roman" w:cs="Times New Roman" w:eastAsiaTheme="minorEastAsia"/>
          <w:sz w:val="20"/>
          <w:szCs w:val="20"/>
          <w:lang w:eastAsia="zh-CN"/>
        </w:rPr>
        <w:t xml:space="preserve"> the optimal dimensions; according to the criteria described in the text, the last number marked in red is considered the inflection point. </w:t>
      </w:r>
      <w:r>
        <w:rPr>
          <w:rFonts w:hint="default" w:ascii="Times New Roman" w:hAnsi="Times New Roman" w:cs="Times New Roman"/>
          <w:b/>
          <w:bCs/>
          <w:sz w:val="20"/>
          <w:szCs w:val="20"/>
          <w:lang w:val="en-US" w:eastAsia="zh-CN"/>
        </w:rPr>
        <w:t>(</w:t>
      </w:r>
      <w:r>
        <w:rPr>
          <w:rFonts w:hint="default" w:ascii="Times New Roman" w:hAnsi="Times New Roman" w:cs="Times New Roman" w:eastAsiaTheme="minorEastAsia"/>
          <w:b/>
          <w:bCs/>
          <w:sz w:val="20"/>
          <w:szCs w:val="20"/>
          <w:lang w:eastAsia="zh-CN"/>
        </w:rPr>
        <w:t>D</w:t>
      </w:r>
      <w:r>
        <w:rPr>
          <w:rFonts w:hint="default" w:ascii="Times New Roman" w:hAnsi="Times New Roman" w:cs="Times New Roman"/>
          <w:b/>
          <w:bCs/>
          <w:sz w:val="20"/>
          <w:szCs w:val="20"/>
          <w:lang w:val="en-US" w:eastAsia="zh-CN"/>
        </w:rPr>
        <w:t>)</w:t>
      </w:r>
      <w:r>
        <w:rPr>
          <w:rFonts w:hint="default" w:ascii="Times New Roman" w:hAnsi="Times New Roman" w:cs="Times New Roman" w:eastAsiaTheme="minorEastAsia"/>
          <w:sz w:val="20"/>
          <w:szCs w:val="20"/>
          <w:lang w:eastAsia="zh-CN"/>
        </w:rPr>
        <w:t xml:space="preserve"> UMAP visualization of 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s</w:t>
      </w:r>
      <w:r>
        <w:rPr>
          <w:rFonts w:hint="default" w:ascii="Times New Roman" w:hAnsi="Times New Roman" w:cs="Times New Roman"/>
          <w:sz w:val="20"/>
          <w:szCs w:val="20"/>
        </w:rPr>
        <w:t>ingle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-</w:t>
      </w:r>
      <w:r>
        <w:rPr>
          <w:rFonts w:hint="default" w:ascii="Times New Roman" w:hAnsi="Times New Roman" w:cs="Times New Roman"/>
          <w:sz w:val="20"/>
          <w:szCs w:val="20"/>
        </w:rPr>
        <w:t>nucleus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 data</w:t>
      </w:r>
      <w:r>
        <w:rPr>
          <w:rFonts w:hint="default" w:ascii="Times New Roman" w:hAnsi="Times New Roman" w:cs="Times New Roman" w:eastAsiaTheme="minorEastAsia"/>
          <w:sz w:val="20"/>
          <w:szCs w:val="20"/>
          <w:lang w:eastAsia="zh-CN"/>
        </w:rPr>
        <w:t xml:space="preserve">, where each dot represents a 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cell </w:t>
      </w:r>
      <w:r>
        <w:rPr>
          <w:rFonts w:hint="default" w:ascii="Times New Roman" w:hAnsi="Times New Roman" w:cs="Times New Roman"/>
          <w:sz w:val="20"/>
          <w:szCs w:val="20"/>
        </w:rPr>
        <w:t>nucleus</w:t>
      </w:r>
      <w:r>
        <w:rPr>
          <w:rFonts w:hint="default" w:ascii="Times New Roman" w:hAnsi="Times New Roman" w:cs="Times New Roman" w:eastAsiaTheme="minorEastAsia"/>
          <w:sz w:val="20"/>
          <w:szCs w:val="20"/>
          <w:lang w:eastAsia="zh-CN"/>
        </w:rPr>
        <w:t xml:space="preserve"> and different colors indicate distinct clusters.</w:t>
      </w:r>
    </w:p>
    <w:p w14:paraId="12AD5FB6">
      <w:pPr>
        <w:rPr>
          <w:rFonts w:hint="default"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hint="default" w:ascii="Times New Roman" w:hAnsi="Times New Roman" w:cs="Times New Roman" w:eastAsiaTheme="minorEastAsia"/>
          <w:sz w:val="21"/>
          <w:szCs w:val="21"/>
          <w:lang w:eastAsia="zh-CN"/>
        </w:rPr>
        <w:drawing>
          <wp:inline distT="0" distB="0" distL="114300" distR="114300">
            <wp:extent cx="5755005" cy="3836670"/>
            <wp:effectExtent l="0" t="0" r="7620" b="1905"/>
            <wp:docPr id="5" name="图片 5" descr="Figure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igureS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383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22F4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240" w:after="0"/>
        <w:textAlignment w:val="auto"/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eastAsia" w:cs="Times New Roman"/>
          <w:b/>
          <w:bCs/>
          <w:sz w:val="20"/>
          <w:szCs w:val="20"/>
          <w:lang w:val="en-US" w:eastAsia="zh-CN"/>
        </w:rPr>
        <w:t>Fig.</w:t>
      </w:r>
      <w:r>
        <w:rPr>
          <w:rFonts w:hint="default" w:ascii="Times New Roman" w:hAnsi="Times New Roman" w:cs="Times New Roman"/>
          <w:b/>
          <w:bCs/>
          <w:sz w:val="20"/>
          <w:szCs w:val="20"/>
          <w:lang w:val="en-US" w:eastAsia="zh-CN"/>
        </w:rPr>
        <w:t xml:space="preserve"> S3.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 Clustree to select the optimal resolution.</w:t>
      </w:r>
    </w:p>
    <w:p w14:paraId="3A6D96FF">
      <w:pPr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drawing>
          <wp:inline distT="0" distB="0" distL="114300" distR="114300">
            <wp:extent cx="5754370" cy="2590165"/>
            <wp:effectExtent l="0" t="0" r="8255" b="635"/>
            <wp:docPr id="9" name="图片 9" descr="Figure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igureS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E574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240" w:after="0"/>
        <w:textAlignment w:val="auto"/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  <w:r>
        <w:rPr>
          <w:rFonts w:hint="eastAsia" w:cs="Times New Roman"/>
          <w:b/>
          <w:bCs/>
          <w:sz w:val="20"/>
          <w:szCs w:val="20"/>
          <w:lang w:val="en-US" w:eastAsia="zh-CN"/>
        </w:rPr>
        <w:t>Fig.</w:t>
      </w:r>
      <w:r>
        <w:rPr>
          <w:rFonts w:hint="default" w:ascii="Times New Roman" w:hAnsi="Times New Roman" w:cs="Times New Roman"/>
          <w:b/>
          <w:bCs/>
          <w:sz w:val="20"/>
          <w:szCs w:val="20"/>
          <w:lang w:val="en-US" w:eastAsia="zh-CN"/>
        </w:rPr>
        <w:t xml:space="preserve"> S4.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 Cell annotation.</w:t>
      </w:r>
    </w:p>
    <w:p w14:paraId="546A2429">
      <w:pPr>
        <w:jc w:val="center"/>
        <w:rPr>
          <w:rFonts w:hint="default"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hint="default" w:ascii="Times New Roman" w:hAnsi="Times New Roman" w:cs="Times New Roman" w:eastAsiaTheme="minorEastAsia"/>
          <w:sz w:val="21"/>
          <w:szCs w:val="21"/>
          <w:lang w:eastAsia="zh-CN"/>
        </w:rPr>
        <w:drawing>
          <wp:inline distT="0" distB="0" distL="114300" distR="114300">
            <wp:extent cx="5132705" cy="5363210"/>
            <wp:effectExtent l="0" t="0" r="1270" b="8890"/>
            <wp:docPr id="4" name="图片 4" descr="Figure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igureS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2705" cy="536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73C7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240" w:after="0"/>
        <w:textAlignment w:val="auto"/>
        <w:rPr>
          <w:rFonts w:hint="default"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hint="eastAsia" w:cs="Times New Roman" w:eastAsiaTheme="minorEastAsia"/>
          <w:b/>
          <w:bCs/>
          <w:sz w:val="20"/>
          <w:szCs w:val="20"/>
          <w:lang w:eastAsia="zh-CN"/>
        </w:rPr>
        <w:t>Fig.</w:t>
      </w:r>
      <w:r>
        <w:rPr>
          <w:rFonts w:hint="default" w:ascii="Times New Roman" w:hAnsi="Times New Roman" w:cs="Times New Roman" w:eastAsiaTheme="minorEastAsia"/>
          <w:b/>
          <w:bCs/>
          <w:sz w:val="20"/>
          <w:szCs w:val="20"/>
          <w:lang w:eastAsia="zh-CN"/>
        </w:rPr>
        <w:t xml:space="preserve"> S</w:t>
      </w:r>
      <w:r>
        <w:rPr>
          <w:rFonts w:hint="default" w:ascii="Times New Roman" w:hAnsi="Times New Roman" w:cs="Times New Roman" w:eastAsiaTheme="minorEastAsia"/>
          <w:b/>
          <w:bCs/>
          <w:sz w:val="20"/>
          <w:szCs w:val="20"/>
          <w:lang w:val="en-US" w:eastAsia="zh-CN"/>
        </w:rPr>
        <w:t>5</w:t>
      </w:r>
      <w:r>
        <w:rPr>
          <w:rFonts w:hint="default" w:ascii="Times New Roman" w:hAnsi="Times New Roman" w:cs="Times New Roman" w:eastAsiaTheme="minorEastAsia"/>
          <w:b/>
          <w:bCs/>
          <w:sz w:val="20"/>
          <w:szCs w:val="20"/>
          <w:lang w:eastAsia="zh-CN"/>
        </w:rPr>
        <w:t xml:space="preserve">. 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 xml:space="preserve"> </w:t>
      </w:r>
      <w:r>
        <w:rPr>
          <w:rFonts w:hint="default" w:ascii="Times New Roman" w:hAnsi="Times New Roman" w:cs="Times New Roman" w:eastAsiaTheme="minorEastAsia"/>
          <w:b/>
          <w:bCs/>
          <w:sz w:val="20"/>
          <w:szCs w:val="20"/>
          <w:lang w:eastAsia="zh-CN"/>
        </w:rPr>
        <w:t>(A)</w:t>
      </w:r>
      <w:r>
        <w:rPr>
          <w:rFonts w:hint="default" w:ascii="Times New Roman" w:hAnsi="Times New Roman" w:cs="Times New Roman" w:eastAsiaTheme="minorEastAsia"/>
          <w:sz w:val="20"/>
          <w:szCs w:val="20"/>
          <w:lang w:eastAsia="zh-CN"/>
        </w:rPr>
        <w:t xml:space="preserve"> Cellular distribution of MSA and HC. </w:t>
      </w:r>
      <w:r>
        <w:rPr>
          <w:rFonts w:hint="default" w:ascii="Times New Roman" w:hAnsi="Times New Roman" w:cs="Times New Roman" w:eastAsiaTheme="minorEastAsia"/>
          <w:b/>
          <w:bCs/>
          <w:sz w:val="20"/>
          <w:szCs w:val="20"/>
          <w:lang w:eastAsia="zh-CN"/>
        </w:rPr>
        <w:t>(B–C)</w:t>
      </w:r>
      <w:r>
        <w:rPr>
          <w:rFonts w:hint="default" w:ascii="Times New Roman" w:hAnsi="Times New Roman" w:cs="Times New Roman" w:eastAsiaTheme="minorEastAsia"/>
          <w:sz w:val="20"/>
          <w:szCs w:val="20"/>
          <w:lang w:eastAsia="zh-CN"/>
        </w:rPr>
        <w:t xml:space="preserve"> 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D</w:t>
      </w:r>
      <w:r>
        <w:rPr>
          <w:rFonts w:hint="default" w:ascii="Times New Roman" w:hAnsi="Times New Roman" w:cs="Times New Roman" w:eastAsiaTheme="minorEastAsia"/>
          <w:sz w:val="20"/>
          <w:szCs w:val="20"/>
          <w:lang w:eastAsia="zh-CN"/>
        </w:rPr>
        <w:t>istribution of ZDHHC20 and AK5 in cells, with darker color indicating higher expression levels.</w:t>
      </w:r>
    </w:p>
    <w:p w14:paraId="6D600E49">
      <w:pPr>
        <w:rPr>
          <w:rFonts w:hint="default"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hint="default" w:ascii="Times New Roman" w:hAnsi="Times New Roman" w:cs="Times New Roman" w:eastAsiaTheme="minorEastAsia"/>
          <w:sz w:val="21"/>
          <w:szCs w:val="21"/>
          <w:lang w:eastAsia="zh-CN"/>
        </w:rPr>
        <w:drawing>
          <wp:inline distT="0" distB="0" distL="114300" distR="114300">
            <wp:extent cx="5759450" cy="3840480"/>
            <wp:effectExtent l="0" t="0" r="3175" b="7620"/>
            <wp:docPr id="6" name="图片 6" descr="Figure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igureS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3A84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240" w:after="0"/>
        <w:textAlignment w:val="auto"/>
        <w:rPr>
          <w:rFonts w:hint="default" w:ascii="Times New Roman" w:hAnsi="Times New Roman" w:cs="Times New Roman"/>
          <w:sz w:val="21"/>
          <w:szCs w:val="21"/>
          <w:lang w:val="en-US" w:eastAsia="zh-CN"/>
        </w:rPr>
      </w:pPr>
      <w:bookmarkStart w:id="0" w:name="_GoBack"/>
      <w:r>
        <w:rPr>
          <w:rFonts w:hint="eastAsia" w:cs="Times New Roman"/>
          <w:b/>
          <w:bCs/>
          <w:sz w:val="20"/>
          <w:szCs w:val="20"/>
          <w:lang w:val="en-US" w:eastAsia="zh-CN"/>
        </w:rPr>
        <w:t>Fig.</w:t>
      </w:r>
      <w:r>
        <w:rPr>
          <w:rFonts w:hint="default" w:ascii="Times New Roman" w:hAnsi="Times New Roman" w:cs="Times New Roman"/>
          <w:b/>
          <w:bCs/>
          <w:sz w:val="20"/>
          <w:szCs w:val="20"/>
          <w:lang w:val="en-US" w:eastAsia="zh-CN"/>
        </w:rPr>
        <w:t xml:space="preserve"> S6. </w:t>
      </w:r>
      <w:r>
        <w:rPr>
          <w:rFonts w:hint="default" w:ascii="Times New Roman" w:hAnsi="Times New Roman" w:cs="Times New Roman"/>
          <w:sz w:val="20"/>
          <w:szCs w:val="20"/>
          <w:lang w:val="en-US" w:eastAsia="zh-CN"/>
        </w:rPr>
        <w:t>Determining the optimal resolution in oligodendrocyte.</w:t>
      </w:r>
      <w:bookmarkEnd w:id="0"/>
    </w:p>
    <w:p w14:paraId="2300428C">
      <w:pPr>
        <w:jc w:val="center"/>
        <w:rPr>
          <w:rFonts w:hint="default" w:ascii="Times New Roman" w:hAnsi="Times New Roman" w:cs="Times New Roman" w:eastAsiaTheme="minorEastAsia"/>
          <w:sz w:val="21"/>
          <w:szCs w:val="21"/>
          <w:lang w:eastAsia="zh-CN"/>
        </w:rPr>
      </w:pPr>
      <w:r>
        <w:rPr>
          <w:rFonts w:hint="default" w:ascii="Times New Roman" w:hAnsi="Times New Roman" w:cs="Times New Roman" w:eastAsiaTheme="minorEastAsia"/>
          <w:sz w:val="21"/>
          <w:szCs w:val="21"/>
          <w:lang w:eastAsia="zh-CN"/>
        </w:rPr>
        <w:drawing>
          <wp:inline distT="0" distB="0" distL="114300" distR="114300">
            <wp:extent cx="5407660" cy="6064250"/>
            <wp:effectExtent l="0" t="0" r="2540" b="3175"/>
            <wp:docPr id="8" name="图片 8" descr="Figure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igureS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7660" cy="606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91AAC">
      <w:pPr>
        <w:rPr>
          <w:rFonts w:hint="default" w:ascii="Times New Roman" w:hAnsi="Times New Roman" w:cs="Times New Roman"/>
          <w:sz w:val="21"/>
          <w:szCs w:val="21"/>
        </w:rPr>
      </w:pPr>
      <w:r>
        <w:rPr>
          <w:rFonts w:hint="eastAsia" w:cs="Times New Roman" w:eastAsiaTheme="minorEastAsia"/>
          <w:b/>
          <w:bCs/>
          <w:sz w:val="21"/>
          <w:szCs w:val="21"/>
          <w:lang w:eastAsia="zh-CN"/>
        </w:rPr>
        <w:t>Fig.</w:t>
      </w:r>
      <w:r>
        <w:rPr>
          <w:rFonts w:hint="default" w:ascii="Times New Roman" w:hAnsi="Times New Roman" w:cs="Times New Roman" w:eastAsiaTheme="minorEastAsia"/>
          <w:b/>
          <w:bCs/>
          <w:sz w:val="21"/>
          <w:szCs w:val="21"/>
          <w:lang w:eastAsia="zh-CN"/>
        </w:rPr>
        <w:t xml:space="preserve"> S</w:t>
      </w:r>
      <w:r>
        <w:rPr>
          <w:rFonts w:hint="default" w:ascii="Times New Roman" w:hAnsi="Times New Roman" w:cs="Times New Roman" w:eastAsiaTheme="minorEastAsia"/>
          <w:b/>
          <w:bCs/>
          <w:sz w:val="21"/>
          <w:szCs w:val="21"/>
          <w:lang w:val="en-US" w:eastAsia="zh-CN"/>
        </w:rPr>
        <w:t>7</w:t>
      </w:r>
      <w:r>
        <w:rPr>
          <w:rFonts w:hint="default" w:ascii="Times New Roman" w:hAnsi="Times New Roman" w:cs="Times New Roman" w:eastAsiaTheme="minorEastAsia"/>
          <w:b/>
          <w:bCs/>
          <w:sz w:val="21"/>
          <w:szCs w:val="21"/>
          <w:lang w:eastAsia="zh-CN"/>
        </w:rPr>
        <w:t>.</w:t>
      </w:r>
      <w:r>
        <w:rPr>
          <w:rFonts w:hint="default" w:ascii="Times New Roman" w:hAnsi="Times New Roman" w:cs="Times New Roman" w:eastAsiaTheme="minorEastAsia"/>
          <w:sz w:val="21"/>
          <w:szCs w:val="21"/>
          <w:lang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 w:eastAsiaTheme="minorEastAsia"/>
          <w:b/>
          <w:bCs/>
          <w:sz w:val="21"/>
          <w:szCs w:val="21"/>
          <w:lang w:eastAsia="zh-CN"/>
        </w:rPr>
        <w:t>(A)</w:t>
      </w:r>
      <w:r>
        <w:rPr>
          <w:rFonts w:hint="default" w:ascii="Times New Roman" w:hAnsi="Times New Roman" w:cs="Times New Roman" w:eastAsiaTheme="minorEastAsia"/>
          <w:sz w:val="21"/>
          <w:szCs w:val="21"/>
          <w:lang w:eastAsia="zh-CN"/>
        </w:rPr>
        <w:t xml:space="preserve"> Selection of transcripts (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 xml:space="preserve">represented by </w:t>
      </w:r>
      <w:r>
        <w:rPr>
          <w:rFonts w:hint="default" w:ascii="Times New Roman" w:hAnsi="Times New Roman" w:cs="Times New Roman" w:eastAsiaTheme="minorEastAsia"/>
          <w:sz w:val="21"/>
          <w:szCs w:val="21"/>
          <w:lang w:eastAsia="zh-CN"/>
        </w:rPr>
        <w:t xml:space="preserve">black dots) </w:t>
      </w:r>
      <w:r>
        <w:rPr>
          <w:rFonts w:hint="default" w:ascii="Times New Roman" w:hAnsi="Times New Roman" w:cs="Times New Roman"/>
          <w:sz w:val="21"/>
          <w:szCs w:val="21"/>
          <w:lang w:val="en-US" w:eastAsia="zh-CN"/>
        </w:rPr>
        <w:t>that meet</w:t>
      </w:r>
      <w:r>
        <w:rPr>
          <w:rFonts w:hint="default" w:ascii="Times New Roman" w:hAnsi="Times New Roman" w:cs="Times New Roman" w:eastAsiaTheme="minorEastAsia"/>
          <w:sz w:val="21"/>
          <w:szCs w:val="21"/>
          <w:lang w:eastAsia="zh-CN"/>
        </w:rPr>
        <w:t xml:space="preserve"> the criteria for pseudotime analysis. </w:t>
      </w:r>
      <w:r>
        <w:rPr>
          <w:rFonts w:hint="default" w:ascii="Times New Roman" w:hAnsi="Times New Roman" w:cs="Times New Roman" w:eastAsiaTheme="minorEastAsia"/>
          <w:b/>
          <w:bCs/>
          <w:sz w:val="21"/>
          <w:szCs w:val="21"/>
          <w:lang w:eastAsia="zh-CN"/>
        </w:rPr>
        <w:t>(B)</w:t>
      </w:r>
      <w:r>
        <w:rPr>
          <w:rFonts w:hint="default" w:ascii="Times New Roman" w:hAnsi="Times New Roman" w:cs="Times New Roman" w:eastAsiaTheme="minorEastAsia"/>
          <w:sz w:val="21"/>
          <w:szCs w:val="21"/>
          <w:lang w:eastAsia="zh-CN"/>
        </w:rPr>
        <w:t xml:space="preserve"> Distribution of different states along the pseudotime trajectory. </w:t>
      </w:r>
      <w:r>
        <w:rPr>
          <w:rFonts w:hint="default" w:ascii="Times New Roman" w:hAnsi="Times New Roman" w:cs="Times New Roman" w:eastAsiaTheme="minorEastAsia"/>
          <w:b/>
          <w:bCs/>
          <w:sz w:val="21"/>
          <w:szCs w:val="21"/>
          <w:lang w:eastAsia="zh-CN"/>
        </w:rPr>
        <w:t>(C)</w:t>
      </w:r>
      <w:r>
        <w:rPr>
          <w:rFonts w:hint="default" w:ascii="Times New Roman" w:hAnsi="Times New Roman" w:cs="Times New Roman" w:eastAsiaTheme="minorEastAsia"/>
          <w:sz w:val="21"/>
          <w:szCs w:val="21"/>
          <w:lang w:eastAsia="zh-CN"/>
        </w:rPr>
        <w:t xml:space="preserve"> Distribution of different clusters on the trajectory.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B53255D"/>
    <w:rsid w:val="05972365"/>
    <w:rsid w:val="094E23F7"/>
    <w:rsid w:val="0D307327"/>
    <w:rsid w:val="52E15F9A"/>
    <w:rsid w:val="653463FD"/>
    <w:rsid w:val="6F6F0E67"/>
    <w:rsid w:val="7B532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 w:line="240" w:lineRule="auto"/>
    </w:pPr>
    <w:rPr>
      <w:rFonts w:ascii="Times New Roman" w:hAnsi="Times New Roman" w:eastAsiaTheme="minorHAnsi" w:cstheme="minorBidi"/>
      <w:sz w:val="24"/>
      <w:szCs w:val="22"/>
      <w:lang w:val="en-US" w:eastAsia="en-US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tiff"/><Relationship Id="rId8" Type="http://schemas.openxmlformats.org/officeDocument/2006/relationships/image" Target="media/image3.tiff"/><Relationship Id="rId7" Type="http://schemas.openxmlformats.org/officeDocument/2006/relationships/image" Target="media/image2.tiff"/><Relationship Id="rId6" Type="http://schemas.openxmlformats.org/officeDocument/2006/relationships/image" Target="media/image1.tiff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tiff"/><Relationship Id="rId11" Type="http://schemas.openxmlformats.org/officeDocument/2006/relationships/image" Target="media/image6.tiff"/><Relationship Id="rId10" Type="http://schemas.openxmlformats.org/officeDocument/2006/relationships/image" Target="media/image5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440</Words>
  <Characters>2511</Characters>
  <Lines>0</Lines>
  <Paragraphs>0</Paragraphs>
  <TotalTime>8</TotalTime>
  <ScaleCrop>false</ScaleCrop>
  <LinksUpToDate>false</LinksUpToDate>
  <CharactersWithSpaces>2891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2026-01-20T07:53:00Z</dcterms:created>
  <dc:creator>隔壁小孩</dc:creator>
  <cp:lastModifiedBy>隔壁小孩</cp:lastModifiedBy>
  <dcterms:modified xsi:type="dcterms:W3CDTF">2026-01-27T13:53:58Z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B16EDBE80D7B45A2899FEEFBACCADE9E_11</vt:lpwstr>
  </property>
  <property fmtid="{D5CDD505-2E9C-101B-9397-08002B2CF9AE}" pid="4" name="KSOTemplateDocerSaveRecord">
    <vt:lpwstr>eyJoZGlkIjoiODNjMGEwNjQ3YTEwYzMzODFkMjk2OGE1OTk2NjM5M2MiLCJ1c2VySWQiOiI0MjM2NzI0NzMifQ==</vt:lpwstr>
  </property>
</Properties>
</file>