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D207" w14:textId="77777777" w:rsidR="00A9537B" w:rsidRDefault="00A9537B" w:rsidP="007763DA">
      <w:pPr>
        <w:jc w:val="center"/>
        <w:rPr>
          <w:rFonts w:cs="Arial"/>
          <w:b/>
          <w:bCs/>
          <w:sz w:val="32"/>
          <w:szCs w:val="32"/>
        </w:rPr>
      </w:pPr>
      <w:r w:rsidRPr="004C6C2D">
        <w:rPr>
          <w:rFonts w:cs="Arial"/>
          <w:b/>
          <w:bCs/>
          <w:sz w:val="32"/>
          <w:szCs w:val="32"/>
        </w:rPr>
        <w:t>Interaction Aware Inquiry Design for Hyper Personalised Healthcare</w:t>
      </w:r>
    </w:p>
    <w:p w14:paraId="3A884B49" w14:textId="77777777" w:rsidR="007847DE" w:rsidRPr="00565EFA" w:rsidRDefault="007847DE" w:rsidP="007847DE">
      <w:pPr>
        <w:spacing w:after="0" w:line="240" w:lineRule="auto"/>
        <w:jc w:val="center"/>
        <w:rPr>
          <w:rFonts w:eastAsia="Times New Roman" w:cs="Arial"/>
          <w:kern w:val="0"/>
          <w:lang w:val="it-IT" w:eastAsia="en-GB"/>
          <w14:ligatures w14:val="none"/>
        </w:rPr>
      </w:pPr>
      <w:r w:rsidRPr="00565EFA">
        <w:rPr>
          <w:rFonts w:eastAsia="Times New Roman" w:cs="Arial"/>
          <w:kern w:val="0"/>
          <w:lang w:val="it-IT" w:eastAsia="en-GB"/>
          <w14:ligatures w14:val="none"/>
        </w:rPr>
        <w:t>Marzena Nieroda</w:t>
      </w:r>
      <w:r w:rsidRPr="00565EFA">
        <w:rPr>
          <w:rFonts w:eastAsia="Times New Roman" w:cs="Arial"/>
          <w:kern w:val="0"/>
          <w:vertAlign w:val="superscript"/>
          <w:lang w:val="it-IT" w:eastAsia="en-GB"/>
          <w14:ligatures w14:val="none"/>
        </w:rPr>
        <w:t>1</w:t>
      </w:r>
      <w:r w:rsidRPr="00565EFA">
        <w:rPr>
          <w:rFonts w:eastAsia="Times New Roman" w:cs="Arial"/>
          <w:kern w:val="0"/>
          <w:lang w:val="it-IT" w:eastAsia="en-GB"/>
          <w14:ligatures w14:val="none"/>
        </w:rPr>
        <w:t>, Philip Treleaven</w:t>
      </w:r>
      <w:r w:rsidRPr="00565EFA">
        <w:rPr>
          <w:rFonts w:eastAsia="Times New Roman" w:cs="Arial"/>
          <w:kern w:val="0"/>
          <w:vertAlign w:val="superscript"/>
          <w:lang w:val="it-IT" w:eastAsia="en-GB"/>
          <w14:ligatures w14:val="none"/>
        </w:rPr>
        <w:t>2</w:t>
      </w:r>
    </w:p>
    <w:p w14:paraId="19BD0983" w14:textId="77777777" w:rsidR="007847DE" w:rsidRPr="00565EFA" w:rsidRDefault="007847DE" w:rsidP="007847DE">
      <w:pPr>
        <w:jc w:val="center"/>
        <w:rPr>
          <w:rFonts w:eastAsia="Times New Roman" w:cs="Arial"/>
          <w:kern w:val="0"/>
          <w:lang w:eastAsia="en-GB"/>
          <w14:ligatures w14:val="none"/>
        </w:rPr>
      </w:pPr>
      <w:r w:rsidRPr="00565EFA">
        <w:rPr>
          <w:rFonts w:eastAsia="Times New Roman" w:cs="Arial"/>
          <w:kern w:val="0"/>
          <w:vertAlign w:val="superscript"/>
          <w:lang w:eastAsia="en-GB"/>
          <w14:ligatures w14:val="none"/>
        </w:rPr>
        <w:t>1</w:t>
      </w:r>
      <w:r w:rsidRPr="00565EFA">
        <w:rPr>
          <w:rFonts w:eastAsia="Times New Roman" w:cs="Arial"/>
          <w:kern w:val="0"/>
          <w:lang w:eastAsia="en-GB"/>
          <w14:ligatures w14:val="none"/>
        </w:rPr>
        <w:t xml:space="preserve">UCL Global Business School for Health, </w:t>
      </w:r>
      <w:r w:rsidRPr="00565EFA">
        <w:rPr>
          <w:rFonts w:eastAsia="Times New Roman" w:cs="Arial"/>
          <w:kern w:val="0"/>
          <w:vertAlign w:val="superscript"/>
          <w:lang w:eastAsia="en-GB"/>
          <w14:ligatures w14:val="none"/>
        </w:rPr>
        <w:t>2</w:t>
      </w:r>
      <w:r w:rsidRPr="00565EFA">
        <w:rPr>
          <w:rFonts w:eastAsia="Times New Roman" w:cs="Arial"/>
          <w:kern w:val="0"/>
          <w:lang w:eastAsia="en-GB"/>
          <w14:ligatures w14:val="none"/>
        </w:rPr>
        <w:t xml:space="preserve">UCL Computer Science. </w:t>
      </w:r>
    </w:p>
    <w:p w14:paraId="37C7BEF8" w14:textId="77777777" w:rsidR="002A1282" w:rsidRDefault="002A1282" w:rsidP="00AA3BF2">
      <w:pPr>
        <w:pStyle w:val="Heading2"/>
        <w:rPr>
          <w:color w:val="auto"/>
        </w:rPr>
      </w:pPr>
    </w:p>
    <w:p w14:paraId="6D07B195" w14:textId="29EAC0EB" w:rsidR="002A1282" w:rsidRPr="006240A2" w:rsidRDefault="002A1282" w:rsidP="00AA3BF2">
      <w:pPr>
        <w:pStyle w:val="Heading2"/>
        <w:rPr>
          <w:rFonts w:ascii="Arial" w:hAnsi="Arial" w:cs="Arial"/>
          <w:b/>
          <w:bCs/>
          <w:color w:val="auto"/>
          <w:sz w:val="28"/>
          <w:szCs w:val="28"/>
        </w:rPr>
      </w:pPr>
      <w:r w:rsidRPr="006240A2">
        <w:rPr>
          <w:rFonts w:ascii="Arial" w:hAnsi="Arial" w:cs="Arial"/>
          <w:b/>
          <w:bCs/>
          <w:color w:val="auto"/>
          <w:sz w:val="28"/>
          <w:szCs w:val="28"/>
        </w:rPr>
        <w:t>Supplementary Background Section</w:t>
      </w:r>
    </w:p>
    <w:p w14:paraId="2E37DB0B" w14:textId="04F60418" w:rsidR="00AA3BF2" w:rsidRPr="00C01A73" w:rsidRDefault="00AA3BF2" w:rsidP="00AA3BF2">
      <w:pPr>
        <w:pStyle w:val="Heading2"/>
        <w:rPr>
          <w:color w:val="auto"/>
        </w:rPr>
      </w:pPr>
      <w:r w:rsidRPr="00C01A73">
        <w:rPr>
          <w:color w:val="auto"/>
        </w:rPr>
        <w:t xml:space="preserve">1. </w:t>
      </w:r>
      <w:r w:rsidRPr="00C01A73">
        <w:rPr>
          <w:color w:val="auto"/>
        </w:rPr>
        <w:t>Data and AI Foundations for Hyper-Personalised Health</w:t>
      </w:r>
    </w:p>
    <w:p w14:paraId="2FDAFC7B" w14:textId="77777777" w:rsidR="00AA3BF2" w:rsidRPr="00C01A73" w:rsidRDefault="00AA3BF2" w:rsidP="00AA3BF2">
      <w:pPr>
        <w:rPr>
          <w:rFonts w:cs="Arial"/>
        </w:rPr>
      </w:pPr>
      <w:r w:rsidRPr="00C01A73">
        <w:rPr>
          <w:rFonts w:cs="Arial"/>
        </w:rPr>
        <w:t>Hyper-personalised health depends on reasoning across heterogeneous evidence rather than analysing domains in isolation. Recent advances in data infrastructure and artificial intelligence make such cross-domain reasoning increasingly feasible but also change how health questions are posed: when access is mediated through natural-language systems, inquiry is increasingly specified through prompts, and the structure of the question becomes a primary determinant of what can be inferred.</w:t>
      </w:r>
    </w:p>
    <w:p w14:paraId="7F14B918" w14:textId="0904C5E6" w:rsidR="00AA3BF2" w:rsidRPr="00C01A73" w:rsidRDefault="00AA3BF2" w:rsidP="00AA3BF2">
      <w:pPr>
        <w:rPr>
          <w:rFonts w:cs="Arial"/>
        </w:rPr>
      </w:pPr>
      <w:r w:rsidRPr="00C01A73">
        <w:rPr>
          <w:rFonts w:cs="Arial"/>
        </w:rPr>
        <w:t>An illustration of this shift is provided by the Open Health platform [</w:t>
      </w:r>
      <w:r w:rsidR="00C97DB5">
        <w:rPr>
          <w:rFonts w:cs="Arial"/>
        </w:rPr>
        <w:t>1-2]</w:t>
      </w:r>
      <w:r w:rsidRPr="00C01A73">
        <w:rPr>
          <w:rFonts w:cs="Arial"/>
        </w:rPr>
        <w:t>, which exemplifies how emerging data and AI infrastructures increasingly mediate access to distributed health evidence in hyper-personalised settings. Existing solutions for collaborative health research typically fall into three architectural categories:</w:t>
      </w:r>
    </w:p>
    <w:p w14:paraId="590DD9AF" w14:textId="416BAC64" w:rsidR="00AA3BF2" w:rsidRPr="00C01A73" w:rsidRDefault="00AA3BF2" w:rsidP="00AA3BF2">
      <w:pPr>
        <w:numPr>
          <w:ilvl w:val="0"/>
          <w:numId w:val="3"/>
        </w:numPr>
        <w:rPr>
          <w:rFonts w:cs="Arial"/>
        </w:rPr>
      </w:pPr>
      <w:r w:rsidRPr="00C01A73">
        <w:rPr>
          <w:rFonts w:cs="Arial"/>
          <w:b/>
          <w:bCs/>
        </w:rPr>
        <w:t>Shared database platforms</w:t>
      </w:r>
      <w:r w:rsidRPr="00C01A73">
        <w:rPr>
          <w:rFonts w:cs="Arial"/>
        </w:rPr>
        <w:t xml:space="preserve"> (data lakes): centralise data into repositories to enable large-scale analysis, but face persistent challenges related to privacy, data sovereignty, and cross-jurisdictional governance [</w:t>
      </w:r>
      <w:r w:rsidR="00C97DB5">
        <w:rPr>
          <w:rFonts w:cs="Arial"/>
        </w:rPr>
        <w:t>3]</w:t>
      </w:r>
      <w:r w:rsidRPr="00C01A73">
        <w:rPr>
          <w:rFonts w:cs="Arial"/>
        </w:rPr>
        <w:t>.</w:t>
      </w:r>
    </w:p>
    <w:p w14:paraId="0364F41B" w14:textId="5AC16233" w:rsidR="00AA3BF2" w:rsidRPr="00C01A73" w:rsidRDefault="00AA3BF2" w:rsidP="00AA3BF2">
      <w:pPr>
        <w:numPr>
          <w:ilvl w:val="0"/>
          <w:numId w:val="3"/>
        </w:numPr>
        <w:rPr>
          <w:rFonts w:cs="Arial"/>
        </w:rPr>
      </w:pPr>
      <w:r w:rsidRPr="00C01A73">
        <w:rPr>
          <w:rFonts w:cs="Arial"/>
          <w:b/>
          <w:bCs/>
        </w:rPr>
        <w:t>Trusted Research Environments</w:t>
      </w:r>
      <w:r w:rsidRPr="00C01A73">
        <w:rPr>
          <w:rFonts w:cs="Arial"/>
        </w:rPr>
        <w:t xml:space="preserve"> (TREs): provide secure, audited access to sensitive data, but remain institutionally siloed and difficult to integrate across datasets and domains [</w:t>
      </w:r>
      <w:r w:rsidR="00C97DB5">
        <w:rPr>
          <w:rFonts w:cs="Arial"/>
        </w:rPr>
        <w:t>3-4]</w:t>
      </w:r>
      <w:r w:rsidRPr="00C01A73">
        <w:rPr>
          <w:rFonts w:cs="Arial"/>
        </w:rPr>
        <w:t>.</w:t>
      </w:r>
    </w:p>
    <w:p w14:paraId="52F56801" w14:textId="2758972F" w:rsidR="00AA3BF2" w:rsidRPr="00C01A73" w:rsidRDefault="00AA3BF2" w:rsidP="00AA3BF2">
      <w:pPr>
        <w:numPr>
          <w:ilvl w:val="0"/>
          <w:numId w:val="3"/>
        </w:numPr>
        <w:rPr>
          <w:rFonts w:cs="Arial"/>
        </w:rPr>
      </w:pPr>
      <w:r w:rsidRPr="00C01A73">
        <w:rPr>
          <w:rFonts w:cs="Arial"/>
          <w:b/>
          <w:bCs/>
        </w:rPr>
        <w:t>Federated Computing</w:t>
      </w:r>
      <w:r w:rsidRPr="00C01A73">
        <w:rPr>
          <w:rFonts w:cs="Arial"/>
        </w:rPr>
        <w:t xml:space="preserve"> approaches: enable computation to occur where data reside, supporting multi-partner analytics without centralising raw data [</w:t>
      </w:r>
      <w:r w:rsidR="003C6134">
        <w:rPr>
          <w:rFonts w:cs="Arial"/>
        </w:rPr>
        <w:t>3,5]</w:t>
      </w:r>
      <w:r w:rsidRPr="00C01A73">
        <w:rPr>
          <w:rFonts w:cs="Arial"/>
        </w:rPr>
        <w:t>.</w:t>
      </w:r>
    </w:p>
    <w:p w14:paraId="2BA3D10C" w14:textId="77777777" w:rsidR="00AA3BF2" w:rsidRPr="00C01A73" w:rsidRDefault="00AA3BF2" w:rsidP="00AA3BF2">
      <w:pPr>
        <w:rPr>
          <w:rFonts w:cs="Arial"/>
        </w:rPr>
      </w:pPr>
      <w:r w:rsidRPr="00C01A73">
        <w:rPr>
          <w:rFonts w:cs="Arial"/>
        </w:rPr>
        <w:t>Open Health adopts the Federated Computing paradigm, operationalising it through an orchestration layer structured around four pillars:</w:t>
      </w:r>
    </w:p>
    <w:p w14:paraId="4697754D" w14:textId="77777777" w:rsidR="00AA3BF2" w:rsidRPr="00C01A73" w:rsidRDefault="00AA3BF2" w:rsidP="00AA3BF2">
      <w:pPr>
        <w:numPr>
          <w:ilvl w:val="0"/>
          <w:numId w:val="4"/>
        </w:numPr>
        <w:rPr>
          <w:rFonts w:cs="Arial"/>
        </w:rPr>
      </w:pPr>
      <w:r w:rsidRPr="00C01A73">
        <w:rPr>
          <w:rFonts w:cs="Arial"/>
          <w:b/>
          <w:bCs/>
        </w:rPr>
        <w:t>Distributed data assets</w:t>
      </w:r>
      <w:r w:rsidRPr="00C01A73">
        <w:rPr>
          <w:rFonts w:cs="Arial"/>
        </w:rPr>
        <w:t>: data remain under local institutional stewardship.</w:t>
      </w:r>
    </w:p>
    <w:p w14:paraId="3B7BF0CD" w14:textId="77777777" w:rsidR="00AA3BF2" w:rsidRPr="00C01A73" w:rsidRDefault="00AA3BF2" w:rsidP="00AA3BF2">
      <w:pPr>
        <w:numPr>
          <w:ilvl w:val="0"/>
          <w:numId w:val="4"/>
        </w:numPr>
        <w:rPr>
          <w:rFonts w:cs="Arial"/>
        </w:rPr>
      </w:pPr>
      <w:r w:rsidRPr="00C01A73">
        <w:rPr>
          <w:rFonts w:cs="Arial"/>
          <w:b/>
          <w:bCs/>
        </w:rPr>
        <w:t>Federated services</w:t>
      </w:r>
      <w:r w:rsidRPr="00C01A73">
        <w:rPr>
          <w:rFonts w:cs="Arial"/>
        </w:rPr>
        <w:t>: analytics and learning are executed at source, with only approved outputs exchanged.</w:t>
      </w:r>
    </w:p>
    <w:p w14:paraId="1CD1BC8B" w14:textId="77777777" w:rsidR="00AA3BF2" w:rsidRPr="00C01A73" w:rsidRDefault="00AA3BF2" w:rsidP="00AA3BF2">
      <w:pPr>
        <w:numPr>
          <w:ilvl w:val="0"/>
          <w:numId w:val="4"/>
        </w:numPr>
        <w:rPr>
          <w:rFonts w:cs="Arial"/>
        </w:rPr>
      </w:pPr>
      <w:r w:rsidRPr="00C01A73">
        <w:rPr>
          <w:rFonts w:cs="Arial"/>
          <w:b/>
          <w:bCs/>
        </w:rPr>
        <w:t>Standards-based APIs</w:t>
      </w:r>
      <w:r w:rsidRPr="00C01A73">
        <w:rPr>
          <w:rFonts w:cs="Arial"/>
        </w:rPr>
        <w:t>: interoperable interfaces enable integration across heterogeneous systems.</w:t>
      </w:r>
    </w:p>
    <w:p w14:paraId="353AF2B2" w14:textId="77777777" w:rsidR="00AA3BF2" w:rsidRPr="00C01A73" w:rsidRDefault="00AA3BF2" w:rsidP="00AA3BF2">
      <w:pPr>
        <w:numPr>
          <w:ilvl w:val="0"/>
          <w:numId w:val="4"/>
        </w:numPr>
        <w:rPr>
          <w:rFonts w:cs="Arial"/>
        </w:rPr>
      </w:pPr>
      <w:r w:rsidRPr="00C01A73">
        <w:rPr>
          <w:rFonts w:cs="Arial"/>
          <w:b/>
          <w:bCs/>
        </w:rPr>
        <w:t>Governance-as-code</w:t>
      </w:r>
      <w:r w:rsidRPr="00C01A73">
        <w:rPr>
          <w:rFonts w:cs="Arial"/>
        </w:rPr>
        <w:t>: access, consent, and data-use policies are enforced at runtime through federated orchestration.</w:t>
      </w:r>
    </w:p>
    <w:p w14:paraId="317D541B" w14:textId="77777777" w:rsidR="00AA3BF2" w:rsidRPr="00C01A73" w:rsidRDefault="00AA3BF2" w:rsidP="00AA3BF2">
      <w:pPr>
        <w:rPr>
          <w:rFonts w:cs="Arial"/>
        </w:rPr>
      </w:pPr>
      <w:r w:rsidRPr="00C01A73">
        <w:rPr>
          <w:rFonts w:cs="Arial"/>
        </w:rPr>
        <w:lastRenderedPageBreak/>
        <w:t>Together, these capabilities illustrate how contemporary infrastructures increasingly enable joint interrogation of heterogeneous health data, while also foregrounding a critical implication for AI-mediated health reasoning: as access to multi-domain evidence becomes mediated through platforms and natural-language interfaces, the formulation of health inquiry itself—rather than data availability or model capability—becomes a central determinant of what can be inferred. This motivates the focus of the following sections on the structure of multi-domain health evidence and its implications for prompt-based inquiry.</w:t>
      </w:r>
    </w:p>
    <w:p w14:paraId="3010678D" w14:textId="3A5EEBAD" w:rsidR="00AA3BF2" w:rsidRPr="00C01A73" w:rsidRDefault="00AA3BF2" w:rsidP="00AA3BF2">
      <w:pPr>
        <w:pStyle w:val="Heading3"/>
        <w:rPr>
          <w:color w:val="auto"/>
        </w:rPr>
      </w:pPr>
      <w:r w:rsidRPr="00C01A73">
        <w:rPr>
          <w:color w:val="auto"/>
        </w:rPr>
        <w:t>1</w:t>
      </w:r>
      <w:r w:rsidRPr="00C01A73">
        <w:rPr>
          <w:color w:val="auto"/>
        </w:rPr>
        <w:t>.1</w:t>
      </w:r>
      <w:r w:rsidRPr="00C01A73">
        <w:rPr>
          <w:color w:val="auto"/>
        </w:rPr>
        <w:tab/>
        <w:t>Multi-Domain Data Foundations for Hyper-Personalised Health</w:t>
      </w:r>
    </w:p>
    <w:p w14:paraId="00615A9A" w14:textId="58207EA3" w:rsidR="00AA3BF2" w:rsidRPr="00C01A73" w:rsidRDefault="00AA3BF2" w:rsidP="00AA3BF2">
      <w:pPr>
        <w:rPr>
          <w:rFonts w:cs="Arial"/>
        </w:rPr>
      </w:pPr>
      <w:r w:rsidRPr="00C01A73">
        <w:rPr>
          <w:rFonts w:cs="Arial"/>
        </w:rPr>
        <w:t xml:space="preserve">Hyper-personalised health requires the integration of heterogeneous data capturing complementary determinants of health across biological, clinical, behavioural, social, environmental, and life-course dimensions </w:t>
      </w:r>
      <w:r w:rsidR="00EF0508">
        <w:rPr>
          <w:rFonts w:cs="Arial"/>
        </w:rPr>
        <w:t>[6]</w:t>
      </w:r>
      <w:r w:rsidRPr="00C01A73">
        <w:rPr>
          <w:rFonts w:cs="Arial"/>
        </w:rPr>
        <w:t>. Each domain contributes distinct information—ranging from molecular mechanisms and clinical trajectories to lived experience and contextual exposures—that becomes informative only when considered in relation to others.</w:t>
      </w:r>
    </w:p>
    <w:p w14:paraId="31DD7946" w14:textId="2539543D" w:rsidR="00AA3BF2" w:rsidRPr="00C01A73" w:rsidRDefault="00AA3BF2" w:rsidP="00AA3BF2">
      <w:pPr>
        <w:rPr>
          <w:rFonts w:cs="Arial"/>
        </w:rPr>
      </w:pPr>
      <w:r w:rsidRPr="00C01A73">
        <w:rPr>
          <w:rFonts w:cs="Arial"/>
        </w:rPr>
        <w:t xml:space="preserve">As summarised in Table </w:t>
      </w:r>
      <w:r w:rsidR="0062375A">
        <w:rPr>
          <w:rFonts w:cs="Arial"/>
        </w:rPr>
        <w:t>1</w:t>
      </w:r>
      <w:r w:rsidRPr="00C01A73">
        <w:rPr>
          <w:rFonts w:cs="Arial"/>
        </w:rPr>
        <w:t>, large-scale datasets spanning these domains are now well established across population cohorts, healthcare systems, and administrative sources. Importantly, these data are rarely co-located.</w:t>
      </w:r>
      <w:r w:rsidRPr="00C01A73">
        <w:t xml:space="preserve"> </w:t>
      </w:r>
      <w:r w:rsidRPr="00C01A73">
        <w:rPr>
          <w:rFonts w:cs="Arial"/>
        </w:rPr>
        <w:t>Although such data are abundant, they remain fragmented across institutions, purposes, and legal–ethical regimes, historically limiting integrated analysis less through data scarcity than through constraints on joint use [</w:t>
      </w:r>
      <w:r w:rsidR="007C1E80">
        <w:rPr>
          <w:rFonts w:cs="Arial"/>
        </w:rPr>
        <w:t>3,7</w:t>
      </w:r>
      <w:r w:rsidR="00AD4DB0">
        <w:rPr>
          <w:rFonts w:cs="Arial"/>
        </w:rPr>
        <w:t>]</w:t>
      </w:r>
      <w:r w:rsidRPr="00C01A73">
        <w:rPr>
          <w:rFonts w:cs="Arial"/>
        </w:rPr>
        <w:t>.</w:t>
      </w:r>
    </w:p>
    <w:p w14:paraId="1882362B" w14:textId="77777777" w:rsidR="00AA3BF2" w:rsidRPr="00C01A73" w:rsidRDefault="00AA3BF2" w:rsidP="00AA3BF2">
      <w:pPr>
        <w:rPr>
          <w:rFonts w:cs="Arial"/>
        </w:rPr>
      </w:pPr>
      <w:r w:rsidRPr="00C01A73">
        <w:rPr>
          <w:rFonts w:cs="Arial"/>
          <w:noProof/>
        </w:rPr>
        <w:lastRenderedPageBreak/>
        <mc:AlternateContent>
          <mc:Choice Requires="wps">
            <w:drawing>
              <wp:inline distT="0" distB="0" distL="0" distR="0" wp14:anchorId="0D634433" wp14:editId="343C2358">
                <wp:extent cx="5683250" cy="5403850"/>
                <wp:effectExtent l="0" t="0" r="12700" b="25400"/>
                <wp:docPr id="1553711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5403850"/>
                        </a:xfrm>
                        <a:prstGeom prst="rect">
                          <a:avLst/>
                        </a:prstGeom>
                        <a:solidFill>
                          <a:srgbClr val="FFFFFF"/>
                        </a:solidFill>
                        <a:ln w="9525">
                          <a:solidFill>
                            <a:srgbClr val="000000"/>
                          </a:solidFill>
                          <a:miter lim="800000"/>
                          <a:headEnd/>
                          <a:tailEnd/>
                        </a:ln>
                      </wps:spPr>
                      <wps:txbx>
                        <w:txbxContent>
                          <w:p w14:paraId="1FEA78CE" w14:textId="0C1ED35F" w:rsidR="00AA3BF2" w:rsidRPr="008F65FA" w:rsidRDefault="00AA3BF2" w:rsidP="00AA3BF2">
                            <w:pPr>
                              <w:rPr>
                                <w:rFonts w:cs="Arial"/>
                                <w:sz w:val="18"/>
                                <w:szCs w:val="18"/>
                              </w:rPr>
                            </w:pPr>
                            <w:r w:rsidRPr="008F65FA">
                              <w:rPr>
                                <w:rFonts w:cs="Arial"/>
                                <w:b/>
                                <w:bCs/>
                                <w:sz w:val="18"/>
                                <w:szCs w:val="18"/>
                              </w:rPr>
                              <w:t xml:space="preserve">Table </w:t>
                            </w:r>
                            <w:r w:rsidR="009E5065">
                              <w:rPr>
                                <w:rFonts w:cs="Arial"/>
                                <w:b/>
                                <w:bCs/>
                                <w:sz w:val="18"/>
                                <w:szCs w:val="18"/>
                              </w:rPr>
                              <w:t>1</w:t>
                            </w:r>
                            <w:r w:rsidRPr="008F65FA">
                              <w:rPr>
                                <w:rFonts w:cs="Arial"/>
                                <w:b/>
                                <w:bCs/>
                                <w:sz w:val="18"/>
                                <w:szCs w:val="18"/>
                              </w:rPr>
                              <w:t>.</w:t>
                            </w:r>
                            <w:r w:rsidRPr="008F65FA">
                              <w:rPr>
                                <w:rFonts w:cs="Arial"/>
                                <w:sz w:val="18"/>
                                <w:szCs w:val="18"/>
                              </w:rPr>
                              <w:t xml:space="preserve"> Key data domains supporting precision and hyper-personalised health</w:t>
                            </w:r>
                          </w:p>
                          <w:tbl>
                            <w:tblPr>
                              <w:tblStyle w:val="TableGrid"/>
                              <w:tblW w:w="8642" w:type="dxa"/>
                              <w:tblLook w:val="04A0" w:firstRow="1" w:lastRow="0" w:firstColumn="1" w:lastColumn="0" w:noHBand="0" w:noVBand="1"/>
                            </w:tblPr>
                            <w:tblGrid>
                              <w:gridCol w:w="1844"/>
                              <w:gridCol w:w="3538"/>
                              <w:gridCol w:w="3260"/>
                            </w:tblGrid>
                            <w:tr w:rsidR="00AA3BF2" w:rsidRPr="00B40683" w14:paraId="2B923B12" w14:textId="77777777" w:rsidTr="00022391">
                              <w:trPr>
                                <w:trHeight w:val="508"/>
                              </w:trPr>
                              <w:tc>
                                <w:tcPr>
                                  <w:tcW w:w="1844" w:type="dxa"/>
                                  <w:vAlign w:val="center"/>
                                </w:tcPr>
                                <w:p w14:paraId="01292A77" w14:textId="77777777" w:rsidR="00AA3BF2" w:rsidRPr="006A53B2" w:rsidRDefault="00AA3BF2" w:rsidP="00CE0230">
                                  <w:pPr>
                                    <w:rPr>
                                      <w:rFonts w:cs="Arial"/>
                                      <w:sz w:val="20"/>
                                      <w:szCs w:val="20"/>
                                    </w:rPr>
                                  </w:pPr>
                                  <w:r w:rsidRPr="006A53B2">
                                    <w:rPr>
                                      <w:rFonts w:cs="Arial"/>
                                      <w:sz w:val="20"/>
                                      <w:szCs w:val="20"/>
                                    </w:rPr>
                                    <w:t>Data Domain</w:t>
                                  </w:r>
                                </w:p>
                              </w:tc>
                              <w:tc>
                                <w:tcPr>
                                  <w:tcW w:w="3538" w:type="dxa"/>
                                  <w:vAlign w:val="center"/>
                                </w:tcPr>
                                <w:p w14:paraId="234ED07A" w14:textId="77777777" w:rsidR="00AA3BF2" w:rsidRPr="006A53B2" w:rsidRDefault="00AA3BF2" w:rsidP="00CE0230">
                                  <w:pPr>
                                    <w:rPr>
                                      <w:rFonts w:cs="Arial"/>
                                      <w:sz w:val="20"/>
                                      <w:szCs w:val="20"/>
                                    </w:rPr>
                                  </w:pPr>
                                  <w:r w:rsidRPr="006A53B2">
                                    <w:rPr>
                                      <w:rFonts w:cs="Arial"/>
                                      <w:sz w:val="20"/>
                                      <w:szCs w:val="20"/>
                                    </w:rPr>
                                    <w:t>Description</w:t>
                                  </w:r>
                                </w:p>
                              </w:tc>
                              <w:tc>
                                <w:tcPr>
                                  <w:tcW w:w="3260" w:type="dxa"/>
                                  <w:vAlign w:val="center"/>
                                </w:tcPr>
                                <w:p w14:paraId="21A0A979" w14:textId="77777777" w:rsidR="00AA3BF2" w:rsidRPr="006A53B2" w:rsidRDefault="00AA3BF2" w:rsidP="00CE0230">
                                  <w:pPr>
                                    <w:rPr>
                                      <w:rFonts w:cs="Arial"/>
                                      <w:sz w:val="20"/>
                                      <w:szCs w:val="20"/>
                                    </w:rPr>
                                  </w:pPr>
                                  <w:r w:rsidRPr="006A53B2">
                                    <w:rPr>
                                      <w:rFonts w:cs="Arial"/>
                                      <w:sz w:val="20"/>
                                      <w:szCs w:val="20"/>
                                    </w:rPr>
                                    <w:t>Dataset Examples</w:t>
                                  </w:r>
                                </w:p>
                              </w:tc>
                            </w:tr>
                            <w:tr w:rsidR="00AA3BF2" w:rsidRPr="00022391" w14:paraId="2DEFD312" w14:textId="77777777" w:rsidTr="00022391">
                              <w:tc>
                                <w:tcPr>
                                  <w:tcW w:w="1844" w:type="dxa"/>
                                  <w:vAlign w:val="center"/>
                                </w:tcPr>
                                <w:p w14:paraId="23F0F4E6" w14:textId="77777777" w:rsidR="00AA3BF2" w:rsidRPr="00022391" w:rsidRDefault="00AA3BF2" w:rsidP="00CE0230">
                                  <w:pPr>
                                    <w:rPr>
                                      <w:rFonts w:cs="Arial"/>
                                      <w:sz w:val="18"/>
                                      <w:szCs w:val="18"/>
                                    </w:rPr>
                                  </w:pPr>
                                  <w:r w:rsidRPr="00022391">
                                    <w:rPr>
                                      <w:rFonts w:cs="Arial"/>
                                      <w:sz w:val="18"/>
                                      <w:szCs w:val="18"/>
                                    </w:rPr>
                                    <w:t>Genomics</w:t>
                                  </w:r>
                                </w:p>
                              </w:tc>
                              <w:tc>
                                <w:tcPr>
                                  <w:tcW w:w="3538" w:type="dxa"/>
                                  <w:vAlign w:val="center"/>
                                </w:tcPr>
                                <w:p w14:paraId="6DEFE518" w14:textId="77777777" w:rsidR="00AA3BF2" w:rsidRPr="00022391" w:rsidRDefault="00AA3BF2" w:rsidP="00CE0230">
                                  <w:pPr>
                                    <w:rPr>
                                      <w:rFonts w:cs="Arial"/>
                                      <w:sz w:val="18"/>
                                      <w:szCs w:val="18"/>
                                    </w:rPr>
                                  </w:pPr>
                                  <w:r w:rsidRPr="00022391">
                                    <w:rPr>
                                      <w:rFonts w:cs="Arial"/>
                                      <w:sz w:val="18"/>
                                      <w:szCs w:val="18"/>
                                    </w:rPr>
                                    <w:t>Genetic and molecular information describing inherited variation, gene expression, and biological pathways influencing disease risk, treatment response, and progression.</w:t>
                                  </w:r>
                                </w:p>
                              </w:tc>
                              <w:tc>
                                <w:tcPr>
                                  <w:tcW w:w="3260" w:type="dxa"/>
                                  <w:vAlign w:val="center"/>
                                </w:tcPr>
                                <w:p w14:paraId="2734C17E" w14:textId="77777777" w:rsidR="00AA3BF2" w:rsidRPr="00022391" w:rsidRDefault="00AA3BF2" w:rsidP="00CE0230">
                                  <w:pPr>
                                    <w:rPr>
                                      <w:rFonts w:cs="Arial"/>
                                      <w:sz w:val="18"/>
                                      <w:szCs w:val="18"/>
                                    </w:rPr>
                                  </w:pPr>
                                  <w:r w:rsidRPr="00022391">
                                    <w:rPr>
                                      <w:rFonts w:cs="Arial"/>
                                      <w:sz w:val="18"/>
                                      <w:szCs w:val="18"/>
                                    </w:rPr>
                                    <w:t>UK Biobank (genotyping &amp; sequencing); 100,000 Genomes Project; The Cancer Genome Atlas (TCGA)</w:t>
                                  </w:r>
                                </w:p>
                              </w:tc>
                            </w:tr>
                            <w:tr w:rsidR="00AA3BF2" w:rsidRPr="00022391" w14:paraId="50ED1091" w14:textId="77777777" w:rsidTr="00022391">
                              <w:tc>
                                <w:tcPr>
                                  <w:tcW w:w="1844" w:type="dxa"/>
                                  <w:vAlign w:val="center"/>
                                </w:tcPr>
                                <w:p w14:paraId="64811A46" w14:textId="77777777" w:rsidR="00AA3BF2" w:rsidRPr="00022391" w:rsidRDefault="00AA3BF2" w:rsidP="00CE0230">
                                  <w:pPr>
                                    <w:rPr>
                                      <w:rFonts w:cs="Arial"/>
                                      <w:sz w:val="18"/>
                                      <w:szCs w:val="18"/>
                                    </w:rPr>
                                  </w:pPr>
                                  <w:r w:rsidRPr="00022391">
                                    <w:rPr>
                                      <w:rFonts w:cs="Arial"/>
                                      <w:sz w:val="18"/>
                                      <w:szCs w:val="18"/>
                                    </w:rPr>
                                    <w:t>Clinical (EHR)</w:t>
                                  </w:r>
                                </w:p>
                              </w:tc>
                              <w:tc>
                                <w:tcPr>
                                  <w:tcW w:w="3538" w:type="dxa"/>
                                  <w:vAlign w:val="center"/>
                                </w:tcPr>
                                <w:p w14:paraId="47D9ED3C" w14:textId="77777777" w:rsidR="00AA3BF2" w:rsidRPr="00022391" w:rsidRDefault="00AA3BF2" w:rsidP="00CE0230">
                                  <w:pPr>
                                    <w:rPr>
                                      <w:rFonts w:cs="Arial"/>
                                      <w:sz w:val="18"/>
                                      <w:szCs w:val="18"/>
                                    </w:rPr>
                                  </w:pPr>
                                  <w:r w:rsidRPr="00022391">
                                    <w:rPr>
                                      <w:rFonts w:cs="Arial"/>
                                      <w:sz w:val="18"/>
                                      <w:szCs w:val="18"/>
                                    </w:rPr>
                                    <w:t>Routinely collected healthcare data including diagnoses, laboratory results, medications, procedures, and clinical outcomes recorded in electronic health records.</w:t>
                                  </w:r>
                                </w:p>
                              </w:tc>
                              <w:tc>
                                <w:tcPr>
                                  <w:tcW w:w="3260" w:type="dxa"/>
                                  <w:vAlign w:val="center"/>
                                </w:tcPr>
                                <w:p w14:paraId="0E6EEFAA" w14:textId="77777777" w:rsidR="00AA3BF2" w:rsidRPr="00022391" w:rsidRDefault="00AA3BF2" w:rsidP="00CE0230">
                                  <w:pPr>
                                    <w:rPr>
                                      <w:rFonts w:cs="Arial"/>
                                      <w:sz w:val="18"/>
                                      <w:szCs w:val="18"/>
                                    </w:rPr>
                                  </w:pPr>
                                  <w:r w:rsidRPr="00022391">
                                    <w:rPr>
                                      <w:rFonts w:cs="Arial"/>
                                      <w:sz w:val="18"/>
                                      <w:szCs w:val="18"/>
                                    </w:rPr>
                                    <w:t>NHS England Data Services Platform; MIMIC-IV; CPRD (UK Clinical Practice Research Datalink)</w:t>
                                  </w:r>
                                </w:p>
                              </w:tc>
                            </w:tr>
                            <w:tr w:rsidR="00AA3BF2" w:rsidRPr="00022391" w14:paraId="77610A1F" w14:textId="77777777" w:rsidTr="00022391">
                              <w:tc>
                                <w:tcPr>
                                  <w:tcW w:w="1844" w:type="dxa"/>
                                  <w:vAlign w:val="center"/>
                                </w:tcPr>
                                <w:p w14:paraId="31A17347" w14:textId="77777777" w:rsidR="00AA3BF2" w:rsidRPr="00022391" w:rsidRDefault="00AA3BF2" w:rsidP="00CE0230">
                                  <w:pPr>
                                    <w:rPr>
                                      <w:rFonts w:cs="Arial"/>
                                      <w:sz w:val="18"/>
                                      <w:szCs w:val="18"/>
                                    </w:rPr>
                                  </w:pPr>
                                  <w:r w:rsidRPr="00022391">
                                    <w:rPr>
                                      <w:rFonts w:cs="Arial"/>
                                      <w:sz w:val="18"/>
                                      <w:szCs w:val="18"/>
                                    </w:rPr>
                                    <w:t>Imaging</w:t>
                                  </w:r>
                                </w:p>
                              </w:tc>
                              <w:tc>
                                <w:tcPr>
                                  <w:tcW w:w="3538" w:type="dxa"/>
                                  <w:vAlign w:val="center"/>
                                </w:tcPr>
                                <w:p w14:paraId="19D03427" w14:textId="77777777" w:rsidR="00AA3BF2" w:rsidRPr="00022391" w:rsidRDefault="00AA3BF2" w:rsidP="00CE0230">
                                  <w:pPr>
                                    <w:rPr>
                                      <w:rFonts w:cs="Arial"/>
                                      <w:sz w:val="18"/>
                                      <w:szCs w:val="18"/>
                                    </w:rPr>
                                  </w:pPr>
                                  <w:r w:rsidRPr="00022391">
                                    <w:rPr>
                                      <w:rFonts w:cs="Arial"/>
                                      <w:sz w:val="18"/>
                                      <w:szCs w:val="18"/>
                                    </w:rPr>
                                    <w:t>Medical imaging data used for diagnosis, monitoring, and risk stratification, often requiring specialised analytical methods.</w:t>
                                  </w:r>
                                </w:p>
                              </w:tc>
                              <w:tc>
                                <w:tcPr>
                                  <w:tcW w:w="3260" w:type="dxa"/>
                                  <w:vAlign w:val="center"/>
                                </w:tcPr>
                                <w:p w14:paraId="636D68F9" w14:textId="77777777" w:rsidR="00AA3BF2" w:rsidRPr="00022391" w:rsidRDefault="00AA3BF2" w:rsidP="00CE0230">
                                  <w:pPr>
                                    <w:rPr>
                                      <w:rFonts w:cs="Arial"/>
                                      <w:sz w:val="18"/>
                                      <w:szCs w:val="18"/>
                                    </w:rPr>
                                  </w:pPr>
                                  <w:r w:rsidRPr="00022391">
                                    <w:rPr>
                                      <w:rFonts w:cs="Arial"/>
                                      <w:sz w:val="18"/>
                                      <w:szCs w:val="18"/>
                                    </w:rPr>
                                    <w:t>UK Biobank imaging cohort; NIH ChestX-ray datasets; ADNI (Alzheimer’s Disease Neuroimaging Initiative)</w:t>
                                  </w:r>
                                </w:p>
                              </w:tc>
                            </w:tr>
                            <w:tr w:rsidR="00AA3BF2" w:rsidRPr="00022391" w14:paraId="63423A15" w14:textId="77777777" w:rsidTr="00022391">
                              <w:tc>
                                <w:tcPr>
                                  <w:tcW w:w="1844" w:type="dxa"/>
                                  <w:vAlign w:val="center"/>
                                </w:tcPr>
                                <w:p w14:paraId="60CE3627" w14:textId="77777777" w:rsidR="00AA3BF2" w:rsidRPr="00022391" w:rsidRDefault="00AA3BF2" w:rsidP="00CE0230">
                                  <w:pPr>
                                    <w:rPr>
                                      <w:rFonts w:cs="Arial"/>
                                      <w:sz w:val="18"/>
                                      <w:szCs w:val="18"/>
                                    </w:rPr>
                                  </w:pPr>
                                  <w:r w:rsidRPr="00022391">
                                    <w:rPr>
                                      <w:rFonts w:cs="Arial"/>
                                      <w:sz w:val="18"/>
                                      <w:szCs w:val="18"/>
                                    </w:rPr>
                                    <w:t>Physiological &amp; Wearables</w:t>
                                  </w:r>
                                </w:p>
                              </w:tc>
                              <w:tc>
                                <w:tcPr>
                                  <w:tcW w:w="3538" w:type="dxa"/>
                                  <w:vAlign w:val="center"/>
                                </w:tcPr>
                                <w:p w14:paraId="62006FC6" w14:textId="77777777" w:rsidR="00AA3BF2" w:rsidRPr="00022391" w:rsidRDefault="00AA3BF2" w:rsidP="00CE0230">
                                  <w:pPr>
                                    <w:rPr>
                                      <w:rFonts w:cs="Arial"/>
                                      <w:sz w:val="18"/>
                                      <w:szCs w:val="18"/>
                                    </w:rPr>
                                  </w:pPr>
                                  <w:r w:rsidRPr="00022391">
                                    <w:rPr>
                                      <w:rFonts w:cs="Arial"/>
                                      <w:sz w:val="18"/>
                                      <w:szCs w:val="18"/>
                                    </w:rPr>
                                    <w:t>Continuous or high-frequency measurements of physiological signals such as heart rate, activity, sleep, and glucose levels, often collected outside clinical settings.</w:t>
                                  </w:r>
                                </w:p>
                              </w:tc>
                              <w:tc>
                                <w:tcPr>
                                  <w:tcW w:w="3260" w:type="dxa"/>
                                  <w:vAlign w:val="center"/>
                                </w:tcPr>
                                <w:p w14:paraId="45CCF790" w14:textId="77777777" w:rsidR="00AA3BF2" w:rsidRPr="00022391" w:rsidRDefault="00AA3BF2" w:rsidP="00CE0230">
                                  <w:pPr>
                                    <w:rPr>
                                      <w:rFonts w:cs="Arial"/>
                                      <w:sz w:val="18"/>
                                      <w:szCs w:val="18"/>
                                    </w:rPr>
                                  </w:pPr>
                                  <w:r w:rsidRPr="00022391">
                                    <w:rPr>
                                      <w:rFonts w:cs="Arial"/>
                                      <w:sz w:val="18"/>
                                      <w:szCs w:val="18"/>
                                    </w:rPr>
                                    <w:t>Fitbit/Apple Health research datasets; Open mHealth</w:t>
                                  </w:r>
                                </w:p>
                              </w:tc>
                            </w:tr>
                            <w:tr w:rsidR="00AA3BF2" w:rsidRPr="00022391" w14:paraId="024799E1" w14:textId="77777777" w:rsidTr="00022391">
                              <w:tc>
                                <w:tcPr>
                                  <w:tcW w:w="1844" w:type="dxa"/>
                                  <w:vAlign w:val="center"/>
                                </w:tcPr>
                                <w:p w14:paraId="7EBB319C" w14:textId="77777777" w:rsidR="00AA3BF2" w:rsidRPr="00022391" w:rsidRDefault="00AA3BF2" w:rsidP="00CE0230">
                                  <w:pPr>
                                    <w:rPr>
                                      <w:rFonts w:cs="Arial"/>
                                      <w:sz w:val="18"/>
                                      <w:szCs w:val="18"/>
                                    </w:rPr>
                                  </w:pPr>
                                  <w:r w:rsidRPr="00022391">
                                    <w:rPr>
                                      <w:rFonts w:cs="Arial"/>
                                      <w:sz w:val="18"/>
                                      <w:szCs w:val="18"/>
                                    </w:rPr>
                                    <w:t>Behavioural &amp; Lifestyle</w:t>
                                  </w:r>
                                </w:p>
                              </w:tc>
                              <w:tc>
                                <w:tcPr>
                                  <w:tcW w:w="3538" w:type="dxa"/>
                                  <w:vAlign w:val="center"/>
                                </w:tcPr>
                                <w:p w14:paraId="6E6B22C8" w14:textId="77777777" w:rsidR="00AA3BF2" w:rsidRPr="00022391" w:rsidRDefault="00AA3BF2" w:rsidP="00CE0230">
                                  <w:pPr>
                                    <w:rPr>
                                      <w:rFonts w:cs="Arial"/>
                                      <w:sz w:val="18"/>
                                      <w:szCs w:val="18"/>
                                    </w:rPr>
                                  </w:pPr>
                                  <w:r w:rsidRPr="00022391">
                                    <w:rPr>
                                      <w:rFonts w:cs="Arial"/>
                                      <w:sz w:val="18"/>
                                      <w:szCs w:val="18"/>
                                    </w:rPr>
                                    <w:t>Data describing health-related behaviours such as diet, physical activity, smoking, alcohol use, and adherence to treatment.</w:t>
                                  </w:r>
                                </w:p>
                              </w:tc>
                              <w:tc>
                                <w:tcPr>
                                  <w:tcW w:w="3260" w:type="dxa"/>
                                  <w:vAlign w:val="center"/>
                                </w:tcPr>
                                <w:p w14:paraId="1F224F44" w14:textId="77777777" w:rsidR="00AA3BF2" w:rsidRPr="00022391" w:rsidRDefault="00AA3BF2" w:rsidP="00CE0230">
                                  <w:pPr>
                                    <w:rPr>
                                      <w:rFonts w:cs="Arial"/>
                                      <w:sz w:val="18"/>
                                      <w:szCs w:val="18"/>
                                    </w:rPr>
                                  </w:pPr>
                                  <w:r w:rsidRPr="00022391">
                                    <w:rPr>
                                      <w:rFonts w:cs="Arial"/>
                                      <w:sz w:val="18"/>
                                      <w:szCs w:val="18"/>
                                    </w:rPr>
                                    <w:t>UK Biobank lifestyle surveys; NHANES; Health Survey for England</w:t>
                                  </w:r>
                                </w:p>
                              </w:tc>
                            </w:tr>
                            <w:tr w:rsidR="00AA3BF2" w:rsidRPr="00022391" w14:paraId="096AFED6" w14:textId="77777777" w:rsidTr="00022391">
                              <w:tc>
                                <w:tcPr>
                                  <w:tcW w:w="1844" w:type="dxa"/>
                                  <w:vAlign w:val="center"/>
                                </w:tcPr>
                                <w:p w14:paraId="0FE70CBB" w14:textId="77777777" w:rsidR="00AA3BF2" w:rsidRPr="00022391" w:rsidRDefault="00AA3BF2" w:rsidP="00CE0230">
                                  <w:pPr>
                                    <w:rPr>
                                      <w:rFonts w:cs="Arial"/>
                                      <w:sz w:val="18"/>
                                      <w:szCs w:val="18"/>
                                    </w:rPr>
                                  </w:pPr>
                                  <w:r w:rsidRPr="00022391">
                                    <w:rPr>
                                      <w:rFonts w:cs="Arial"/>
                                      <w:sz w:val="18"/>
                                      <w:szCs w:val="18"/>
                                    </w:rPr>
                                    <w:t>Social &amp; Socioeconomic</w:t>
                                  </w:r>
                                </w:p>
                              </w:tc>
                              <w:tc>
                                <w:tcPr>
                                  <w:tcW w:w="3538" w:type="dxa"/>
                                  <w:vAlign w:val="center"/>
                                </w:tcPr>
                                <w:p w14:paraId="2DE01A0F" w14:textId="77777777" w:rsidR="00AA3BF2" w:rsidRPr="00022391" w:rsidRDefault="00AA3BF2" w:rsidP="00CE0230">
                                  <w:pPr>
                                    <w:rPr>
                                      <w:rFonts w:cs="Arial"/>
                                      <w:sz w:val="18"/>
                                      <w:szCs w:val="18"/>
                                    </w:rPr>
                                  </w:pPr>
                                  <w:r w:rsidRPr="00022391">
                                    <w:rPr>
                                      <w:rFonts w:cs="Arial"/>
                                      <w:sz w:val="18"/>
                                      <w:szCs w:val="18"/>
                                    </w:rPr>
                                    <w:t>Information on education, income, occupation, housing, social networks, and neighbourhood conditions that shape health risk and outcomes.</w:t>
                                  </w:r>
                                </w:p>
                              </w:tc>
                              <w:tc>
                                <w:tcPr>
                                  <w:tcW w:w="3260" w:type="dxa"/>
                                  <w:vAlign w:val="center"/>
                                </w:tcPr>
                                <w:p w14:paraId="09547DCE" w14:textId="77777777" w:rsidR="00AA3BF2" w:rsidRPr="00022391" w:rsidRDefault="00AA3BF2" w:rsidP="00CE0230">
                                  <w:pPr>
                                    <w:rPr>
                                      <w:rFonts w:cs="Arial"/>
                                      <w:sz w:val="18"/>
                                      <w:szCs w:val="18"/>
                                    </w:rPr>
                                  </w:pPr>
                                  <w:r w:rsidRPr="00022391">
                                    <w:rPr>
                                      <w:rFonts w:cs="Arial"/>
                                      <w:sz w:val="18"/>
                                      <w:szCs w:val="18"/>
                                    </w:rPr>
                                    <w:t>Census data (ONS); Index of Multiple Deprivation (IMD); Understanding Society (UK Household Longitudinal Study)</w:t>
                                  </w:r>
                                </w:p>
                              </w:tc>
                            </w:tr>
                            <w:tr w:rsidR="00AA3BF2" w:rsidRPr="00022391" w14:paraId="2550355B" w14:textId="77777777" w:rsidTr="00022391">
                              <w:tc>
                                <w:tcPr>
                                  <w:tcW w:w="1844" w:type="dxa"/>
                                  <w:vAlign w:val="center"/>
                                </w:tcPr>
                                <w:p w14:paraId="68BF17A7" w14:textId="77777777" w:rsidR="00AA3BF2" w:rsidRPr="00022391" w:rsidRDefault="00AA3BF2" w:rsidP="00CE0230">
                                  <w:pPr>
                                    <w:rPr>
                                      <w:rFonts w:cs="Arial"/>
                                      <w:sz w:val="18"/>
                                      <w:szCs w:val="18"/>
                                    </w:rPr>
                                  </w:pPr>
                                  <w:r w:rsidRPr="00022391">
                                    <w:rPr>
                                      <w:rFonts w:cs="Arial"/>
                                      <w:sz w:val="18"/>
                                      <w:szCs w:val="18"/>
                                    </w:rPr>
                                    <w:t>Environmental</w:t>
                                  </w:r>
                                </w:p>
                              </w:tc>
                              <w:tc>
                                <w:tcPr>
                                  <w:tcW w:w="3538" w:type="dxa"/>
                                  <w:vAlign w:val="center"/>
                                </w:tcPr>
                                <w:p w14:paraId="05FB5F8D" w14:textId="77777777" w:rsidR="00AA3BF2" w:rsidRPr="00022391" w:rsidRDefault="00AA3BF2" w:rsidP="00CE0230">
                                  <w:pPr>
                                    <w:rPr>
                                      <w:rFonts w:cs="Arial"/>
                                      <w:sz w:val="18"/>
                                      <w:szCs w:val="18"/>
                                    </w:rPr>
                                  </w:pPr>
                                  <w:r w:rsidRPr="00022391">
                                    <w:rPr>
                                      <w:rFonts w:cs="Arial"/>
                                      <w:sz w:val="18"/>
                                      <w:szCs w:val="18"/>
                                    </w:rPr>
                                    <w:t>Exposures related to air quality, climate, green space, noise, and built environment that influence population and individual health.</w:t>
                                  </w:r>
                                </w:p>
                              </w:tc>
                              <w:tc>
                                <w:tcPr>
                                  <w:tcW w:w="3260" w:type="dxa"/>
                                  <w:vAlign w:val="center"/>
                                </w:tcPr>
                                <w:p w14:paraId="178D5DB2" w14:textId="77777777" w:rsidR="00AA3BF2" w:rsidRPr="00022391" w:rsidRDefault="00AA3BF2" w:rsidP="00CE0230">
                                  <w:pPr>
                                    <w:rPr>
                                      <w:rFonts w:cs="Arial"/>
                                      <w:sz w:val="18"/>
                                      <w:szCs w:val="18"/>
                                    </w:rPr>
                                  </w:pPr>
                                  <w:r w:rsidRPr="00022391">
                                    <w:rPr>
                                      <w:rFonts w:cs="Arial"/>
                                      <w:sz w:val="18"/>
                                      <w:szCs w:val="18"/>
                                    </w:rPr>
                                    <w:t xml:space="preserve">DEFRA air quality data; Copernicus Climate Data; </w:t>
                                  </w:r>
                                </w:p>
                              </w:tc>
                            </w:tr>
                            <w:tr w:rsidR="00AA3BF2" w:rsidRPr="00022391" w14:paraId="263C8250" w14:textId="77777777" w:rsidTr="00022391">
                              <w:tc>
                                <w:tcPr>
                                  <w:tcW w:w="1844" w:type="dxa"/>
                                  <w:vAlign w:val="center"/>
                                </w:tcPr>
                                <w:p w14:paraId="111BA6AC" w14:textId="77777777" w:rsidR="00AA3BF2" w:rsidRPr="00022391" w:rsidRDefault="00AA3BF2" w:rsidP="00CE0230">
                                  <w:pPr>
                                    <w:rPr>
                                      <w:rFonts w:cs="Arial"/>
                                      <w:sz w:val="18"/>
                                      <w:szCs w:val="18"/>
                                    </w:rPr>
                                  </w:pPr>
                                  <w:r w:rsidRPr="00022391">
                                    <w:rPr>
                                      <w:rFonts w:cs="Arial"/>
                                      <w:sz w:val="18"/>
                                      <w:szCs w:val="18"/>
                                    </w:rPr>
                                    <w:t>Life-course &amp; Longitudinal</w:t>
                                  </w:r>
                                </w:p>
                              </w:tc>
                              <w:tc>
                                <w:tcPr>
                                  <w:tcW w:w="3538" w:type="dxa"/>
                                  <w:vAlign w:val="center"/>
                                </w:tcPr>
                                <w:p w14:paraId="6CD5DA51" w14:textId="77777777" w:rsidR="00AA3BF2" w:rsidRPr="00022391" w:rsidRDefault="00AA3BF2" w:rsidP="00CE0230">
                                  <w:pPr>
                                    <w:rPr>
                                      <w:rFonts w:cs="Arial"/>
                                      <w:sz w:val="18"/>
                                      <w:szCs w:val="18"/>
                                    </w:rPr>
                                  </w:pPr>
                                  <w:r w:rsidRPr="00022391">
                                    <w:rPr>
                                      <w:rFonts w:cs="Arial"/>
                                      <w:sz w:val="18"/>
                                      <w:szCs w:val="18"/>
                                    </w:rPr>
                                    <w:t>Long-term follow-up data capturing how health, exposures, and social conditions evolve over time, enabling temporal and causal analysis.</w:t>
                                  </w:r>
                                </w:p>
                              </w:tc>
                              <w:tc>
                                <w:tcPr>
                                  <w:tcW w:w="3260" w:type="dxa"/>
                                  <w:vAlign w:val="center"/>
                                </w:tcPr>
                                <w:p w14:paraId="63253A5A" w14:textId="77777777" w:rsidR="00AA3BF2" w:rsidRPr="00022391" w:rsidRDefault="00AA3BF2" w:rsidP="00CE0230">
                                  <w:pPr>
                                    <w:rPr>
                                      <w:rFonts w:cs="Arial"/>
                                      <w:sz w:val="18"/>
                                      <w:szCs w:val="18"/>
                                    </w:rPr>
                                  </w:pPr>
                                  <w:r w:rsidRPr="00022391">
                                    <w:rPr>
                                      <w:rFonts w:cs="Arial"/>
                                      <w:sz w:val="18"/>
                                      <w:szCs w:val="18"/>
                                    </w:rPr>
                                    <w:t>Birth cohort studies (e.g., ALSPAC); Whitehall II; UK Biobank longitudinal follow-up</w:t>
                                  </w:r>
                                </w:p>
                              </w:tc>
                            </w:tr>
                          </w:tbl>
                          <w:p w14:paraId="7A5FF4F3" w14:textId="77777777" w:rsidR="00AA3BF2" w:rsidRPr="00022391" w:rsidRDefault="00AA3BF2" w:rsidP="00AA3BF2">
                            <w:pPr>
                              <w:spacing w:after="0" w:line="240" w:lineRule="auto"/>
                              <w:rPr>
                                <w:rFonts w:cs="Arial"/>
                                <w:sz w:val="18"/>
                                <w:szCs w:val="18"/>
                              </w:rPr>
                            </w:pPr>
                          </w:p>
                        </w:txbxContent>
                      </wps:txbx>
                      <wps:bodyPr rot="0" vert="horz" wrap="square" lIns="91440" tIns="45720" rIns="91440" bIns="45720" anchor="t" anchorCtr="0">
                        <a:noAutofit/>
                      </wps:bodyPr>
                    </wps:wsp>
                  </a:graphicData>
                </a:graphic>
              </wp:inline>
            </w:drawing>
          </mc:Choice>
          <mc:Fallback>
            <w:pict>
              <v:shapetype w14:anchorId="0D634433" id="_x0000_t202" coordsize="21600,21600" o:spt="202" path="m,l,21600r21600,l21600,xe">
                <v:stroke joinstyle="miter"/>
                <v:path gradientshapeok="t" o:connecttype="rect"/>
              </v:shapetype>
              <v:shape id="Text Box 2" o:spid="_x0000_s1026" type="#_x0000_t202" style="width:447.5pt;height:4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">
                <v:textbox>
                  <w:txbxContent>
                    <w:p w14:paraId="1FEA78CE" w14:textId="0C1ED35F" w:rsidR="00AA3BF2" w:rsidRPr="008F65FA" w:rsidRDefault="00AA3BF2" w:rsidP="00AA3BF2">
                      <w:pPr>
                        <w:rPr>
                          <w:rFonts w:cs="Arial"/>
                          <w:sz w:val="18"/>
                          <w:szCs w:val="18"/>
                        </w:rPr>
                      </w:pPr>
                      <w:r w:rsidRPr="008F65FA">
                        <w:rPr>
                          <w:rFonts w:cs="Arial"/>
                          <w:b/>
                          <w:bCs/>
                          <w:sz w:val="18"/>
                          <w:szCs w:val="18"/>
                        </w:rPr>
                        <w:t xml:space="preserve">Table </w:t>
                      </w:r>
                      <w:r w:rsidR="009E5065">
                        <w:rPr>
                          <w:rFonts w:cs="Arial"/>
                          <w:b/>
                          <w:bCs/>
                          <w:sz w:val="18"/>
                          <w:szCs w:val="18"/>
                        </w:rPr>
                        <w:t>1</w:t>
                      </w:r>
                      <w:r w:rsidRPr="008F65FA">
                        <w:rPr>
                          <w:rFonts w:cs="Arial"/>
                          <w:b/>
                          <w:bCs/>
                          <w:sz w:val="18"/>
                          <w:szCs w:val="18"/>
                        </w:rPr>
                        <w:t>.</w:t>
                      </w:r>
                      <w:r w:rsidRPr="008F65FA">
                        <w:rPr>
                          <w:rFonts w:cs="Arial"/>
                          <w:sz w:val="18"/>
                          <w:szCs w:val="18"/>
                        </w:rPr>
                        <w:t xml:space="preserve"> Key data domains supporting precision and hyper-personalised health</w:t>
                      </w:r>
                    </w:p>
                    <w:tbl>
                      <w:tblPr>
                        <w:tblStyle w:val="TableGrid"/>
                        <w:tblW w:w="8642" w:type="dxa"/>
                        <w:tblLook w:val="04A0" w:firstRow="1" w:lastRow="0" w:firstColumn="1" w:lastColumn="0" w:noHBand="0" w:noVBand="1"/>
                      </w:tblPr>
                      <w:tblGrid>
                        <w:gridCol w:w="1844"/>
                        <w:gridCol w:w="3538"/>
                        <w:gridCol w:w="3260"/>
                      </w:tblGrid>
                      <w:tr w:rsidR="00AA3BF2" w:rsidRPr="00B40683" w14:paraId="2B923B12" w14:textId="77777777" w:rsidTr="00022391">
                        <w:trPr>
                          <w:trHeight w:val="508"/>
                        </w:trPr>
                        <w:tc>
                          <w:tcPr>
                            <w:tcW w:w="1844" w:type="dxa"/>
                            <w:vAlign w:val="center"/>
                          </w:tcPr>
                          <w:p w14:paraId="01292A77" w14:textId="77777777" w:rsidR="00AA3BF2" w:rsidRPr="006A53B2" w:rsidRDefault="00AA3BF2" w:rsidP="00CE0230">
                            <w:pPr>
                              <w:rPr>
                                <w:rFonts w:cs="Arial"/>
                                <w:sz w:val="20"/>
                                <w:szCs w:val="20"/>
                              </w:rPr>
                            </w:pPr>
                            <w:r w:rsidRPr="006A53B2">
                              <w:rPr>
                                <w:rFonts w:cs="Arial"/>
                                <w:sz w:val="20"/>
                                <w:szCs w:val="20"/>
                              </w:rPr>
                              <w:t>Data Domain</w:t>
                            </w:r>
                          </w:p>
                        </w:tc>
                        <w:tc>
                          <w:tcPr>
                            <w:tcW w:w="3538" w:type="dxa"/>
                            <w:vAlign w:val="center"/>
                          </w:tcPr>
                          <w:p w14:paraId="234ED07A" w14:textId="77777777" w:rsidR="00AA3BF2" w:rsidRPr="006A53B2" w:rsidRDefault="00AA3BF2" w:rsidP="00CE0230">
                            <w:pPr>
                              <w:rPr>
                                <w:rFonts w:cs="Arial"/>
                                <w:sz w:val="20"/>
                                <w:szCs w:val="20"/>
                              </w:rPr>
                            </w:pPr>
                            <w:r w:rsidRPr="006A53B2">
                              <w:rPr>
                                <w:rFonts w:cs="Arial"/>
                                <w:sz w:val="20"/>
                                <w:szCs w:val="20"/>
                              </w:rPr>
                              <w:t>Description</w:t>
                            </w:r>
                          </w:p>
                        </w:tc>
                        <w:tc>
                          <w:tcPr>
                            <w:tcW w:w="3260" w:type="dxa"/>
                            <w:vAlign w:val="center"/>
                          </w:tcPr>
                          <w:p w14:paraId="21A0A979" w14:textId="77777777" w:rsidR="00AA3BF2" w:rsidRPr="006A53B2" w:rsidRDefault="00AA3BF2" w:rsidP="00CE0230">
                            <w:pPr>
                              <w:rPr>
                                <w:rFonts w:cs="Arial"/>
                                <w:sz w:val="20"/>
                                <w:szCs w:val="20"/>
                              </w:rPr>
                            </w:pPr>
                            <w:r w:rsidRPr="006A53B2">
                              <w:rPr>
                                <w:rFonts w:cs="Arial"/>
                                <w:sz w:val="20"/>
                                <w:szCs w:val="20"/>
                              </w:rPr>
                              <w:t>Dataset Examples</w:t>
                            </w:r>
                          </w:p>
                        </w:tc>
                      </w:tr>
                      <w:tr w:rsidR="00AA3BF2" w:rsidRPr="00022391" w14:paraId="2DEFD312" w14:textId="77777777" w:rsidTr="00022391">
                        <w:tc>
                          <w:tcPr>
                            <w:tcW w:w="1844" w:type="dxa"/>
                            <w:vAlign w:val="center"/>
                          </w:tcPr>
                          <w:p w14:paraId="23F0F4E6" w14:textId="77777777" w:rsidR="00AA3BF2" w:rsidRPr="00022391" w:rsidRDefault="00AA3BF2" w:rsidP="00CE0230">
                            <w:pPr>
                              <w:rPr>
                                <w:rFonts w:cs="Arial"/>
                                <w:sz w:val="18"/>
                                <w:szCs w:val="18"/>
                              </w:rPr>
                            </w:pPr>
                            <w:r w:rsidRPr="00022391">
                              <w:rPr>
                                <w:rFonts w:cs="Arial"/>
                                <w:sz w:val="18"/>
                                <w:szCs w:val="18"/>
                              </w:rPr>
                              <w:t>Genomics</w:t>
                            </w:r>
                          </w:p>
                        </w:tc>
                        <w:tc>
                          <w:tcPr>
                            <w:tcW w:w="3538" w:type="dxa"/>
                            <w:vAlign w:val="center"/>
                          </w:tcPr>
                          <w:p w14:paraId="6DEFE518" w14:textId="77777777" w:rsidR="00AA3BF2" w:rsidRPr="00022391" w:rsidRDefault="00AA3BF2" w:rsidP="00CE0230">
                            <w:pPr>
                              <w:rPr>
                                <w:rFonts w:cs="Arial"/>
                                <w:sz w:val="18"/>
                                <w:szCs w:val="18"/>
                              </w:rPr>
                            </w:pPr>
                            <w:r w:rsidRPr="00022391">
                              <w:rPr>
                                <w:rFonts w:cs="Arial"/>
                                <w:sz w:val="18"/>
                                <w:szCs w:val="18"/>
                              </w:rPr>
                              <w:t>Genetic and molecular information describing inherited variation, gene expression, and biological pathways influencing disease risk, treatment response, and progression.</w:t>
                            </w:r>
                          </w:p>
                        </w:tc>
                        <w:tc>
                          <w:tcPr>
                            <w:tcW w:w="3260" w:type="dxa"/>
                            <w:vAlign w:val="center"/>
                          </w:tcPr>
                          <w:p w14:paraId="2734C17E" w14:textId="77777777" w:rsidR="00AA3BF2" w:rsidRPr="00022391" w:rsidRDefault="00AA3BF2" w:rsidP="00CE0230">
                            <w:pPr>
                              <w:rPr>
                                <w:rFonts w:cs="Arial"/>
                                <w:sz w:val="18"/>
                                <w:szCs w:val="18"/>
                              </w:rPr>
                            </w:pPr>
                            <w:r w:rsidRPr="00022391">
                              <w:rPr>
                                <w:rFonts w:cs="Arial"/>
                                <w:sz w:val="18"/>
                                <w:szCs w:val="18"/>
                              </w:rPr>
                              <w:t>UK Biobank (genotyping &amp; sequencing); 100,000 Genomes Project; The Cancer Genome Atlas (TCGA)</w:t>
                            </w:r>
                          </w:p>
                        </w:tc>
                      </w:tr>
                      <w:tr w:rsidR="00AA3BF2" w:rsidRPr="00022391" w14:paraId="50ED1091" w14:textId="77777777" w:rsidTr="00022391">
                        <w:tc>
                          <w:tcPr>
                            <w:tcW w:w="1844" w:type="dxa"/>
                            <w:vAlign w:val="center"/>
                          </w:tcPr>
                          <w:p w14:paraId="64811A46" w14:textId="77777777" w:rsidR="00AA3BF2" w:rsidRPr="00022391" w:rsidRDefault="00AA3BF2" w:rsidP="00CE0230">
                            <w:pPr>
                              <w:rPr>
                                <w:rFonts w:cs="Arial"/>
                                <w:sz w:val="18"/>
                                <w:szCs w:val="18"/>
                              </w:rPr>
                            </w:pPr>
                            <w:r w:rsidRPr="00022391">
                              <w:rPr>
                                <w:rFonts w:cs="Arial"/>
                                <w:sz w:val="18"/>
                                <w:szCs w:val="18"/>
                              </w:rPr>
                              <w:t>Clinical (EHR)</w:t>
                            </w:r>
                          </w:p>
                        </w:tc>
                        <w:tc>
                          <w:tcPr>
                            <w:tcW w:w="3538" w:type="dxa"/>
                            <w:vAlign w:val="center"/>
                          </w:tcPr>
                          <w:p w14:paraId="47D9ED3C" w14:textId="77777777" w:rsidR="00AA3BF2" w:rsidRPr="00022391" w:rsidRDefault="00AA3BF2" w:rsidP="00CE0230">
                            <w:pPr>
                              <w:rPr>
                                <w:rFonts w:cs="Arial"/>
                                <w:sz w:val="18"/>
                                <w:szCs w:val="18"/>
                              </w:rPr>
                            </w:pPr>
                            <w:r w:rsidRPr="00022391">
                              <w:rPr>
                                <w:rFonts w:cs="Arial"/>
                                <w:sz w:val="18"/>
                                <w:szCs w:val="18"/>
                              </w:rPr>
                              <w:t>Routinely collected healthcare data including diagnoses, laboratory results, medications, procedures, and clinical outcomes recorded in electronic health records.</w:t>
                            </w:r>
                          </w:p>
                        </w:tc>
                        <w:tc>
                          <w:tcPr>
                            <w:tcW w:w="3260" w:type="dxa"/>
                            <w:vAlign w:val="center"/>
                          </w:tcPr>
                          <w:p w14:paraId="0E6EEFAA" w14:textId="77777777" w:rsidR="00AA3BF2" w:rsidRPr="00022391" w:rsidRDefault="00AA3BF2" w:rsidP="00CE0230">
                            <w:pPr>
                              <w:rPr>
                                <w:rFonts w:cs="Arial"/>
                                <w:sz w:val="18"/>
                                <w:szCs w:val="18"/>
                              </w:rPr>
                            </w:pPr>
                            <w:r w:rsidRPr="00022391">
                              <w:rPr>
                                <w:rFonts w:cs="Arial"/>
                                <w:sz w:val="18"/>
                                <w:szCs w:val="18"/>
                              </w:rPr>
                              <w:t>NHS England Data Services Platform; MIMIC-IV; CPRD (UK Clinical Practice Research Datalink)</w:t>
                            </w:r>
                          </w:p>
                        </w:tc>
                      </w:tr>
                      <w:tr w:rsidR="00AA3BF2" w:rsidRPr="00022391" w14:paraId="77610A1F" w14:textId="77777777" w:rsidTr="00022391">
                        <w:tc>
                          <w:tcPr>
                            <w:tcW w:w="1844" w:type="dxa"/>
                            <w:vAlign w:val="center"/>
                          </w:tcPr>
                          <w:p w14:paraId="31A17347" w14:textId="77777777" w:rsidR="00AA3BF2" w:rsidRPr="00022391" w:rsidRDefault="00AA3BF2" w:rsidP="00CE0230">
                            <w:pPr>
                              <w:rPr>
                                <w:rFonts w:cs="Arial"/>
                                <w:sz w:val="18"/>
                                <w:szCs w:val="18"/>
                              </w:rPr>
                            </w:pPr>
                            <w:r w:rsidRPr="00022391">
                              <w:rPr>
                                <w:rFonts w:cs="Arial"/>
                                <w:sz w:val="18"/>
                                <w:szCs w:val="18"/>
                              </w:rPr>
                              <w:t>Imaging</w:t>
                            </w:r>
                          </w:p>
                        </w:tc>
                        <w:tc>
                          <w:tcPr>
                            <w:tcW w:w="3538" w:type="dxa"/>
                            <w:vAlign w:val="center"/>
                          </w:tcPr>
                          <w:p w14:paraId="19D03427" w14:textId="77777777" w:rsidR="00AA3BF2" w:rsidRPr="00022391" w:rsidRDefault="00AA3BF2" w:rsidP="00CE0230">
                            <w:pPr>
                              <w:rPr>
                                <w:rFonts w:cs="Arial"/>
                                <w:sz w:val="18"/>
                                <w:szCs w:val="18"/>
                              </w:rPr>
                            </w:pPr>
                            <w:r w:rsidRPr="00022391">
                              <w:rPr>
                                <w:rFonts w:cs="Arial"/>
                                <w:sz w:val="18"/>
                                <w:szCs w:val="18"/>
                              </w:rPr>
                              <w:t>Medical imaging data used for diagnosis, monitoring, and risk stratification, often requiring specialised analytical methods.</w:t>
                            </w:r>
                          </w:p>
                        </w:tc>
                        <w:tc>
                          <w:tcPr>
                            <w:tcW w:w="3260" w:type="dxa"/>
                            <w:vAlign w:val="center"/>
                          </w:tcPr>
                          <w:p w14:paraId="636D68F9" w14:textId="77777777" w:rsidR="00AA3BF2" w:rsidRPr="00022391" w:rsidRDefault="00AA3BF2" w:rsidP="00CE0230">
                            <w:pPr>
                              <w:rPr>
                                <w:rFonts w:cs="Arial"/>
                                <w:sz w:val="18"/>
                                <w:szCs w:val="18"/>
                              </w:rPr>
                            </w:pPr>
                            <w:r w:rsidRPr="00022391">
                              <w:rPr>
                                <w:rFonts w:cs="Arial"/>
                                <w:sz w:val="18"/>
                                <w:szCs w:val="18"/>
                              </w:rPr>
                              <w:t>UK Biobank imaging cohort; NIH ChestX-ray datasets; ADNI (Alzheimer’s Disease Neuroimaging Initiative)</w:t>
                            </w:r>
                          </w:p>
                        </w:tc>
                      </w:tr>
                      <w:tr w:rsidR="00AA3BF2" w:rsidRPr="00022391" w14:paraId="63423A15" w14:textId="77777777" w:rsidTr="00022391">
                        <w:tc>
                          <w:tcPr>
                            <w:tcW w:w="1844" w:type="dxa"/>
                            <w:vAlign w:val="center"/>
                          </w:tcPr>
                          <w:p w14:paraId="60CE3627" w14:textId="77777777" w:rsidR="00AA3BF2" w:rsidRPr="00022391" w:rsidRDefault="00AA3BF2" w:rsidP="00CE0230">
                            <w:pPr>
                              <w:rPr>
                                <w:rFonts w:cs="Arial"/>
                                <w:sz w:val="18"/>
                                <w:szCs w:val="18"/>
                              </w:rPr>
                            </w:pPr>
                            <w:r w:rsidRPr="00022391">
                              <w:rPr>
                                <w:rFonts w:cs="Arial"/>
                                <w:sz w:val="18"/>
                                <w:szCs w:val="18"/>
                              </w:rPr>
                              <w:t>Physiological &amp; Wearables</w:t>
                            </w:r>
                          </w:p>
                        </w:tc>
                        <w:tc>
                          <w:tcPr>
                            <w:tcW w:w="3538" w:type="dxa"/>
                            <w:vAlign w:val="center"/>
                          </w:tcPr>
                          <w:p w14:paraId="62006FC6" w14:textId="77777777" w:rsidR="00AA3BF2" w:rsidRPr="00022391" w:rsidRDefault="00AA3BF2" w:rsidP="00CE0230">
                            <w:pPr>
                              <w:rPr>
                                <w:rFonts w:cs="Arial"/>
                                <w:sz w:val="18"/>
                                <w:szCs w:val="18"/>
                              </w:rPr>
                            </w:pPr>
                            <w:r w:rsidRPr="00022391">
                              <w:rPr>
                                <w:rFonts w:cs="Arial"/>
                                <w:sz w:val="18"/>
                                <w:szCs w:val="18"/>
                              </w:rPr>
                              <w:t>Continuous or high-frequency measurements of physiological signals such as heart rate, activity, sleep, and glucose levels, often collected outside clinical settings.</w:t>
                            </w:r>
                          </w:p>
                        </w:tc>
                        <w:tc>
                          <w:tcPr>
                            <w:tcW w:w="3260" w:type="dxa"/>
                            <w:vAlign w:val="center"/>
                          </w:tcPr>
                          <w:p w14:paraId="45CCF790" w14:textId="77777777" w:rsidR="00AA3BF2" w:rsidRPr="00022391" w:rsidRDefault="00AA3BF2" w:rsidP="00CE0230">
                            <w:pPr>
                              <w:rPr>
                                <w:rFonts w:cs="Arial"/>
                                <w:sz w:val="18"/>
                                <w:szCs w:val="18"/>
                              </w:rPr>
                            </w:pPr>
                            <w:r w:rsidRPr="00022391">
                              <w:rPr>
                                <w:rFonts w:cs="Arial"/>
                                <w:sz w:val="18"/>
                                <w:szCs w:val="18"/>
                              </w:rPr>
                              <w:t>Fitbit/Apple Health research datasets; Open mHealth</w:t>
                            </w:r>
                          </w:p>
                        </w:tc>
                      </w:tr>
                      <w:tr w:rsidR="00AA3BF2" w:rsidRPr="00022391" w14:paraId="024799E1" w14:textId="77777777" w:rsidTr="00022391">
                        <w:tc>
                          <w:tcPr>
                            <w:tcW w:w="1844" w:type="dxa"/>
                            <w:vAlign w:val="center"/>
                          </w:tcPr>
                          <w:p w14:paraId="7EBB319C" w14:textId="77777777" w:rsidR="00AA3BF2" w:rsidRPr="00022391" w:rsidRDefault="00AA3BF2" w:rsidP="00CE0230">
                            <w:pPr>
                              <w:rPr>
                                <w:rFonts w:cs="Arial"/>
                                <w:sz w:val="18"/>
                                <w:szCs w:val="18"/>
                              </w:rPr>
                            </w:pPr>
                            <w:r w:rsidRPr="00022391">
                              <w:rPr>
                                <w:rFonts w:cs="Arial"/>
                                <w:sz w:val="18"/>
                                <w:szCs w:val="18"/>
                              </w:rPr>
                              <w:t>Behavioural &amp; Lifestyle</w:t>
                            </w:r>
                          </w:p>
                        </w:tc>
                        <w:tc>
                          <w:tcPr>
                            <w:tcW w:w="3538" w:type="dxa"/>
                            <w:vAlign w:val="center"/>
                          </w:tcPr>
                          <w:p w14:paraId="6E6B22C8" w14:textId="77777777" w:rsidR="00AA3BF2" w:rsidRPr="00022391" w:rsidRDefault="00AA3BF2" w:rsidP="00CE0230">
                            <w:pPr>
                              <w:rPr>
                                <w:rFonts w:cs="Arial"/>
                                <w:sz w:val="18"/>
                                <w:szCs w:val="18"/>
                              </w:rPr>
                            </w:pPr>
                            <w:r w:rsidRPr="00022391">
                              <w:rPr>
                                <w:rFonts w:cs="Arial"/>
                                <w:sz w:val="18"/>
                                <w:szCs w:val="18"/>
                              </w:rPr>
                              <w:t>Data describing health-related behaviours such as diet, physical activity, smoking, alcohol use, and adherence to treatment.</w:t>
                            </w:r>
                          </w:p>
                        </w:tc>
                        <w:tc>
                          <w:tcPr>
                            <w:tcW w:w="3260" w:type="dxa"/>
                            <w:vAlign w:val="center"/>
                          </w:tcPr>
                          <w:p w14:paraId="1F224F44" w14:textId="77777777" w:rsidR="00AA3BF2" w:rsidRPr="00022391" w:rsidRDefault="00AA3BF2" w:rsidP="00CE0230">
                            <w:pPr>
                              <w:rPr>
                                <w:rFonts w:cs="Arial"/>
                                <w:sz w:val="18"/>
                                <w:szCs w:val="18"/>
                              </w:rPr>
                            </w:pPr>
                            <w:r w:rsidRPr="00022391">
                              <w:rPr>
                                <w:rFonts w:cs="Arial"/>
                                <w:sz w:val="18"/>
                                <w:szCs w:val="18"/>
                              </w:rPr>
                              <w:t>UK Biobank lifestyle surveys; NHANES; Health Survey for England</w:t>
                            </w:r>
                          </w:p>
                        </w:tc>
                      </w:tr>
                      <w:tr w:rsidR="00AA3BF2" w:rsidRPr="00022391" w14:paraId="096AFED6" w14:textId="77777777" w:rsidTr="00022391">
                        <w:tc>
                          <w:tcPr>
                            <w:tcW w:w="1844" w:type="dxa"/>
                            <w:vAlign w:val="center"/>
                          </w:tcPr>
                          <w:p w14:paraId="0FE70CBB" w14:textId="77777777" w:rsidR="00AA3BF2" w:rsidRPr="00022391" w:rsidRDefault="00AA3BF2" w:rsidP="00CE0230">
                            <w:pPr>
                              <w:rPr>
                                <w:rFonts w:cs="Arial"/>
                                <w:sz w:val="18"/>
                                <w:szCs w:val="18"/>
                              </w:rPr>
                            </w:pPr>
                            <w:r w:rsidRPr="00022391">
                              <w:rPr>
                                <w:rFonts w:cs="Arial"/>
                                <w:sz w:val="18"/>
                                <w:szCs w:val="18"/>
                              </w:rPr>
                              <w:t>Social &amp; Socioeconomic</w:t>
                            </w:r>
                          </w:p>
                        </w:tc>
                        <w:tc>
                          <w:tcPr>
                            <w:tcW w:w="3538" w:type="dxa"/>
                            <w:vAlign w:val="center"/>
                          </w:tcPr>
                          <w:p w14:paraId="2DE01A0F" w14:textId="77777777" w:rsidR="00AA3BF2" w:rsidRPr="00022391" w:rsidRDefault="00AA3BF2" w:rsidP="00CE0230">
                            <w:pPr>
                              <w:rPr>
                                <w:rFonts w:cs="Arial"/>
                                <w:sz w:val="18"/>
                                <w:szCs w:val="18"/>
                              </w:rPr>
                            </w:pPr>
                            <w:r w:rsidRPr="00022391">
                              <w:rPr>
                                <w:rFonts w:cs="Arial"/>
                                <w:sz w:val="18"/>
                                <w:szCs w:val="18"/>
                              </w:rPr>
                              <w:t>Information on education, income, occupation, housing, social networks, and neighbourhood conditions that shape health risk and outcomes.</w:t>
                            </w:r>
                          </w:p>
                        </w:tc>
                        <w:tc>
                          <w:tcPr>
                            <w:tcW w:w="3260" w:type="dxa"/>
                            <w:vAlign w:val="center"/>
                          </w:tcPr>
                          <w:p w14:paraId="09547DCE" w14:textId="77777777" w:rsidR="00AA3BF2" w:rsidRPr="00022391" w:rsidRDefault="00AA3BF2" w:rsidP="00CE0230">
                            <w:pPr>
                              <w:rPr>
                                <w:rFonts w:cs="Arial"/>
                                <w:sz w:val="18"/>
                                <w:szCs w:val="18"/>
                              </w:rPr>
                            </w:pPr>
                            <w:r w:rsidRPr="00022391">
                              <w:rPr>
                                <w:rFonts w:cs="Arial"/>
                                <w:sz w:val="18"/>
                                <w:szCs w:val="18"/>
                              </w:rPr>
                              <w:t>Census data (ONS); Index of Multiple Deprivation (IMD); Understanding Society (UK Household Longitudinal Study)</w:t>
                            </w:r>
                          </w:p>
                        </w:tc>
                      </w:tr>
                      <w:tr w:rsidR="00AA3BF2" w:rsidRPr="00022391" w14:paraId="2550355B" w14:textId="77777777" w:rsidTr="00022391">
                        <w:tc>
                          <w:tcPr>
                            <w:tcW w:w="1844" w:type="dxa"/>
                            <w:vAlign w:val="center"/>
                          </w:tcPr>
                          <w:p w14:paraId="68BF17A7" w14:textId="77777777" w:rsidR="00AA3BF2" w:rsidRPr="00022391" w:rsidRDefault="00AA3BF2" w:rsidP="00CE0230">
                            <w:pPr>
                              <w:rPr>
                                <w:rFonts w:cs="Arial"/>
                                <w:sz w:val="18"/>
                                <w:szCs w:val="18"/>
                              </w:rPr>
                            </w:pPr>
                            <w:r w:rsidRPr="00022391">
                              <w:rPr>
                                <w:rFonts w:cs="Arial"/>
                                <w:sz w:val="18"/>
                                <w:szCs w:val="18"/>
                              </w:rPr>
                              <w:t>Environmental</w:t>
                            </w:r>
                          </w:p>
                        </w:tc>
                        <w:tc>
                          <w:tcPr>
                            <w:tcW w:w="3538" w:type="dxa"/>
                            <w:vAlign w:val="center"/>
                          </w:tcPr>
                          <w:p w14:paraId="05FB5F8D" w14:textId="77777777" w:rsidR="00AA3BF2" w:rsidRPr="00022391" w:rsidRDefault="00AA3BF2" w:rsidP="00CE0230">
                            <w:pPr>
                              <w:rPr>
                                <w:rFonts w:cs="Arial"/>
                                <w:sz w:val="18"/>
                                <w:szCs w:val="18"/>
                              </w:rPr>
                            </w:pPr>
                            <w:r w:rsidRPr="00022391">
                              <w:rPr>
                                <w:rFonts w:cs="Arial"/>
                                <w:sz w:val="18"/>
                                <w:szCs w:val="18"/>
                              </w:rPr>
                              <w:t>Exposures related to air quality, climate, green space, noise, and built environment that influence population and individual health.</w:t>
                            </w:r>
                          </w:p>
                        </w:tc>
                        <w:tc>
                          <w:tcPr>
                            <w:tcW w:w="3260" w:type="dxa"/>
                            <w:vAlign w:val="center"/>
                          </w:tcPr>
                          <w:p w14:paraId="178D5DB2" w14:textId="77777777" w:rsidR="00AA3BF2" w:rsidRPr="00022391" w:rsidRDefault="00AA3BF2" w:rsidP="00CE0230">
                            <w:pPr>
                              <w:rPr>
                                <w:rFonts w:cs="Arial"/>
                                <w:sz w:val="18"/>
                                <w:szCs w:val="18"/>
                              </w:rPr>
                            </w:pPr>
                            <w:r w:rsidRPr="00022391">
                              <w:rPr>
                                <w:rFonts w:cs="Arial"/>
                                <w:sz w:val="18"/>
                                <w:szCs w:val="18"/>
                              </w:rPr>
                              <w:t xml:space="preserve">DEFRA air quality data; Copernicus Climate Data; </w:t>
                            </w:r>
                          </w:p>
                        </w:tc>
                      </w:tr>
                      <w:tr w:rsidR="00AA3BF2" w:rsidRPr="00022391" w14:paraId="263C8250" w14:textId="77777777" w:rsidTr="00022391">
                        <w:tc>
                          <w:tcPr>
                            <w:tcW w:w="1844" w:type="dxa"/>
                            <w:vAlign w:val="center"/>
                          </w:tcPr>
                          <w:p w14:paraId="111BA6AC" w14:textId="77777777" w:rsidR="00AA3BF2" w:rsidRPr="00022391" w:rsidRDefault="00AA3BF2" w:rsidP="00CE0230">
                            <w:pPr>
                              <w:rPr>
                                <w:rFonts w:cs="Arial"/>
                                <w:sz w:val="18"/>
                                <w:szCs w:val="18"/>
                              </w:rPr>
                            </w:pPr>
                            <w:r w:rsidRPr="00022391">
                              <w:rPr>
                                <w:rFonts w:cs="Arial"/>
                                <w:sz w:val="18"/>
                                <w:szCs w:val="18"/>
                              </w:rPr>
                              <w:t>Life-course &amp; Longitudinal</w:t>
                            </w:r>
                          </w:p>
                        </w:tc>
                        <w:tc>
                          <w:tcPr>
                            <w:tcW w:w="3538" w:type="dxa"/>
                            <w:vAlign w:val="center"/>
                          </w:tcPr>
                          <w:p w14:paraId="6CD5DA51" w14:textId="77777777" w:rsidR="00AA3BF2" w:rsidRPr="00022391" w:rsidRDefault="00AA3BF2" w:rsidP="00CE0230">
                            <w:pPr>
                              <w:rPr>
                                <w:rFonts w:cs="Arial"/>
                                <w:sz w:val="18"/>
                                <w:szCs w:val="18"/>
                              </w:rPr>
                            </w:pPr>
                            <w:r w:rsidRPr="00022391">
                              <w:rPr>
                                <w:rFonts w:cs="Arial"/>
                                <w:sz w:val="18"/>
                                <w:szCs w:val="18"/>
                              </w:rPr>
                              <w:t>Long-term follow-up data capturing how health, exposures, and social conditions evolve over time, enabling temporal and causal analysis.</w:t>
                            </w:r>
                          </w:p>
                        </w:tc>
                        <w:tc>
                          <w:tcPr>
                            <w:tcW w:w="3260" w:type="dxa"/>
                            <w:vAlign w:val="center"/>
                          </w:tcPr>
                          <w:p w14:paraId="63253A5A" w14:textId="77777777" w:rsidR="00AA3BF2" w:rsidRPr="00022391" w:rsidRDefault="00AA3BF2" w:rsidP="00CE0230">
                            <w:pPr>
                              <w:rPr>
                                <w:rFonts w:cs="Arial"/>
                                <w:sz w:val="18"/>
                                <w:szCs w:val="18"/>
                              </w:rPr>
                            </w:pPr>
                            <w:r w:rsidRPr="00022391">
                              <w:rPr>
                                <w:rFonts w:cs="Arial"/>
                                <w:sz w:val="18"/>
                                <w:szCs w:val="18"/>
                              </w:rPr>
                              <w:t>Birth cohort studies (e.g., ALSPAC); Whitehall II; UK Biobank longitudinal follow-up</w:t>
                            </w:r>
                          </w:p>
                        </w:tc>
                      </w:tr>
                    </w:tbl>
                    <w:p w14:paraId="7A5FF4F3" w14:textId="77777777" w:rsidR="00AA3BF2" w:rsidRPr="00022391" w:rsidRDefault="00AA3BF2" w:rsidP="00AA3BF2">
                      <w:pPr>
                        <w:spacing w:after="0" w:line="240" w:lineRule="auto"/>
                        <w:rPr>
                          <w:rFonts w:cs="Arial"/>
                          <w:sz w:val="18"/>
                          <w:szCs w:val="18"/>
                        </w:rPr>
                      </w:pPr>
                    </w:p>
                  </w:txbxContent>
                </v:textbox>
                <w10:anchorlock/>
              </v:shape>
            </w:pict>
          </mc:Fallback>
        </mc:AlternateContent>
      </w:r>
    </w:p>
    <w:p w14:paraId="5664D946" w14:textId="5D91C498" w:rsidR="00AA3BF2" w:rsidRPr="00C01A73" w:rsidRDefault="00AA3BF2" w:rsidP="00AA3BF2">
      <w:pPr>
        <w:rPr>
          <w:rFonts w:cs="Arial"/>
        </w:rPr>
      </w:pPr>
      <w:r w:rsidRPr="00C01A73">
        <w:rPr>
          <w:rFonts w:cs="Arial"/>
        </w:rPr>
        <w:t>Recent advances in privacy-preserving machine learning and federated computing increasingly enable analysis across distributed datasets without centralising sensitive records, reducing long-standing legal and organisational barriers to multi-domain inquiry [</w:t>
      </w:r>
      <w:r w:rsidR="00AD4DB0">
        <w:rPr>
          <w:rFonts w:cs="Arial"/>
        </w:rPr>
        <w:t>3,5</w:t>
      </w:r>
      <w:r w:rsidRPr="00C01A73">
        <w:rPr>
          <w:rFonts w:cs="Arial"/>
        </w:rPr>
        <w:t>]. Regulatory initiatives, including European frameworks for secondary health data use, further reinforce this shift toward computation-to-data paradigms [</w:t>
      </w:r>
      <w:r w:rsidR="00AD4DB0">
        <w:rPr>
          <w:rFonts w:cs="Arial"/>
        </w:rPr>
        <w:t>2]</w:t>
      </w:r>
      <w:r w:rsidRPr="00C01A73">
        <w:rPr>
          <w:rFonts w:cs="Arial"/>
        </w:rPr>
        <w:t>.</w:t>
      </w:r>
    </w:p>
    <w:p w14:paraId="75F04178" w14:textId="77777777" w:rsidR="00AA3BF2" w:rsidRPr="00C01A73" w:rsidRDefault="00AA3BF2" w:rsidP="00AA3BF2">
      <w:pPr>
        <w:rPr>
          <w:rFonts w:cs="Arial"/>
        </w:rPr>
      </w:pPr>
      <w:r w:rsidRPr="00C01A73">
        <w:rPr>
          <w:rFonts w:cs="Arial"/>
        </w:rPr>
        <w:t>Taken together, these developments indicate that the feasibility constraint in hyper-personalisation is shifting from whether relevant data exist to how heterogeneous evidence is framed, linked, and interpreted in response to questions.</w:t>
      </w:r>
    </w:p>
    <w:p w14:paraId="1D0CA024" w14:textId="73148BBB" w:rsidR="00AA3BF2" w:rsidRPr="00C01A73" w:rsidRDefault="00AA3BF2" w:rsidP="00AA3BF2">
      <w:pPr>
        <w:pStyle w:val="Heading3"/>
        <w:rPr>
          <w:color w:val="auto"/>
        </w:rPr>
      </w:pPr>
      <w:r w:rsidRPr="00C01A73">
        <w:rPr>
          <w:color w:val="auto"/>
        </w:rPr>
        <w:t>1</w:t>
      </w:r>
      <w:r w:rsidRPr="00C01A73">
        <w:rPr>
          <w:color w:val="auto"/>
        </w:rPr>
        <w:t>.2</w:t>
      </w:r>
      <w:r w:rsidRPr="00C01A73">
        <w:rPr>
          <w:color w:val="auto"/>
        </w:rPr>
        <w:tab/>
        <w:t>AI and Large Language Models as Interfaces to Health Evidence</w:t>
      </w:r>
    </w:p>
    <w:p w14:paraId="08684F30" w14:textId="77777777" w:rsidR="00AA3BF2" w:rsidRPr="00C01A73" w:rsidRDefault="00AA3BF2" w:rsidP="00AA3BF2">
      <w:pPr>
        <w:rPr>
          <w:rFonts w:cs="Arial"/>
        </w:rPr>
      </w:pPr>
      <w:r w:rsidRPr="00C01A73">
        <w:rPr>
          <w:rFonts w:cs="Arial"/>
        </w:rPr>
        <w:t>Alongside expanded data availability, advances in machine learning (ML) have transformed how health evidence can be analysed and accessed. Within this paper, ML approaches are broadly distinguished between classic ML and generative artificial intelligence.</w:t>
      </w:r>
    </w:p>
    <w:p w14:paraId="24B28A34" w14:textId="77777777" w:rsidR="00AA3BF2" w:rsidRPr="00C01A73" w:rsidRDefault="00AA3BF2" w:rsidP="00AA3BF2">
      <w:pPr>
        <w:numPr>
          <w:ilvl w:val="0"/>
          <w:numId w:val="2"/>
        </w:numPr>
        <w:rPr>
          <w:rFonts w:cs="Arial"/>
        </w:rPr>
      </w:pPr>
      <w:r w:rsidRPr="00C01A73">
        <w:rPr>
          <w:rFonts w:cs="Arial"/>
          <w:b/>
          <w:bCs/>
        </w:rPr>
        <w:lastRenderedPageBreak/>
        <w:t>Classic ML</w:t>
      </w:r>
      <w:r w:rsidRPr="00C01A73">
        <w:rPr>
          <w:rFonts w:cs="Arial"/>
        </w:rPr>
        <w:t>: methods rely on structured data, feature engineering, and discriminative learning. They remain foundational for prediction, classification, and forecasting tasks in health research, but depend heavily on predefined assumptions about which variables matter and how relationships should be specified.</w:t>
      </w:r>
    </w:p>
    <w:p w14:paraId="706CB558" w14:textId="77777777" w:rsidR="00AA3BF2" w:rsidRPr="00C01A73" w:rsidRDefault="00AA3BF2" w:rsidP="00AA3BF2">
      <w:pPr>
        <w:numPr>
          <w:ilvl w:val="0"/>
          <w:numId w:val="2"/>
        </w:numPr>
        <w:rPr>
          <w:rFonts w:cs="Arial"/>
        </w:rPr>
      </w:pPr>
      <w:r w:rsidRPr="00C01A73">
        <w:rPr>
          <w:rFonts w:cs="Arial"/>
          <w:b/>
          <w:bCs/>
        </w:rPr>
        <w:t>Generative AI</w:t>
      </w:r>
      <w:r w:rsidRPr="00C01A73">
        <w:rPr>
          <w:rFonts w:cs="Arial"/>
        </w:rPr>
        <w:t>: focuses on producing new content—such as text, images, or code—rather than solely extracting patterns from curated datasets.</w:t>
      </w:r>
    </w:p>
    <w:p w14:paraId="1575E39D" w14:textId="3C2FE791" w:rsidR="00AA3BF2" w:rsidRPr="00C01A73" w:rsidRDefault="00AA3BF2" w:rsidP="00AA3BF2">
      <w:pPr>
        <w:rPr>
          <w:rFonts w:cs="Arial"/>
        </w:rPr>
      </w:pPr>
      <w:r w:rsidRPr="00C01A73">
        <w:rPr>
          <w:rFonts w:cs="Arial"/>
        </w:rPr>
        <w:t>Large language models (LLMs) represent a prominent subset of generative AI designed for language-based interaction. Trained on large-scale textual data and contextual information, LLMs use transformer-based architectures to learn relationships between tokens and contexts, enabling sophisticated natural-language understanding and generation [</w:t>
      </w:r>
      <w:r w:rsidR="001648B2">
        <w:rPr>
          <w:rFonts w:cs="Arial"/>
        </w:rPr>
        <w:t>8</w:t>
      </w:r>
      <w:r w:rsidRPr="00C01A73">
        <w:rPr>
          <w:rFonts w:cs="Arial"/>
        </w:rPr>
        <w:t>]. While transformers describe a class of model architectures, LLMs refer specifically to large-scale generative systems built upon them.</w:t>
      </w:r>
    </w:p>
    <w:p w14:paraId="66A9AE36" w14:textId="6D8BB9C4" w:rsidR="00AA3BF2" w:rsidRPr="00C01A73" w:rsidRDefault="00AA3BF2" w:rsidP="00AA3BF2">
      <w:pPr>
        <w:rPr>
          <w:rFonts w:cs="Arial"/>
        </w:rPr>
      </w:pPr>
      <w:r w:rsidRPr="00C01A73">
        <w:rPr>
          <w:rFonts w:cs="Arial"/>
        </w:rPr>
        <w:t xml:space="preserve">As summarised in Table </w:t>
      </w:r>
      <w:r w:rsidR="0062375A">
        <w:rPr>
          <w:rFonts w:cs="Arial"/>
        </w:rPr>
        <w:t>2</w:t>
      </w:r>
      <w:r w:rsidRPr="00C01A73">
        <w:rPr>
          <w:rFonts w:cs="Arial"/>
        </w:rPr>
        <w:t>, the distinction between classic ML and generative AI is not only technical but also interactional. Classic approaches typically operate on predefined analytical tasks, whereas LLMs increasingly function as interfaces that mediate access to complex data and analytical processes. In health contexts, this positions LLMs as potential enablers of multi-domain synthesis and reasoning, lowering technical barriers to engaging with distributed evidence.</w:t>
      </w:r>
    </w:p>
    <w:p w14:paraId="168D45F4" w14:textId="77777777" w:rsidR="00AA3BF2" w:rsidRPr="00C01A73" w:rsidRDefault="00AA3BF2" w:rsidP="00AA3BF2">
      <w:pPr>
        <w:rPr>
          <w:rFonts w:cs="Arial"/>
          <w:sz w:val="18"/>
          <w:szCs w:val="18"/>
        </w:rPr>
      </w:pPr>
      <w:r w:rsidRPr="00C01A73">
        <w:rPr>
          <w:rFonts w:cs="Arial"/>
          <w:noProof/>
          <w:sz w:val="18"/>
          <w:szCs w:val="18"/>
        </w:rPr>
        <mc:AlternateContent>
          <mc:Choice Requires="wps">
            <w:drawing>
              <wp:inline distT="0" distB="0" distL="0" distR="0" wp14:anchorId="0224BBC1" wp14:editId="56438F99">
                <wp:extent cx="5689600" cy="1543050"/>
                <wp:effectExtent l="0" t="0" r="25400" b="19050"/>
                <wp:docPr id="1918134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543050"/>
                        </a:xfrm>
                        <a:prstGeom prst="rect">
                          <a:avLst/>
                        </a:prstGeom>
                        <a:solidFill>
                          <a:srgbClr val="FFFFFF"/>
                        </a:solidFill>
                        <a:ln w="12700">
                          <a:solidFill>
                            <a:srgbClr val="000000"/>
                          </a:solidFill>
                          <a:miter lim="800000"/>
                          <a:headEnd/>
                          <a:tailEnd/>
                        </a:ln>
                      </wps:spPr>
                      <wps:txbx>
                        <w:txbxContent>
                          <w:p w14:paraId="4A7D141A" w14:textId="26C0B5F6" w:rsidR="00AA3BF2" w:rsidRPr="00247DA4" w:rsidRDefault="00AA3BF2" w:rsidP="00AA3BF2">
                            <w:pPr>
                              <w:rPr>
                                <w:rFonts w:cs="Arial"/>
                                <w:sz w:val="18"/>
                                <w:szCs w:val="18"/>
                              </w:rPr>
                            </w:pPr>
                            <w:r w:rsidRPr="00247DA4">
                              <w:rPr>
                                <w:rFonts w:cs="Arial"/>
                                <w:b/>
                                <w:bCs/>
                                <w:sz w:val="18"/>
                                <w:szCs w:val="18"/>
                              </w:rPr>
                              <w:t xml:space="preserve">Table </w:t>
                            </w:r>
                            <w:r w:rsidR="009E5065">
                              <w:rPr>
                                <w:rFonts w:cs="Arial"/>
                                <w:b/>
                                <w:bCs/>
                                <w:sz w:val="18"/>
                                <w:szCs w:val="18"/>
                              </w:rPr>
                              <w:t>2</w:t>
                            </w:r>
                            <w:r w:rsidRPr="00247DA4">
                              <w:rPr>
                                <w:rFonts w:cs="Arial"/>
                                <w:b/>
                                <w:bCs/>
                                <w:sz w:val="18"/>
                                <w:szCs w:val="18"/>
                              </w:rPr>
                              <w:t>:</w:t>
                            </w:r>
                            <w:r w:rsidRPr="00247DA4">
                              <w:rPr>
                                <w:rFonts w:cs="Arial"/>
                                <w:sz w:val="18"/>
                                <w:szCs w:val="18"/>
                              </w:rPr>
                              <w:t xml:space="preserve"> Comparison of Classic ML and Generative AI</w:t>
                            </w:r>
                          </w:p>
                          <w:tbl>
                            <w:tblPr>
                              <w:tblStyle w:val="TableGrid"/>
                              <w:tblW w:w="8642" w:type="dxa"/>
                              <w:tblLook w:val="04A0" w:firstRow="1" w:lastRow="0" w:firstColumn="1" w:lastColumn="0" w:noHBand="0" w:noVBand="1"/>
                            </w:tblPr>
                            <w:tblGrid>
                              <w:gridCol w:w="2263"/>
                              <w:gridCol w:w="2977"/>
                              <w:gridCol w:w="3402"/>
                            </w:tblGrid>
                            <w:tr w:rsidR="00AA3BF2" w:rsidRPr="00BD4EA8" w14:paraId="3A583C90" w14:textId="77777777" w:rsidTr="00022391">
                              <w:trPr>
                                <w:trHeight w:val="495"/>
                              </w:trPr>
                              <w:tc>
                                <w:tcPr>
                                  <w:tcW w:w="2263" w:type="dxa"/>
                                  <w:vAlign w:val="center"/>
                                </w:tcPr>
                                <w:p w14:paraId="3B790C5A" w14:textId="77777777" w:rsidR="00AA3BF2" w:rsidRPr="00022391" w:rsidRDefault="00AA3BF2" w:rsidP="00BF0EEE">
                                  <w:pPr>
                                    <w:rPr>
                                      <w:rFonts w:cs="Arial"/>
                                      <w:sz w:val="20"/>
                                      <w:szCs w:val="20"/>
                                    </w:rPr>
                                  </w:pPr>
                                  <w:r w:rsidRPr="00022391">
                                    <w:rPr>
                                      <w:rFonts w:cs="Arial"/>
                                      <w:sz w:val="20"/>
                                      <w:szCs w:val="20"/>
                                    </w:rPr>
                                    <w:t>Feature</w:t>
                                  </w:r>
                                </w:p>
                              </w:tc>
                              <w:tc>
                                <w:tcPr>
                                  <w:tcW w:w="2977" w:type="dxa"/>
                                  <w:vAlign w:val="center"/>
                                </w:tcPr>
                                <w:p w14:paraId="2DDBA98B" w14:textId="77777777" w:rsidR="00AA3BF2" w:rsidRPr="00022391" w:rsidRDefault="00AA3BF2" w:rsidP="00BF0EEE">
                                  <w:pPr>
                                    <w:rPr>
                                      <w:rFonts w:cs="Arial"/>
                                      <w:sz w:val="20"/>
                                      <w:szCs w:val="20"/>
                                    </w:rPr>
                                  </w:pPr>
                                  <w:r w:rsidRPr="00022391">
                                    <w:rPr>
                                      <w:rFonts w:cs="Arial"/>
                                      <w:sz w:val="20"/>
                                      <w:szCs w:val="20"/>
                                    </w:rPr>
                                    <w:t>Classic ML</w:t>
                                  </w:r>
                                </w:p>
                              </w:tc>
                              <w:tc>
                                <w:tcPr>
                                  <w:tcW w:w="3402" w:type="dxa"/>
                                  <w:vAlign w:val="center"/>
                                </w:tcPr>
                                <w:p w14:paraId="5F0412F5" w14:textId="77777777" w:rsidR="00AA3BF2" w:rsidRPr="00022391" w:rsidRDefault="00AA3BF2" w:rsidP="00BF0EEE">
                                  <w:pPr>
                                    <w:rPr>
                                      <w:rFonts w:cs="Arial"/>
                                      <w:sz w:val="20"/>
                                      <w:szCs w:val="20"/>
                                    </w:rPr>
                                  </w:pPr>
                                  <w:r w:rsidRPr="00022391">
                                    <w:rPr>
                                      <w:rFonts w:cs="Arial"/>
                                      <w:sz w:val="20"/>
                                      <w:szCs w:val="20"/>
                                    </w:rPr>
                                    <w:t>Generative AI/LLMs</w:t>
                                  </w:r>
                                </w:p>
                              </w:tc>
                            </w:tr>
                            <w:tr w:rsidR="00AA3BF2" w:rsidRPr="00BD4EA8" w14:paraId="62C9B516" w14:textId="77777777" w:rsidTr="00022391">
                              <w:tc>
                                <w:tcPr>
                                  <w:tcW w:w="2263" w:type="dxa"/>
                                  <w:vAlign w:val="center"/>
                                </w:tcPr>
                                <w:p w14:paraId="661827F1" w14:textId="77777777" w:rsidR="00AA3BF2" w:rsidRPr="00022391" w:rsidRDefault="00AA3BF2" w:rsidP="00BF0EEE">
                                  <w:pPr>
                                    <w:rPr>
                                      <w:rFonts w:cs="Arial"/>
                                      <w:sz w:val="18"/>
                                      <w:szCs w:val="18"/>
                                    </w:rPr>
                                  </w:pPr>
                                  <w:r w:rsidRPr="00022391">
                                    <w:rPr>
                                      <w:rFonts w:cs="Arial"/>
                                      <w:sz w:val="18"/>
                                      <w:szCs w:val="18"/>
                                    </w:rPr>
                                    <w:t>Primary Function</w:t>
                                  </w:r>
                                </w:p>
                              </w:tc>
                              <w:tc>
                                <w:tcPr>
                                  <w:tcW w:w="2977" w:type="dxa"/>
                                  <w:vAlign w:val="center"/>
                                </w:tcPr>
                                <w:p w14:paraId="47C13B44" w14:textId="77777777" w:rsidR="00AA3BF2" w:rsidRPr="00022391" w:rsidRDefault="00AA3BF2" w:rsidP="00BF0EEE">
                                  <w:pPr>
                                    <w:rPr>
                                      <w:rFonts w:cs="Arial"/>
                                      <w:sz w:val="18"/>
                                      <w:szCs w:val="18"/>
                                    </w:rPr>
                                  </w:pPr>
                                  <w:r w:rsidRPr="00022391">
                                    <w:rPr>
                                      <w:rFonts w:cs="Arial"/>
                                      <w:sz w:val="18"/>
                                      <w:szCs w:val="18"/>
                                    </w:rPr>
                                    <w:t>Extract relevant features from curated datasets</w:t>
                                  </w:r>
                                </w:p>
                              </w:tc>
                              <w:tc>
                                <w:tcPr>
                                  <w:tcW w:w="3402" w:type="dxa"/>
                                  <w:vAlign w:val="center"/>
                                </w:tcPr>
                                <w:p w14:paraId="5B0B7D10" w14:textId="77777777" w:rsidR="00AA3BF2" w:rsidRPr="00022391" w:rsidRDefault="00AA3BF2" w:rsidP="00BF0EEE">
                                  <w:pPr>
                                    <w:rPr>
                                      <w:rFonts w:cs="Arial"/>
                                      <w:sz w:val="18"/>
                                      <w:szCs w:val="18"/>
                                    </w:rPr>
                                  </w:pPr>
                                  <w:r w:rsidRPr="00022391">
                                    <w:rPr>
                                      <w:rFonts w:cs="Arial"/>
                                      <w:sz w:val="18"/>
                                      <w:szCs w:val="18"/>
                                    </w:rPr>
                                    <w:t>Generative content creation</w:t>
                                  </w:r>
                                </w:p>
                              </w:tc>
                            </w:tr>
                            <w:tr w:rsidR="00AA3BF2" w:rsidRPr="00BD4EA8" w14:paraId="4680B729" w14:textId="77777777" w:rsidTr="00022391">
                              <w:tc>
                                <w:tcPr>
                                  <w:tcW w:w="2263" w:type="dxa"/>
                                  <w:vAlign w:val="center"/>
                                </w:tcPr>
                                <w:p w14:paraId="6F350ADF" w14:textId="77777777" w:rsidR="00AA3BF2" w:rsidRPr="00022391" w:rsidRDefault="00AA3BF2" w:rsidP="00BF0EEE">
                                  <w:pPr>
                                    <w:rPr>
                                      <w:rFonts w:cs="Arial"/>
                                      <w:sz w:val="18"/>
                                      <w:szCs w:val="18"/>
                                    </w:rPr>
                                  </w:pPr>
                                  <w:r w:rsidRPr="00022391">
                                    <w:rPr>
                                      <w:rFonts w:cs="Arial"/>
                                      <w:sz w:val="18"/>
                                      <w:szCs w:val="18"/>
                                    </w:rPr>
                                    <w:t>Focus</w:t>
                                  </w:r>
                                </w:p>
                              </w:tc>
                              <w:tc>
                                <w:tcPr>
                                  <w:tcW w:w="2977" w:type="dxa"/>
                                  <w:vAlign w:val="center"/>
                                </w:tcPr>
                                <w:p w14:paraId="60EEECD8" w14:textId="77777777" w:rsidR="00AA3BF2" w:rsidRPr="00022391" w:rsidRDefault="00AA3BF2" w:rsidP="00BF0EEE">
                                  <w:pPr>
                                    <w:rPr>
                                      <w:rFonts w:cs="Arial"/>
                                      <w:sz w:val="18"/>
                                      <w:szCs w:val="18"/>
                                    </w:rPr>
                                  </w:pPr>
                                  <w:r w:rsidRPr="00022391">
                                    <w:rPr>
                                      <w:rFonts w:cs="Arial"/>
                                      <w:sz w:val="18"/>
                                      <w:szCs w:val="18"/>
                                    </w:rPr>
                                    <w:t>Natural language processing etc.</w:t>
                                  </w:r>
                                </w:p>
                              </w:tc>
                              <w:tc>
                                <w:tcPr>
                                  <w:tcW w:w="3402" w:type="dxa"/>
                                  <w:vAlign w:val="center"/>
                                </w:tcPr>
                                <w:p w14:paraId="49010099" w14:textId="77777777" w:rsidR="00AA3BF2" w:rsidRPr="00022391" w:rsidRDefault="00AA3BF2" w:rsidP="00BF0EEE">
                                  <w:pPr>
                                    <w:rPr>
                                      <w:rFonts w:cs="Arial"/>
                                      <w:sz w:val="18"/>
                                      <w:szCs w:val="18"/>
                                    </w:rPr>
                                  </w:pPr>
                                  <w:r w:rsidRPr="00022391">
                                    <w:rPr>
                                      <w:rFonts w:cs="Arial"/>
                                      <w:sz w:val="18"/>
                                      <w:szCs w:val="18"/>
                                    </w:rPr>
                                    <w:t>Generating new content (text, images, etc.)</w:t>
                                  </w:r>
                                </w:p>
                              </w:tc>
                            </w:tr>
                            <w:tr w:rsidR="00AA3BF2" w:rsidRPr="00BD4EA8" w14:paraId="24DD02CD" w14:textId="77777777" w:rsidTr="00022391">
                              <w:tc>
                                <w:tcPr>
                                  <w:tcW w:w="2263" w:type="dxa"/>
                                  <w:vAlign w:val="center"/>
                                </w:tcPr>
                                <w:p w14:paraId="52FF87F8" w14:textId="77777777" w:rsidR="00AA3BF2" w:rsidRPr="00022391" w:rsidRDefault="00AA3BF2" w:rsidP="00BF0EEE">
                                  <w:pPr>
                                    <w:rPr>
                                      <w:rFonts w:cs="Arial"/>
                                      <w:sz w:val="18"/>
                                      <w:szCs w:val="18"/>
                                    </w:rPr>
                                  </w:pPr>
                                  <w:r w:rsidRPr="00022391">
                                    <w:rPr>
                                      <w:rFonts w:cs="Arial"/>
                                      <w:sz w:val="18"/>
                                      <w:szCs w:val="18"/>
                                    </w:rPr>
                                    <w:t>Examples</w:t>
                                  </w:r>
                                </w:p>
                              </w:tc>
                              <w:tc>
                                <w:tcPr>
                                  <w:tcW w:w="2977" w:type="dxa"/>
                                  <w:vAlign w:val="center"/>
                                </w:tcPr>
                                <w:p w14:paraId="30101A66" w14:textId="77777777" w:rsidR="00AA3BF2" w:rsidRPr="00022391" w:rsidRDefault="00AA3BF2" w:rsidP="00BF0EEE">
                                  <w:pPr>
                                    <w:rPr>
                                      <w:rFonts w:cs="Arial"/>
                                      <w:sz w:val="18"/>
                                      <w:szCs w:val="18"/>
                                    </w:rPr>
                                  </w:pPr>
                                  <w:r w:rsidRPr="00022391">
                                    <w:rPr>
                                      <w:rFonts w:cs="Arial"/>
                                      <w:sz w:val="18"/>
                                      <w:szCs w:val="18"/>
                                    </w:rPr>
                                    <w:t>Recommendation, forecasting</w:t>
                                  </w:r>
                                </w:p>
                              </w:tc>
                              <w:tc>
                                <w:tcPr>
                                  <w:tcW w:w="3402" w:type="dxa"/>
                                  <w:vAlign w:val="center"/>
                                </w:tcPr>
                                <w:p w14:paraId="74D184B5" w14:textId="77777777" w:rsidR="00AA3BF2" w:rsidRPr="00022391" w:rsidRDefault="00AA3BF2" w:rsidP="00BF0EEE">
                                  <w:pPr>
                                    <w:rPr>
                                      <w:rFonts w:cs="Arial"/>
                                      <w:sz w:val="18"/>
                                      <w:szCs w:val="18"/>
                                    </w:rPr>
                                  </w:pPr>
                                  <w:r w:rsidRPr="00022391">
                                    <w:rPr>
                                      <w:rFonts w:cs="Arial"/>
                                      <w:sz w:val="18"/>
                                      <w:szCs w:val="18"/>
                                    </w:rPr>
                                    <w:t>Text generation, image generation, etc.</w:t>
                                  </w:r>
                                </w:p>
                              </w:tc>
                            </w:tr>
                            <w:tr w:rsidR="00AA3BF2" w:rsidRPr="00BD4EA8" w14:paraId="35B125A0" w14:textId="77777777" w:rsidTr="00022391">
                              <w:tc>
                                <w:tcPr>
                                  <w:tcW w:w="2263" w:type="dxa"/>
                                  <w:vAlign w:val="center"/>
                                </w:tcPr>
                                <w:p w14:paraId="4DC12D71" w14:textId="77777777" w:rsidR="00AA3BF2" w:rsidRPr="00022391" w:rsidRDefault="00AA3BF2" w:rsidP="00BF0EEE">
                                  <w:pPr>
                                    <w:rPr>
                                      <w:rFonts w:cs="Arial"/>
                                      <w:sz w:val="18"/>
                                      <w:szCs w:val="18"/>
                                    </w:rPr>
                                  </w:pPr>
                                  <w:r w:rsidRPr="00022391">
                                    <w:rPr>
                                      <w:rFonts w:cs="Arial"/>
                                      <w:sz w:val="18"/>
                                      <w:szCs w:val="18"/>
                                    </w:rPr>
                                    <w:t>Key Concept</w:t>
                                  </w:r>
                                </w:p>
                              </w:tc>
                              <w:tc>
                                <w:tcPr>
                                  <w:tcW w:w="2977" w:type="dxa"/>
                                  <w:vAlign w:val="center"/>
                                </w:tcPr>
                                <w:p w14:paraId="06F92005" w14:textId="77777777" w:rsidR="00AA3BF2" w:rsidRPr="00022391" w:rsidRDefault="00AA3BF2" w:rsidP="00BF0EEE">
                                  <w:pPr>
                                    <w:rPr>
                                      <w:rFonts w:cs="Arial"/>
                                      <w:sz w:val="18"/>
                                      <w:szCs w:val="18"/>
                                    </w:rPr>
                                  </w:pPr>
                                  <w:r w:rsidRPr="00022391">
                                    <w:rPr>
                                      <w:rFonts w:cs="Arial"/>
                                      <w:sz w:val="18"/>
                                      <w:szCs w:val="18"/>
                                    </w:rPr>
                                    <w:t>ML, neural networks</w:t>
                                  </w:r>
                                </w:p>
                              </w:tc>
                              <w:tc>
                                <w:tcPr>
                                  <w:tcW w:w="3402" w:type="dxa"/>
                                  <w:vAlign w:val="center"/>
                                </w:tcPr>
                                <w:p w14:paraId="1E4E1CBC" w14:textId="77777777" w:rsidR="00AA3BF2" w:rsidRPr="00022391" w:rsidRDefault="00AA3BF2" w:rsidP="00BF0EEE">
                                  <w:pPr>
                                    <w:rPr>
                                      <w:rFonts w:cs="Arial"/>
                                      <w:sz w:val="18"/>
                                      <w:szCs w:val="18"/>
                                    </w:rPr>
                                  </w:pPr>
                                  <w:r w:rsidRPr="00022391">
                                    <w:rPr>
                                      <w:rFonts w:cs="Arial"/>
                                      <w:sz w:val="18"/>
                                      <w:szCs w:val="18"/>
                                    </w:rPr>
                                    <w:t>LLMs (e.g. NLP), World models</w:t>
                                  </w:r>
                                </w:p>
                              </w:tc>
                            </w:tr>
                          </w:tbl>
                          <w:p w14:paraId="67FD2FFB" w14:textId="77777777" w:rsidR="00AA3BF2" w:rsidRPr="006A53B2" w:rsidRDefault="00AA3BF2" w:rsidP="00AA3BF2">
                            <w:pPr>
                              <w:spacing w:after="0" w:line="240" w:lineRule="auto"/>
                              <w:rPr>
                                <w:rFonts w:cs="Arial"/>
                                <w:sz w:val="18"/>
                                <w:szCs w:val="18"/>
                              </w:rPr>
                            </w:pPr>
                          </w:p>
                        </w:txbxContent>
                      </wps:txbx>
                      <wps:bodyPr rot="0" vert="horz" wrap="square" lIns="91440" tIns="45720" rIns="91440" bIns="45720" anchor="t" anchorCtr="0">
                        <a:noAutofit/>
                      </wps:bodyPr>
                    </wps:wsp>
                  </a:graphicData>
                </a:graphic>
              </wp:inline>
            </w:drawing>
          </mc:Choice>
          <mc:Fallback>
            <w:pict>
              <v:shape w14:anchorId="0224BBC1" id="_x0000_s1027" type="#_x0000_t202" style="width:448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" strokeweight="1pt">
                <v:textbox>
                  <w:txbxContent>
                    <w:p w14:paraId="4A7D141A" w14:textId="26C0B5F6" w:rsidR="00AA3BF2" w:rsidRPr="00247DA4" w:rsidRDefault="00AA3BF2" w:rsidP="00AA3BF2">
                      <w:pPr>
                        <w:rPr>
                          <w:rFonts w:cs="Arial"/>
                          <w:sz w:val="18"/>
                          <w:szCs w:val="18"/>
                        </w:rPr>
                      </w:pPr>
                      <w:r w:rsidRPr="00247DA4">
                        <w:rPr>
                          <w:rFonts w:cs="Arial"/>
                          <w:b/>
                          <w:bCs/>
                          <w:sz w:val="18"/>
                          <w:szCs w:val="18"/>
                        </w:rPr>
                        <w:t xml:space="preserve">Table </w:t>
                      </w:r>
                      <w:r w:rsidR="009E5065">
                        <w:rPr>
                          <w:rFonts w:cs="Arial"/>
                          <w:b/>
                          <w:bCs/>
                          <w:sz w:val="18"/>
                          <w:szCs w:val="18"/>
                        </w:rPr>
                        <w:t>2</w:t>
                      </w:r>
                      <w:r w:rsidRPr="00247DA4">
                        <w:rPr>
                          <w:rFonts w:cs="Arial"/>
                          <w:b/>
                          <w:bCs/>
                          <w:sz w:val="18"/>
                          <w:szCs w:val="18"/>
                        </w:rPr>
                        <w:t>:</w:t>
                      </w:r>
                      <w:r w:rsidRPr="00247DA4">
                        <w:rPr>
                          <w:rFonts w:cs="Arial"/>
                          <w:sz w:val="18"/>
                          <w:szCs w:val="18"/>
                        </w:rPr>
                        <w:t xml:space="preserve"> Comparison of Classic ML and Generative AI</w:t>
                      </w:r>
                    </w:p>
                    <w:tbl>
                      <w:tblPr>
                        <w:tblStyle w:val="TableGrid"/>
                        <w:tblW w:w="8642" w:type="dxa"/>
                        <w:tblLook w:val="04A0" w:firstRow="1" w:lastRow="0" w:firstColumn="1" w:lastColumn="0" w:noHBand="0" w:noVBand="1"/>
                      </w:tblPr>
                      <w:tblGrid>
                        <w:gridCol w:w="2263"/>
                        <w:gridCol w:w="2977"/>
                        <w:gridCol w:w="3402"/>
                      </w:tblGrid>
                      <w:tr w:rsidR="00AA3BF2" w:rsidRPr="00BD4EA8" w14:paraId="3A583C90" w14:textId="77777777" w:rsidTr="00022391">
                        <w:trPr>
                          <w:trHeight w:val="495"/>
                        </w:trPr>
                        <w:tc>
                          <w:tcPr>
                            <w:tcW w:w="2263" w:type="dxa"/>
                            <w:vAlign w:val="center"/>
                          </w:tcPr>
                          <w:p w14:paraId="3B790C5A" w14:textId="77777777" w:rsidR="00AA3BF2" w:rsidRPr="00022391" w:rsidRDefault="00AA3BF2" w:rsidP="00BF0EEE">
                            <w:pPr>
                              <w:rPr>
                                <w:rFonts w:cs="Arial"/>
                                <w:sz w:val="20"/>
                                <w:szCs w:val="20"/>
                              </w:rPr>
                            </w:pPr>
                            <w:r w:rsidRPr="00022391">
                              <w:rPr>
                                <w:rFonts w:cs="Arial"/>
                                <w:sz w:val="20"/>
                                <w:szCs w:val="20"/>
                              </w:rPr>
                              <w:t>Feature</w:t>
                            </w:r>
                          </w:p>
                        </w:tc>
                        <w:tc>
                          <w:tcPr>
                            <w:tcW w:w="2977" w:type="dxa"/>
                            <w:vAlign w:val="center"/>
                          </w:tcPr>
                          <w:p w14:paraId="2DDBA98B" w14:textId="77777777" w:rsidR="00AA3BF2" w:rsidRPr="00022391" w:rsidRDefault="00AA3BF2" w:rsidP="00BF0EEE">
                            <w:pPr>
                              <w:rPr>
                                <w:rFonts w:cs="Arial"/>
                                <w:sz w:val="20"/>
                                <w:szCs w:val="20"/>
                              </w:rPr>
                            </w:pPr>
                            <w:r w:rsidRPr="00022391">
                              <w:rPr>
                                <w:rFonts w:cs="Arial"/>
                                <w:sz w:val="20"/>
                                <w:szCs w:val="20"/>
                              </w:rPr>
                              <w:t>Classic ML</w:t>
                            </w:r>
                          </w:p>
                        </w:tc>
                        <w:tc>
                          <w:tcPr>
                            <w:tcW w:w="3402" w:type="dxa"/>
                            <w:vAlign w:val="center"/>
                          </w:tcPr>
                          <w:p w14:paraId="5F0412F5" w14:textId="77777777" w:rsidR="00AA3BF2" w:rsidRPr="00022391" w:rsidRDefault="00AA3BF2" w:rsidP="00BF0EEE">
                            <w:pPr>
                              <w:rPr>
                                <w:rFonts w:cs="Arial"/>
                                <w:sz w:val="20"/>
                                <w:szCs w:val="20"/>
                              </w:rPr>
                            </w:pPr>
                            <w:r w:rsidRPr="00022391">
                              <w:rPr>
                                <w:rFonts w:cs="Arial"/>
                                <w:sz w:val="20"/>
                                <w:szCs w:val="20"/>
                              </w:rPr>
                              <w:t>Generative AI/LLMs</w:t>
                            </w:r>
                          </w:p>
                        </w:tc>
                      </w:tr>
                      <w:tr w:rsidR="00AA3BF2" w:rsidRPr="00BD4EA8" w14:paraId="62C9B516" w14:textId="77777777" w:rsidTr="00022391">
                        <w:tc>
                          <w:tcPr>
                            <w:tcW w:w="2263" w:type="dxa"/>
                            <w:vAlign w:val="center"/>
                          </w:tcPr>
                          <w:p w14:paraId="661827F1" w14:textId="77777777" w:rsidR="00AA3BF2" w:rsidRPr="00022391" w:rsidRDefault="00AA3BF2" w:rsidP="00BF0EEE">
                            <w:pPr>
                              <w:rPr>
                                <w:rFonts w:cs="Arial"/>
                                <w:sz w:val="18"/>
                                <w:szCs w:val="18"/>
                              </w:rPr>
                            </w:pPr>
                            <w:r w:rsidRPr="00022391">
                              <w:rPr>
                                <w:rFonts w:cs="Arial"/>
                                <w:sz w:val="18"/>
                                <w:szCs w:val="18"/>
                              </w:rPr>
                              <w:t>Primary Function</w:t>
                            </w:r>
                          </w:p>
                        </w:tc>
                        <w:tc>
                          <w:tcPr>
                            <w:tcW w:w="2977" w:type="dxa"/>
                            <w:vAlign w:val="center"/>
                          </w:tcPr>
                          <w:p w14:paraId="47C13B44" w14:textId="77777777" w:rsidR="00AA3BF2" w:rsidRPr="00022391" w:rsidRDefault="00AA3BF2" w:rsidP="00BF0EEE">
                            <w:pPr>
                              <w:rPr>
                                <w:rFonts w:cs="Arial"/>
                                <w:sz w:val="18"/>
                                <w:szCs w:val="18"/>
                              </w:rPr>
                            </w:pPr>
                            <w:r w:rsidRPr="00022391">
                              <w:rPr>
                                <w:rFonts w:cs="Arial"/>
                                <w:sz w:val="18"/>
                                <w:szCs w:val="18"/>
                              </w:rPr>
                              <w:t>Extract relevant features from curated datasets</w:t>
                            </w:r>
                          </w:p>
                        </w:tc>
                        <w:tc>
                          <w:tcPr>
                            <w:tcW w:w="3402" w:type="dxa"/>
                            <w:vAlign w:val="center"/>
                          </w:tcPr>
                          <w:p w14:paraId="5B0B7D10" w14:textId="77777777" w:rsidR="00AA3BF2" w:rsidRPr="00022391" w:rsidRDefault="00AA3BF2" w:rsidP="00BF0EEE">
                            <w:pPr>
                              <w:rPr>
                                <w:rFonts w:cs="Arial"/>
                                <w:sz w:val="18"/>
                                <w:szCs w:val="18"/>
                              </w:rPr>
                            </w:pPr>
                            <w:r w:rsidRPr="00022391">
                              <w:rPr>
                                <w:rFonts w:cs="Arial"/>
                                <w:sz w:val="18"/>
                                <w:szCs w:val="18"/>
                              </w:rPr>
                              <w:t>Generative content creation</w:t>
                            </w:r>
                          </w:p>
                        </w:tc>
                      </w:tr>
                      <w:tr w:rsidR="00AA3BF2" w:rsidRPr="00BD4EA8" w14:paraId="4680B729" w14:textId="77777777" w:rsidTr="00022391">
                        <w:tc>
                          <w:tcPr>
                            <w:tcW w:w="2263" w:type="dxa"/>
                            <w:vAlign w:val="center"/>
                          </w:tcPr>
                          <w:p w14:paraId="6F350ADF" w14:textId="77777777" w:rsidR="00AA3BF2" w:rsidRPr="00022391" w:rsidRDefault="00AA3BF2" w:rsidP="00BF0EEE">
                            <w:pPr>
                              <w:rPr>
                                <w:rFonts w:cs="Arial"/>
                                <w:sz w:val="18"/>
                                <w:szCs w:val="18"/>
                              </w:rPr>
                            </w:pPr>
                            <w:r w:rsidRPr="00022391">
                              <w:rPr>
                                <w:rFonts w:cs="Arial"/>
                                <w:sz w:val="18"/>
                                <w:szCs w:val="18"/>
                              </w:rPr>
                              <w:t>Focus</w:t>
                            </w:r>
                          </w:p>
                        </w:tc>
                        <w:tc>
                          <w:tcPr>
                            <w:tcW w:w="2977" w:type="dxa"/>
                            <w:vAlign w:val="center"/>
                          </w:tcPr>
                          <w:p w14:paraId="60EEECD8" w14:textId="77777777" w:rsidR="00AA3BF2" w:rsidRPr="00022391" w:rsidRDefault="00AA3BF2" w:rsidP="00BF0EEE">
                            <w:pPr>
                              <w:rPr>
                                <w:rFonts w:cs="Arial"/>
                                <w:sz w:val="18"/>
                                <w:szCs w:val="18"/>
                              </w:rPr>
                            </w:pPr>
                            <w:r w:rsidRPr="00022391">
                              <w:rPr>
                                <w:rFonts w:cs="Arial"/>
                                <w:sz w:val="18"/>
                                <w:szCs w:val="18"/>
                              </w:rPr>
                              <w:t>Natural language processing etc.</w:t>
                            </w:r>
                          </w:p>
                        </w:tc>
                        <w:tc>
                          <w:tcPr>
                            <w:tcW w:w="3402" w:type="dxa"/>
                            <w:vAlign w:val="center"/>
                          </w:tcPr>
                          <w:p w14:paraId="49010099" w14:textId="77777777" w:rsidR="00AA3BF2" w:rsidRPr="00022391" w:rsidRDefault="00AA3BF2" w:rsidP="00BF0EEE">
                            <w:pPr>
                              <w:rPr>
                                <w:rFonts w:cs="Arial"/>
                                <w:sz w:val="18"/>
                                <w:szCs w:val="18"/>
                              </w:rPr>
                            </w:pPr>
                            <w:r w:rsidRPr="00022391">
                              <w:rPr>
                                <w:rFonts w:cs="Arial"/>
                                <w:sz w:val="18"/>
                                <w:szCs w:val="18"/>
                              </w:rPr>
                              <w:t>Generating new content (text, images, etc.)</w:t>
                            </w:r>
                          </w:p>
                        </w:tc>
                      </w:tr>
                      <w:tr w:rsidR="00AA3BF2" w:rsidRPr="00BD4EA8" w14:paraId="24DD02CD" w14:textId="77777777" w:rsidTr="00022391">
                        <w:tc>
                          <w:tcPr>
                            <w:tcW w:w="2263" w:type="dxa"/>
                            <w:vAlign w:val="center"/>
                          </w:tcPr>
                          <w:p w14:paraId="52FF87F8" w14:textId="77777777" w:rsidR="00AA3BF2" w:rsidRPr="00022391" w:rsidRDefault="00AA3BF2" w:rsidP="00BF0EEE">
                            <w:pPr>
                              <w:rPr>
                                <w:rFonts w:cs="Arial"/>
                                <w:sz w:val="18"/>
                                <w:szCs w:val="18"/>
                              </w:rPr>
                            </w:pPr>
                            <w:r w:rsidRPr="00022391">
                              <w:rPr>
                                <w:rFonts w:cs="Arial"/>
                                <w:sz w:val="18"/>
                                <w:szCs w:val="18"/>
                              </w:rPr>
                              <w:t>Examples</w:t>
                            </w:r>
                          </w:p>
                        </w:tc>
                        <w:tc>
                          <w:tcPr>
                            <w:tcW w:w="2977" w:type="dxa"/>
                            <w:vAlign w:val="center"/>
                          </w:tcPr>
                          <w:p w14:paraId="30101A66" w14:textId="77777777" w:rsidR="00AA3BF2" w:rsidRPr="00022391" w:rsidRDefault="00AA3BF2" w:rsidP="00BF0EEE">
                            <w:pPr>
                              <w:rPr>
                                <w:rFonts w:cs="Arial"/>
                                <w:sz w:val="18"/>
                                <w:szCs w:val="18"/>
                              </w:rPr>
                            </w:pPr>
                            <w:r w:rsidRPr="00022391">
                              <w:rPr>
                                <w:rFonts w:cs="Arial"/>
                                <w:sz w:val="18"/>
                                <w:szCs w:val="18"/>
                              </w:rPr>
                              <w:t>Recommendation, forecasting</w:t>
                            </w:r>
                          </w:p>
                        </w:tc>
                        <w:tc>
                          <w:tcPr>
                            <w:tcW w:w="3402" w:type="dxa"/>
                            <w:vAlign w:val="center"/>
                          </w:tcPr>
                          <w:p w14:paraId="74D184B5" w14:textId="77777777" w:rsidR="00AA3BF2" w:rsidRPr="00022391" w:rsidRDefault="00AA3BF2" w:rsidP="00BF0EEE">
                            <w:pPr>
                              <w:rPr>
                                <w:rFonts w:cs="Arial"/>
                                <w:sz w:val="18"/>
                                <w:szCs w:val="18"/>
                              </w:rPr>
                            </w:pPr>
                            <w:r w:rsidRPr="00022391">
                              <w:rPr>
                                <w:rFonts w:cs="Arial"/>
                                <w:sz w:val="18"/>
                                <w:szCs w:val="18"/>
                              </w:rPr>
                              <w:t>Text generation, image generation, etc.</w:t>
                            </w:r>
                          </w:p>
                        </w:tc>
                      </w:tr>
                      <w:tr w:rsidR="00AA3BF2" w:rsidRPr="00BD4EA8" w14:paraId="35B125A0" w14:textId="77777777" w:rsidTr="00022391">
                        <w:tc>
                          <w:tcPr>
                            <w:tcW w:w="2263" w:type="dxa"/>
                            <w:vAlign w:val="center"/>
                          </w:tcPr>
                          <w:p w14:paraId="4DC12D71" w14:textId="77777777" w:rsidR="00AA3BF2" w:rsidRPr="00022391" w:rsidRDefault="00AA3BF2" w:rsidP="00BF0EEE">
                            <w:pPr>
                              <w:rPr>
                                <w:rFonts w:cs="Arial"/>
                                <w:sz w:val="18"/>
                                <w:szCs w:val="18"/>
                              </w:rPr>
                            </w:pPr>
                            <w:r w:rsidRPr="00022391">
                              <w:rPr>
                                <w:rFonts w:cs="Arial"/>
                                <w:sz w:val="18"/>
                                <w:szCs w:val="18"/>
                              </w:rPr>
                              <w:t>Key Concept</w:t>
                            </w:r>
                          </w:p>
                        </w:tc>
                        <w:tc>
                          <w:tcPr>
                            <w:tcW w:w="2977" w:type="dxa"/>
                            <w:vAlign w:val="center"/>
                          </w:tcPr>
                          <w:p w14:paraId="06F92005" w14:textId="77777777" w:rsidR="00AA3BF2" w:rsidRPr="00022391" w:rsidRDefault="00AA3BF2" w:rsidP="00BF0EEE">
                            <w:pPr>
                              <w:rPr>
                                <w:rFonts w:cs="Arial"/>
                                <w:sz w:val="18"/>
                                <w:szCs w:val="18"/>
                              </w:rPr>
                            </w:pPr>
                            <w:r w:rsidRPr="00022391">
                              <w:rPr>
                                <w:rFonts w:cs="Arial"/>
                                <w:sz w:val="18"/>
                                <w:szCs w:val="18"/>
                              </w:rPr>
                              <w:t>ML, neural networks</w:t>
                            </w:r>
                          </w:p>
                        </w:tc>
                        <w:tc>
                          <w:tcPr>
                            <w:tcW w:w="3402" w:type="dxa"/>
                            <w:vAlign w:val="center"/>
                          </w:tcPr>
                          <w:p w14:paraId="1E4E1CBC" w14:textId="77777777" w:rsidR="00AA3BF2" w:rsidRPr="00022391" w:rsidRDefault="00AA3BF2" w:rsidP="00BF0EEE">
                            <w:pPr>
                              <w:rPr>
                                <w:rFonts w:cs="Arial"/>
                                <w:sz w:val="18"/>
                                <w:szCs w:val="18"/>
                              </w:rPr>
                            </w:pPr>
                            <w:r w:rsidRPr="00022391">
                              <w:rPr>
                                <w:rFonts w:cs="Arial"/>
                                <w:sz w:val="18"/>
                                <w:szCs w:val="18"/>
                              </w:rPr>
                              <w:t>LLMs (e.g. NLP), World models</w:t>
                            </w:r>
                          </w:p>
                        </w:tc>
                      </w:tr>
                    </w:tbl>
                    <w:p w14:paraId="67FD2FFB" w14:textId="77777777" w:rsidR="00AA3BF2" w:rsidRPr="006A53B2" w:rsidRDefault="00AA3BF2" w:rsidP="00AA3BF2">
                      <w:pPr>
                        <w:spacing w:after="0" w:line="240" w:lineRule="auto"/>
                        <w:rPr>
                          <w:rFonts w:cs="Arial"/>
                          <w:sz w:val="18"/>
                          <w:szCs w:val="18"/>
                        </w:rPr>
                      </w:pPr>
                    </w:p>
                  </w:txbxContent>
                </v:textbox>
                <w10:anchorlock/>
              </v:shape>
            </w:pict>
          </mc:Fallback>
        </mc:AlternateContent>
      </w:r>
    </w:p>
    <w:p w14:paraId="44C1708A" w14:textId="77777777" w:rsidR="00AA3BF2" w:rsidRPr="00C01A73" w:rsidRDefault="00AA3BF2" w:rsidP="00AA3BF2">
      <w:pPr>
        <w:rPr>
          <w:rFonts w:cs="Arial"/>
        </w:rPr>
      </w:pPr>
      <w:r w:rsidRPr="00C01A73">
        <w:rPr>
          <w:rFonts w:cs="Arial"/>
        </w:rPr>
        <w:t>The technical foundations of LLMs build on several key developments:</w:t>
      </w:r>
    </w:p>
    <w:p w14:paraId="4C07423D" w14:textId="14D3722E" w:rsidR="00AA3BF2" w:rsidRPr="00C01A73" w:rsidRDefault="00AA3BF2" w:rsidP="00AA3BF2">
      <w:pPr>
        <w:numPr>
          <w:ilvl w:val="0"/>
          <w:numId w:val="1"/>
        </w:numPr>
        <w:rPr>
          <w:rFonts w:cs="Arial"/>
        </w:rPr>
      </w:pPr>
      <w:r w:rsidRPr="00C01A73">
        <w:rPr>
          <w:rFonts w:cs="Arial"/>
          <w:b/>
          <w:bCs/>
        </w:rPr>
        <w:t>Artificial neural networks (ANNs)</w:t>
      </w:r>
      <w:r w:rsidRPr="00C01A73">
        <w:rPr>
          <w:rFonts w:cs="Arial"/>
        </w:rPr>
        <w:t>: which learn by adjusting weighted connections between layered nodes [</w:t>
      </w:r>
      <w:r w:rsidR="00410AE0">
        <w:rPr>
          <w:rFonts w:cs="Arial"/>
        </w:rPr>
        <w:t>9-10</w:t>
      </w:r>
      <w:r w:rsidRPr="00C01A73">
        <w:rPr>
          <w:rFonts w:cs="Arial"/>
        </w:rPr>
        <w:t>].</w:t>
      </w:r>
    </w:p>
    <w:p w14:paraId="4D84EB69" w14:textId="0ED013A6" w:rsidR="00AA3BF2" w:rsidRPr="00C01A73" w:rsidRDefault="00AA3BF2" w:rsidP="00AA3BF2">
      <w:pPr>
        <w:numPr>
          <w:ilvl w:val="0"/>
          <w:numId w:val="1"/>
        </w:numPr>
        <w:rPr>
          <w:rFonts w:cs="Arial"/>
        </w:rPr>
      </w:pPr>
      <w:r w:rsidRPr="00C01A73">
        <w:rPr>
          <w:rFonts w:cs="Arial"/>
          <w:b/>
          <w:bCs/>
        </w:rPr>
        <w:t>Deep learning</w:t>
      </w:r>
      <w:r w:rsidRPr="00C01A73">
        <w:rPr>
          <w:rFonts w:cs="Arial"/>
        </w:rPr>
        <w:t>: which extends ANNs through multi-layered architectures capable of learning hierarchical representations [</w:t>
      </w:r>
      <w:r w:rsidR="00410AE0">
        <w:rPr>
          <w:rFonts w:cs="Arial"/>
        </w:rPr>
        <w:t>11</w:t>
      </w:r>
      <w:r w:rsidRPr="00C01A73">
        <w:rPr>
          <w:rFonts w:cs="Arial"/>
        </w:rPr>
        <w:t>].</w:t>
      </w:r>
    </w:p>
    <w:p w14:paraId="7F47FF65" w14:textId="5F8E7EFA" w:rsidR="00AA3BF2" w:rsidRPr="00C01A73" w:rsidRDefault="00AA3BF2" w:rsidP="00AA3BF2">
      <w:pPr>
        <w:numPr>
          <w:ilvl w:val="0"/>
          <w:numId w:val="1"/>
        </w:numPr>
        <w:rPr>
          <w:rFonts w:cs="Arial"/>
        </w:rPr>
      </w:pPr>
      <w:r w:rsidRPr="00C01A73">
        <w:rPr>
          <w:rFonts w:cs="Arial"/>
          <w:b/>
          <w:bCs/>
        </w:rPr>
        <w:t>Natural language processing (NLP)</w:t>
      </w:r>
      <w:r w:rsidRPr="00C01A73">
        <w:rPr>
          <w:rFonts w:cs="Arial"/>
        </w:rPr>
        <w:t>: enabling machines to work with human language through processes such as tokenisation [</w:t>
      </w:r>
      <w:r w:rsidR="00515E71">
        <w:rPr>
          <w:rFonts w:cs="Arial"/>
        </w:rPr>
        <w:t>12-</w:t>
      </w:r>
      <w:r w:rsidR="002330AA">
        <w:rPr>
          <w:rFonts w:cs="Arial"/>
        </w:rPr>
        <w:t>14</w:t>
      </w:r>
      <w:r w:rsidRPr="00C01A73">
        <w:rPr>
          <w:rFonts w:cs="Arial"/>
        </w:rPr>
        <w:t>].</w:t>
      </w:r>
    </w:p>
    <w:p w14:paraId="081DC73F" w14:textId="673F0083" w:rsidR="00AA3BF2" w:rsidRPr="00C01A73" w:rsidRDefault="00AA3BF2" w:rsidP="00AA3BF2">
      <w:pPr>
        <w:numPr>
          <w:ilvl w:val="0"/>
          <w:numId w:val="1"/>
        </w:numPr>
        <w:rPr>
          <w:rFonts w:cs="Arial"/>
        </w:rPr>
      </w:pPr>
      <w:r w:rsidRPr="00C01A73">
        <w:rPr>
          <w:rFonts w:cs="Arial"/>
          <w:b/>
          <w:bCs/>
        </w:rPr>
        <w:t>Transformer models</w:t>
      </w:r>
      <w:r w:rsidRPr="00C01A73">
        <w:rPr>
          <w:rFonts w:cs="Arial"/>
        </w:rPr>
        <w:t>: which enable learning of long-range contextual dependencies and underpin modern LLMs [1</w:t>
      </w:r>
      <w:r w:rsidR="00A156E7">
        <w:rPr>
          <w:rFonts w:cs="Arial"/>
        </w:rPr>
        <w:t>5</w:t>
      </w:r>
      <w:r w:rsidR="001568B2">
        <w:rPr>
          <w:rFonts w:cs="Arial"/>
        </w:rPr>
        <w:t>-17</w:t>
      </w:r>
      <w:r w:rsidRPr="00C01A73">
        <w:rPr>
          <w:rFonts w:cs="Arial"/>
        </w:rPr>
        <w:t>].</w:t>
      </w:r>
    </w:p>
    <w:p w14:paraId="7971719B" w14:textId="77777777" w:rsidR="00AA3BF2" w:rsidRPr="00C01A73" w:rsidRDefault="00AA3BF2" w:rsidP="00AA3BF2">
      <w:pPr>
        <w:rPr>
          <w:rFonts w:cs="Arial"/>
        </w:rPr>
      </w:pPr>
      <w:r w:rsidRPr="00C01A73">
        <w:rPr>
          <w:rFonts w:cs="Arial"/>
        </w:rPr>
        <w:lastRenderedPageBreak/>
        <w:t>Together, these advances have substantially improved the capacity of LLMs to interact with complex and distributed health data. However, advances in model architecture, optimisation, and retrieval operate downstream of task specification. LLMs assume that questions already encode relevant domains, relationships, and temporal scope. Consequently, improvements in AI capability alone do not ensure that health inquiry is structured in ways that reflect the interactional nature of health phenomena.</w:t>
      </w:r>
    </w:p>
    <w:p w14:paraId="10205095" w14:textId="4B77D7A2" w:rsidR="00AA3BF2" w:rsidRPr="00C01A73" w:rsidRDefault="00AA3BF2" w:rsidP="00AA3BF2">
      <w:pPr>
        <w:pStyle w:val="Heading3"/>
        <w:spacing w:after="240"/>
        <w:rPr>
          <w:color w:val="auto"/>
        </w:rPr>
      </w:pPr>
      <w:r w:rsidRPr="00C01A73">
        <w:rPr>
          <w:color w:val="auto"/>
        </w:rPr>
        <w:t>1</w:t>
      </w:r>
      <w:r w:rsidRPr="00C01A73">
        <w:rPr>
          <w:color w:val="auto"/>
        </w:rPr>
        <w:t>.3</w:t>
      </w:r>
      <w:r w:rsidRPr="00C01A73">
        <w:rPr>
          <w:color w:val="auto"/>
        </w:rPr>
        <w:tab/>
        <w:t>LLM Prompt Optimization</w:t>
      </w:r>
    </w:p>
    <w:p w14:paraId="42C00E9D" w14:textId="77777777" w:rsidR="00AA3BF2" w:rsidRPr="00C01A73" w:rsidRDefault="00AA3BF2" w:rsidP="00AA3BF2">
      <w:r w:rsidRPr="00C01A73">
        <w:t>Large language models (LLMs) are typically accessed through prompt-based interaction, making prompt design a central determinant of system behaviour and output quality. Within the literature, two related but distinct approaches are commonly discussed: prompt engineering and prompt optimisation.</w:t>
      </w:r>
    </w:p>
    <w:p w14:paraId="5CFD7680" w14:textId="77038CCF" w:rsidR="00AA3BF2" w:rsidRPr="00C01A73" w:rsidRDefault="00AA3BF2" w:rsidP="00AA3BF2">
      <w:r w:rsidRPr="00C01A73">
        <w:t>Prompt engineering refers to the manual or human-guided process of designing prompts to elicit improved responses from LLMs. A recent systematic survey identifies 58 text-based prompting techniques (and a further 40 multimodal techniques), illustrating the breadth of strategies available without modifying model parameters [</w:t>
      </w:r>
      <w:r w:rsidR="002C6DD6">
        <w:t>18</w:t>
      </w:r>
      <w:r w:rsidRPr="00C01A73">
        <w:t>]. These techniques are commonly grouped into broad categories.</w:t>
      </w:r>
    </w:p>
    <w:p w14:paraId="02B7E1B3" w14:textId="77777777" w:rsidR="00AA3BF2" w:rsidRPr="00C01A73" w:rsidRDefault="00AA3BF2" w:rsidP="00AA3BF2">
      <w:pPr>
        <w:pStyle w:val="ListParagraph"/>
        <w:numPr>
          <w:ilvl w:val="0"/>
          <w:numId w:val="5"/>
        </w:numPr>
      </w:pPr>
      <w:r w:rsidRPr="00C01A73">
        <w:rPr>
          <w:b/>
          <w:bCs/>
        </w:rPr>
        <w:t>Basic prompting</w:t>
      </w:r>
      <w:r w:rsidRPr="00C01A73">
        <w:t xml:space="preserve"> approaches include zero-shot and few-shot prompting, where models are asked to perform tasks either without examples or with a small number of demonstrations.</w:t>
      </w:r>
    </w:p>
    <w:p w14:paraId="635A314B" w14:textId="5E3DDEA1" w:rsidR="00AA3BF2" w:rsidRPr="00C01A73" w:rsidRDefault="00AA3BF2" w:rsidP="00AA3BF2">
      <w:pPr>
        <w:pStyle w:val="ListParagraph"/>
        <w:numPr>
          <w:ilvl w:val="0"/>
          <w:numId w:val="5"/>
        </w:numPr>
      </w:pPr>
      <w:r w:rsidRPr="00C01A73">
        <w:rPr>
          <w:b/>
          <w:bCs/>
        </w:rPr>
        <w:t>Reasoning-oriented prompting</w:t>
      </w:r>
      <w:r w:rsidRPr="00C01A73">
        <w:t xml:space="preserve"> approaches include Chain-of-Thought (CoT), Tree-of-Thought, and ReAct, which encourage models to articulate intermediate reasoning steps rather than producing immediate answers. Chain-of-Thought prompting has been shown to improve reasoning performance and interpretability on complex tasks [</w:t>
      </w:r>
      <w:r w:rsidR="002C6DD6">
        <w:t>19</w:t>
      </w:r>
      <w:r w:rsidRPr="00C01A73">
        <w:t>].</w:t>
      </w:r>
    </w:p>
    <w:p w14:paraId="1621FCF7" w14:textId="0692A307" w:rsidR="00AA3BF2" w:rsidRPr="00C01A73" w:rsidRDefault="00AA3BF2" w:rsidP="00AA3BF2">
      <w:r w:rsidRPr="00C01A73">
        <w:t>Prompt optimisation extends beyond manual design by treating prompting as a systematic optimisation problem. Rather than relying solely on human intuition, optimisation approaches use algorithmic methods—such as automated prompt generation, ensembling, self-consistency, or LLM-as-optimizer frameworks—to iteratively refine prompts against performance criteria [</w:t>
      </w:r>
      <w:r w:rsidR="00ED3DC7">
        <w:t>20-21</w:t>
      </w:r>
      <w:r w:rsidRPr="00C01A73">
        <w:t>]. In practice, prompt optimisation often builds directly on prompt engineering techniques, automating their selection and evaluation at scale.</w:t>
      </w:r>
    </w:p>
    <w:p w14:paraId="30F25DBB" w14:textId="74E730C8" w:rsidR="00AA3BF2" w:rsidRPr="00C01A73" w:rsidRDefault="00AA3BF2" w:rsidP="00AA3BF2">
      <w:r w:rsidRPr="00C01A73">
        <w:t xml:space="preserve">While the two terms are sometimes used interchangeably, the distinction is analytically useful. Prompt engineering emphasises human-crafted prompt design, whereas prompt optimisation emphasises systematic or automated improvement of prompts under fixed task definitions. Table </w:t>
      </w:r>
      <w:r w:rsidR="006A1269">
        <w:t>3</w:t>
      </w:r>
      <w:r w:rsidRPr="00C01A73">
        <w:t xml:space="preserve"> summarises the key differences between these approaches as they are commonly defined in the literature.</w:t>
      </w:r>
    </w:p>
    <w:p w14:paraId="5D02AC25" w14:textId="77777777" w:rsidR="00AA3BF2" w:rsidRPr="00C01A73" w:rsidRDefault="00AA3BF2" w:rsidP="00AA3BF2">
      <w:r w:rsidRPr="00C01A73">
        <w:rPr>
          <w:rFonts w:cs="Arial"/>
          <w:noProof/>
          <w:sz w:val="18"/>
          <w:szCs w:val="18"/>
        </w:rPr>
        <w:lastRenderedPageBreak/>
        <mc:AlternateContent>
          <mc:Choice Requires="wps">
            <w:drawing>
              <wp:inline distT="0" distB="0" distL="0" distR="0" wp14:anchorId="78E8D6C8" wp14:editId="1784A8ED">
                <wp:extent cx="5669280" cy="4206240"/>
                <wp:effectExtent l="0" t="0" r="26670" b="22860"/>
                <wp:docPr id="201585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206240"/>
                        </a:xfrm>
                        <a:prstGeom prst="rect">
                          <a:avLst/>
                        </a:prstGeom>
                        <a:solidFill>
                          <a:srgbClr val="FFFFFF"/>
                        </a:solidFill>
                        <a:ln w="12700">
                          <a:solidFill>
                            <a:srgbClr val="000000"/>
                          </a:solidFill>
                          <a:miter lim="800000"/>
                          <a:headEnd/>
                          <a:tailEnd/>
                        </a:ln>
                      </wps:spPr>
                      <wps:txbx>
                        <w:txbxContent>
                          <w:p w14:paraId="21DF3C6D" w14:textId="1B209C39" w:rsidR="00AA3BF2" w:rsidRPr="00247DA4" w:rsidRDefault="00AA3BF2" w:rsidP="00AA3BF2">
                            <w:pPr>
                              <w:rPr>
                                <w:rFonts w:cs="Arial"/>
                                <w:sz w:val="18"/>
                                <w:szCs w:val="18"/>
                              </w:rPr>
                            </w:pPr>
                            <w:r w:rsidRPr="00247DA4">
                              <w:rPr>
                                <w:rFonts w:cs="Arial"/>
                                <w:b/>
                                <w:bCs/>
                                <w:sz w:val="18"/>
                                <w:szCs w:val="18"/>
                              </w:rPr>
                              <w:t xml:space="preserve">Table </w:t>
                            </w:r>
                            <w:r w:rsidR="009E5065">
                              <w:rPr>
                                <w:rFonts w:cs="Arial"/>
                                <w:b/>
                                <w:bCs/>
                                <w:sz w:val="18"/>
                                <w:szCs w:val="18"/>
                              </w:rPr>
                              <w:t>3</w:t>
                            </w:r>
                            <w:r w:rsidRPr="00247DA4">
                              <w:rPr>
                                <w:rFonts w:cs="Arial"/>
                                <w:b/>
                                <w:bCs/>
                                <w:sz w:val="18"/>
                                <w:szCs w:val="18"/>
                              </w:rPr>
                              <w:t>:</w:t>
                            </w:r>
                            <w:r w:rsidRPr="00247DA4">
                              <w:rPr>
                                <w:rFonts w:cs="Arial"/>
                                <w:sz w:val="18"/>
                                <w:szCs w:val="18"/>
                              </w:rPr>
                              <w:t xml:space="preserve"> </w:t>
                            </w:r>
                            <w:r>
                              <w:rPr>
                                <w:rFonts w:cs="Arial"/>
                                <w:sz w:val="18"/>
                                <w:szCs w:val="18"/>
                              </w:rPr>
                              <w:t>The differences between prompt engineering and prompt optimisation</w:t>
                            </w:r>
                          </w:p>
                          <w:tbl>
                            <w:tblPr>
                              <w:tblStyle w:val="TableGrid"/>
                              <w:tblW w:w="8642" w:type="dxa"/>
                              <w:tblLook w:val="04A0" w:firstRow="1" w:lastRow="0" w:firstColumn="1" w:lastColumn="0" w:noHBand="0" w:noVBand="1"/>
                            </w:tblPr>
                            <w:tblGrid>
                              <w:gridCol w:w="1413"/>
                              <w:gridCol w:w="3402"/>
                              <w:gridCol w:w="3827"/>
                            </w:tblGrid>
                            <w:tr w:rsidR="00AA3BF2" w:rsidRPr="00BD4EA8" w14:paraId="28849966" w14:textId="77777777" w:rsidTr="004921E5">
                              <w:trPr>
                                <w:trHeight w:val="495"/>
                              </w:trPr>
                              <w:tc>
                                <w:tcPr>
                                  <w:tcW w:w="1413" w:type="dxa"/>
                                  <w:vAlign w:val="center"/>
                                </w:tcPr>
                                <w:p w14:paraId="0C1DD3BA" w14:textId="77777777" w:rsidR="00AA3BF2" w:rsidRPr="00B85103" w:rsidRDefault="00AA3BF2" w:rsidP="00B31755">
                                  <w:pPr>
                                    <w:rPr>
                                      <w:rFonts w:cs="Arial"/>
                                      <w:sz w:val="20"/>
                                      <w:szCs w:val="20"/>
                                    </w:rPr>
                                  </w:pPr>
                                  <w:r w:rsidRPr="00B85103">
                                    <w:rPr>
                                      <w:sz w:val="20"/>
                                      <w:szCs w:val="20"/>
                                    </w:rPr>
                                    <w:t>Aspect</w:t>
                                  </w:r>
                                </w:p>
                              </w:tc>
                              <w:tc>
                                <w:tcPr>
                                  <w:tcW w:w="3402" w:type="dxa"/>
                                  <w:vAlign w:val="center"/>
                                </w:tcPr>
                                <w:p w14:paraId="6F504DE6" w14:textId="77777777" w:rsidR="00AA3BF2" w:rsidRPr="00B85103" w:rsidRDefault="00AA3BF2" w:rsidP="00B31755">
                                  <w:pPr>
                                    <w:rPr>
                                      <w:rFonts w:cs="Arial"/>
                                      <w:sz w:val="20"/>
                                      <w:szCs w:val="20"/>
                                    </w:rPr>
                                  </w:pPr>
                                  <w:r w:rsidRPr="00B85103">
                                    <w:rPr>
                                      <w:sz w:val="20"/>
                                      <w:szCs w:val="20"/>
                                    </w:rPr>
                                    <w:t>Prompt Engineering</w:t>
                                  </w:r>
                                </w:p>
                              </w:tc>
                              <w:tc>
                                <w:tcPr>
                                  <w:tcW w:w="3827" w:type="dxa"/>
                                  <w:vAlign w:val="center"/>
                                </w:tcPr>
                                <w:p w14:paraId="76C96DC2" w14:textId="77777777" w:rsidR="00AA3BF2" w:rsidRPr="00B85103" w:rsidRDefault="00AA3BF2" w:rsidP="00B31755">
                                  <w:pPr>
                                    <w:rPr>
                                      <w:rFonts w:cs="Arial"/>
                                      <w:sz w:val="20"/>
                                      <w:szCs w:val="20"/>
                                    </w:rPr>
                                  </w:pPr>
                                  <w:r w:rsidRPr="00B85103">
                                    <w:rPr>
                                      <w:sz w:val="20"/>
                                      <w:szCs w:val="20"/>
                                    </w:rPr>
                                    <w:t>Prompt Optimization</w:t>
                                  </w:r>
                                </w:p>
                              </w:tc>
                            </w:tr>
                            <w:tr w:rsidR="00AA3BF2" w:rsidRPr="00BD4EA8" w14:paraId="64769AEC" w14:textId="77777777" w:rsidTr="004921E5">
                              <w:tc>
                                <w:tcPr>
                                  <w:tcW w:w="1413" w:type="dxa"/>
                                  <w:vAlign w:val="center"/>
                                </w:tcPr>
                                <w:p w14:paraId="01FDA384" w14:textId="77777777" w:rsidR="00AA3BF2" w:rsidRPr="00B85103" w:rsidRDefault="00AA3BF2" w:rsidP="00B31755">
                                  <w:pPr>
                                    <w:rPr>
                                      <w:rFonts w:cs="Arial"/>
                                      <w:sz w:val="18"/>
                                      <w:szCs w:val="18"/>
                                    </w:rPr>
                                  </w:pPr>
                                  <w:r w:rsidRPr="00B85103">
                                    <w:rPr>
                                      <w:sz w:val="18"/>
                                      <w:szCs w:val="18"/>
                                    </w:rPr>
                                    <w:t>Definition</w:t>
                                  </w:r>
                                </w:p>
                              </w:tc>
                              <w:tc>
                                <w:tcPr>
                                  <w:tcW w:w="3402" w:type="dxa"/>
                                </w:tcPr>
                                <w:p w14:paraId="7A76C109" w14:textId="77777777" w:rsidR="00AA3BF2" w:rsidRPr="00B85103" w:rsidRDefault="00AA3BF2" w:rsidP="00B31755">
                                  <w:pPr>
                                    <w:rPr>
                                      <w:rFonts w:cs="Arial"/>
                                      <w:sz w:val="18"/>
                                      <w:szCs w:val="18"/>
                                    </w:rPr>
                                  </w:pPr>
                                  <w:r w:rsidRPr="00B85103">
                                    <w:rPr>
                                      <w:sz w:val="18"/>
                                      <w:szCs w:val="18"/>
                                    </w:rPr>
                                    <w:t>The manual (or human-guided) process of designing, crafting, and refining prompts to elicit better responses from LLMs. It relies on human intuition, best practices, and trial-and-error.</w:t>
                                  </w:r>
                                </w:p>
                              </w:tc>
                              <w:tc>
                                <w:tcPr>
                                  <w:tcW w:w="3827" w:type="dxa"/>
                                </w:tcPr>
                                <w:p w14:paraId="38D87E6B" w14:textId="77777777" w:rsidR="00AA3BF2" w:rsidRPr="00B85103" w:rsidRDefault="00AA3BF2" w:rsidP="00B31755">
                                  <w:pPr>
                                    <w:rPr>
                                      <w:rFonts w:cs="Arial"/>
                                      <w:sz w:val="18"/>
                                      <w:szCs w:val="18"/>
                                    </w:rPr>
                                  </w:pPr>
                                  <w:r w:rsidRPr="00B85103">
                                    <w:rPr>
                                      <w:sz w:val="18"/>
                                      <w:szCs w:val="18"/>
                                    </w:rPr>
                                    <w:t>The systematic improvement of prompts, often encompassing both manual refinement and (more commonly) automatic/algorithmic methods to find optimal prompts. It treats prompting as an optimization problem.</w:t>
                                  </w:r>
                                </w:p>
                              </w:tc>
                            </w:tr>
                            <w:tr w:rsidR="00AA3BF2" w:rsidRPr="00BD4EA8" w14:paraId="213A7964" w14:textId="77777777" w:rsidTr="004921E5">
                              <w:tc>
                                <w:tcPr>
                                  <w:tcW w:w="1413" w:type="dxa"/>
                                  <w:vAlign w:val="center"/>
                                </w:tcPr>
                                <w:p w14:paraId="35223796" w14:textId="77777777" w:rsidR="00AA3BF2" w:rsidRPr="00B85103" w:rsidRDefault="00AA3BF2" w:rsidP="00B31755">
                                  <w:pPr>
                                    <w:rPr>
                                      <w:rFonts w:cs="Arial"/>
                                      <w:sz w:val="18"/>
                                      <w:szCs w:val="18"/>
                                    </w:rPr>
                                  </w:pPr>
                                  <w:r w:rsidRPr="00B85103">
                                    <w:rPr>
                                      <w:sz w:val="18"/>
                                      <w:szCs w:val="18"/>
                                    </w:rPr>
                                    <w:t>Approach</w:t>
                                  </w:r>
                                </w:p>
                              </w:tc>
                              <w:tc>
                                <w:tcPr>
                                  <w:tcW w:w="3402" w:type="dxa"/>
                                </w:tcPr>
                                <w:p w14:paraId="7CBB45E3" w14:textId="77777777" w:rsidR="00AA3BF2" w:rsidRPr="00B85103" w:rsidRDefault="00AA3BF2" w:rsidP="00B31755">
                                  <w:pPr>
                                    <w:rPr>
                                      <w:rFonts w:cs="Arial"/>
                                      <w:sz w:val="18"/>
                                      <w:szCs w:val="18"/>
                                    </w:rPr>
                                  </w:pPr>
                                  <w:r w:rsidRPr="00B85103">
                                    <w:rPr>
                                      <w:sz w:val="18"/>
                                      <w:szCs w:val="18"/>
                                    </w:rPr>
                                    <w:t>Human-driven: Techniques like zero-shot, few-shot, Chain-of-Thought (CoT), role-playing, delimiters, structured outputs, etc.</w:t>
                                  </w:r>
                                </w:p>
                              </w:tc>
                              <w:tc>
                                <w:tcPr>
                                  <w:tcW w:w="3827" w:type="dxa"/>
                                </w:tcPr>
                                <w:p w14:paraId="377511D9" w14:textId="77777777" w:rsidR="00AA3BF2" w:rsidRPr="00B85103" w:rsidRDefault="00AA3BF2" w:rsidP="00B31755">
                                  <w:pPr>
                                    <w:rPr>
                                      <w:rFonts w:cs="Arial"/>
                                      <w:sz w:val="18"/>
                                      <w:szCs w:val="18"/>
                                    </w:rPr>
                                  </w:pPr>
                                  <w:r w:rsidRPr="00B85103">
                                    <w:rPr>
                                      <w:sz w:val="18"/>
                                      <w:szCs w:val="18"/>
                                    </w:rPr>
                                    <w:t>Can be manual iteration, but primarily automated: Uses algorithms (e.g., evolutionary search, reinforcement learning, LLM-as-optimizer like OPRO or APE) to generate, evaluate, and select/refine prompts based on performance metrics.</w:t>
                                  </w:r>
                                </w:p>
                              </w:tc>
                            </w:tr>
                            <w:tr w:rsidR="00AA3BF2" w:rsidRPr="00BD4EA8" w14:paraId="69854415" w14:textId="77777777" w:rsidTr="004921E5">
                              <w:tc>
                                <w:tcPr>
                                  <w:tcW w:w="1413" w:type="dxa"/>
                                  <w:vAlign w:val="center"/>
                                </w:tcPr>
                                <w:p w14:paraId="5B4FB6B6" w14:textId="77777777" w:rsidR="00AA3BF2" w:rsidRPr="004921E5" w:rsidRDefault="00AA3BF2" w:rsidP="004921E5">
                                  <w:pPr>
                                    <w:rPr>
                                      <w:sz w:val="18"/>
                                      <w:szCs w:val="18"/>
                                    </w:rPr>
                                  </w:pPr>
                                  <w:r w:rsidRPr="004921E5">
                                    <w:rPr>
                                      <w:sz w:val="18"/>
                                      <w:szCs w:val="18"/>
                                    </w:rPr>
                                    <w:t>Primary driver</w:t>
                                  </w:r>
                                </w:p>
                              </w:tc>
                              <w:tc>
                                <w:tcPr>
                                  <w:tcW w:w="3402" w:type="dxa"/>
                                  <w:vAlign w:val="center"/>
                                </w:tcPr>
                                <w:p w14:paraId="1C21459A" w14:textId="77777777" w:rsidR="00AA3BF2" w:rsidRPr="00B31755" w:rsidRDefault="00AA3BF2" w:rsidP="004921E5">
                                  <w:pPr>
                                    <w:rPr>
                                      <w:sz w:val="18"/>
                                      <w:szCs w:val="18"/>
                                    </w:rPr>
                                  </w:pPr>
                                  <w:r w:rsidRPr="004921E5">
                                    <w:rPr>
                                      <w:sz w:val="18"/>
                                      <w:szCs w:val="18"/>
                                    </w:rPr>
                                    <w:t>Human intuition and domain expertise</w:t>
                                  </w:r>
                                </w:p>
                              </w:tc>
                              <w:tc>
                                <w:tcPr>
                                  <w:tcW w:w="3827" w:type="dxa"/>
                                  <w:vAlign w:val="center"/>
                                </w:tcPr>
                                <w:p w14:paraId="4377E47C" w14:textId="77777777" w:rsidR="00AA3BF2" w:rsidRPr="00B31755" w:rsidRDefault="00AA3BF2" w:rsidP="004921E5">
                                  <w:pPr>
                                    <w:rPr>
                                      <w:sz w:val="18"/>
                                      <w:szCs w:val="18"/>
                                    </w:rPr>
                                  </w:pPr>
                                  <w:r w:rsidRPr="004921E5">
                                    <w:rPr>
                                      <w:sz w:val="18"/>
                                      <w:szCs w:val="18"/>
                                    </w:rPr>
                                    <w:t>Algorithmic search, evaluation, and selection</w:t>
                                  </w:r>
                                </w:p>
                              </w:tc>
                            </w:tr>
                            <w:tr w:rsidR="00AA3BF2" w:rsidRPr="00BD4EA8" w14:paraId="63F6B4ED" w14:textId="77777777" w:rsidTr="004921E5">
                              <w:tc>
                                <w:tcPr>
                                  <w:tcW w:w="1413" w:type="dxa"/>
                                  <w:vAlign w:val="center"/>
                                </w:tcPr>
                                <w:p w14:paraId="3891CE11" w14:textId="77777777" w:rsidR="00AA3BF2" w:rsidRPr="004921E5" w:rsidRDefault="00AA3BF2" w:rsidP="004921E5">
                                  <w:pPr>
                                    <w:rPr>
                                      <w:sz w:val="18"/>
                                      <w:szCs w:val="18"/>
                                    </w:rPr>
                                  </w:pPr>
                                  <w:r w:rsidRPr="004921E5">
                                    <w:rPr>
                                      <w:sz w:val="18"/>
                                      <w:szCs w:val="18"/>
                                    </w:rPr>
                                    <w:t>Typical techniques</w:t>
                                  </w:r>
                                </w:p>
                              </w:tc>
                              <w:tc>
                                <w:tcPr>
                                  <w:tcW w:w="3402" w:type="dxa"/>
                                  <w:vAlign w:val="center"/>
                                </w:tcPr>
                                <w:p w14:paraId="4C9B465B" w14:textId="77777777" w:rsidR="00AA3BF2" w:rsidRPr="00B31755" w:rsidRDefault="00AA3BF2" w:rsidP="004921E5">
                                  <w:pPr>
                                    <w:rPr>
                                      <w:sz w:val="18"/>
                                      <w:szCs w:val="18"/>
                                    </w:rPr>
                                  </w:pPr>
                                  <w:r w:rsidRPr="004921E5">
                                    <w:rPr>
                                      <w:sz w:val="18"/>
                                      <w:szCs w:val="18"/>
                                    </w:rPr>
                                    <w:t>Zero-/few-shot prompting, role prompts, Chain-of-Thought, structured outputs</w:t>
                                  </w:r>
                                </w:p>
                              </w:tc>
                              <w:tc>
                                <w:tcPr>
                                  <w:tcW w:w="3827" w:type="dxa"/>
                                  <w:vAlign w:val="center"/>
                                </w:tcPr>
                                <w:p w14:paraId="7BE6E546" w14:textId="77777777" w:rsidR="00AA3BF2" w:rsidRPr="00B31755" w:rsidRDefault="00AA3BF2" w:rsidP="004921E5">
                                  <w:pPr>
                                    <w:rPr>
                                      <w:sz w:val="18"/>
                                      <w:szCs w:val="18"/>
                                    </w:rPr>
                                  </w:pPr>
                                  <w:r w:rsidRPr="004921E5">
                                    <w:rPr>
                                      <w:sz w:val="18"/>
                                      <w:szCs w:val="18"/>
                                    </w:rPr>
                                    <w:t>Automatic Prompt Engineering (APE), self-consistency, prompt ensembling, OPRO</w:t>
                                  </w:r>
                                </w:p>
                              </w:tc>
                            </w:tr>
                            <w:tr w:rsidR="00AA3BF2" w:rsidRPr="00BD4EA8" w14:paraId="024F0A28" w14:textId="77777777" w:rsidTr="004921E5">
                              <w:tc>
                                <w:tcPr>
                                  <w:tcW w:w="1413" w:type="dxa"/>
                                  <w:vAlign w:val="center"/>
                                </w:tcPr>
                                <w:p w14:paraId="0A87C3BD" w14:textId="77777777" w:rsidR="00AA3BF2" w:rsidRPr="004921E5" w:rsidRDefault="00AA3BF2" w:rsidP="004921E5">
                                  <w:pPr>
                                    <w:rPr>
                                      <w:sz w:val="18"/>
                                      <w:szCs w:val="18"/>
                                    </w:rPr>
                                  </w:pPr>
                                  <w:r w:rsidRPr="004921E5">
                                    <w:rPr>
                                      <w:sz w:val="18"/>
                                      <w:szCs w:val="18"/>
                                    </w:rPr>
                                    <w:t>Degree of automation</w:t>
                                  </w:r>
                                </w:p>
                              </w:tc>
                              <w:tc>
                                <w:tcPr>
                                  <w:tcW w:w="3402" w:type="dxa"/>
                                  <w:vAlign w:val="center"/>
                                </w:tcPr>
                                <w:p w14:paraId="156CE2C2" w14:textId="77777777" w:rsidR="00AA3BF2" w:rsidRPr="00B31755" w:rsidRDefault="00AA3BF2" w:rsidP="004921E5">
                                  <w:pPr>
                                    <w:rPr>
                                      <w:sz w:val="18"/>
                                      <w:szCs w:val="18"/>
                                    </w:rPr>
                                  </w:pPr>
                                  <w:r w:rsidRPr="004921E5">
                                    <w:rPr>
                                      <w:sz w:val="18"/>
                                      <w:szCs w:val="18"/>
                                    </w:rPr>
                                    <w:t>Low to moderate</w:t>
                                  </w:r>
                                </w:p>
                              </w:tc>
                              <w:tc>
                                <w:tcPr>
                                  <w:tcW w:w="3827" w:type="dxa"/>
                                  <w:vAlign w:val="center"/>
                                </w:tcPr>
                                <w:p w14:paraId="0D43EFB1" w14:textId="77777777" w:rsidR="00AA3BF2" w:rsidRPr="00B31755" w:rsidRDefault="00AA3BF2" w:rsidP="004921E5">
                                  <w:pPr>
                                    <w:rPr>
                                      <w:sz w:val="18"/>
                                      <w:szCs w:val="18"/>
                                    </w:rPr>
                                  </w:pPr>
                                  <w:r w:rsidRPr="004921E5">
                                    <w:rPr>
                                      <w:sz w:val="18"/>
                                      <w:szCs w:val="18"/>
                                    </w:rPr>
                                    <w:t>Moderate to high</w:t>
                                  </w:r>
                                </w:p>
                              </w:tc>
                            </w:tr>
                            <w:tr w:rsidR="00AA3BF2" w:rsidRPr="00BD4EA8" w14:paraId="10D6D48C" w14:textId="77777777" w:rsidTr="004921E5">
                              <w:tc>
                                <w:tcPr>
                                  <w:tcW w:w="1413" w:type="dxa"/>
                                  <w:vAlign w:val="center"/>
                                </w:tcPr>
                                <w:p w14:paraId="2D45647E" w14:textId="77777777" w:rsidR="00AA3BF2" w:rsidRPr="004921E5" w:rsidRDefault="00AA3BF2" w:rsidP="004921E5">
                                  <w:pPr>
                                    <w:rPr>
                                      <w:sz w:val="18"/>
                                      <w:szCs w:val="18"/>
                                    </w:rPr>
                                  </w:pPr>
                                  <w:r w:rsidRPr="004921E5">
                                    <w:rPr>
                                      <w:sz w:val="18"/>
                                      <w:szCs w:val="18"/>
                                    </w:rPr>
                                    <w:t>Treatment of prompting</w:t>
                                  </w:r>
                                </w:p>
                              </w:tc>
                              <w:tc>
                                <w:tcPr>
                                  <w:tcW w:w="3402" w:type="dxa"/>
                                  <w:vAlign w:val="center"/>
                                </w:tcPr>
                                <w:p w14:paraId="5A2D05F3" w14:textId="77777777" w:rsidR="00AA3BF2" w:rsidRPr="00B31755" w:rsidRDefault="00AA3BF2" w:rsidP="004921E5">
                                  <w:pPr>
                                    <w:rPr>
                                      <w:sz w:val="18"/>
                                      <w:szCs w:val="18"/>
                                    </w:rPr>
                                  </w:pPr>
                                  <w:r w:rsidRPr="004921E5">
                                    <w:rPr>
                                      <w:sz w:val="18"/>
                                      <w:szCs w:val="18"/>
                                    </w:rPr>
                                    <w:t>Craft and design activity</w:t>
                                  </w:r>
                                </w:p>
                              </w:tc>
                              <w:tc>
                                <w:tcPr>
                                  <w:tcW w:w="3827" w:type="dxa"/>
                                  <w:vAlign w:val="center"/>
                                </w:tcPr>
                                <w:p w14:paraId="0C4A1366" w14:textId="77777777" w:rsidR="00AA3BF2" w:rsidRPr="00B31755" w:rsidRDefault="00AA3BF2" w:rsidP="004921E5">
                                  <w:pPr>
                                    <w:rPr>
                                      <w:sz w:val="18"/>
                                      <w:szCs w:val="18"/>
                                    </w:rPr>
                                  </w:pPr>
                                  <w:r w:rsidRPr="004921E5">
                                    <w:rPr>
                                      <w:sz w:val="18"/>
                                      <w:szCs w:val="18"/>
                                    </w:rPr>
                                    <w:t>Optimisation problem</w:t>
                                  </w:r>
                                </w:p>
                              </w:tc>
                            </w:tr>
                            <w:tr w:rsidR="00AA3BF2" w:rsidRPr="00BD4EA8" w14:paraId="1CA786EF" w14:textId="77777777" w:rsidTr="004921E5">
                              <w:tc>
                                <w:tcPr>
                                  <w:tcW w:w="1413" w:type="dxa"/>
                                  <w:vAlign w:val="center"/>
                                </w:tcPr>
                                <w:p w14:paraId="1CA4C3F2" w14:textId="77777777" w:rsidR="00AA3BF2" w:rsidRPr="004921E5" w:rsidRDefault="00AA3BF2" w:rsidP="004921E5">
                                  <w:pPr>
                                    <w:rPr>
                                      <w:sz w:val="18"/>
                                      <w:szCs w:val="18"/>
                                    </w:rPr>
                                  </w:pPr>
                                  <w:r w:rsidRPr="004921E5">
                                    <w:rPr>
                                      <w:sz w:val="18"/>
                                      <w:szCs w:val="18"/>
                                    </w:rPr>
                                    <w:t>Operates under</w:t>
                                  </w:r>
                                </w:p>
                              </w:tc>
                              <w:tc>
                                <w:tcPr>
                                  <w:tcW w:w="3402" w:type="dxa"/>
                                  <w:vAlign w:val="center"/>
                                </w:tcPr>
                                <w:p w14:paraId="77FDE085" w14:textId="77777777" w:rsidR="00AA3BF2" w:rsidRPr="00B31755" w:rsidRDefault="00AA3BF2" w:rsidP="004921E5">
                                  <w:pPr>
                                    <w:rPr>
                                      <w:sz w:val="18"/>
                                      <w:szCs w:val="18"/>
                                    </w:rPr>
                                  </w:pPr>
                                  <w:r w:rsidRPr="004921E5">
                                    <w:rPr>
                                      <w:sz w:val="18"/>
                                      <w:szCs w:val="18"/>
                                    </w:rPr>
                                    <w:t>Fixed task specification</w:t>
                                  </w:r>
                                </w:p>
                              </w:tc>
                              <w:tc>
                                <w:tcPr>
                                  <w:tcW w:w="3827" w:type="dxa"/>
                                  <w:vAlign w:val="center"/>
                                </w:tcPr>
                                <w:p w14:paraId="619B44B4" w14:textId="77777777" w:rsidR="00AA3BF2" w:rsidRPr="00B31755" w:rsidRDefault="00AA3BF2" w:rsidP="004921E5">
                                  <w:pPr>
                                    <w:rPr>
                                      <w:sz w:val="18"/>
                                      <w:szCs w:val="18"/>
                                    </w:rPr>
                                  </w:pPr>
                                  <w:r w:rsidRPr="004921E5">
                                    <w:rPr>
                                      <w:sz w:val="18"/>
                                      <w:szCs w:val="18"/>
                                    </w:rPr>
                                    <w:t>Fixed task specification</w:t>
                                  </w:r>
                                </w:p>
                              </w:tc>
                            </w:tr>
                            <w:tr w:rsidR="00AA3BF2" w:rsidRPr="00BD4EA8" w14:paraId="5EDF1563" w14:textId="77777777" w:rsidTr="004921E5">
                              <w:tc>
                                <w:tcPr>
                                  <w:tcW w:w="1413" w:type="dxa"/>
                                  <w:vAlign w:val="center"/>
                                </w:tcPr>
                                <w:p w14:paraId="61F0349F" w14:textId="77777777" w:rsidR="00AA3BF2" w:rsidRPr="004921E5" w:rsidRDefault="00AA3BF2" w:rsidP="004921E5">
                                  <w:pPr>
                                    <w:rPr>
                                      <w:sz w:val="18"/>
                                      <w:szCs w:val="18"/>
                                    </w:rPr>
                                  </w:pPr>
                                  <w:r w:rsidRPr="004921E5">
                                    <w:rPr>
                                      <w:sz w:val="18"/>
                                      <w:szCs w:val="18"/>
                                    </w:rPr>
                                    <w:t>Common evaluation focus</w:t>
                                  </w:r>
                                </w:p>
                              </w:tc>
                              <w:tc>
                                <w:tcPr>
                                  <w:tcW w:w="3402" w:type="dxa"/>
                                  <w:vAlign w:val="center"/>
                                </w:tcPr>
                                <w:p w14:paraId="571FA1A2" w14:textId="77777777" w:rsidR="00AA3BF2" w:rsidRPr="00B31755" w:rsidRDefault="00AA3BF2" w:rsidP="004921E5">
                                  <w:pPr>
                                    <w:rPr>
                                      <w:sz w:val="18"/>
                                      <w:szCs w:val="18"/>
                                    </w:rPr>
                                  </w:pPr>
                                  <w:r w:rsidRPr="004921E5">
                                    <w:rPr>
                                      <w:sz w:val="18"/>
                                      <w:szCs w:val="18"/>
                                    </w:rPr>
                                    <w:t>Output clarity, coherence, reasoning transparency</w:t>
                                  </w:r>
                                </w:p>
                              </w:tc>
                              <w:tc>
                                <w:tcPr>
                                  <w:tcW w:w="3827" w:type="dxa"/>
                                  <w:vAlign w:val="center"/>
                                </w:tcPr>
                                <w:p w14:paraId="7388B6F0" w14:textId="77777777" w:rsidR="00AA3BF2" w:rsidRPr="00B31755" w:rsidRDefault="00AA3BF2" w:rsidP="004921E5">
                                  <w:pPr>
                                    <w:rPr>
                                      <w:sz w:val="18"/>
                                      <w:szCs w:val="18"/>
                                    </w:rPr>
                                  </w:pPr>
                                  <w:r w:rsidRPr="004921E5">
                                    <w:rPr>
                                      <w:sz w:val="18"/>
                                      <w:szCs w:val="18"/>
                                    </w:rPr>
                                    <w:t>Accuracy, robustness, consistency, performance metrics</w:t>
                                  </w:r>
                                </w:p>
                              </w:tc>
                            </w:tr>
                            <w:tr w:rsidR="00AA3BF2" w:rsidRPr="00BD4EA8" w14:paraId="17DC519E" w14:textId="77777777" w:rsidTr="004921E5">
                              <w:tc>
                                <w:tcPr>
                                  <w:tcW w:w="1413" w:type="dxa"/>
                                  <w:vAlign w:val="center"/>
                                </w:tcPr>
                                <w:p w14:paraId="2F446F14" w14:textId="77777777" w:rsidR="00AA3BF2" w:rsidRPr="004921E5" w:rsidRDefault="00AA3BF2" w:rsidP="004921E5">
                                  <w:pPr>
                                    <w:rPr>
                                      <w:sz w:val="18"/>
                                      <w:szCs w:val="18"/>
                                    </w:rPr>
                                  </w:pPr>
                                  <w:r w:rsidRPr="004921E5">
                                    <w:rPr>
                                      <w:sz w:val="18"/>
                                      <w:szCs w:val="18"/>
                                    </w:rPr>
                                    <w:t>Model modification required</w:t>
                                  </w:r>
                                </w:p>
                              </w:tc>
                              <w:tc>
                                <w:tcPr>
                                  <w:tcW w:w="3402" w:type="dxa"/>
                                  <w:vAlign w:val="center"/>
                                </w:tcPr>
                                <w:p w14:paraId="6F660C42" w14:textId="77777777" w:rsidR="00AA3BF2" w:rsidRPr="004921E5" w:rsidRDefault="00AA3BF2" w:rsidP="004921E5">
                                  <w:pPr>
                                    <w:rPr>
                                      <w:sz w:val="18"/>
                                      <w:szCs w:val="18"/>
                                    </w:rPr>
                                  </w:pPr>
                                  <w:r w:rsidRPr="004921E5">
                                    <w:rPr>
                                      <w:sz w:val="18"/>
                                      <w:szCs w:val="18"/>
                                    </w:rPr>
                                    <w:t>No</w:t>
                                  </w:r>
                                </w:p>
                              </w:tc>
                              <w:tc>
                                <w:tcPr>
                                  <w:tcW w:w="3827" w:type="dxa"/>
                                  <w:vAlign w:val="center"/>
                                </w:tcPr>
                                <w:p w14:paraId="38F13072" w14:textId="77777777" w:rsidR="00AA3BF2" w:rsidRPr="004921E5" w:rsidRDefault="00AA3BF2" w:rsidP="004921E5">
                                  <w:pPr>
                                    <w:rPr>
                                      <w:sz w:val="18"/>
                                      <w:szCs w:val="18"/>
                                    </w:rPr>
                                  </w:pPr>
                                  <w:r w:rsidRPr="004921E5">
                                    <w:rPr>
                                      <w:sz w:val="18"/>
                                      <w:szCs w:val="18"/>
                                    </w:rPr>
                                    <w:t>No</w:t>
                                  </w:r>
                                </w:p>
                              </w:tc>
                            </w:tr>
                          </w:tbl>
                          <w:p w14:paraId="7A33E9D2" w14:textId="77777777" w:rsidR="00AA3BF2" w:rsidRPr="006A53B2" w:rsidRDefault="00AA3BF2" w:rsidP="00AA3BF2">
                            <w:pPr>
                              <w:spacing w:after="0" w:line="240" w:lineRule="auto"/>
                              <w:rPr>
                                <w:rFonts w:cs="Arial"/>
                                <w:sz w:val="18"/>
                                <w:szCs w:val="18"/>
                              </w:rPr>
                            </w:pPr>
                          </w:p>
                        </w:txbxContent>
                      </wps:txbx>
                      <wps:bodyPr rot="0" vert="horz" wrap="square" lIns="91440" tIns="45720" rIns="91440" bIns="45720" anchor="t" anchorCtr="0">
                        <a:noAutofit/>
                      </wps:bodyPr>
                    </wps:wsp>
                  </a:graphicData>
                </a:graphic>
              </wp:inline>
            </w:drawing>
          </mc:Choice>
          <mc:Fallback>
            <w:pict>
              <v:shape w14:anchorId="78E8D6C8" id="_x0000_s1028" type="#_x0000_t202" style="width:446.4pt;height:3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" strokeweight="1pt">
                <v:textbox>
                  <w:txbxContent>
                    <w:p w14:paraId="21DF3C6D" w14:textId="1B209C39" w:rsidR="00AA3BF2" w:rsidRPr="00247DA4" w:rsidRDefault="00AA3BF2" w:rsidP="00AA3BF2">
                      <w:pPr>
                        <w:rPr>
                          <w:rFonts w:cs="Arial"/>
                          <w:sz w:val="18"/>
                          <w:szCs w:val="18"/>
                        </w:rPr>
                      </w:pPr>
                      <w:r w:rsidRPr="00247DA4">
                        <w:rPr>
                          <w:rFonts w:cs="Arial"/>
                          <w:b/>
                          <w:bCs/>
                          <w:sz w:val="18"/>
                          <w:szCs w:val="18"/>
                        </w:rPr>
                        <w:t xml:space="preserve">Table </w:t>
                      </w:r>
                      <w:r w:rsidR="009E5065">
                        <w:rPr>
                          <w:rFonts w:cs="Arial"/>
                          <w:b/>
                          <w:bCs/>
                          <w:sz w:val="18"/>
                          <w:szCs w:val="18"/>
                        </w:rPr>
                        <w:t>3</w:t>
                      </w:r>
                      <w:r w:rsidRPr="00247DA4">
                        <w:rPr>
                          <w:rFonts w:cs="Arial"/>
                          <w:b/>
                          <w:bCs/>
                          <w:sz w:val="18"/>
                          <w:szCs w:val="18"/>
                        </w:rPr>
                        <w:t>:</w:t>
                      </w:r>
                      <w:r w:rsidRPr="00247DA4">
                        <w:rPr>
                          <w:rFonts w:cs="Arial"/>
                          <w:sz w:val="18"/>
                          <w:szCs w:val="18"/>
                        </w:rPr>
                        <w:t xml:space="preserve"> </w:t>
                      </w:r>
                      <w:r>
                        <w:rPr>
                          <w:rFonts w:cs="Arial"/>
                          <w:sz w:val="18"/>
                          <w:szCs w:val="18"/>
                        </w:rPr>
                        <w:t>The differences between prompt engineering and prompt optimisation</w:t>
                      </w:r>
                    </w:p>
                    <w:tbl>
                      <w:tblPr>
                        <w:tblStyle w:val="TableGrid"/>
                        <w:tblW w:w="8642" w:type="dxa"/>
                        <w:tblLook w:val="04A0" w:firstRow="1" w:lastRow="0" w:firstColumn="1" w:lastColumn="0" w:noHBand="0" w:noVBand="1"/>
                      </w:tblPr>
                      <w:tblGrid>
                        <w:gridCol w:w="1413"/>
                        <w:gridCol w:w="3402"/>
                        <w:gridCol w:w="3827"/>
                      </w:tblGrid>
                      <w:tr w:rsidR="00AA3BF2" w:rsidRPr="00BD4EA8" w14:paraId="28849966" w14:textId="77777777" w:rsidTr="004921E5">
                        <w:trPr>
                          <w:trHeight w:val="495"/>
                        </w:trPr>
                        <w:tc>
                          <w:tcPr>
                            <w:tcW w:w="1413" w:type="dxa"/>
                            <w:vAlign w:val="center"/>
                          </w:tcPr>
                          <w:p w14:paraId="0C1DD3BA" w14:textId="77777777" w:rsidR="00AA3BF2" w:rsidRPr="00B85103" w:rsidRDefault="00AA3BF2" w:rsidP="00B31755">
                            <w:pPr>
                              <w:rPr>
                                <w:rFonts w:cs="Arial"/>
                                <w:sz w:val="20"/>
                                <w:szCs w:val="20"/>
                              </w:rPr>
                            </w:pPr>
                            <w:r w:rsidRPr="00B85103">
                              <w:rPr>
                                <w:sz w:val="20"/>
                                <w:szCs w:val="20"/>
                              </w:rPr>
                              <w:t>Aspect</w:t>
                            </w:r>
                          </w:p>
                        </w:tc>
                        <w:tc>
                          <w:tcPr>
                            <w:tcW w:w="3402" w:type="dxa"/>
                            <w:vAlign w:val="center"/>
                          </w:tcPr>
                          <w:p w14:paraId="6F504DE6" w14:textId="77777777" w:rsidR="00AA3BF2" w:rsidRPr="00B85103" w:rsidRDefault="00AA3BF2" w:rsidP="00B31755">
                            <w:pPr>
                              <w:rPr>
                                <w:rFonts w:cs="Arial"/>
                                <w:sz w:val="20"/>
                                <w:szCs w:val="20"/>
                              </w:rPr>
                            </w:pPr>
                            <w:r w:rsidRPr="00B85103">
                              <w:rPr>
                                <w:sz w:val="20"/>
                                <w:szCs w:val="20"/>
                              </w:rPr>
                              <w:t>Prompt Engineering</w:t>
                            </w:r>
                          </w:p>
                        </w:tc>
                        <w:tc>
                          <w:tcPr>
                            <w:tcW w:w="3827" w:type="dxa"/>
                            <w:vAlign w:val="center"/>
                          </w:tcPr>
                          <w:p w14:paraId="76C96DC2" w14:textId="77777777" w:rsidR="00AA3BF2" w:rsidRPr="00B85103" w:rsidRDefault="00AA3BF2" w:rsidP="00B31755">
                            <w:pPr>
                              <w:rPr>
                                <w:rFonts w:cs="Arial"/>
                                <w:sz w:val="20"/>
                                <w:szCs w:val="20"/>
                              </w:rPr>
                            </w:pPr>
                            <w:r w:rsidRPr="00B85103">
                              <w:rPr>
                                <w:sz w:val="20"/>
                                <w:szCs w:val="20"/>
                              </w:rPr>
                              <w:t>Prompt Optimization</w:t>
                            </w:r>
                          </w:p>
                        </w:tc>
                      </w:tr>
                      <w:tr w:rsidR="00AA3BF2" w:rsidRPr="00BD4EA8" w14:paraId="64769AEC" w14:textId="77777777" w:rsidTr="004921E5">
                        <w:tc>
                          <w:tcPr>
                            <w:tcW w:w="1413" w:type="dxa"/>
                            <w:vAlign w:val="center"/>
                          </w:tcPr>
                          <w:p w14:paraId="01FDA384" w14:textId="77777777" w:rsidR="00AA3BF2" w:rsidRPr="00B85103" w:rsidRDefault="00AA3BF2" w:rsidP="00B31755">
                            <w:pPr>
                              <w:rPr>
                                <w:rFonts w:cs="Arial"/>
                                <w:sz w:val="18"/>
                                <w:szCs w:val="18"/>
                              </w:rPr>
                            </w:pPr>
                            <w:r w:rsidRPr="00B85103">
                              <w:rPr>
                                <w:sz w:val="18"/>
                                <w:szCs w:val="18"/>
                              </w:rPr>
                              <w:t>Definition</w:t>
                            </w:r>
                          </w:p>
                        </w:tc>
                        <w:tc>
                          <w:tcPr>
                            <w:tcW w:w="3402" w:type="dxa"/>
                          </w:tcPr>
                          <w:p w14:paraId="7A76C109" w14:textId="77777777" w:rsidR="00AA3BF2" w:rsidRPr="00B85103" w:rsidRDefault="00AA3BF2" w:rsidP="00B31755">
                            <w:pPr>
                              <w:rPr>
                                <w:rFonts w:cs="Arial"/>
                                <w:sz w:val="18"/>
                                <w:szCs w:val="18"/>
                              </w:rPr>
                            </w:pPr>
                            <w:r w:rsidRPr="00B85103">
                              <w:rPr>
                                <w:sz w:val="18"/>
                                <w:szCs w:val="18"/>
                              </w:rPr>
                              <w:t>The manual (or human-guided) process of designing, crafting, and refining prompts to elicit better responses from LLMs. It relies on human intuition, best practices, and trial-and-error.</w:t>
                            </w:r>
                          </w:p>
                        </w:tc>
                        <w:tc>
                          <w:tcPr>
                            <w:tcW w:w="3827" w:type="dxa"/>
                          </w:tcPr>
                          <w:p w14:paraId="38D87E6B" w14:textId="77777777" w:rsidR="00AA3BF2" w:rsidRPr="00B85103" w:rsidRDefault="00AA3BF2" w:rsidP="00B31755">
                            <w:pPr>
                              <w:rPr>
                                <w:rFonts w:cs="Arial"/>
                                <w:sz w:val="18"/>
                                <w:szCs w:val="18"/>
                              </w:rPr>
                            </w:pPr>
                            <w:r w:rsidRPr="00B85103">
                              <w:rPr>
                                <w:sz w:val="18"/>
                                <w:szCs w:val="18"/>
                              </w:rPr>
                              <w:t>The systematic improvement of prompts, often encompassing both manual refinement and (more commonly) automatic/algorithmic methods to find optimal prompts. It treats prompting as an optimization problem.</w:t>
                            </w:r>
                          </w:p>
                        </w:tc>
                      </w:tr>
                      <w:tr w:rsidR="00AA3BF2" w:rsidRPr="00BD4EA8" w14:paraId="213A7964" w14:textId="77777777" w:rsidTr="004921E5">
                        <w:tc>
                          <w:tcPr>
                            <w:tcW w:w="1413" w:type="dxa"/>
                            <w:vAlign w:val="center"/>
                          </w:tcPr>
                          <w:p w14:paraId="35223796" w14:textId="77777777" w:rsidR="00AA3BF2" w:rsidRPr="00B85103" w:rsidRDefault="00AA3BF2" w:rsidP="00B31755">
                            <w:pPr>
                              <w:rPr>
                                <w:rFonts w:cs="Arial"/>
                                <w:sz w:val="18"/>
                                <w:szCs w:val="18"/>
                              </w:rPr>
                            </w:pPr>
                            <w:r w:rsidRPr="00B85103">
                              <w:rPr>
                                <w:sz w:val="18"/>
                                <w:szCs w:val="18"/>
                              </w:rPr>
                              <w:t>Approach</w:t>
                            </w:r>
                          </w:p>
                        </w:tc>
                        <w:tc>
                          <w:tcPr>
                            <w:tcW w:w="3402" w:type="dxa"/>
                          </w:tcPr>
                          <w:p w14:paraId="7CBB45E3" w14:textId="77777777" w:rsidR="00AA3BF2" w:rsidRPr="00B85103" w:rsidRDefault="00AA3BF2" w:rsidP="00B31755">
                            <w:pPr>
                              <w:rPr>
                                <w:rFonts w:cs="Arial"/>
                                <w:sz w:val="18"/>
                                <w:szCs w:val="18"/>
                              </w:rPr>
                            </w:pPr>
                            <w:r w:rsidRPr="00B85103">
                              <w:rPr>
                                <w:sz w:val="18"/>
                                <w:szCs w:val="18"/>
                              </w:rPr>
                              <w:t>Human-driven: Techniques like zero-shot, few-shot, Chain-of-Thought (CoT), role-playing, delimiters, structured outputs, etc.</w:t>
                            </w:r>
                          </w:p>
                        </w:tc>
                        <w:tc>
                          <w:tcPr>
                            <w:tcW w:w="3827" w:type="dxa"/>
                          </w:tcPr>
                          <w:p w14:paraId="377511D9" w14:textId="77777777" w:rsidR="00AA3BF2" w:rsidRPr="00B85103" w:rsidRDefault="00AA3BF2" w:rsidP="00B31755">
                            <w:pPr>
                              <w:rPr>
                                <w:rFonts w:cs="Arial"/>
                                <w:sz w:val="18"/>
                                <w:szCs w:val="18"/>
                              </w:rPr>
                            </w:pPr>
                            <w:r w:rsidRPr="00B85103">
                              <w:rPr>
                                <w:sz w:val="18"/>
                                <w:szCs w:val="18"/>
                              </w:rPr>
                              <w:t>Can be manual iteration, but primarily automated: Uses algorithms (e.g., evolutionary search, reinforcement learning, LLM-as-optimizer like OPRO or APE) to generate, evaluate, and select/refine prompts based on performance metrics.</w:t>
                            </w:r>
                          </w:p>
                        </w:tc>
                      </w:tr>
                      <w:tr w:rsidR="00AA3BF2" w:rsidRPr="00BD4EA8" w14:paraId="69854415" w14:textId="77777777" w:rsidTr="004921E5">
                        <w:tc>
                          <w:tcPr>
                            <w:tcW w:w="1413" w:type="dxa"/>
                            <w:vAlign w:val="center"/>
                          </w:tcPr>
                          <w:p w14:paraId="5B4FB6B6" w14:textId="77777777" w:rsidR="00AA3BF2" w:rsidRPr="004921E5" w:rsidRDefault="00AA3BF2" w:rsidP="004921E5">
                            <w:pPr>
                              <w:rPr>
                                <w:sz w:val="18"/>
                                <w:szCs w:val="18"/>
                              </w:rPr>
                            </w:pPr>
                            <w:r w:rsidRPr="004921E5">
                              <w:rPr>
                                <w:sz w:val="18"/>
                                <w:szCs w:val="18"/>
                              </w:rPr>
                              <w:t>Primary driver</w:t>
                            </w:r>
                          </w:p>
                        </w:tc>
                        <w:tc>
                          <w:tcPr>
                            <w:tcW w:w="3402" w:type="dxa"/>
                            <w:vAlign w:val="center"/>
                          </w:tcPr>
                          <w:p w14:paraId="1C21459A" w14:textId="77777777" w:rsidR="00AA3BF2" w:rsidRPr="00B31755" w:rsidRDefault="00AA3BF2" w:rsidP="004921E5">
                            <w:pPr>
                              <w:rPr>
                                <w:sz w:val="18"/>
                                <w:szCs w:val="18"/>
                              </w:rPr>
                            </w:pPr>
                            <w:r w:rsidRPr="004921E5">
                              <w:rPr>
                                <w:sz w:val="18"/>
                                <w:szCs w:val="18"/>
                              </w:rPr>
                              <w:t>Human intuition and domain expertise</w:t>
                            </w:r>
                          </w:p>
                        </w:tc>
                        <w:tc>
                          <w:tcPr>
                            <w:tcW w:w="3827" w:type="dxa"/>
                            <w:vAlign w:val="center"/>
                          </w:tcPr>
                          <w:p w14:paraId="4377E47C" w14:textId="77777777" w:rsidR="00AA3BF2" w:rsidRPr="00B31755" w:rsidRDefault="00AA3BF2" w:rsidP="004921E5">
                            <w:pPr>
                              <w:rPr>
                                <w:sz w:val="18"/>
                                <w:szCs w:val="18"/>
                              </w:rPr>
                            </w:pPr>
                            <w:r w:rsidRPr="004921E5">
                              <w:rPr>
                                <w:sz w:val="18"/>
                                <w:szCs w:val="18"/>
                              </w:rPr>
                              <w:t>Algorithmic search, evaluation, and selection</w:t>
                            </w:r>
                          </w:p>
                        </w:tc>
                      </w:tr>
                      <w:tr w:rsidR="00AA3BF2" w:rsidRPr="00BD4EA8" w14:paraId="63F6B4ED" w14:textId="77777777" w:rsidTr="004921E5">
                        <w:tc>
                          <w:tcPr>
                            <w:tcW w:w="1413" w:type="dxa"/>
                            <w:vAlign w:val="center"/>
                          </w:tcPr>
                          <w:p w14:paraId="3891CE11" w14:textId="77777777" w:rsidR="00AA3BF2" w:rsidRPr="004921E5" w:rsidRDefault="00AA3BF2" w:rsidP="004921E5">
                            <w:pPr>
                              <w:rPr>
                                <w:sz w:val="18"/>
                                <w:szCs w:val="18"/>
                              </w:rPr>
                            </w:pPr>
                            <w:r w:rsidRPr="004921E5">
                              <w:rPr>
                                <w:sz w:val="18"/>
                                <w:szCs w:val="18"/>
                              </w:rPr>
                              <w:t>Typical techniques</w:t>
                            </w:r>
                          </w:p>
                        </w:tc>
                        <w:tc>
                          <w:tcPr>
                            <w:tcW w:w="3402" w:type="dxa"/>
                            <w:vAlign w:val="center"/>
                          </w:tcPr>
                          <w:p w14:paraId="4C9B465B" w14:textId="77777777" w:rsidR="00AA3BF2" w:rsidRPr="00B31755" w:rsidRDefault="00AA3BF2" w:rsidP="004921E5">
                            <w:pPr>
                              <w:rPr>
                                <w:sz w:val="18"/>
                                <w:szCs w:val="18"/>
                              </w:rPr>
                            </w:pPr>
                            <w:r w:rsidRPr="004921E5">
                              <w:rPr>
                                <w:sz w:val="18"/>
                                <w:szCs w:val="18"/>
                              </w:rPr>
                              <w:t>Zero-/few-shot prompting, role prompts, Chain-of-Thought, structured outputs</w:t>
                            </w:r>
                          </w:p>
                        </w:tc>
                        <w:tc>
                          <w:tcPr>
                            <w:tcW w:w="3827" w:type="dxa"/>
                            <w:vAlign w:val="center"/>
                          </w:tcPr>
                          <w:p w14:paraId="7BE6E546" w14:textId="77777777" w:rsidR="00AA3BF2" w:rsidRPr="00B31755" w:rsidRDefault="00AA3BF2" w:rsidP="004921E5">
                            <w:pPr>
                              <w:rPr>
                                <w:sz w:val="18"/>
                                <w:szCs w:val="18"/>
                              </w:rPr>
                            </w:pPr>
                            <w:r w:rsidRPr="004921E5">
                              <w:rPr>
                                <w:sz w:val="18"/>
                                <w:szCs w:val="18"/>
                              </w:rPr>
                              <w:t>Automatic Prompt Engineering (APE), self-consistency, prompt ensembling, OPRO</w:t>
                            </w:r>
                          </w:p>
                        </w:tc>
                      </w:tr>
                      <w:tr w:rsidR="00AA3BF2" w:rsidRPr="00BD4EA8" w14:paraId="024F0A28" w14:textId="77777777" w:rsidTr="004921E5">
                        <w:tc>
                          <w:tcPr>
                            <w:tcW w:w="1413" w:type="dxa"/>
                            <w:vAlign w:val="center"/>
                          </w:tcPr>
                          <w:p w14:paraId="0A87C3BD" w14:textId="77777777" w:rsidR="00AA3BF2" w:rsidRPr="004921E5" w:rsidRDefault="00AA3BF2" w:rsidP="004921E5">
                            <w:pPr>
                              <w:rPr>
                                <w:sz w:val="18"/>
                                <w:szCs w:val="18"/>
                              </w:rPr>
                            </w:pPr>
                            <w:r w:rsidRPr="004921E5">
                              <w:rPr>
                                <w:sz w:val="18"/>
                                <w:szCs w:val="18"/>
                              </w:rPr>
                              <w:t>Degree of automation</w:t>
                            </w:r>
                          </w:p>
                        </w:tc>
                        <w:tc>
                          <w:tcPr>
                            <w:tcW w:w="3402" w:type="dxa"/>
                            <w:vAlign w:val="center"/>
                          </w:tcPr>
                          <w:p w14:paraId="156CE2C2" w14:textId="77777777" w:rsidR="00AA3BF2" w:rsidRPr="00B31755" w:rsidRDefault="00AA3BF2" w:rsidP="004921E5">
                            <w:pPr>
                              <w:rPr>
                                <w:sz w:val="18"/>
                                <w:szCs w:val="18"/>
                              </w:rPr>
                            </w:pPr>
                            <w:r w:rsidRPr="004921E5">
                              <w:rPr>
                                <w:sz w:val="18"/>
                                <w:szCs w:val="18"/>
                              </w:rPr>
                              <w:t>Low to moderate</w:t>
                            </w:r>
                          </w:p>
                        </w:tc>
                        <w:tc>
                          <w:tcPr>
                            <w:tcW w:w="3827" w:type="dxa"/>
                            <w:vAlign w:val="center"/>
                          </w:tcPr>
                          <w:p w14:paraId="0D43EFB1" w14:textId="77777777" w:rsidR="00AA3BF2" w:rsidRPr="00B31755" w:rsidRDefault="00AA3BF2" w:rsidP="004921E5">
                            <w:pPr>
                              <w:rPr>
                                <w:sz w:val="18"/>
                                <w:szCs w:val="18"/>
                              </w:rPr>
                            </w:pPr>
                            <w:r w:rsidRPr="004921E5">
                              <w:rPr>
                                <w:sz w:val="18"/>
                                <w:szCs w:val="18"/>
                              </w:rPr>
                              <w:t>Moderate to high</w:t>
                            </w:r>
                          </w:p>
                        </w:tc>
                      </w:tr>
                      <w:tr w:rsidR="00AA3BF2" w:rsidRPr="00BD4EA8" w14:paraId="10D6D48C" w14:textId="77777777" w:rsidTr="004921E5">
                        <w:tc>
                          <w:tcPr>
                            <w:tcW w:w="1413" w:type="dxa"/>
                            <w:vAlign w:val="center"/>
                          </w:tcPr>
                          <w:p w14:paraId="2D45647E" w14:textId="77777777" w:rsidR="00AA3BF2" w:rsidRPr="004921E5" w:rsidRDefault="00AA3BF2" w:rsidP="004921E5">
                            <w:pPr>
                              <w:rPr>
                                <w:sz w:val="18"/>
                                <w:szCs w:val="18"/>
                              </w:rPr>
                            </w:pPr>
                            <w:r w:rsidRPr="004921E5">
                              <w:rPr>
                                <w:sz w:val="18"/>
                                <w:szCs w:val="18"/>
                              </w:rPr>
                              <w:t>Treatment of prompting</w:t>
                            </w:r>
                          </w:p>
                        </w:tc>
                        <w:tc>
                          <w:tcPr>
                            <w:tcW w:w="3402" w:type="dxa"/>
                            <w:vAlign w:val="center"/>
                          </w:tcPr>
                          <w:p w14:paraId="5A2D05F3" w14:textId="77777777" w:rsidR="00AA3BF2" w:rsidRPr="00B31755" w:rsidRDefault="00AA3BF2" w:rsidP="004921E5">
                            <w:pPr>
                              <w:rPr>
                                <w:sz w:val="18"/>
                                <w:szCs w:val="18"/>
                              </w:rPr>
                            </w:pPr>
                            <w:r w:rsidRPr="004921E5">
                              <w:rPr>
                                <w:sz w:val="18"/>
                                <w:szCs w:val="18"/>
                              </w:rPr>
                              <w:t>Craft and design activity</w:t>
                            </w:r>
                          </w:p>
                        </w:tc>
                        <w:tc>
                          <w:tcPr>
                            <w:tcW w:w="3827" w:type="dxa"/>
                            <w:vAlign w:val="center"/>
                          </w:tcPr>
                          <w:p w14:paraId="0C4A1366" w14:textId="77777777" w:rsidR="00AA3BF2" w:rsidRPr="00B31755" w:rsidRDefault="00AA3BF2" w:rsidP="004921E5">
                            <w:pPr>
                              <w:rPr>
                                <w:sz w:val="18"/>
                                <w:szCs w:val="18"/>
                              </w:rPr>
                            </w:pPr>
                            <w:r w:rsidRPr="004921E5">
                              <w:rPr>
                                <w:sz w:val="18"/>
                                <w:szCs w:val="18"/>
                              </w:rPr>
                              <w:t>Optimisation problem</w:t>
                            </w:r>
                          </w:p>
                        </w:tc>
                      </w:tr>
                      <w:tr w:rsidR="00AA3BF2" w:rsidRPr="00BD4EA8" w14:paraId="1CA786EF" w14:textId="77777777" w:rsidTr="004921E5">
                        <w:tc>
                          <w:tcPr>
                            <w:tcW w:w="1413" w:type="dxa"/>
                            <w:vAlign w:val="center"/>
                          </w:tcPr>
                          <w:p w14:paraId="1CA4C3F2" w14:textId="77777777" w:rsidR="00AA3BF2" w:rsidRPr="004921E5" w:rsidRDefault="00AA3BF2" w:rsidP="004921E5">
                            <w:pPr>
                              <w:rPr>
                                <w:sz w:val="18"/>
                                <w:szCs w:val="18"/>
                              </w:rPr>
                            </w:pPr>
                            <w:r w:rsidRPr="004921E5">
                              <w:rPr>
                                <w:sz w:val="18"/>
                                <w:szCs w:val="18"/>
                              </w:rPr>
                              <w:t>Operates under</w:t>
                            </w:r>
                          </w:p>
                        </w:tc>
                        <w:tc>
                          <w:tcPr>
                            <w:tcW w:w="3402" w:type="dxa"/>
                            <w:vAlign w:val="center"/>
                          </w:tcPr>
                          <w:p w14:paraId="77FDE085" w14:textId="77777777" w:rsidR="00AA3BF2" w:rsidRPr="00B31755" w:rsidRDefault="00AA3BF2" w:rsidP="004921E5">
                            <w:pPr>
                              <w:rPr>
                                <w:sz w:val="18"/>
                                <w:szCs w:val="18"/>
                              </w:rPr>
                            </w:pPr>
                            <w:r w:rsidRPr="004921E5">
                              <w:rPr>
                                <w:sz w:val="18"/>
                                <w:szCs w:val="18"/>
                              </w:rPr>
                              <w:t>Fixed task specification</w:t>
                            </w:r>
                          </w:p>
                        </w:tc>
                        <w:tc>
                          <w:tcPr>
                            <w:tcW w:w="3827" w:type="dxa"/>
                            <w:vAlign w:val="center"/>
                          </w:tcPr>
                          <w:p w14:paraId="619B44B4" w14:textId="77777777" w:rsidR="00AA3BF2" w:rsidRPr="00B31755" w:rsidRDefault="00AA3BF2" w:rsidP="004921E5">
                            <w:pPr>
                              <w:rPr>
                                <w:sz w:val="18"/>
                                <w:szCs w:val="18"/>
                              </w:rPr>
                            </w:pPr>
                            <w:r w:rsidRPr="004921E5">
                              <w:rPr>
                                <w:sz w:val="18"/>
                                <w:szCs w:val="18"/>
                              </w:rPr>
                              <w:t>Fixed task specification</w:t>
                            </w:r>
                          </w:p>
                        </w:tc>
                      </w:tr>
                      <w:tr w:rsidR="00AA3BF2" w:rsidRPr="00BD4EA8" w14:paraId="5EDF1563" w14:textId="77777777" w:rsidTr="004921E5">
                        <w:tc>
                          <w:tcPr>
                            <w:tcW w:w="1413" w:type="dxa"/>
                            <w:vAlign w:val="center"/>
                          </w:tcPr>
                          <w:p w14:paraId="61F0349F" w14:textId="77777777" w:rsidR="00AA3BF2" w:rsidRPr="004921E5" w:rsidRDefault="00AA3BF2" w:rsidP="004921E5">
                            <w:pPr>
                              <w:rPr>
                                <w:sz w:val="18"/>
                                <w:szCs w:val="18"/>
                              </w:rPr>
                            </w:pPr>
                            <w:r w:rsidRPr="004921E5">
                              <w:rPr>
                                <w:sz w:val="18"/>
                                <w:szCs w:val="18"/>
                              </w:rPr>
                              <w:t>Common evaluation focus</w:t>
                            </w:r>
                          </w:p>
                        </w:tc>
                        <w:tc>
                          <w:tcPr>
                            <w:tcW w:w="3402" w:type="dxa"/>
                            <w:vAlign w:val="center"/>
                          </w:tcPr>
                          <w:p w14:paraId="571FA1A2" w14:textId="77777777" w:rsidR="00AA3BF2" w:rsidRPr="00B31755" w:rsidRDefault="00AA3BF2" w:rsidP="004921E5">
                            <w:pPr>
                              <w:rPr>
                                <w:sz w:val="18"/>
                                <w:szCs w:val="18"/>
                              </w:rPr>
                            </w:pPr>
                            <w:r w:rsidRPr="004921E5">
                              <w:rPr>
                                <w:sz w:val="18"/>
                                <w:szCs w:val="18"/>
                              </w:rPr>
                              <w:t>Output clarity, coherence, reasoning transparency</w:t>
                            </w:r>
                          </w:p>
                        </w:tc>
                        <w:tc>
                          <w:tcPr>
                            <w:tcW w:w="3827" w:type="dxa"/>
                            <w:vAlign w:val="center"/>
                          </w:tcPr>
                          <w:p w14:paraId="7388B6F0" w14:textId="77777777" w:rsidR="00AA3BF2" w:rsidRPr="00B31755" w:rsidRDefault="00AA3BF2" w:rsidP="004921E5">
                            <w:pPr>
                              <w:rPr>
                                <w:sz w:val="18"/>
                                <w:szCs w:val="18"/>
                              </w:rPr>
                            </w:pPr>
                            <w:r w:rsidRPr="004921E5">
                              <w:rPr>
                                <w:sz w:val="18"/>
                                <w:szCs w:val="18"/>
                              </w:rPr>
                              <w:t>Accuracy, robustness, consistency, performance metrics</w:t>
                            </w:r>
                          </w:p>
                        </w:tc>
                      </w:tr>
                      <w:tr w:rsidR="00AA3BF2" w:rsidRPr="00BD4EA8" w14:paraId="17DC519E" w14:textId="77777777" w:rsidTr="004921E5">
                        <w:tc>
                          <w:tcPr>
                            <w:tcW w:w="1413" w:type="dxa"/>
                            <w:vAlign w:val="center"/>
                          </w:tcPr>
                          <w:p w14:paraId="2F446F14" w14:textId="77777777" w:rsidR="00AA3BF2" w:rsidRPr="004921E5" w:rsidRDefault="00AA3BF2" w:rsidP="004921E5">
                            <w:pPr>
                              <w:rPr>
                                <w:sz w:val="18"/>
                                <w:szCs w:val="18"/>
                              </w:rPr>
                            </w:pPr>
                            <w:r w:rsidRPr="004921E5">
                              <w:rPr>
                                <w:sz w:val="18"/>
                                <w:szCs w:val="18"/>
                              </w:rPr>
                              <w:t>Model modification required</w:t>
                            </w:r>
                          </w:p>
                        </w:tc>
                        <w:tc>
                          <w:tcPr>
                            <w:tcW w:w="3402" w:type="dxa"/>
                            <w:vAlign w:val="center"/>
                          </w:tcPr>
                          <w:p w14:paraId="6F660C42" w14:textId="77777777" w:rsidR="00AA3BF2" w:rsidRPr="004921E5" w:rsidRDefault="00AA3BF2" w:rsidP="004921E5">
                            <w:pPr>
                              <w:rPr>
                                <w:sz w:val="18"/>
                                <w:szCs w:val="18"/>
                              </w:rPr>
                            </w:pPr>
                            <w:r w:rsidRPr="004921E5">
                              <w:rPr>
                                <w:sz w:val="18"/>
                                <w:szCs w:val="18"/>
                              </w:rPr>
                              <w:t>No</w:t>
                            </w:r>
                          </w:p>
                        </w:tc>
                        <w:tc>
                          <w:tcPr>
                            <w:tcW w:w="3827" w:type="dxa"/>
                            <w:vAlign w:val="center"/>
                          </w:tcPr>
                          <w:p w14:paraId="38F13072" w14:textId="77777777" w:rsidR="00AA3BF2" w:rsidRPr="004921E5" w:rsidRDefault="00AA3BF2" w:rsidP="004921E5">
                            <w:pPr>
                              <w:rPr>
                                <w:sz w:val="18"/>
                                <w:szCs w:val="18"/>
                              </w:rPr>
                            </w:pPr>
                            <w:r w:rsidRPr="004921E5">
                              <w:rPr>
                                <w:sz w:val="18"/>
                                <w:szCs w:val="18"/>
                              </w:rPr>
                              <w:t>No</w:t>
                            </w:r>
                          </w:p>
                        </w:tc>
                      </w:tr>
                    </w:tbl>
                    <w:p w14:paraId="7A33E9D2" w14:textId="77777777" w:rsidR="00AA3BF2" w:rsidRPr="006A53B2" w:rsidRDefault="00AA3BF2" w:rsidP="00AA3BF2">
                      <w:pPr>
                        <w:spacing w:after="0" w:line="240" w:lineRule="auto"/>
                        <w:rPr>
                          <w:rFonts w:cs="Arial"/>
                          <w:sz w:val="18"/>
                          <w:szCs w:val="18"/>
                        </w:rPr>
                      </w:pPr>
                    </w:p>
                  </w:txbxContent>
                </v:textbox>
                <w10:anchorlock/>
              </v:shape>
            </w:pict>
          </mc:Fallback>
        </mc:AlternateContent>
      </w:r>
    </w:p>
    <w:p w14:paraId="4A92DFC8" w14:textId="6F95BF68" w:rsidR="00AA3BF2" w:rsidRPr="00C01A73" w:rsidRDefault="00AA3BF2" w:rsidP="00AA3BF2">
      <w:pPr>
        <w:pStyle w:val="Heading2"/>
        <w:rPr>
          <w:color w:val="auto"/>
        </w:rPr>
      </w:pPr>
      <w:r w:rsidRPr="00C01A73">
        <w:rPr>
          <w:color w:val="auto"/>
        </w:rPr>
        <w:t xml:space="preserve">2. </w:t>
      </w:r>
      <w:r w:rsidRPr="00C01A73">
        <w:rPr>
          <w:color w:val="auto"/>
        </w:rPr>
        <w:t>Interactional Structure of Health Evidence and Implications for Inquiry</w:t>
      </w:r>
    </w:p>
    <w:p w14:paraId="7F9FDB69" w14:textId="42850388" w:rsidR="00AA3BF2" w:rsidRPr="00C01A73" w:rsidRDefault="00AA3BF2" w:rsidP="00AA3BF2">
      <w:pPr>
        <w:rPr>
          <w:rFonts w:cs="Arial"/>
        </w:rPr>
      </w:pPr>
      <w:r w:rsidRPr="00C01A73">
        <w:rPr>
          <w:rFonts w:cs="Arial"/>
        </w:rPr>
        <w:t>A large and diverse body of health research shows that disease risk, progression, and intervention effects are shaped by interacting determinants operating through pathways and over time, rather than by isolated or additive factors. Across epidemiology, public health, life-course research, and causal inference, this interactional structure has been repeatedly documented in relation to social conditions, behaviours, environments, and biological processes [</w:t>
      </w:r>
      <w:r w:rsidR="00040E64">
        <w:rPr>
          <w:rFonts w:cs="Arial"/>
        </w:rPr>
        <w:t>22-26]</w:t>
      </w:r>
      <w:r w:rsidRPr="00C01A73">
        <w:rPr>
          <w:rFonts w:cs="Arial"/>
        </w:rPr>
        <w:t>.</w:t>
      </w:r>
    </w:p>
    <w:p w14:paraId="32B15098" w14:textId="03E556E5" w:rsidR="00AA3BF2" w:rsidRPr="00C01A73" w:rsidRDefault="00AA3BF2" w:rsidP="00AA3BF2">
      <w:pPr>
        <w:rPr>
          <w:rFonts w:cs="Arial"/>
        </w:rPr>
      </w:pPr>
      <w:r w:rsidRPr="00C01A73">
        <w:rPr>
          <w:rFonts w:cs="Arial"/>
        </w:rPr>
        <w:t>This section synthesises key findings from that literature to clarify what they imply for how health questions must be framed if they are to support valid interpretation. Rather than reviewing individual studies exhaustively, the focus is on recurring patterns that cut across conditions and analytic approaches, including effect heterogeneity, mediated pathways, and temporal structuring of health outcomes. Such design-oriented synthesis is well established in information systems and design science research as a way of translating empirical knowledge into actionable requirements without duplicating systematic review methods [</w:t>
      </w:r>
      <w:r w:rsidR="00E00244">
        <w:rPr>
          <w:rFonts w:cs="Arial"/>
        </w:rPr>
        <w:t>27-28</w:t>
      </w:r>
      <w:r w:rsidRPr="00C01A73">
        <w:rPr>
          <w:rFonts w:cs="Arial"/>
        </w:rPr>
        <w:t>].</w:t>
      </w:r>
    </w:p>
    <w:p w14:paraId="576D9E06" w14:textId="1043448B" w:rsidR="00AA3BF2" w:rsidRPr="00C01A73" w:rsidRDefault="00AA3BF2" w:rsidP="00AA3BF2">
      <w:pPr>
        <w:rPr>
          <w:rFonts w:cs="Arial"/>
        </w:rPr>
      </w:pPr>
      <w:r w:rsidRPr="00C01A73">
        <w:rPr>
          <w:rFonts w:cs="Arial"/>
        </w:rPr>
        <w:t xml:space="preserve">In parallel, we situate this synthesis alongside research on large language models (LLMs) and prompt-based interaction, which increasingly mediate access to health evidence. While this literature has focused on improving response quality under given task specifications, it has paid limited attention to whether the questions </w:t>
      </w:r>
      <w:r w:rsidRPr="00C01A73">
        <w:rPr>
          <w:rFonts w:cs="Arial"/>
        </w:rPr>
        <w:lastRenderedPageBreak/>
        <w:t>themselves reflect the interactional and temporal structure of health evidence. Together, these two strands of literature motivate a closer examination of inquiry structure as a prerequisite for hyper-personalised, AI-mediated health reasoning.</w:t>
      </w:r>
    </w:p>
    <w:p w14:paraId="23543EF9" w14:textId="5CC49EAD" w:rsidR="00AA3BF2" w:rsidRPr="00C01A73" w:rsidRDefault="00AA3BF2" w:rsidP="00AA3BF2">
      <w:pPr>
        <w:pStyle w:val="Heading3"/>
        <w:rPr>
          <w:color w:val="auto"/>
        </w:rPr>
      </w:pPr>
      <w:r w:rsidRPr="00C01A73">
        <w:rPr>
          <w:color w:val="auto"/>
        </w:rPr>
        <w:t>2</w:t>
      </w:r>
      <w:r w:rsidRPr="00C01A73">
        <w:rPr>
          <w:color w:val="auto"/>
        </w:rPr>
        <w:t>.1</w:t>
      </w:r>
      <w:r w:rsidRPr="00C01A73">
        <w:rPr>
          <w:color w:val="auto"/>
        </w:rPr>
        <w:tab/>
        <w:t>Interactional, Mediated, and Temporal Structure of Health Evidence</w:t>
      </w:r>
    </w:p>
    <w:p w14:paraId="7200946C" w14:textId="2266537B" w:rsidR="00AA3BF2" w:rsidRDefault="00AA3BF2" w:rsidP="00AA3BF2">
      <w:pPr>
        <w:rPr>
          <w:rFonts w:cs="Arial"/>
        </w:rPr>
      </w:pPr>
      <w:r w:rsidRPr="00C01A73">
        <w:rPr>
          <w:rFonts w:cs="Arial"/>
        </w:rPr>
        <w:t>A consistent finding across health research is that outcomes depend on interacting determinants, leading to systematic variation in risk and intervention effects across populations and contexts</w:t>
      </w:r>
      <w:r w:rsidR="009E5065">
        <w:rPr>
          <w:rFonts w:cs="Arial"/>
        </w:rPr>
        <w:t xml:space="preserve">, as illustrated in Table </w:t>
      </w:r>
      <w:r w:rsidR="006A1269">
        <w:rPr>
          <w:rFonts w:cs="Arial"/>
        </w:rPr>
        <w:t>4</w:t>
      </w:r>
      <w:r w:rsidRPr="00C01A73">
        <w:rPr>
          <w:rFonts w:cs="Arial"/>
        </w:rPr>
        <w:t>. Associations between behaviours, exposures, and health outcomes vary by socioeconomic position, material conditions, and access to healthcare, reflecting both differential exposure and differential vulnerability [</w:t>
      </w:r>
      <w:r w:rsidR="004240F0">
        <w:rPr>
          <w:rFonts w:cs="Arial"/>
        </w:rPr>
        <w:t>26,29-30</w:t>
      </w:r>
      <w:r w:rsidRPr="00C01A73">
        <w:rPr>
          <w:rFonts w:cs="Arial"/>
        </w:rPr>
        <w:t>]. These patterns are particularly well documented in cardiometabolic health but are not unique to it.</w:t>
      </w:r>
    </w:p>
    <w:p w14:paraId="40D69856" w14:textId="697AA264" w:rsidR="00D4364E" w:rsidRPr="00C01A73" w:rsidRDefault="00D4364E" w:rsidP="00AA3BF2">
      <w:pPr>
        <w:rPr>
          <w:rFonts w:cs="Arial"/>
        </w:rPr>
      </w:pPr>
      <w:r w:rsidRPr="00293C77">
        <w:rPr>
          <w:rFonts w:cs="Arial"/>
          <w:noProof/>
        </w:rPr>
        <w:lastRenderedPageBreak/>
        <mc:AlternateContent>
          <mc:Choice Requires="wps">
            <w:drawing>
              <wp:anchor distT="45720" distB="45720" distL="114300" distR="114300" simplePos="0" relativeHeight="251659264" behindDoc="0" locked="0" layoutInCell="1" allowOverlap="1" wp14:anchorId="20B4B305" wp14:editId="4F4479D8">
                <wp:simplePos x="0" y="0"/>
                <wp:positionH relativeFrom="margin">
                  <wp:posOffset>0</wp:posOffset>
                </wp:positionH>
                <wp:positionV relativeFrom="paragraph">
                  <wp:posOffset>40005</wp:posOffset>
                </wp:positionV>
                <wp:extent cx="5730240" cy="8793480"/>
                <wp:effectExtent l="0" t="0" r="22860" b="26670"/>
                <wp:wrapSquare wrapText="bothSides"/>
                <wp:docPr id="319436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8793480"/>
                        </a:xfrm>
                        <a:prstGeom prst="rect">
                          <a:avLst/>
                        </a:prstGeom>
                        <a:solidFill>
                          <a:srgbClr val="FFFFFF"/>
                        </a:solidFill>
                        <a:ln w="12700">
                          <a:solidFill>
                            <a:srgbClr val="000000"/>
                          </a:solidFill>
                          <a:miter lim="800000"/>
                          <a:headEnd/>
                          <a:tailEnd/>
                        </a:ln>
                      </wps:spPr>
                      <wps:txbx>
                        <w:txbxContent>
                          <w:p w14:paraId="039F03FF" w14:textId="5D21DA9B" w:rsidR="00D4364E" w:rsidRPr="005A4486" w:rsidRDefault="009E5065" w:rsidP="00D4364E">
                            <w:pPr>
                              <w:rPr>
                                <w:rFonts w:cs="Arial"/>
                                <w:sz w:val="18"/>
                                <w:szCs w:val="18"/>
                              </w:rPr>
                            </w:pPr>
                            <w:r>
                              <w:rPr>
                                <w:rFonts w:cs="Arial"/>
                                <w:b/>
                                <w:bCs/>
                                <w:sz w:val="18"/>
                                <w:szCs w:val="18"/>
                              </w:rPr>
                              <w:t>Table</w:t>
                            </w:r>
                            <w:r w:rsidR="00D4364E" w:rsidRPr="005A4486">
                              <w:rPr>
                                <w:rFonts w:cs="Arial"/>
                                <w:b/>
                                <w:bCs/>
                                <w:sz w:val="18"/>
                                <w:szCs w:val="18"/>
                              </w:rPr>
                              <w:t xml:space="preserve"> </w:t>
                            </w:r>
                            <w:r>
                              <w:rPr>
                                <w:rFonts w:cs="Arial"/>
                                <w:b/>
                                <w:bCs/>
                                <w:sz w:val="18"/>
                                <w:szCs w:val="18"/>
                              </w:rPr>
                              <w:t>4</w:t>
                            </w:r>
                            <w:r w:rsidR="00D4364E" w:rsidRPr="005A4486">
                              <w:rPr>
                                <w:rFonts w:cs="Arial"/>
                                <w:sz w:val="18"/>
                                <w:szCs w:val="18"/>
                              </w:rPr>
                              <w:t xml:space="preserve">. </w:t>
                            </w:r>
                            <w:r w:rsidR="00D4364E" w:rsidRPr="00E02BF3">
                              <w:rPr>
                                <w:rFonts w:cs="Arial"/>
                                <w:sz w:val="18"/>
                                <w:szCs w:val="18"/>
                              </w:rPr>
                              <w:t>Illustrative examples of non-additive questioning in cardiometabolic and exposome-related epidemiology</w:t>
                            </w:r>
                          </w:p>
                          <w:tbl>
                            <w:tblPr>
                              <w:tblStyle w:val="TableGrid"/>
                              <w:tblW w:w="8784" w:type="dxa"/>
                              <w:tblLook w:val="04A0" w:firstRow="1" w:lastRow="0" w:firstColumn="1" w:lastColumn="0" w:noHBand="0" w:noVBand="1"/>
                            </w:tblPr>
                            <w:tblGrid>
                              <w:gridCol w:w="1087"/>
                              <w:gridCol w:w="1417"/>
                              <w:gridCol w:w="1437"/>
                              <w:gridCol w:w="1439"/>
                              <w:gridCol w:w="1407"/>
                              <w:gridCol w:w="1997"/>
                            </w:tblGrid>
                            <w:tr w:rsidR="00D4364E" w:rsidRPr="00293C77" w14:paraId="744B2ED3" w14:textId="77777777" w:rsidTr="00390279">
                              <w:tc>
                                <w:tcPr>
                                  <w:tcW w:w="1087" w:type="dxa"/>
                                </w:tcPr>
                                <w:p w14:paraId="0668FE92" w14:textId="77777777" w:rsidR="00D4364E" w:rsidRPr="00390279" w:rsidRDefault="00D4364E" w:rsidP="00792528">
                                  <w:pPr>
                                    <w:rPr>
                                      <w:rFonts w:cs="Arial"/>
                                      <w:sz w:val="20"/>
                                      <w:szCs w:val="20"/>
                                    </w:rPr>
                                  </w:pPr>
                                  <w:r w:rsidRPr="00390279">
                                    <w:rPr>
                                      <w:rFonts w:eastAsia="Times New Roman" w:cs="Arial"/>
                                      <w:kern w:val="0"/>
                                      <w:sz w:val="20"/>
                                      <w:szCs w:val="20"/>
                                      <w:lang w:eastAsia="en-GB"/>
                                      <w14:ligatures w14:val="none"/>
                                    </w:rPr>
                                    <w:t>Study (Author, year)</w:t>
                                  </w:r>
                                </w:p>
                              </w:tc>
                              <w:tc>
                                <w:tcPr>
                                  <w:tcW w:w="1417" w:type="dxa"/>
                                </w:tcPr>
                                <w:p w14:paraId="04FACB9C" w14:textId="77777777" w:rsidR="00D4364E" w:rsidRPr="00390279" w:rsidRDefault="00D4364E" w:rsidP="00792528">
                                  <w:pPr>
                                    <w:rPr>
                                      <w:rFonts w:cs="Arial"/>
                                      <w:sz w:val="20"/>
                                      <w:szCs w:val="20"/>
                                    </w:rPr>
                                  </w:pPr>
                                  <w:r w:rsidRPr="00390279">
                                    <w:rPr>
                                      <w:rFonts w:eastAsia="Times New Roman" w:cs="Arial"/>
                                      <w:kern w:val="0"/>
                                      <w:sz w:val="20"/>
                                      <w:szCs w:val="20"/>
                                      <w:lang w:eastAsia="en-GB"/>
                                      <w14:ligatures w14:val="none"/>
                                    </w:rPr>
                                    <w:t>Outcome</w:t>
                                  </w:r>
                                </w:p>
                              </w:tc>
                              <w:tc>
                                <w:tcPr>
                                  <w:tcW w:w="1437" w:type="dxa"/>
                                </w:tcPr>
                                <w:p w14:paraId="2461C55D" w14:textId="77777777" w:rsidR="00D4364E" w:rsidRPr="00390279" w:rsidRDefault="00D4364E" w:rsidP="00792528">
                                  <w:pPr>
                                    <w:rPr>
                                      <w:rFonts w:cs="Arial"/>
                                      <w:sz w:val="20"/>
                                      <w:szCs w:val="20"/>
                                    </w:rPr>
                                  </w:pPr>
                                  <w:r w:rsidRPr="00390279">
                                    <w:rPr>
                                      <w:rFonts w:eastAsia="Times New Roman" w:cs="Arial"/>
                                      <w:kern w:val="0"/>
                                      <w:sz w:val="20"/>
                                      <w:szCs w:val="20"/>
                                      <w:lang w:eastAsia="en-GB"/>
                                      <w14:ligatures w14:val="none"/>
                                    </w:rPr>
                                    <w:t>Determinant context analysed</w:t>
                                  </w:r>
                                </w:p>
                              </w:tc>
                              <w:tc>
                                <w:tcPr>
                                  <w:tcW w:w="1439" w:type="dxa"/>
                                </w:tcPr>
                                <w:p w14:paraId="55DD4245" w14:textId="77777777" w:rsidR="00D4364E" w:rsidRPr="00390279" w:rsidRDefault="00D4364E" w:rsidP="00792528">
                                  <w:pPr>
                                    <w:rPr>
                                      <w:rFonts w:cs="Arial"/>
                                      <w:sz w:val="20"/>
                                      <w:szCs w:val="20"/>
                                    </w:rPr>
                                  </w:pPr>
                                  <w:r w:rsidRPr="00390279">
                                    <w:rPr>
                                      <w:rFonts w:eastAsia="Times New Roman" w:cs="Arial"/>
                                      <w:kern w:val="0"/>
                                      <w:sz w:val="20"/>
                                      <w:szCs w:val="20"/>
                                      <w:lang w:eastAsia="en-GB"/>
                                      <w14:ligatures w14:val="none"/>
                                    </w:rPr>
                                    <w:t>Interaction motif demonstrated</w:t>
                                  </w:r>
                                </w:p>
                              </w:tc>
                              <w:tc>
                                <w:tcPr>
                                  <w:tcW w:w="1407" w:type="dxa"/>
                                </w:tcPr>
                                <w:p w14:paraId="244447D4" w14:textId="77777777" w:rsidR="00D4364E" w:rsidRPr="00390279" w:rsidRDefault="00D4364E" w:rsidP="00792528">
                                  <w:pPr>
                                    <w:rPr>
                                      <w:rFonts w:cs="Arial"/>
                                      <w:sz w:val="20"/>
                                      <w:szCs w:val="20"/>
                                    </w:rPr>
                                  </w:pPr>
                                  <w:r w:rsidRPr="00390279">
                                    <w:rPr>
                                      <w:rFonts w:eastAsia="Times New Roman" w:cs="Arial"/>
                                      <w:kern w:val="0"/>
                                      <w:sz w:val="20"/>
                                      <w:szCs w:val="20"/>
                                      <w:lang w:eastAsia="en-GB"/>
                                      <w14:ligatures w14:val="none"/>
                                    </w:rPr>
                                    <w:t>Question structure implied</w:t>
                                  </w:r>
                                </w:p>
                              </w:tc>
                              <w:tc>
                                <w:tcPr>
                                  <w:tcW w:w="1997" w:type="dxa"/>
                                </w:tcPr>
                                <w:p w14:paraId="6A846608" w14:textId="77777777" w:rsidR="00D4364E" w:rsidRPr="00390279" w:rsidRDefault="00D4364E" w:rsidP="00792528">
                                  <w:pPr>
                                    <w:rPr>
                                      <w:rFonts w:cs="Arial"/>
                                      <w:sz w:val="20"/>
                                      <w:szCs w:val="20"/>
                                    </w:rPr>
                                  </w:pPr>
                                  <w:r w:rsidRPr="00390279">
                                    <w:rPr>
                                      <w:rFonts w:eastAsia="Times New Roman" w:cs="Arial"/>
                                      <w:kern w:val="0"/>
                                      <w:sz w:val="20"/>
                                      <w:szCs w:val="20"/>
                                      <w:lang w:eastAsia="en-GB"/>
                                      <w14:ligatures w14:val="none"/>
                                    </w:rPr>
                                    <w:t>Why additive questioning fails</w:t>
                                  </w:r>
                                </w:p>
                              </w:tc>
                            </w:tr>
                            <w:tr w:rsidR="00D4364E" w:rsidRPr="00293C77" w14:paraId="21940B88" w14:textId="77777777" w:rsidTr="00390279">
                              <w:tc>
                                <w:tcPr>
                                  <w:tcW w:w="1087" w:type="dxa"/>
                                </w:tcPr>
                                <w:p w14:paraId="03504067"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Ben-Shlomo &amp; Kuh, 2002</w:t>
                                  </w:r>
                                </w:p>
                              </w:tc>
                              <w:tc>
                                <w:tcPr>
                                  <w:tcW w:w="1417" w:type="dxa"/>
                                </w:tcPr>
                                <w:p w14:paraId="38C36AB0"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Adult chronic disease</w:t>
                                  </w:r>
                                </w:p>
                              </w:tc>
                              <w:tc>
                                <w:tcPr>
                                  <w:tcW w:w="1437" w:type="dxa"/>
                                </w:tcPr>
                                <w:p w14:paraId="3BE0AF6B"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Early-life socioeconomic conditions; adult behaviours</w:t>
                                  </w:r>
                                </w:p>
                              </w:tc>
                              <w:tc>
                                <w:tcPr>
                                  <w:tcW w:w="1439" w:type="dxa"/>
                                </w:tcPr>
                                <w:p w14:paraId="35B65F4F"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Temporal accumulation / critical and sensitive periods</w:t>
                                  </w:r>
                                </w:p>
                              </w:tc>
                              <w:tc>
                                <w:tcPr>
                                  <w:tcW w:w="1407" w:type="dxa"/>
                                </w:tcPr>
                                <w:p w14:paraId="30731F75"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When in the life course does exposure matter, and how do early and later exposures combine?</w:t>
                                  </w:r>
                                </w:p>
                              </w:tc>
                              <w:tc>
                                <w:tcPr>
                                  <w:tcW w:w="1997" w:type="dxa"/>
                                </w:tcPr>
                                <w:p w14:paraId="4B8AA977"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Collapsing exposures into a single time point erases sensitive periods, risk clustering, and cumulative disadvantage across the life course.</w:t>
                                  </w:r>
                                </w:p>
                              </w:tc>
                            </w:tr>
                            <w:tr w:rsidR="00D4364E" w:rsidRPr="00293C77" w14:paraId="4B4C5FA6" w14:textId="77777777" w:rsidTr="00390279">
                              <w:tc>
                                <w:tcPr>
                                  <w:tcW w:w="1087" w:type="dxa"/>
                                </w:tcPr>
                                <w:p w14:paraId="478B16F4"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Marmot et al. 1997, Stringhini et al. 2010</w:t>
                                  </w:r>
                                </w:p>
                              </w:tc>
                              <w:tc>
                                <w:tcPr>
                                  <w:tcW w:w="1417" w:type="dxa"/>
                                </w:tcPr>
                                <w:p w14:paraId="3DFC7179"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Cardiovascular disease and mortality</w:t>
                                  </w:r>
                                </w:p>
                              </w:tc>
                              <w:tc>
                                <w:tcPr>
                                  <w:tcW w:w="1437" w:type="dxa"/>
                                </w:tcPr>
                                <w:p w14:paraId="1899F8D7"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Socioeconomic position, behavioural and biological risk factors</w:t>
                                  </w:r>
                                </w:p>
                              </w:tc>
                              <w:tc>
                                <w:tcPr>
                                  <w:tcW w:w="1439" w:type="dxa"/>
                                </w:tcPr>
                                <w:p w14:paraId="65EC0753"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Partial mediation of social gradients through behavioural pathways</w:t>
                                  </w:r>
                                </w:p>
                              </w:tc>
                              <w:tc>
                                <w:tcPr>
                                  <w:tcW w:w="1407" w:type="dxa"/>
                                </w:tcPr>
                                <w:p w14:paraId="2AE1F656"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Through which behavioural pathways does socioeconomic disadvantage influence disease risk?</w:t>
                                  </w:r>
                                </w:p>
                              </w:tc>
                              <w:tc>
                                <w:tcPr>
                                  <w:tcW w:w="1997" w:type="dxa"/>
                                </w:tcPr>
                                <w:p w14:paraId="39B40C65"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Adjusting for behaviours treats mediators as confounders, underestimating the total effect of socioeconomic position on health outcomes.</w:t>
                                  </w:r>
                                </w:p>
                              </w:tc>
                            </w:tr>
                            <w:tr w:rsidR="00D4364E" w:rsidRPr="00293C77" w14:paraId="00A2E477" w14:textId="77777777" w:rsidTr="00390279">
                              <w:tc>
                                <w:tcPr>
                                  <w:tcW w:w="1087" w:type="dxa"/>
                                </w:tcPr>
                                <w:p w14:paraId="4BFE3ECB"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Stringhini et al., 2017</w:t>
                                  </w:r>
                                </w:p>
                              </w:tc>
                              <w:tc>
                                <w:tcPr>
                                  <w:tcW w:w="1417" w:type="dxa"/>
                                </w:tcPr>
                                <w:p w14:paraId="73BBC344"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All-cause and CVD mortality</w:t>
                                  </w:r>
                                </w:p>
                              </w:tc>
                              <w:tc>
                                <w:tcPr>
                                  <w:tcW w:w="1437" w:type="dxa"/>
                                </w:tcPr>
                                <w:p w14:paraId="053EF986"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Socioeconomic position and behavioural risk factors</w:t>
                                  </w:r>
                                </w:p>
                              </w:tc>
                              <w:tc>
                                <w:tcPr>
                                  <w:tcW w:w="1439" w:type="dxa"/>
                                </w:tcPr>
                                <w:p w14:paraId="5BF739DB"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Social patterning of behavioural risk and mortality burden</w:t>
                                  </w:r>
                                </w:p>
                              </w:tc>
                              <w:tc>
                                <w:tcPr>
                                  <w:tcW w:w="1407" w:type="dxa"/>
                                </w:tcPr>
                                <w:p w14:paraId="36737EE5"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How is behavioural risk distributed and expressed across socioeconomic strata?</w:t>
                                  </w:r>
                                </w:p>
                              </w:tc>
                              <w:tc>
                                <w:tcPr>
                                  <w:tcW w:w="1997" w:type="dxa"/>
                                </w:tcPr>
                                <w:p w14:paraId="07D7E618"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Estimating average behavioural effects obscures socially patterned exposure and impact, leading to misestimation of population-level burden.</w:t>
                                  </w:r>
                                </w:p>
                              </w:tc>
                            </w:tr>
                            <w:tr w:rsidR="00D4364E" w:rsidRPr="00293C77" w14:paraId="4113FAB7" w14:textId="77777777" w:rsidTr="00390279">
                              <w:tc>
                                <w:tcPr>
                                  <w:tcW w:w="1087" w:type="dxa"/>
                                </w:tcPr>
                                <w:p w14:paraId="0423501F"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Schultz et al., 2018</w:t>
                                  </w:r>
                                </w:p>
                              </w:tc>
                              <w:tc>
                                <w:tcPr>
                                  <w:tcW w:w="1417" w:type="dxa"/>
                                </w:tcPr>
                                <w:p w14:paraId="59C57327"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Cardiovascular disease outcomes</w:t>
                                  </w:r>
                                </w:p>
                              </w:tc>
                              <w:tc>
                                <w:tcPr>
                                  <w:tcW w:w="1437" w:type="dxa"/>
                                </w:tcPr>
                                <w:p w14:paraId="06DF85DB"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Socioeconomic context, access to care, behaviours</w:t>
                                  </w:r>
                                </w:p>
                              </w:tc>
                              <w:tc>
                                <w:tcPr>
                                  <w:tcW w:w="1439" w:type="dxa"/>
                                </w:tcPr>
                                <w:p w14:paraId="481EDF40"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Contextual conditioning of risk and intervention effectiveness</w:t>
                                  </w:r>
                                </w:p>
                              </w:tc>
                              <w:tc>
                                <w:tcPr>
                                  <w:tcW w:w="1407" w:type="dxa"/>
                                </w:tcPr>
                                <w:p w14:paraId="63677908"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Under which social and healthcare conditions do risk factors and interventions operate?</w:t>
                                  </w:r>
                                </w:p>
                              </w:tc>
                              <w:tc>
                                <w:tcPr>
                                  <w:tcW w:w="1997" w:type="dxa"/>
                                </w:tcPr>
                                <w:p w14:paraId="139B1F7F"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Risk estimates and interventions assume generalizability across settings despite empirically documented socioeconomic and healthcare-access heterogeneity.</w:t>
                                  </w:r>
                                </w:p>
                              </w:tc>
                            </w:tr>
                            <w:tr w:rsidR="00D4364E" w:rsidRPr="00293C77" w14:paraId="1077634A" w14:textId="77777777" w:rsidTr="00390279">
                              <w:tc>
                                <w:tcPr>
                                  <w:tcW w:w="1087" w:type="dxa"/>
                                </w:tcPr>
                                <w:p w14:paraId="3686256F"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Carroll et al., 2020</w:t>
                                  </w:r>
                                </w:p>
                              </w:tc>
                              <w:tc>
                                <w:tcPr>
                                  <w:tcW w:w="1417" w:type="dxa"/>
                                </w:tcPr>
                                <w:p w14:paraId="5356DCD4"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Long-term change in BMI and waist circumference</w:t>
                                  </w:r>
                                </w:p>
                              </w:tc>
                              <w:tc>
                                <w:tcPr>
                                  <w:tcW w:w="1437" w:type="dxa"/>
                                </w:tcPr>
                                <w:p w14:paraId="4662921F"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Built-environment features and area-level socioeconomic conditions</w:t>
                                  </w:r>
                                </w:p>
                              </w:tc>
                              <w:tc>
                                <w:tcPr>
                                  <w:tcW w:w="1439" w:type="dxa"/>
                                </w:tcPr>
                                <w:p w14:paraId="4E8C98AF"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Joint and correlated effects of multiple contextual exposures</w:t>
                                  </w:r>
                                </w:p>
                              </w:tc>
                              <w:tc>
                                <w:tcPr>
                                  <w:tcW w:w="1407" w:type="dxa"/>
                                </w:tcPr>
                                <w:p w14:paraId="02CA6139"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How do co-occurring environmental and socioeconomic exposures jointly shape long-term health trajectories?</w:t>
                                  </w:r>
                                </w:p>
                              </w:tc>
                              <w:tc>
                                <w:tcPr>
                                  <w:tcW w:w="1997" w:type="dxa"/>
                                </w:tcPr>
                                <w:p w14:paraId="29006D8C"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Single-factor or one-at-a-time modelling misattributes effects when built-environment features and area-level socioeconomic conditions co-vary over time.</w:t>
                                  </w:r>
                                </w:p>
                              </w:tc>
                            </w:tr>
                            <w:tr w:rsidR="00D4364E" w:rsidRPr="00293C77" w14:paraId="6B75F545" w14:textId="77777777" w:rsidTr="00390279">
                              <w:tc>
                                <w:tcPr>
                                  <w:tcW w:w="1087" w:type="dxa"/>
                                </w:tcPr>
                                <w:p w14:paraId="4F28C6AE"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Vineis et al., 2020</w:t>
                                  </w:r>
                                </w:p>
                              </w:tc>
                              <w:tc>
                                <w:tcPr>
                                  <w:tcW w:w="1417" w:type="dxa"/>
                                </w:tcPr>
                                <w:p w14:paraId="6A5ACEE9"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Chronic disease</w:t>
                                  </w:r>
                                </w:p>
                              </w:tc>
                              <w:tc>
                                <w:tcPr>
                                  <w:tcW w:w="1437" w:type="dxa"/>
                                </w:tcPr>
                                <w:p w14:paraId="38C0A859"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Environmental, social, and behavioural exposures across the life course</w:t>
                                  </w:r>
                                </w:p>
                              </w:tc>
                              <w:tc>
                                <w:tcPr>
                                  <w:tcW w:w="1439" w:type="dxa"/>
                                </w:tcPr>
                                <w:p w14:paraId="520720CB"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Temporal and interactional accumulation across exposure domains</w:t>
                                  </w:r>
                                </w:p>
                              </w:tc>
                              <w:tc>
                                <w:tcPr>
                                  <w:tcW w:w="1407" w:type="dxa"/>
                                </w:tcPr>
                                <w:p w14:paraId="7681EA01"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How do multiple exposures interact and accumulate over extended time horizons?</w:t>
                                  </w:r>
                                </w:p>
                              </w:tc>
                              <w:tc>
                                <w:tcPr>
                                  <w:tcW w:w="1997" w:type="dxa"/>
                                </w:tcPr>
                                <w:p w14:paraId="70FB1588"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Static models cannot represent interacting exposure trajectories, latency, and long-term accumulation processes.</w:t>
                                  </w:r>
                                </w:p>
                              </w:tc>
                            </w:tr>
                            <w:tr w:rsidR="00D4364E" w:rsidRPr="00293C77" w14:paraId="72070EB1" w14:textId="77777777" w:rsidTr="00390279">
                              <w:tc>
                                <w:tcPr>
                                  <w:tcW w:w="1087" w:type="dxa"/>
                                </w:tcPr>
                                <w:p w14:paraId="274F4371"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Vermeulen et al., 2020</w:t>
                                  </w:r>
                                </w:p>
                              </w:tc>
                              <w:tc>
                                <w:tcPr>
                                  <w:tcW w:w="1417" w:type="dxa"/>
                                </w:tcPr>
                                <w:p w14:paraId="26DB04C5"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Population health outcomes</w:t>
                                  </w:r>
                                </w:p>
                              </w:tc>
                              <w:tc>
                                <w:tcPr>
                                  <w:tcW w:w="1437" w:type="dxa"/>
                                </w:tcPr>
                                <w:p w14:paraId="3B52AE51"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Networked environmental and psychosocial exposures</w:t>
                                  </w:r>
                                </w:p>
                              </w:tc>
                              <w:tc>
                                <w:tcPr>
                                  <w:tcW w:w="1439" w:type="dxa"/>
                                </w:tcPr>
                                <w:p w14:paraId="6DF62E78"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Interactional (networked and mixture-based)</w:t>
                                  </w:r>
                                </w:p>
                              </w:tc>
                              <w:tc>
                                <w:tcPr>
                                  <w:tcW w:w="1407" w:type="dxa"/>
                                </w:tcPr>
                                <w:p w14:paraId="186191A8"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Which combinations of exposures co-occur and jointly shape risk?</w:t>
                                  </w:r>
                                </w:p>
                              </w:tc>
                              <w:tc>
                                <w:tcPr>
                                  <w:tcW w:w="1997" w:type="dxa"/>
                                </w:tcPr>
                                <w:p w14:paraId="721D8869"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Single-exposure effects ignore correlated, synergistic, and networked exposure structures that generate health outcomes.</w:t>
                                  </w:r>
                                </w:p>
                              </w:tc>
                            </w:tr>
                          </w:tbl>
                          <w:p w14:paraId="13CB8188" w14:textId="77777777" w:rsidR="00D4364E" w:rsidRPr="006A53B2" w:rsidRDefault="00D4364E" w:rsidP="00D4364E">
                            <w:pPr>
                              <w:spacing w:after="0" w:line="240" w:lineRule="auto"/>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4B305" id="_x0000_s1029" type="#_x0000_t202" style="position:absolute;margin-left:0;margin-top:3.15pt;width:451.2pt;height:69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" strokeweight="1pt">
                <v:textbox>
                  <w:txbxContent>
                    <w:p w14:paraId="039F03FF" w14:textId="5D21DA9B" w:rsidR="00D4364E" w:rsidRPr="005A4486" w:rsidRDefault="009E5065" w:rsidP="00D4364E">
                      <w:pPr>
                        <w:rPr>
                          <w:rFonts w:cs="Arial"/>
                          <w:sz w:val="18"/>
                          <w:szCs w:val="18"/>
                        </w:rPr>
                      </w:pPr>
                      <w:r>
                        <w:rPr>
                          <w:rFonts w:cs="Arial"/>
                          <w:b/>
                          <w:bCs/>
                          <w:sz w:val="18"/>
                          <w:szCs w:val="18"/>
                        </w:rPr>
                        <w:t>Table</w:t>
                      </w:r>
                      <w:r w:rsidR="00D4364E" w:rsidRPr="005A4486">
                        <w:rPr>
                          <w:rFonts w:cs="Arial"/>
                          <w:b/>
                          <w:bCs/>
                          <w:sz w:val="18"/>
                          <w:szCs w:val="18"/>
                        </w:rPr>
                        <w:t xml:space="preserve"> </w:t>
                      </w:r>
                      <w:r>
                        <w:rPr>
                          <w:rFonts w:cs="Arial"/>
                          <w:b/>
                          <w:bCs/>
                          <w:sz w:val="18"/>
                          <w:szCs w:val="18"/>
                        </w:rPr>
                        <w:t>4</w:t>
                      </w:r>
                      <w:r w:rsidR="00D4364E" w:rsidRPr="005A4486">
                        <w:rPr>
                          <w:rFonts w:cs="Arial"/>
                          <w:sz w:val="18"/>
                          <w:szCs w:val="18"/>
                        </w:rPr>
                        <w:t xml:space="preserve">. </w:t>
                      </w:r>
                      <w:r w:rsidR="00D4364E" w:rsidRPr="00E02BF3">
                        <w:rPr>
                          <w:rFonts w:cs="Arial"/>
                          <w:sz w:val="18"/>
                          <w:szCs w:val="18"/>
                        </w:rPr>
                        <w:t>Illustrative examples of non-additive questioning in cardiometabolic and exposome-related epidemiology</w:t>
                      </w:r>
                    </w:p>
                    <w:tbl>
                      <w:tblPr>
                        <w:tblStyle w:val="TableGrid"/>
                        <w:tblW w:w="8784" w:type="dxa"/>
                        <w:tblLook w:val="04A0" w:firstRow="1" w:lastRow="0" w:firstColumn="1" w:lastColumn="0" w:noHBand="0" w:noVBand="1"/>
                      </w:tblPr>
                      <w:tblGrid>
                        <w:gridCol w:w="1087"/>
                        <w:gridCol w:w="1417"/>
                        <w:gridCol w:w="1437"/>
                        <w:gridCol w:w="1439"/>
                        <w:gridCol w:w="1407"/>
                        <w:gridCol w:w="1997"/>
                      </w:tblGrid>
                      <w:tr w:rsidR="00D4364E" w:rsidRPr="00293C77" w14:paraId="744B2ED3" w14:textId="77777777" w:rsidTr="00390279">
                        <w:tc>
                          <w:tcPr>
                            <w:tcW w:w="1087" w:type="dxa"/>
                          </w:tcPr>
                          <w:p w14:paraId="0668FE92" w14:textId="77777777" w:rsidR="00D4364E" w:rsidRPr="00390279" w:rsidRDefault="00D4364E" w:rsidP="00792528">
                            <w:pPr>
                              <w:rPr>
                                <w:rFonts w:cs="Arial"/>
                                <w:sz w:val="20"/>
                                <w:szCs w:val="20"/>
                              </w:rPr>
                            </w:pPr>
                            <w:r w:rsidRPr="00390279">
                              <w:rPr>
                                <w:rFonts w:eastAsia="Times New Roman" w:cs="Arial"/>
                                <w:kern w:val="0"/>
                                <w:sz w:val="20"/>
                                <w:szCs w:val="20"/>
                                <w:lang w:eastAsia="en-GB"/>
                                <w14:ligatures w14:val="none"/>
                              </w:rPr>
                              <w:t>Study (Author, year)</w:t>
                            </w:r>
                          </w:p>
                        </w:tc>
                        <w:tc>
                          <w:tcPr>
                            <w:tcW w:w="1417" w:type="dxa"/>
                          </w:tcPr>
                          <w:p w14:paraId="04FACB9C" w14:textId="77777777" w:rsidR="00D4364E" w:rsidRPr="00390279" w:rsidRDefault="00D4364E" w:rsidP="00792528">
                            <w:pPr>
                              <w:rPr>
                                <w:rFonts w:cs="Arial"/>
                                <w:sz w:val="20"/>
                                <w:szCs w:val="20"/>
                              </w:rPr>
                            </w:pPr>
                            <w:r w:rsidRPr="00390279">
                              <w:rPr>
                                <w:rFonts w:eastAsia="Times New Roman" w:cs="Arial"/>
                                <w:kern w:val="0"/>
                                <w:sz w:val="20"/>
                                <w:szCs w:val="20"/>
                                <w:lang w:eastAsia="en-GB"/>
                                <w14:ligatures w14:val="none"/>
                              </w:rPr>
                              <w:t>Outcome</w:t>
                            </w:r>
                          </w:p>
                        </w:tc>
                        <w:tc>
                          <w:tcPr>
                            <w:tcW w:w="1437" w:type="dxa"/>
                          </w:tcPr>
                          <w:p w14:paraId="2461C55D" w14:textId="77777777" w:rsidR="00D4364E" w:rsidRPr="00390279" w:rsidRDefault="00D4364E" w:rsidP="00792528">
                            <w:pPr>
                              <w:rPr>
                                <w:rFonts w:cs="Arial"/>
                                <w:sz w:val="20"/>
                                <w:szCs w:val="20"/>
                              </w:rPr>
                            </w:pPr>
                            <w:r w:rsidRPr="00390279">
                              <w:rPr>
                                <w:rFonts w:eastAsia="Times New Roman" w:cs="Arial"/>
                                <w:kern w:val="0"/>
                                <w:sz w:val="20"/>
                                <w:szCs w:val="20"/>
                                <w:lang w:eastAsia="en-GB"/>
                                <w14:ligatures w14:val="none"/>
                              </w:rPr>
                              <w:t>Determinant context analysed</w:t>
                            </w:r>
                          </w:p>
                        </w:tc>
                        <w:tc>
                          <w:tcPr>
                            <w:tcW w:w="1439" w:type="dxa"/>
                          </w:tcPr>
                          <w:p w14:paraId="55DD4245" w14:textId="77777777" w:rsidR="00D4364E" w:rsidRPr="00390279" w:rsidRDefault="00D4364E" w:rsidP="00792528">
                            <w:pPr>
                              <w:rPr>
                                <w:rFonts w:cs="Arial"/>
                                <w:sz w:val="20"/>
                                <w:szCs w:val="20"/>
                              </w:rPr>
                            </w:pPr>
                            <w:r w:rsidRPr="00390279">
                              <w:rPr>
                                <w:rFonts w:eastAsia="Times New Roman" w:cs="Arial"/>
                                <w:kern w:val="0"/>
                                <w:sz w:val="20"/>
                                <w:szCs w:val="20"/>
                                <w:lang w:eastAsia="en-GB"/>
                                <w14:ligatures w14:val="none"/>
                              </w:rPr>
                              <w:t>Interaction motif demonstrated</w:t>
                            </w:r>
                          </w:p>
                        </w:tc>
                        <w:tc>
                          <w:tcPr>
                            <w:tcW w:w="1407" w:type="dxa"/>
                          </w:tcPr>
                          <w:p w14:paraId="244447D4" w14:textId="77777777" w:rsidR="00D4364E" w:rsidRPr="00390279" w:rsidRDefault="00D4364E" w:rsidP="00792528">
                            <w:pPr>
                              <w:rPr>
                                <w:rFonts w:cs="Arial"/>
                                <w:sz w:val="20"/>
                                <w:szCs w:val="20"/>
                              </w:rPr>
                            </w:pPr>
                            <w:r w:rsidRPr="00390279">
                              <w:rPr>
                                <w:rFonts w:eastAsia="Times New Roman" w:cs="Arial"/>
                                <w:kern w:val="0"/>
                                <w:sz w:val="20"/>
                                <w:szCs w:val="20"/>
                                <w:lang w:eastAsia="en-GB"/>
                                <w14:ligatures w14:val="none"/>
                              </w:rPr>
                              <w:t>Question structure implied</w:t>
                            </w:r>
                          </w:p>
                        </w:tc>
                        <w:tc>
                          <w:tcPr>
                            <w:tcW w:w="1997" w:type="dxa"/>
                          </w:tcPr>
                          <w:p w14:paraId="6A846608" w14:textId="77777777" w:rsidR="00D4364E" w:rsidRPr="00390279" w:rsidRDefault="00D4364E" w:rsidP="00792528">
                            <w:pPr>
                              <w:rPr>
                                <w:rFonts w:cs="Arial"/>
                                <w:sz w:val="20"/>
                                <w:szCs w:val="20"/>
                              </w:rPr>
                            </w:pPr>
                            <w:r w:rsidRPr="00390279">
                              <w:rPr>
                                <w:rFonts w:eastAsia="Times New Roman" w:cs="Arial"/>
                                <w:kern w:val="0"/>
                                <w:sz w:val="20"/>
                                <w:szCs w:val="20"/>
                                <w:lang w:eastAsia="en-GB"/>
                                <w14:ligatures w14:val="none"/>
                              </w:rPr>
                              <w:t>Why additive questioning fails</w:t>
                            </w:r>
                          </w:p>
                        </w:tc>
                      </w:tr>
                      <w:tr w:rsidR="00D4364E" w:rsidRPr="00293C77" w14:paraId="21940B88" w14:textId="77777777" w:rsidTr="00390279">
                        <w:tc>
                          <w:tcPr>
                            <w:tcW w:w="1087" w:type="dxa"/>
                          </w:tcPr>
                          <w:p w14:paraId="03504067"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Ben-Shlomo &amp; Kuh, 2002</w:t>
                            </w:r>
                          </w:p>
                        </w:tc>
                        <w:tc>
                          <w:tcPr>
                            <w:tcW w:w="1417" w:type="dxa"/>
                          </w:tcPr>
                          <w:p w14:paraId="38C36AB0"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Adult chronic disease</w:t>
                            </w:r>
                          </w:p>
                        </w:tc>
                        <w:tc>
                          <w:tcPr>
                            <w:tcW w:w="1437" w:type="dxa"/>
                          </w:tcPr>
                          <w:p w14:paraId="3BE0AF6B"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Early-life socioeconomic conditions; adult behaviours</w:t>
                            </w:r>
                          </w:p>
                        </w:tc>
                        <w:tc>
                          <w:tcPr>
                            <w:tcW w:w="1439" w:type="dxa"/>
                          </w:tcPr>
                          <w:p w14:paraId="35B65F4F"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Temporal accumulation / critical and sensitive periods</w:t>
                            </w:r>
                          </w:p>
                        </w:tc>
                        <w:tc>
                          <w:tcPr>
                            <w:tcW w:w="1407" w:type="dxa"/>
                          </w:tcPr>
                          <w:p w14:paraId="30731F75"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When in the life course does exposure matter, and how do early and later exposures combine?</w:t>
                            </w:r>
                          </w:p>
                        </w:tc>
                        <w:tc>
                          <w:tcPr>
                            <w:tcW w:w="1997" w:type="dxa"/>
                          </w:tcPr>
                          <w:p w14:paraId="4B8AA977"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Collapsing exposures into a single time point erases sensitive periods, risk clustering, and cumulative disadvantage across the life course.</w:t>
                            </w:r>
                          </w:p>
                        </w:tc>
                      </w:tr>
                      <w:tr w:rsidR="00D4364E" w:rsidRPr="00293C77" w14:paraId="4B4C5FA6" w14:textId="77777777" w:rsidTr="00390279">
                        <w:tc>
                          <w:tcPr>
                            <w:tcW w:w="1087" w:type="dxa"/>
                          </w:tcPr>
                          <w:p w14:paraId="478B16F4"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Marmot et al. 1997, Stringhini et al. 2010</w:t>
                            </w:r>
                          </w:p>
                        </w:tc>
                        <w:tc>
                          <w:tcPr>
                            <w:tcW w:w="1417" w:type="dxa"/>
                          </w:tcPr>
                          <w:p w14:paraId="3DFC7179"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Cardiovascular disease and mortality</w:t>
                            </w:r>
                          </w:p>
                        </w:tc>
                        <w:tc>
                          <w:tcPr>
                            <w:tcW w:w="1437" w:type="dxa"/>
                          </w:tcPr>
                          <w:p w14:paraId="1899F8D7"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Socioeconomic position, behavioural and biological risk factors</w:t>
                            </w:r>
                          </w:p>
                        </w:tc>
                        <w:tc>
                          <w:tcPr>
                            <w:tcW w:w="1439" w:type="dxa"/>
                          </w:tcPr>
                          <w:p w14:paraId="65EC0753"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Partial mediation of social gradients through behavioural pathways</w:t>
                            </w:r>
                          </w:p>
                        </w:tc>
                        <w:tc>
                          <w:tcPr>
                            <w:tcW w:w="1407" w:type="dxa"/>
                          </w:tcPr>
                          <w:p w14:paraId="2AE1F656"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Through which behavioural pathways does socioeconomic disadvantage influence disease risk?</w:t>
                            </w:r>
                          </w:p>
                        </w:tc>
                        <w:tc>
                          <w:tcPr>
                            <w:tcW w:w="1997" w:type="dxa"/>
                          </w:tcPr>
                          <w:p w14:paraId="39B40C65"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Adjusting for behaviours treats mediators as confounders, underestimating the total effect of socioeconomic position on health outcomes.</w:t>
                            </w:r>
                          </w:p>
                        </w:tc>
                      </w:tr>
                      <w:tr w:rsidR="00D4364E" w:rsidRPr="00293C77" w14:paraId="00A2E477" w14:textId="77777777" w:rsidTr="00390279">
                        <w:tc>
                          <w:tcPr>
                            <w:tcW w:w="1087" w:type="dxa"/>
                          </w:tcPr>
                          <w:p w14:paraId="4BFE3ECB"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Stringhini et al., 2017</w:t>
                            </w:r>
                          </w:p>
                        </w:tc>
                        <w:tc>
                          <w:tcPr>
                            <w:tcW w:w="1417" w:type="dxa"/>
                          </w:tcPr>
                          <w:p w14:paraId="73BBC344"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All-cause and CVD mortality</w:t>
                            </w:r>
                          </w:p>
                        </w:tc>
                        <w:tc>
                          <w:tcPr>
                            <w:tcW w:w="1437" w:type="dxa"/>
                          </w:tcPr>
                          <w:p w14:paraId="053EF986"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Socioeconomic position and behavioural risk factors</w:t>
                            </w:r>
                          </w:p>
                        </w:tc>
                        <w:tc>
                          <w:tcPr>
                            <w:tcW w:w="1439" w:type="dxa"/>
                          </w:tcPr>
                          <w:p w14:paraId="5BF739DB"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Social patterning of behavioural risk and mortality burden</w:t>
                            </w:r>
                          </w:p>
                        </w:tc>
                        <w:tc>
                          <w:tcPr>
                            <w:tcW w:w="1407" w:type="dxa"/>
                          </w:tcPr>
                          <w:p w14:paraId="36737EE5"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How is behavioural risk distributed and expressed across socioeconomic strata?</w:t>
                            </w:r>
                          </w:p>
                        </w:tc>
                        <w:tc>
                          <w:tcPr>
                            <w:tcW w:w="1997" w:type="dxa"/>
                          </w:tcPr>
                          <w:p w14:paraId="07D7E618"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Estimating average behavioural effects obscures socially patterned exposure and impact, leading to misestimation of population-level burden.</w:t>
                            </w:r>
                          </w:p>
                        </w:tc>
                      </w:tr>
                      <w:tr w:rsidR="00D4364E" w:rsidRPr="00293C77" w14:paraId="4113FAB7" w14:textId="77777777" w:rsidTr="00390279">
                        <w:tc>
                          <w:tcPr>
                            <w:tcW w:w="1087" w:type="dxa"/>
                          </w:tcPr>
                          <w:p w14:paraId="0423501F"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Schultz et al., 2018</w:t>
                            </w:r>
                          </w:p>
                        </w:tc>
                        <w:tc>
                          <w:tcPr>
                            <w:tcW w:w="1417" w:type="dxa"/>
                          </w:tcPr>
                          <w:p w14:paraId="59C57327"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Cardiovascular disease outcomes</w:t>
                            </w:r>
                          </w:p>
                        </w:tc>
                        <w:tc>
                          <w:tcPr>
                            <w:tcW w:w="1437" w:type="dxa"/>
                          </w:tcPr>
                          <w:p w14:paraId="06DF85DB"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Socioeconomic context, access to care, behaviours</w:t>
                            </w:r>
                          </w:p>
                        </w:tc>
                        <w:tc>
                          <w:tcPr>
                            <w:tcW w:w="1439" w:type="dxa"/>
                          </w:tcPr>
                          <w:p w14:paraId="481EDF40"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Contextual conditioning of risk and intervention effectiveness</w:t>
                            </w:r>
                          </w:p>
                        </w:tc>
                        <w:tc>
                          <w:tcPr>
                            <w:tcW w:w="1407" w:type="dxa"/>
                          </w:tcPr>
                          <w:p w14:paraId="63677908"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Under which social and healthcare conditions do risk factors and interventions operate?</w:t>
                            </w:r>
                          </w:p>
                        </w:tc>
                        <w:tc>
                          <w:tcPr>
                            <w:tcW w:w="1997" w:type="dxa"/>
                          </w:tcPr>
                          <w:p w14:paraId="139B1F7F"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Risk estimates and interventions assume generalizability across settings despite empirically documented socioeconomic and healthcare-access heterogeneity.</w:t>
                            </w:r>
                          </w:p>
                        </w:tc>
                      </w:tr>
                      <w:tr w:rsidR="00D4364E" w:rsidRPr="00293C77" w14:paraId="1077634A" w14:textId="77777777" w:rsidTr="00390279">
                        <w:tc>
                          <w:tcPr>
                            <w:tcW w:w="1087" w:type="dxa"/>
                          </w:tcPr>
                          <w:p w14:paraId="3686256F"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Carroll et al., 2020</w:t>
                            </w:r>
                          </w:p>
                        </w:tc>
                        <w:tc>
                          <w:tcPr>
                            <w:tcW w:w="1417" w:type="dxa"/>
                          </w:tcPr>
                          <w:p w14:paraId="5356DCD4"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Long-term change in BMI and waist circumference</w:t>
                            </w:r>
                          </w:p>
                        </w:tc>
                        <w:tc>
                          <w:tcPr>
                            <w:tcW w:w="1437" w:type="dxa"/>
                          </w:tcPr>
                          <w:p w14:paraId="4662921F"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Built-environment features and area-level socioeconomic conditions</w:t>
                            </w:r>
                          </w:p>
                        </w:tc>
                        <w:tc>
                          <w:tcPr>
                            <w:tcW w:w="1439" w:type="dxa"/>
                          </w:tcPr>
                          <w:p w14:paraId="4E8C98AF"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Joint and correlated effects of multiple contextual exposures</w:t>
                            </w:r>
                          </w:p>
                        </w:tc>
                        <w:tc>
                          <w:tcPr>
                            <w:tcW w:w="1407" w:type="dxa"/>
                          </w:tcPr>
                          <w:p w14:paraId="02CA6139"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How do co-occurring environmental and socioeconomic exposures jointly shape long-term health trajectories?</w:t>
                            </w:r>
                          </w:p>
                        </w:tc>
                        <w:tc>
                          <w:tcPr>
                            <w:tcW w:w="1997" w:type="dxa"/>
                          </w:tcPr>
                          <w:p w14:paraId="29006D8C" w14:textId="77777777" w:rsidR="00D4364E" w:rsidRPr="00792528" w:rsidRDefault="00D4364E" w:rsidP="00792528">
                            <w:pPr>
                              <w:rPr>
                                <w:rFonts w:cs="Arial"/>
                                <w:sz w:val="18"/>
                                <w:szCs w:val="18"/>
                              </w:rPr>
                            </w:pPr>
                            <w:r w:rsidRPr="00792528">
                              <w:rPr>
                                <w:rFonts w:eastAsia="Times New Roman" w:cs="Arial"/>
                                <w:kern w:val="0"/>
                                <w:sz w:val="18"/>
                                <w:szCs w:val="18"/>
                                <w:lang w:eastAsia="en-GB"/>
                                <w14:ligatures w14:val="none"/>
                              </w:rPr>
                              <w:t>Single-factor or one-at-a-time modelling misattributes effects when built-environment features and area-level socioeconomic conditions co-vary over time.</w:t>
                            </w:r>
                          </w:p>
                        </w:tc>
                      </w:tr>
                      <w:tr w:rsidR="00D4364E" w:rsidRPr="00293C77" w14:paraId="6B75F545" w14:textId="77777777" w:rsidTr="00390279">
                        <w:tc>
                          <w:tcPr>
                            <w:tcW w:w="1087" w:type="dxa"/>
                          </w:tcPr>
                          <w:p w14:paraId="4F28C6AE"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Vineis et al., 2020</w:t>
                            </w:r>
                          </w:p>
                        </w:tc>
                        <w:tc>
                          <w:tcPr>
                            <w:tcW w:w="1417" w:type="dxa"/>
                          </w:tcPr>
                          <w:p w14:paraId="6A5ACEE9"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Chronic disease</w:t>
                            </w:r>
                          </w:p>
                        </w:tc>
                        <w:tc>
                          <w:tcPr>
                            <w:tcW w:w="1437" w:type="dxa"/>
                          </w:tcPr>
                          <w:p w14:paraId="38C0A859"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Environmental, social, and behavioural exposures across the life course</w:t>
                            </w:r>
                          </w:p>
                        </w:tc>
                        <w:tc>
                          <w:tcPr>
                            <w:tcW w:w="1439" w:type="dxa"/>
                          </w:tcPr>
                          <w:p w14:paraId="520720CB"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Temporal and interactional accumulation across exposure domains</w:t>
                            </w:r>
                          </w:p>
                        </w:tc>
                        <w:tc>
                          <w:tcPr>
                            <w:tcW w:w="1407" w:type="dxa"/>
                          </w:tcPr>
                          <w:p w14:paraId="7681EA01"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How do multiple exposures interact and accumulate over extended time horizons?</w:t>
                            </w:r>
                          </w:p>
                        </w:tc>
                        <w:tc>
                          <w:tcPr>
                            <w:tcW w:w="1997" w:type="dxa"/>
                          </w:tcPr>
                          <w:p w14:paraId="70FB1588"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Static models cannot represent interacting exposure trajectories, latency, and long-term accumulation processes.</w:t>
                            </w:r>
                          </w:p>
                        </w:tc>
                      </w:tr>
                      <w:tr w:rsidR="00D4364E" w:rsidRPr="00293C77" w14:paraId="72070EB1" w14:textId="77777777" w:rsidTr="00390279">
                        <w:tc>
                          <w:tcPr>
                            <w:tcW w:w="1087" w:type="dxa"/>
                          </w:tcPr>
                          <w:p w14:paraId="274F4371"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Vermeulen et al., 2020</w:t>
                            </w:r>
                          </w:p>
                        </w:tc>
                        <w:tc>
                          <w:tcPr>
                            <w:tcW w:w="1417" w:type="dxa"/>
                          </w:tcPr>
                          <w:p w14:paraId="26DB04C5"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Population health outcomes</w:t>
                            </w:r>
                          </w:p>
                        </w:tc>
                        <w:tc>
                          <w:tcPr>
                            <w:tcW w:w="1437" w:type="dxa"/>
                          </w:tcPr>
                          <w:p w14:paraId="3B52AE51"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Networked environmental and psychosocial exposures</w:t>
                            </w:r>
                          </w:p>
                        </w:tc>
                        <w:tc>
                          <w:tcPr>
                            <w:tcW w:w="1439" w:type="dxa"/>
                          </w:tcPr>
                          <w:p w14:paraId="6DF62E78"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Interactional (networked and mixture-based)</w:t>
                            </w:r>
                          </w:p>
                        </w:tc>
                        <w:tc>
                          <w:tcPr>
                            <w:tcW w:w="1407" w:type="dxa"/>
                          </w:tcPr>
                          <w:p w14:paraId="186191A8"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Which combinations of exposures co-occur and jointly shape risk?</w:t>
                            </w:r>
                          </w:p>
                        </w:tc>
                        <w:tc>
                          <w:tcPr>
                            <w:tcW w:w="1997" w:type="dxa"/>
                          </w:tcPr>
                          <w:p w14:paraId="721D8869" w14:textId="77777777" w:rsidR="00D4364E" w:rsidRPr="00792528" w:rsidRDefault="00D4364E" w:rsidP="00792528">
                            <w:pPr>
                              <w:rPr>
                                <w:rFonts w:eastAsia="Times New Roman" w:cs="Arial"/>
                                <w:kern w:val="0"/>
                                <w:sz w:val="18"/>
                                <w:szCs w:val="18"/>
                                <w:lang w:eastAsia="en-GB"/>
                                <w14:ligatures w14:val="none"/>
                              </w:rPr>
                            </w:pPr>
                            <w:r w:rsidRPr="00792528">
                              <w:rPr>
                                <w:rFonts w:eastAsia="Times New Roman" w:cs="Arial"/>
                                <w:kern w:val="0"/>
                                <w:sz w:val="18"/>
                                <w:szCs w:val="18"/>
                                <w:lang w:eastAsia="en-GB"/>
                                <w14:ligatures w14:val="none"/>
                              </w:rPr>
                              <w:t>Single-exposure effects ignore correlated, synergistic, and networked exposure structures that generate health outcomes.</w:t>
                            </w:r>
                          </w:p>
                        </w:tc>
                      </w:tr>
                    </w:tbl>
                    <w:p w14:paraId="13CB8188" w14:textId="77777777" w:rsidR="00D4364E" w:rsidRPr="006A53B2" w:rsidRDefault="00D4364E" w:rsidP="00D4364E">
                      <w:pPr>
                        <w:spacing w:after="0" w:line="240" w:lineRule="auto"/>
                        <w:rPr>
                          <w:sz w:val="18"/>
                          <w:szCs w:val="18"/>
                        </w:rPr>
                      </w:pPr>
                    </w:p>
                  </w:txbxContent>
                </v:textbox>
                <w10:wrap type="square" anchorx="margin"/>
              </v:shape>
            </w:pict>
          </mc:Fallback>
        </mc:AlternateContent>
      </w:r>
    </w:p>
    <w:p w14:paraId="1B4AD565" w14:textId="1C517B68" w:rsidR="00AA3BF2" w:rsidRPr="00C01A73" w:rsidRDefault="00AA3BF2" w:rsidP="00AA3BF2">
      <w:pPr>
        <w:rPr>
          <w:rFonts w:cs="Arial"/>
        </w:rPr>
      </w:pPr>
      <w:r w:rsidRPr="00C01A73">
        <w:rPr>
          <w:rFonts w:cs="Arial"/>
        </w:rPr>
        <w:lastRenderedPageBreak/>
        <w:t>Such effect heterogeneity is not a statistical artefact but a substantive feature of health phenomena. Population-average or additive representations obscure this structure by collapsing conditional effects into a single estimate, which can misrepresent both risk and intervention effectiveness when applied across diverse contexts [</w:t>
      </w:r>
      <w:r w:rsidR="004240F0">
        <w:rPr>
          <w:rFonts w:cs="Arial"/>
        </w:rPr>
        <w:t>24</w:t>
      </w:r>
      <w:r w:rsidRPr="00C01A73">
        <w:rPr>
          <w:rFonts w:cs="Arial"/>
        </w:rPr>
        <w:t>]. From the perspective of inquiry, questions that ask for a single effect size implicitly encode assumptions of homogeneity that are rarely warranted.</w:t>
      </w:r>
    </w:p>
    <w:p w14:paraId="20E9355F" w14:textId="7A599DE7" w:rsidR="00AA3BF2" w:rsidRPr="00C01A73" w:rsidRDefault="00AA3BF2" w:rsidP="00AA3BF2">
      <w:pPr>
        <w:rPr>
          <w:rFonts w:cs="Arial"/>
        </w:rPr>
      </w:pPr>
      <w:r w:rsidRPr="00C01A73">
        <w:rPr>
          <w:rFonts w:cs="Arial"/>
        </w:rPr>
        <w:t>A closely related pattern is that many determinants influence health indirectly, through behavioural, psychosocial, or material pathways. Social and structural conditions, in particular, exert their effects via intermediate processes such as stress, diet, physical activity, and access to care, rather than through direct biological mechanisms [</w:t>
      </w:r>
      <w:r w:rsidR="004240F0">
        <w:rPr>
          <w:rFonts w:cs="Arial"/>
        </w:rPr>
        <w:t>24</w:t>
      </w:r>
      <w:r w:rsidRPr="00C01A73">
        <w:rPr>
          <w:rFonts w:cs="Arial"/>
        </w:rPr>
        <w:t>,</w:t>
      </w:r>
      <w:r w:rsidR="004240F0">
        <w:rPr>
          <w:rFonts w:cs="Arial"/>
        </w:rPr>
        <w:t>3</w:t>
      </w:r>
      <w:r w:rsidRPr="00C01A73">
        <w:rPr>
          <w:rFonts w:cs="Arial"/>
        </w:rPr>
        <w:t>0]. Health research therefore distinguishes between effect modification—conditions under which an effect differs—and mediation—processes through which an effect operates—because this distinction is central to causal interpretation, policy relevance, and intervention design [3</w:t>
      </w:r>
      <w:r w:rsidR="00E77844">
        <w:rPr>
          <w:rFonts w:cs="Arial"/>
        </w:rPr>
        <w:t>1</w:t>
      </w:r>
      <w:r w:rsidRPr="00C01A73">
        <w:rPr>
          <w:rFonts w:cs="Arial"/>
        </w:rPr>
        <w:t>]. Treating mediators as independent causes, or adjusting for them without explicit causal reasoning, can obscure where effects arise and how they might be altered.</w:t>
      </w:r>
    </w:p>
    <w:p w14:paraId="2DB14166" w14:textId="67DDD02E" w:rsidR="00AA3BF2" w:rsidRPr="00C01A73" w:rsidRDefault="00AA3BF2" w:rsidP="00AA3BF2">
      <w:pPr>
        <w:rPr>
          <w:rFonts w:cs="Arial"/>
        </w:rPr>
      </w:pPr>
      <w:r w:rsidRPr="00C01A73">
        <w:rPr>
          <w:rFonts w:cs="Arial"/>
        </w:rPr>
        <w:t>Health effects are also inherently temporal. Evidence from life-course epidemiology shows that the timing, duration, and sequencing of exposures materially shape outcomes [</w:t>
      </w:r>
      <w:r w:rsidR="00E77844">
        <w:rPr>
          <w:rFonts w:cs="Arial"/>
        </w:rPr>
        <w:t>23</w:t>
      </w:r>
      <w:r w:rsidRPr="00C01A73">
        <w:rPr>
          <w:rFonts w:cs="Arial"/>
        </w:rPr>
        <w:t>]. Early-life conditions may exert delayed effects, cumulative disadvantage may amplify risk over decades, and short-term and long-term effects may differ in magnitude or direction. Exposome research further reinforces that health outcomes reflect cumulative and interacting exposures across time, rather than isolated events [</w:t>
      </w:r>
      <w:r w:rsidR="003F4F9D">
        <w:rPr>
          <w:rFonts w:cs="Arial"/>
        </w:rPr>
        <w:t>25,26</w:t>
      </w:r>
      <w:r w:rsidRPr="00C01A73">
        <w:rPr>
          <w:rFonts w:cs="Arial"/>
        </w:rPr>
        <w:t>]. Questions that omit temporal framing implicitly assume immediacy and reversibility—assumptions that are often inconsistent with the evidence.</w:t>
      </w:r>
    </w:p>
    <w:p w14:paraId="0426AF43" w14:textId="5F9364E2" w:rsidR="00AA3BF2" w:rsidRPr="00C01A73" w:rsidRDefault="00AA3BF2" w:rsidP="00AA3BF2">
      <w:pPr>
        <w:rPr>
          <w:rFonts w:cs="Arial"/>
        </w:rPr>
      </w:pPr>
      <w:r w:rsidRPr="00C01A73">
        <w:rPr>
          <w:rFonts w:cs="Arial"/>
        </w:rPr>
        <w:t>Taken together, this literature implies that valid health inquiry must encode three structural properties: conditionality (for whom and under what conditions effects differ), pathway structure (whether determinants act directly or through mediating processes), and temporal framing (the relevant time horizon, accumulation, and sequencing of effects). These properties arise from the structure of health evidence itself. When they are not specified at the level of inquiry, downstream reasoning—whether statistical or AI-mediated—defaults to additive, static, and context-free interpretations that misrepresent the underlying phenomena [</w:t>
      </w:r>
      <w:r w:rsidR="003F4F9D">
        <w:rPr>
          <w:rFonts w:cs="Arial"/>
        </w:rPr>
        <w:t>22</w:t>
      </w:r>
      <w:r w:rsidRPr="00C01A73">
        <w:rPr>
          <w:rFonts w:cs="Arial"/>
        </w:rPr>
        <w:t>,</w:t>
      </w:r>
      <w:r w:rsidR="003F4F9D">
        <w:rPr>
          <w:rFonts w:cs="Arial"/>
        </w:rPr>
        <w:t>24</w:t>
      </w:r>
      <w:r w:rsidRPr="00C01A73">
        <w:rPr>
          <w:rFonts w:cs="Arial"/>
        </w:rPr>
        <w:t>].</w:t>
      </w:r>
    </w:p>
    <w:p w14:paraId="5B1E6292" w14:textId="1D78AD27" w:rsidR="00AA3BF2" w:rsidRPr="00C01A73" w:rsidRDefault="00AA3BF2" w:rsidP="00AA3BF2">
      <w:pPr>
        <w:pStyle w:val="Heading3"/>
        <w:rPr>
          <w:color w:val="auto"/>
        </w:rPr>
      </w:pPr>
      <w:r w:rsidRPr="00C01A73">
        <w:rPr>
          <w:color w:val="auto"/>
        </w:rPr>
        <w:t>2</w:t>
      </w:r>
      <w:r w:rsidRPr="00C01A73">
        <w:rPr>
          <w:color w:val="auto"/>
        </w:rPr>
        <w:t>.2</w:t>
      </w:r>
      <w:r w:rsidRPr="00C01A73">
        <w:rPr>
          <w:color w:val="auto"/>
        </w:rPr>
        <w:tab/>
        <w:t>Why Prompt-Based AI Inquiry Fails to Encode Health Evidence Structure</w:t>
      </w:r>
    </w:p>
    <w:p w14:paraId="37B874F3" w14:textId="16B988CE" w:rsidR="00AA3BF2" w:rsidRDefault="00AA3BF2" w:rsidP="00AA3BF2">
      <w:pPr>
        <w:rPr>
          <w:rFonts w:cs="Arial"/>
        </w:rPr>
      </w:pPr>
      <w:r w:rsidRPr="00C01A73">
        <w:rPr>
          <w:rFonts w:cs="Arial"/>
        </w:rPr>
        <w:t>Large language models increasingly mediate access to health evidence through natural-language interaction, making prompting a mechanism for inquiry specification [</w:t>
      </w:r>
      <w:r w:rsidR="003F4F9D">
        <w:rPr>
          <w:rFonts w:cs="Arial"/>
        </w:rPr>
        <w:t>8</w:t>
      </w:r>
      <w:r w:rsidRPr="00C01A73">
        <w:rPr>
          <w:rFonts w:cs="Arial"/>
        </w:rPr>
        <w:t>]. A growing literature examines prompt optimisation, retrieval-augmented generation, and agentic workflows to improve coherence, transparency, and factual grounding under fixed task definitions [</w:t>
      </w:r>
      <w:r w:rsidR="003F4F9D">
        <w:rPr>
          <w:rFonts w:cs="Arial"/>
        </w:rPr>
        <w:t>19,3</w:t>
      </w:r>
      <w:r w:rsidR="00066465">
        <w:rPr>
          <w:rFonts w:cs="Arial"/>
        </w:rPr>
        <w:t>2</w:t>
      </w:r>
      <w:r w:rsidRPr="00C01A73">
        <w:rPr>
          <w:rFonts w:cs="Arial"/>
        </w:rPr>
        <w:t xml:space="preserve">]. Related work evaluates question-asking and information-seeking behaviour as system capabilities in conversational </w:t>
      </w:r>
      <w:r w:rsidRPr="00C01A73">
        <w:rPr>
          <w:rFonts w:cs="Arial"/>
        </w:rPr>
        <w:lastRenderedPageBreak/>
        <w:t>health AI [3</w:t>
      </w:r>
      <w:r w:rsidR="00884CDE">
        <w:rPr>
          <w:rFonts w:cs="Arial"/>
        </w:rPr>
        <w:t>3</w:t>
      </w:r>
      <w:r w:rsidRPr="00C01A73">
        <w:rPr>
          <w:rFonts w:cs="Arial"/>
        </w:rPr>
        <w:t>-3</w:t>
      </w:r>
      <w:r w:rsidR="00884CDE">
        <w:rPr>
          <w:rFonts w:cs="Arial"/>
        </w:rPr>
        <w:t>4</w:t>
      </w:r>
      <w:r w:rsidRPr="00C01A73">
        <w:rPr>
          <w:rFonts w:cs="Arial"/>
        </w:rPr>
        <w:t xml:space="preserve">]. Representative approaches from this literature are summarised in </w:t>
      </w:r>
      <w:r w:rsidR="00884CDE">
        <w:rPr>
          <w:rFonts w:cs="Arial"/>
        </w:rPr>
        <w:t>Table 5</w:t>
      </w:r>
      <w:r w:rsidRPr="00C01A73">
        <w:rPr>
          <w:rFonts w:cs="Arial"/>
        </w:rPr>
        <w:t>.</w:t>
      </w:r>
    </w:p>
    <w:p w14:paraId="040D7D0D" w14:textId="210A3CA6" w:rsidR="00D4364E" w:rsidRPr="00C01A73" w:rsidRDefault="006240A2" w:rsidP="00AA3BF2">
      <w:pPr>
        <w:rPr>
          <w:rFonts w:cs="Arial"/>
        </w:rPr>
      </w:pPr>
      <w:r w:rsidRPr="00293C77">
        <w:rPr>
          <w:rFonts w:cs="Arial"/>
          <w:noProof/>
        </w:rPr>
        <mc:AlternateContent>
          <mc:Choice Requires="wps">
            <w:drawing>
              <wp:inline distT="0" distB="0" distL="0" distR="0" wp14:anchorId="20C57224" wp14:editId="51B88DA4">
                <wp:extent cx="5730240" cy="5204460"/>
                <wp:effectExtent l="0" t="0" r="22860" b="15240"/>
                <wp:docPr id="110043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5204460"/>
                        </a:xfrm>
                        <a:prstGeom prst="rect">
                          <a:avLst/>
                        </a:prstGeom>
                        <a:solidFill>
                          <a:srgbClr val="FFFFFF"/>
                        </a:solidFill>
                        <a:ln w="12700">
                          <a:solidFill>
                            <a:srgbClr val="000000"/>
                          </a:solidFill>
                          <a:miter lim="800000"/>
                          <a:headEnd/>
                          <a:tailEnd/>
                        </a:ln>
                      </wps:spPr>
                      <wps:txbx>
                        <w:txbxContent>
                          <w:p w14:paraId="0AF03A5F" w14:textId="582C8FC5" w:rsidR="006240A2" w:rsidRPr="005A4486" w:rsidRDefault="009E5065" w:rsidP="006240A2">
                            <w:pPr>
                              <w:rPr>
                                <w:rFonts w:cs="Arial"/>
                                <w:sz w:val="18"/>
                                <w:szCs w:val="18"/>
                              </w:rPr>
                            </w:pPr>
                            <w:r>
                              <w:rPr>
                                <w:rFonts w:cs="Arial"/>
                                <w:b/>
                                <w:bCs/>
                                <w:sz w:val="18"/>
                                <w:szCs w:val="18"/>
                              </w:rPr>
                              <w:t>Table 5</w:t>
                            </w:r>
                            <w:r w:rsidR="006240A2" w:rsidRPr="005A4486">
                              <w:rPr>
                                <w:rFonts w:cs="Arial"/>
                                <w:sz w:val="18"/>
                                <w:szCs w:val="18"/>
                              </w:rPr>
                              <w:t xml:space="preserve">. </w:t>
                            </w:r>
                            <w:r w:rsidR="006240A2" w:rsidRPr="007F20FA">
                              <w:rPr>
                                <w:rFonts w:cs="Arial"/>
                                <w:sz w:val="18"/>
                                <w:szCs w:val="18"/>
                              </w:rPr>
                              <w:t>Implicit epistemic assumptions and exposed limits in dominant LLM optimisation approaches</w:t>
                            </w:r>
                          </w:p>
                          <w:tbl>
                            <w:tblPr>
                              <w:tblStyle w:val="TableGrid"/>
                              <w:tblW w:w="8784" w:type="dxa"/>
                              <w:tblLook w:val="04A0" w:firstRow="1" w:lastRow="0" w:firstColumn="1" w:lastColumn="0" w:noHBand="0" w:noVBand="1"/>
                            </w:tblPr>
                            <w:tblGrid>
                              <w:gridCol w:w="1244"/>
                              <w:gridCol w:w="1598"/>
                              <w:gridCol w:w="1264"/>
                              <w:gridCol w:w="1985"/>
                              <w:gridCol w:w="2693"/>
                            </w:tblGrid>
                            <w:tr w:rsidR="006240A2" w:rsidRPr="0085170F" w14:paraId="469AA349" w14:textId="77777777" w:rsidTr="0085170F">
                              <w:tc>
                                <w:tcPr>
                                  <w:tcW w:w="1244" w:type="dxa"/>
                                </w:tcPr>
                                <w:p w14:paraId="3CFC0EA7" w14:textId="77777777" w:rsidR="006240A2" w:rsidRPr="0085170F" w:rsidRDefault="006240A2" w:rsidP="0085170F">
                                  <w:pPr>
                                    <w:rPr>
                                      <w:rFonts w:cs="Arial"/>
                                      <w:sz w:val="20"/>
                                      <w:szCs w:val="20"/>
                                    </w:rPr>
                                  </w:pPr>
                                  <w:r w:rsidRPr="0085170F">
                                    <w:rPr>
                                      <w:rFonts w:eastAsia="Times New Roman" w:cs="Arial"/>
                                      <w:kern w:val="0"/>
                                      <w:sz w:val="20"/>
                                      <w:szCs w:val="20"/>
                                      <w:lang w:eastAsia="en-GB"/>
                                      <w14:ligatures w14:val="none"/>
                                    </w:rPr>
                                    <w:t>Technique (Author, year)</w:t>
                                  </w:r>
                                </w:p>
                              </w:tc>
                              <w:tc>
                                <w:tcPr>
                                  <w:tcW w:w="1598" w:type="dxa"/>
                                </w:tcPr>
                                <w:p w14:paraId="2CCAE2BA" w14:textId="77777777" w:rsidR="006240A2" w:rsidRPr="0085170F" w:rsidRDefault="006240A2" w:rsidP="0085170F">
                                  <w:pPr>
                                    <w:rPr>
                                      <w:rFonts w:cs="Arial"/>
                                      <w:sz w:val="20"/>
                                      <w:szCs w:val="20"/>
                                    </w:rPr>
                                  </w:pPr>
                                  <w:r w:rsidRPr="0085170F">
                                    <w:rPr>
                                      <w:rFonts w:eastAsia="Times New Roman" w:cs="Arial"/>
                                      <w:kern w:val="0"/>
                                      <w:sz w:val="20"/>
                                      <w:szCs w:val="20"/>
                                      <w:lang w:eastAsia="en-GB"/>
                                      <w14:ligatures w14:val="none"/>
                                    </w:rPr>
                                    <w:t>Optimisation focus</w:t>
                                  </w:r>
                                </w:p>
                              </w:tc>
                              <w:tc>
                                <w:tcPr>
                                  <w:tcW w:w="1264" w:type="dxa"/>
                                </w:tcPr>
                                <w:p w14:paraId="7E68CD09" w14:textId="77777777" w:rsidR="006240A2" w:rsidRPr="0085170F" w:rsidRDefault="006240A2" w:rsidP="0085170F">
                                  <w:pPr>
                                    <w:rPr>
                                      <w:rFonts w:cs="Arial"/>
                                      <w:sz w:val="20"/>
                                      <w:szCs w:val="20"/>
                                    </w:rPr>
                                  </w:pPr>
                                  <w:r w:rsidRPr="0085170F">
                                    <w:rPr>
                                      <w:rFonts w:eastAsia="Times New Roman" w:cs="Arial"/>
                                      <w:kern w:val="0"/>
                                      <w:sz w:val="20"/>
                                      <w:szCs w:val="20"/>
                                      <w:lang w:eastAsia="en-GB"/>
                                      <w14:ligatures w14:val="none"/>
                                    </w:rPr>
                                    <w:t>What improves</w:t>
                                  </w:r>
                                </w:p>
                              </w:tc>
                              <w:tc>
                                <w:tcPr>
                                  <w:tcW w:w="1985" w:type="dxa"/>
                                </w:tcPr>
                                <w:p w14:paraId="158EDFD0" w14:textId="77777777" w:rsidR="006240A2" w:rsidRPr="0085170F" w:rsidRDefault="006240A2" w:rsidP="0085170F">
                                  <w:pPr>
                                    <w:rPr>
                                      <w:rFonts w:cs="Arial"/>
                                      <w:sz w:val="20"/>
                                      <w:szCs w:val="20"/>
                                    </w:rPr>
                                  </w:pPr>
                                  <w:r w:rsidRPr="0085170F">
                                    <w:rPr>
                                      <w:rFonts w:eastAsia="Times New Roman" w:cs="Arial"/>
                                      <w:kern w:val="0"/>
                                      <w:sz w:val="20"/>
                                      <w:szCs w:val="20"/>
                                      <w:lang w:eastAsia="en-GB"/>
                                      <w14:ligatures w14:val="none"/>
                                    </w:rPr>
                                    <w:t>Implicit epistemic assumption about the question</w:t>
                                  </w:r>
                                </w:p>
                              </w:tc>
                              <w:tc>
                                <w:tcPr>
                                  <w:tcW w:w="2693" w:type="dxa"/>
                                </w:tcPr>
                                <w:p w14:paraId="252CE6B0" w14:textId="77777777" w:rsidR="006240A2" w:rsidRPr="0085170F" w:rsidRDefault="006240A2" w:rsidP="0085170F">
                                  <w:pPr>
                                    <w:rPr>
                                      <w:rFonts w:cs="Arial"/>
                                      <w:sz w:val="20"/>
                                      <w:szCs w:val="20"/>
                                    </w:rPr>
                                  </w:pPr>
                                  <w:r w:rsidRPr="0085170F">
                                    <w:rPr>
                                      <w:rFonts w:eastAsia="Times New Roman" w:cs="Arial"/>
                                      <w:kern w:val="0"/>
                                      <w:sz w:val="20"/>
                                      <w:szCs w:val="20"/>
                                      <w:lang w:eastAsia="en-GB"/>
                                      <w14:ligatures w14:val="none"/>
                                    </w:rPr>
                                    <w:t>Interactional limits exposed</w:t>
                                  </w:r>
                                </w:p>
                              </w:tc>
                            </w:tr>
                            <w:tr w:rsidR="006240A2" w:rsidRPr="0085170F" w14:paraId="0D2BAF89" w14:textId="77777777" w:rsidTr="0085170F">
                              <w:tc>
                                <w:tcPr>
                                  <w:tcW w:w="1244" w:type="dxa"/>
                                </w:tcPr>
                                <w:p w14:paraId="35770DF3"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Wei et al., 2022</w:t>
                                  </w:r>
                                </w:p>
                              </w:tc>
                              <w:tc>
                                <w:tcPr>
                                  <w:tcW w:w="1598" w:type="dxa"/>
                                </w:tcPr>
                                <w:p w14:paraId="335EE25E"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Chain-of-thought prompting</w:t>
                                  </w:r>
                                </w:p>
                              </w:tc>
                              <w:tc>
                                <w:tcPr>
                                  <w:tcW w:w="1264" w:type="dxa"/>
                                </w:tcPr>
                                <w:p w14:paraId="5A1F07BD"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Reasoning transparency and coherence</w:t>
                                  </w:r>
                                </w:p>
                              </w:tc>
                              <w:tc>
                                <w:tcPr>
                                  <w:tcW w:w="1985" w:type="dxa"/>
                                </w:tcPr>
                                <w:p w14:paraId="7378C475"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The question already encodes the relevant causal, conditional, and temporal assumptions.</w:t>
                                  </w:r>
                                </w:p>
                              </w:tc>
                              <w:tc>
                                <w:tcPr>
                                  <w:tcW w:w="2693" w:type="dxa"/>
                                </w:tcPr>
                                <w:p w14:paraId="7B15C4CC"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Improves reasoning only within the structure of the question posed; additive or mis-specified questions remain uncorrected.</w:t>
                                  </w:r>
                                </w:p>
                              </w:tc>
                            </w:tr>
                            <w:tr w:rsidR="006240A2" w:rsidRPr="0085170F" w14:paraId="6D8C9103" w14:textId="77777777" w:rsidTr="0085170F">
                              <w:tc>
                                <w:tcPr>
                                  <w:tcW w:w="1244" w:type="dxa"/>
                                </w:tcPr>
                                <w:p w14:paraId="5FF9E41F"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Lewis et al., 2020</w:t>
                                  </w:r>
                                </w:p>
                              </w:tc>
                              <w:tc>
                                <w:tcPr>
                                  <w:tcW w:w="1598" w:type="dxa"/>
                                </w:tcPr>
                                <w:p w14:paraId="10B172CC"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Retrieval-augmented generation (RAG)</w:t>
                                  </w:r>
                                </w:p>
                              </w:tc>
                              <w:tc>
                                <w:tcPr>
                                  <w:tcW w:w="1264" w:type="dxa"/>
                                </w:tcPr>
                                <w:p w14:paraId="028DC76B"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Factual grounding</w:t>
                                  </w:r>
                                </w:p>
                              </w:tc>
                              <w:tc>
                                <w:tcPr>
                                  <w:tcW w:w="1985" w:type="dxa"/>
                                </w:tcPr>
                                <w:p w14:paraId="1427F60B"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The structure of the question is appropriate for the evidence retrieved.</w:t>
                                  </w:r>
                                </w:p>
                              </w:tc>
                              <w:tc>
                                <w:tcPr>
                                  <w:tcW w:w="2693" w:type="dxa"/>
                                </w:tcPr>
                                <w:p w14:paraId="5C16B0E1"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Retrieval does not supply missing conditional, pathway-based, or temporal framing required for valid inference.</w:t>
                                  </w:r>
                                </w:p>
                              </w:tc>
                            </w:tr>
                            <w:tr w:rsidR="006240A2" w:rsidRPr="0085170F" w14:paraId="546A8F84" w14:textId="77777777" w:rsidTr="0085170F">
                              <w:tc>
                                <w:tcPr>
                                  <w:tcW w:w="1244" w:type="dxa"/>
                                </w:tcPr>
                                <w:p w14:paraId="44A401CC"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Singhal et al., 2023</w:t>
                                  </w:r>
                                </w:p>
                              </w:tc>
                              <w:tc>
                                <w:tcPr>
                                  <w:tcW w:w="1598" w:type="dxa"/>
                                </w:tcPr>
                                <w:p w14:paraId="62E5C38D"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Medical LLM benchmarking</w:t>
                                  </w:r>
                                </w:p>
                              </w:tc>
                              <w:tc>
                                <w:tcPr>
                                  <w:tcW w:w="1264" w:type="dxa"/>
                                </w:tcPr>
                                <w:p w14:paraId="238BED43"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Expert-level answer synthesis</w:t>
                                  </w:r>
                                </w:p>
                              </w:tc>
                              <w:tc>
                                <w:tcPr>
                                  <w:tcW w:w="1985" w:type="dxa"/>
                                </w:tcPr>
                                <w:p w14:paraId="4A19F28A"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Benchmark questions correctly represent the clinical reasoning problem.</w:t>
                                  </w:r>
                                </w:p>
                              </w:tc>
                              <w:tc>
                                <w:tcPr>
                                  <w:tcW w:w="2693" w:type="dxa"/>
                                </w:tcPr>
                                <w:p w14:paraId="607A71BF"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Strong benchmark performance can mask structurally inadequate or incomplete clinical questions.</w:t>
                                  </w:r>
                                </w:p>
                              </w:tc>
                            </w:tr>
                            <w:tr w:rsidR="006240A2" w:rsidRPr="0085170F" w14:paraId="09785737" w14:textId="77777777" w:rsidTr="0085170F">
                              <w:tc>
                                <w:tcPr>
                                  <w:tcW w:w="1244" w:type="dxa"/>
                                </w:tcPr>
                                <w:p w14:paraId="1710A0B5"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Nori et al., 2023</w:t>
                                  </w:r>
                                </w:p>
                              </w:tc>
                              <w:tc>
                                <w:tcPr>
                                  <w:tcW w:w="1598" w:type="dxa"/>
                                </w:tcPr>
                                <w:p w14:paraId="73F20CDA"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Medical reasoning evaluation</w:t>
                                  </w:r>
                                </w:p>
                              </w:tc>
                              <w:tc>
                                <w:tcPr>
                                  <w:tcW w:w="1264" w:type="dxa"/>
                                </w:tcPr>
                                <w:p w14:paraId="27E403E1"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Capability assessment</w:t>
                                  </w:r>
                                </w:p>
                              </w:tc>
                              <w:tc>
                                <w:tcPr>
                                  <w:tcW w:w="1985" w:type="dxa"/>
                                </w:tcPr>
                                <w:p w14:paraId="71758BCD"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Questions accurately encode real-world clinical reasoning demands.</w:t>
                                  </w:r>
                                </w:p>
                              </w:tc>
                              <w:tc>
                                <w:tcPr>
                                  <w:tcW w:w="2693" w:type="dxa"/>
                                </w:tcPr>
                                <w:p w14:paraId="45813919"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Correct answers may be produced to ill-posed or oversimplified questions.</w:t>
                                  </w:r>
                                </w:p>
                              </w:tc>
                            </w:tr>
                            <w:tr w:rsidR="006240A2" w:rsidRPr="0085170F" w14:paraId="018B7773" w14:textId="77777777" w:rsidTr="0085170F">
                              <w:tc>
                                <w:tcPr>
                                  <w:tcW w:w="1244" w:type="dxa"/>
                                </w:tcPr>
                                <w:p w14:paraId="68B6985E"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Wang et al., 2023</w:t>
                                  </w:r>
                                </w:p>
                              </w:tc>
                              <w:tc>
                                <w:tcPr>
                                  <w:tcW w:w="1598" w:type="dxa"/>
                                </w:tcPr>
                                <w:p w14:paraId="4000419D"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Agentic LLMs</w:t>
                                  </w:r>
                                </w:p>
                              </w:tc>
                              <w:tc>
                                <w:tcPr>
                                  <w:tcW w:w="1264" w:type="dxa"/>
                                </w:tcPr>
                                <w:p w14:paraId="64E1FA5A"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Planning, tool use, iterative execution</w:t>
                                  </w:r>
                                </w:p>
                              </w:tc>
                              <w:tc>
                                <w:tcPr>
                                  <w:tcW w:w="1985" w:type="dxa"/>
                                </w:tcPr>
                                <w:p w14:paraId="4C4E3220"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The initial task objective is epistemically valid.</w:t>
                                  </w:r>
                                </w:p>
                              </w:tc>
                              <w:tc>
                                <w:tcPr>
                                  <w:tcW w:w="2693" w:type="dxa"/>
                                </w:tcPr>
                                <w:p w14:paraId="6EE5D0E3"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Agents optimise execution within a fixed objective and do not evaluate whether the objective reflects correct causal or interactional structure.</w:t>
                                  </w:r>
                                </w:p>
                              </w:tc>
                            </w:tr>
                            <w:tr w:rsidR="006240A2" w:rsidRPr="0085170F" w14:paraId="7B7BF2C8" w14:textId="77777777" w:rsidTr="0085170F">
                              <w:tc>
                                <w:tcPr>
                                  <w:tcW w:w="1244" w:type="dxa"/>
                                </w:tcPr>
                                <w:p w14:paraId="5E72284E"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Sahoo et al., 2024</w:t>
                                  </w:r>
                                </w:p>
                              </w:tc>
                              <w:tc>
                                <w:tcPr>
                                  <w:tcW w:w="1598" w:type="dxa"/>
                                </w:tcPr>
                                <w:p w14:paraId="5C8114A6"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Prompt engineering taxonomies</w:t>
                                  </w:r>
                                </w:p>
                              </w:tc>
                              <w:tc>
                                <w:tcPr>
                                  <w:tcW w:w="1264" w:type="dxa"/>
                                </w:tcPr>
                                <w:p w14:paraId="5F020137"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Task execution quality</w:t>
                                  </w:r>
                                </w:p>
                              </w:tc>
                              <w:tc>
                                <w:tcPr>
                                  <w:tcW w:w="1985" w:type="dxa"/>
                                </w:tcPr>
                                <w:p w14:paraId="6AF57DCF"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Determinant domains and interaction scope are already defined.</w:t>
                                  </w:r>
                                </w:p>
                              </w:tc>
                              <w:tc>
                                <w:tcPr>
                                  <w:tcW w:w="2693" w:type="dxa"/>
                                </w:tcPr>
                                <w:p w14:paraId="66E85E71"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Prompt variation optimises performance within a fixed framing and does not surface missing domains, mediators, or interactions.</w:t>
                                  </w:r>
                                </w:p>
                              </w:tc>
                            </w:tr>
                            <w:tr w:rsidR="006240A2" w:rsidRPr="0085170F" w14:paraId="46F35348" w14:textId="77777777" w:rsidTr="0085170F">
                              <w:tc>
                                <w:tcPr>
                                  <w:tcW w:w="1244" w:type="dxa"/>
                                </w:tcPr>
                                <w:p w14:paraId="5D1DEBC6"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Gao et al., 2024</w:t>
                                  </w:r>
                                </w:p>
                              </w:tc>
                              <w:tc>
                                <w:tcPr>
                                  <w:tcW w:w="1598" w:type="dxa"/>
                                </w:tcPr>
                                <w:p w14:paraId="5FEAF45A"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RAG surveys and evaluation</w:t>
                                  </w:r>
                                </w:p>
                              </w:tc>
                              <w:tc>
                                <w:tcPr>
                                  <w:tcW w:w="1264" w:type="dxa"/>
                                </w:tcPr>
                                <w:p w14:paraId="53AD1056"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Retrieval relevance</w:t>
                                  </w:r>
                                </w:p>
                              </w:tc>
                              <w:tc>
                                <w:tcPr>
                                  <w:tcW w:w="1985" w:type="dxa"/>
                                </w:tcPr>
                                <w:p w14:paraId="3158A5CF"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Retrieval relevance is a sufficient proxy for inferential relevance.</w:t>
                                  </w:r>
                                </w:p>
                              </w:tc>
                              <w:tc>
                                <w:tcPr>
                                  <w:tcW w:w="2693" w:type="dxa"/>
                                </w:tcPr>
                                <w:p w14:paraId="30DDC5A0"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Retrieved evidence may not align with the interaction logic (conditionality, mediation, temporality) required by the question.</w:t>
                                  </w:r>
                                </w:p>
                              </w:tc>
                            </w:tr>
                          </w:tbl>
                          <w:p w14:paraId="7FCEC7EB" w14:textId="77777777" w:rsidR="006240A2" w:rsidRPr="006A53B2" w:rsidRDefault="006240A2" w:rsidP="006240A2">
                            <w:pPr>
                              <w:spacing w:after="0" w:line="240" w:lineRule="auto"/>
                              <w:rPr>
                                <w:sz w:val="18"/>
                                <w:szCs w:val="18"/>
                              </w:rPr>
                            </w:pPr>
                          </w:p>
                        </w:txbxContent>
                      </wps:txbx>
                      <wps:bodyPr rot="0" vert="horz" wrap="square" lIns="91440" tIns="45720" rIns="91440" bIns="45720" anchor="t" anchorCtr="0">
                        <a:noAutofit/>
                      </wps:bodyPr>
                    </wps:wsp>
                  </a:graphicData>
                </a:graphic>
              </wp:inline>
            </w:drawing>
          </mc:Choice>
          <mc:Fallback>
            <w:pict>
              <v:shape w14:anchorId="20C57224" id="_x0000_s1030" type="#_x0000_t202" style="width:451.2pt;height:4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" strokeweight="1pt">
                <v:textbox>
                  <w:txbxContent>
                    <w:p w14:paraId="0AF03A5F" w14:textId="582C8FC5" w:rsidR="006240A2" w:rsidRPr="005A4486" w:rsidRDefault="009E5065" w:rsidP="006240A2">
                      <w:pPr>
                        <w:rPr>
                          <w:rFonts w:cs="Arial"/>
                          <w:sz w:val="18"/>
                          <w:szCs w:val="18"/>
                        </w:rPr>
                      </w:pPr>
                      <w:r>
                        <w:rPr>
                          <w:rFonts w:cs="Arial"/>
                          <w:b/>
                          <w:bCs/>
                          <w:sz w:val="18"/>
                          <w:szCs w:val="18"/>
                        </w:rPr>
                        <w:t>Table 5</w:t>
                      </w:r>
                      <w:r w:rsidR="006240A2" w:rsidRPr="005A4486">
                        <w:rPr>
                          <w:rFonts w:cs="Arial"/>
                          <w:sz w:val="18"/>
                          <w:szCs w:val="18"/>
                        </w:rPr>
                        <w:t xml:space="preserve">. </w:t>
                      </w:r>
                      <w:r w:rsidR="006240A2" w:rsidRPr="007F20FA">
                        <w:rPr>
                          <w:rFonts w:cs="Arial"/>
                          <w:sz w:val="18"/>
                          <w:szCs w:val="18"/>
                        </w:rPr>
                        <w:t>Implicit epistemic assumptions and exposed limits in dominant LLM optimisation approaches</w:t>
                      </w:r>
                    </w:p>
                    <w:tbl>
                      <w:tblPr>
                        <w:tblStyle w:val="TableGrid"/>
                        <w:tblW w:w="8784" w:type="dxa"/>
                        <w:tblLook w:val="04A0" w:firstRow="1" w:lastRow="0" w:firstColumn="1" w:lastColumn="0" w:noHBand="0" w:noVBand="1"/>
                      </w:tblPr>
                      <w:tblGrid>
                        <w:gridCol w:w="1244"/>
                        <w:gridCol w:w="1598"/>
                        <w:gridCol w:w="1264"/>
                        <w:gridCol w:w="1985"/>
                        <w:gridCol w:w="2693"/>
                      </w:tblGrid>
                      <w:tr w:rsidR="006240A2" w:rsidRPr="0085170F" w14:paraId="469AA349" w14:textId="77777777" w:rsidTr="0085170F">
                        <w:tc>
                          <w:tcPr>
                            <w:tcW w:w="1244" w:type="dxa"/>
                          </w:tcPr>
                          <w:p w14:paraId="3CFC0EA7" w14:textId="77777777" w:rsidR="006240A2" w:rsidRPr="0085170F" w:rsidRDefault="006240A2" w:rsidP="0085170F">
                            <w:pPr>
                              <w:rPr>
                                <w:rFonts w:cs="Arial"/>
                                <w:sz w:val="20"/>
                                <w:szCs w:val="20"/>
                              </w:rPr>
                            </w:pPr>
                            <w:r w:rsidRPr="0085170F">
                              <w:rPr>
                                <w:rFonts w:eastAsia="Times New Roman" w:cs="Arial"/>
                                <w:kern w:val="0"/>
                                <w:sz w:val="20"/>
                                <w:szCs w:val="20"/>
                                <w:lang w:eastAsia="en-GB"/>
                                <w14:ligatures w14:val="none"/>
                              </w:rPr>
                              <w:t>Technique (Author, year)</w:t>
                            </w:r>
                          </w:p>
                        </w:tc>
                        <w:tc>
                          <w:tcPr>
                            <w:tcW w:w="1598" w:type="dxa"/>
                          </w:tcPr>
                          <w:p w14:paraId="2CCAE2BA" w14:textId="77777777" w:rsidR="006240A2" w:rsidRPr="0085170F" w:rsidRDefault="006240A2" w:rsidP="0085170F">
                            <w:pPr>
                              <w:rPr>
                                <w:rFonts w:cs="Arial"/>
                                <w:sz w:val="20"/>
                                <w:szCs w:val="20"/>
                              </w:rPr>
                            </w:pPr>
                            <w:r w:rsidRPr="0085170F">
                              <w:rPr>
                                <w:rFonts w:eastAsia="Times New Roman" w:cs="Arial"/>
                                <w:kern w:val="0"/>
                                <w:sz w:val="20"/>
                                <w:szCs w:val="20"/>
                                <w:lang w:eastAsia="en-GB"/>
                                <w14:ligatures w14:val="none"/>
                              </w:rPr>
                              <w:t>Optimisation focus</w:t>
                            </w:r>
                          </w:p>
                        </w:tc>
                        <w:tc>
                          <w:tcPr>
                            <w:tcW w:w="1264" w:type="dxa"/>
                          </w:tcPr>
                          <w:p w14:paraId="7E68CD09" w14:textId="77777777" w:rsidR="006240A2" w:rsidRPr="0085170F" w:rsidRDefault="006240A2" w:rsidP="0085170F">
                            <w:pPr>
                              <w:rPr>
                                <w:rFonts w:cs="Arial"/>
                                <w:sz w:val="20"/>
                                <w:szCs w:val="20"/>
                              </w:rPr>
                            </w:pPr>
                            <w:r w:rsidRPr="0085170F">
                              <w:rPr>
                                <w:rFonts w:eastAsia="Times New Roman" w:cs="Arial"/>
                                <w:kern w:val="0"/>
                                <w:sz w:val="20"/>
                                <w:szCs w:val="20"/>
                                <w:lang w:eastAsia="en-GB"/>
                                <w14:ligatures w14:val="none"/>
                              </w:rPr>
                              <w:t>What improves</w:t>
                            </w:r>
                          </w:p>
                        </w:tc>
                        <w:tc>
                          <w:tcPr>
                            <w:tcW w:w="1985" w:type="dxa"/>
                          </w:tcPr>
                          <w:p w14:paraId="158EDFD0" w14:textId="77777777" w:rsidR="006240A2" w:rsidRPr="0085170F" w:rsidRDefault="006240A2" w:rsidP="0085170F">
                            <w:pPr>
                              <w:rPr>
                                <w:rFonts w:cs="Arial"/>
                                <w:sz w:val="20"/>
                                <w:szCs w:val="20"/>
                              </w:rPr>
                            </w:pPr>
                            <w:r w:rsidRPr="0085170F">
                              <w:rPr>
                                <w:rFonts w:eastAsia="Times New Roman" w:cs="Arial"/>
                                <w:kern w:val="0"/>
                                <w:sz w:val="20"/>
                                <w:szCs w:val="20"/>
                                <w:lang w:eastAsia="en-GB"/>
                                <w14:ligatures w14:val="none"/>
                              </w:rPr>
                              <w:t>Implicit epistemic assumption about the question</w:t>
                            </w:r>
                          </w:p>
                        </w:tc>
                        <w:tc>
                          <w:tcPr>
                            <w:tcW w:w="2693" w:type="dxa"/>
                          </w:tcPr>
                          <w:p w14:paraId="252CE6B0" w14:textId="77777777" w:rsidR="006240A2" w:rsidRPr="0085170F" w:rsidRDefault="006240A2" w:rsidP="0085170F">
                            <w:pPr>
                              <w:rPr>
                                <w:rFonts w:cs="Arial"/>
                                <w:sz w:val="20"/>
                                <w:szCs w:val="20"/>
                              </w:rPr>
                            </w:pPr>
                            <w:r w:rsidRPr="0085170F">
                              <w:rPr>
                                <w:rFonts w:eastAsia="Times New Roman" w:cs="Arial"/>
                                <w:kern w:val="0"/>
                                <w:sz w:val="20"/>
                                <w:szCs w:val="20"/>
                                <w:lang w:eastAsia="en-GB"/>
                                <w14:ligatures w14:val="none"/>
                              </w:rPr>
                              <w:t>Interactional limits exposed</w:t>
                            </w:r>
                          </w:p>
                        </w:tc>
                      </w:tr>
                      <w:tr w:rsidR="006240A2" w:rsidRPr="0085170F" w14:paraId="0D2BAF89" w14:textId="77777777" w:rsidTr="0085170F">
                        <w:tc>
                          <w:tcPr>
                            <w:tcW w:w="1244" w:type="dxa"/>
                          </w:tcPr>
                          <w:p w14:paraId="35770DF3"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Wei et al., 2022</w:t>
                            </w:r>
                          </w:p>
                        </w:tc>
                        <w:tc>
                          <w:tcPr>
                            <w:tcW w:w="1598" w:type="dxa"/>
                          </w:tcPr>
                          <w:p w14:paraId="335EE25E"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Chain-of-thought prompting</w:t>
                            </w:r>
                          </w:p>
                        </w:tc>
                        <w:tc>
                          <w:tcPr>
                            <w:tcW w:w="1264" w:type="dxa"/>
                          </w:tcPr>
                          <w:p w14:paraId="5A1F07BD"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Reasoning transparency and coherence</w:t>
                            </w:r>
                          </w:p>
                        </w:tc>
                        <w:tc>
                          <w:tcPr>
                            <w:tcW w:w="1985" w:type="dxa"/>
                          </w:tcPr>
                          <w:p w14:paraId="7378C475"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The question already encodes the relevant causal, conditional, and temporal assumptions.</w:t>
                            </w:r>
                          </w:p>
                        </w:tc>
                        <w:tc>
                          <w:tcPr>
                            <w:tcW w:w="2693" w:type="dxa"/>
                          </w:tcPr>
                          <w:p w14:paraId="7B15C4CC"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Improves reasoning only within the structure of the question posed; additive or mis-specified questions remain uncorrected.</w:t>
                            </w:r>
                          </w:p>
                        </w:tc>
                      </w:tr>
                      <w:tr w:rsidR="006240A2" w:rsidRPr="0085170F" w14:paraId="6D8C9103" w14:textId="77777777" w:rsidTr="0085170F">
                        <w:tc>
                          <w:tcPr>
                            <w:tcW w:w="1244" w:type="dxa"/>
                          </w:tcPr>
                          <w:p w14:paraId="5FF9E41F"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Lewis et al., 2020</w:t>
                            </w:r>
                          </w:p>
                        </w:tc>
                        <w:tc>
                          <w:tcPr>
                            <w:tcW w:w="1598" w:type="dxa"/>
                          </w:tcPr>
                          <w:p w14:paraId="10B172CC"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Retrieval-augmented generation (RAG)</w:t>
                            </w:r>
                          </w:p>
                        </w:tc>
                        <w:tc>
                          <w:tcPr>
                            <w:tcW w:w="1264" w:type="dxa"/>
                          </w:tcPr>
                          <w:p w14:paraId="028DC76B"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Factual grounding</w:t>
                            </w:r>
                          </w:p>
                        </w:tc>
                        <w:tc>
                          <w:tcPr>
                            <w:tcW w:w="1985" w:type="dxa"/>
                          </w:tcPr>
                          <w:p w14:paraId="1427F60B"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The structure of the question is appropriate for the evidence retrieved.</w:t>
                            </w:r>
                          </w:p>
                        </w:tc>
                        <w:tc>
                          <w:tcPr>
                            <w:tcW w:w="2693" w:type="dxa"/>
                          </w:tcPr>
                          <w:p w14:paraId="5C16B0E1"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Retrieval does not supply missing conditional, pathway-based, or temporal framing required for valid inference.</w:t>
                            </w:r>
                          </w:p>
                        </w:tc>
                      </w:tr>
                      <w:tr w:rsidR="006240A2" w:rsidRPr="0085170F" w14:paraId="546A8F84" w14:textId="77777777" w:rsidTr="0085170F">
                        <w:tc>
                          <w:tcPr>
                            <w:tcW w:w="1244" w:type="dxa"/>
                          </w:tcPr>
                          <w:p w14:paraId="44A401CC"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Singhal et al., 2023</w:t>
                            </w:r>
                          </w:p>
                        </w:tc>
                        <w:tc>
                          <w:tcPr>
                            <w:tcW w:w="1598" w:type="dxa"/>
                          </w:tcPr>
                          <w:p w14:paraId="62E5C38D"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Medical LLM benchmarking</w:t>
                            </w:r>
                          </w:p>
                        </w:tc>
                        <w:tc>
                          <w:tcPr>
                            <w:tcW w:w="1264" w:type="dxa"/>
                          </w:tcPr>
                          <w:p w14:paraId="238BED43"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Expert-level answer synthesis</w:t>
                            </w:r>
                          </w:p>
                        </w:tc>
                        <w:tc>
                          <w:tcPr>
                            <w:tcW w:w="1985" w:type="dxa"/>
                          </w:tcPr>
                          <w:p w14:paraId="4A19F28A"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Benchmark questions correctly represent the clinical reasoning problem.</w:t>
                            </w:r>
                          </w:p>
                        </w:tc>
                        <w:tc>
                          <w:tcPr>
                            <w:tcW w:w="2693" w:type="dxa"/>
                          </w:tcPr>
                          <w:p w14:paraId="607A71BF"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Strong benchmark performance can mask structurally inadequate or incomplete clinical questions.</w:t>
                            </w:r>
                          </w:p>
                        </w:tc>
                      </w:tr>
                      <w:tr w:rsidR="006240A2" w:rsidRPr="0085170F" w14:paraId="09785737" w14:textId="77777777" w:rsidTr="0085170F">
                        <w:tc>
                          <w:tcPr>
                            <w:tcW w:w="1244" w:type="dxa"/>
                          </w:tcPr>
                          <w:p w14:paraId="1710A0B5"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Nori et al., 2023</w:t>
                            </w:r>
                          </w:p>
                        </w:tc>
                        <w:tc>
                          <w:tcPr>
                            <w:tcW w:w="1598" w:type="dxa"/>
                          </w:tcPr>
                          <w:p w14:paraId="73F20CDA"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Medical reasoning evaluation</w:t>
                            </w:r>
                          </w:p>
                        </w:tc>
                        <w:tc>
                          <w:tcPr>
                            <w:tcW w:w="1264" w:type="dxa"/>
                          </w:tcPr>
                          <w:p w14:paraId="27E403E1"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Capability assessment</w:t>
                            </w:r>
                          </w:p>
                        </w:tc>
                        <w:tc>
                          <w:tcPr>
                            <w:tcW w:w="1985" w:type="dxa"/>
                          </w:tcPr>
                          <w:p w14:paraId="71758BCD"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Questions accurately encode real-world clinical reasoning demands.</w:t>
                            </w:r>
                          </w:p>
                        </w:tc>
                        <w:tc>
                          <w:tcPr>
                            <w:tcW w:w="2693" w:type="dxa"/>
                          </w:tcPr>
                          <w:p w14:paraId="45813919"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Correct answers may be produced to ill-posed or oversimplified questions.</w:t>
                            </w:r>
                          </w:p>
                        </w:tc>
                      </w:tr>
                      <w:tr w:rsidR="006240A2" w:rsidRPr="0085170F" w14:paraId="018B7773" w14:textId="77777777" w:rsidTr="0085170F">
                        <w:tc>
                          <w:tcPr>
                            <w:tcW w:w="1244" w:type="dxa"/>
                          </w:tcPr>
                          <w:p w14:paraId="68B6985E"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Wang et al., 2023</w:t>
                            </w:r>
                          </w:p>
                        </w:tc>
                        <w:tc>
                          <w:tcPr>
                            <w:tcW w:w="1598" w:type="dxa"/>
                          </w:tcPr>
                          <w:p w14:paraId="4000419D"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Agentic LLMs</w:t>
                            </w:r>
                          </w:p>
                        </w:tc>
                        <w:tc>
                          <w:tcPr>
                            <w:tcW w:w="1264" w:type="dxa"/>
                          </w:tcPr>
                          <w:p w14:paraId="64E1FA5A"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Planning, tool use, iterative execution</w:t>
                            </w:r>
                          </w:p>
                        </w:tc>
                        <w:tc>
                          <w:tcPr>
                            <w:tcW w:w="1985" w:type="dxa"/>
                          </w:tcPr>
                          <w:p w14:paraId="4C4E3220"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The initial task objective is epistemically valid.</w:t>
                            </w:r>
                          </w:p>
                        </w:tc>
                        <w:tc>
                          <w:tcPr>
                            <w:tcW w:w="2693" w:type="dxa"/>
                          </w:tcPr>
                          <w:p w14:paraId="6EE5D0E3" w14:textId="77777777" w:rsidR="006240A2" w:rsidRPr="0085170F" w:rsidRDefault="006240A2" w:rsidP="0085170F">
                            <w:pPr>
                              <w:rPr>
                                <w:rFonts w:cs="Arial"/>
                                <w:sz w:val="18"/>
                                <w:szCs w:val="18"/>
                              </w:rPr>
                            </w:pPr>
                            <w:r w:rsidRPr="0085170F">
                              <w:rPr>
                                <w:rFonts w:eastAsia="Times New Roman" w:cs="Arial"/>
                                <w:kern w:val="0"/>
                                <w:sz w:val="18"/>
                                <w:szCs w:val="18"/>
                                <w:lang w:eastAsia="en-GB"/>
                                <w14:ligatures w14:val="none"/>
                              </w:rPr>
                              <w:t>Agents optimise execution within a fixed objective and do not evaluate whether the objective reflects correct causal or interactional structure.</w:t>
                            </w:r>
                          </w:p>
                        </w:tc>
                      </w:tr>
                      <w:tr w:rsidR="006240A2" w:rsidRPr="0085170F" w14:paraId="7B7BF2C8" w14:textId="77777777" w:rsidTr="0085170F">
                        <w:tc>
                          <w:tcPr>
                            <w:tcW w:w="1244" w:type="dxa"/>
                          </w:tcPr>
                          <w:p w14:paraId="5E72284E"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Sahoo et al., 2024</w:t>
                            </w:r>
                          </w:p>
                        </w:tc>
                        <w:tc>
                          <w:tcPr>
                            <w:tcW w:w="1598" w:type="dxa"/>
                          </w:tcPr>
                          <w:p w14:paraId="5C8114A6"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Prompt engineering taxonomies</w:t>
                            </w:r>
                          </w:p>
                        </w:tc>
                        <w:tc>
                          <w:tcPr>
                            <w:tcW w:w="1264" w:type="dxa"/>
                          </w:tcPr>
                          <w:p w14:paraId="5F020137"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Task execution quality</w:t>
                            </w:r>
                          </w:p>
                        </w:tc>
                        <w:tc>
                          <w:tcPr>
                            <w:tcW w:w="1985" w:type="dxa"/>
                          </w:tcPr>
                          <w:p w14:paraId="6AF57DCF"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Determinant domains and interaction scope are already defined.</w:t>
                            </w:r>
                          </w:p>
                        </w:tc>
                        <w:tc>
                          <w:tcPr>
                            <w:tcW w:w="2693" w:type="dxa"/>
                          </w:tcPr>
                          <w:p w14:paraId="66E85E71"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Prompt variation optimises performance within a fixed framing and does not surface missing domains, mediators, or interactions.</w:t>
                            </w:r>
                          </w:p>
                        </w:tc>
                      </w:tr>
                      <w:tr w:rsidR="006240A2" w:rsidRPr="0085170F" w14:paraId="46F35348" w14:textId="77777777" w:rsidTr="0085170F">
                        <w:tc>
                          <w:tcPr>
                            <w:tcW w:w="1244" w:type="dxa"/>
                          </w:tcPr>
                          <w:p w14:paraId="5D1DEBC6"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Gao et al., 2024</w:t>
                            </w:r>
                          </w:p>
                        </w:tc>
                        <w:tc>
                          <w:tcPr>
                            <w:tcW w:w="1598" w:type="dxa"/>
                          </w:tcPr>
                          <w:p w14:paraId="5FEAF45A"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RAG surveys and evaluation</w:t>
                            </w:r>
                          </w:p>
                        </w:tc>
                        <w:tc>
                          <w:tcPr>
                            <w:tcW w:w="1264" w:type="dxa"/>
                          </w:tcPr>
                          <w:p w14:paraId="53AD1056"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Retrieval relevance</w:t>
                            </w:r>
                          </w:p>
                        </w:tc>
                        <w:tc>
                          <w:tcPr>
                            <w:tcW w:w="1985" w:type="dxa"/>
                          </w:tcPr>
                          <w:p w14:paraId="3158A5CF"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Retrieval relevance is a sufficient proxy for inferential relevance.</w:t>
                            </w:r>
                          </w:p>
                        </w:tc>
                        <w:tc>
                          <w:tcPr>
                            <w:tcW w:w="2693" w:type="dxa"/>
                          </w:tcPr>
                          <w:p w14:paraId="30DDC5A0" w14:textId="77777777" w:rsidR="006240A2" w:rsidRPr="0085170F" w:rsidRDefault="006240A2" w:rsidP="0085170F">
                            <w:pPr>
                              <w:rPr>
                                <w:rFonts w:eastAsia="Times New Roman" w:cs="Arial"/>
                                <w:kern w:val="0"/>
                                <w:sz w:val="18"/>
                                <w:szCs w:val="18"/>
                                <w:lang w:eastAsia="en-GB"/>
                                <w14:ligatures w14:val="none"/>
                              </w:rPr>
                            </w:pPr>
                            <w:r w:rsidRPr="0085170F">
                              <w:rPr>
                                <w:rFonts w:eastAsia="Times New Roman" w:cs="Arial"/>
                                <w:kern w:val="0"/>
                                <w:sz w:val="18"/>
                                <w:szCs w:val="18"/>
                                <w:lang w:eastAsia="en-GB"/>
                                <w14:ligatures w14:val="none"/>
                              </w:rPr>
                              <w:t>Retrieved evidence may not align with the interaction logic (conditionality, mediation, temporality) required by the question.</w:t>
                            </w:r>
                          </w:p>
                        </w:tc>
                      </w:tr>
                    </w:tbl>
                    <w:p w14:paraId="7FCEC7EB" w14:textId="77777777" w:rsidR="006240A2" w:rsidRPr="006A53B2" w:rsidRDefault="006240A2" w:rsidP="006240A2">
                      <w:pPr>
                        <w:spacing w:after="0" w:line="240" w:lineRule="auto"/>
                        <w:rPr>
                          <w:sz w:val="18"/>
                          <w:szCs w:val="18"/>
                        </w:rPr>
                      </w:pPr>
                    </w:p>
                  </w:txbxContent>
                </v:textbox>
                <w10:anchorlock/>
              </v:shape>
            </w:pict>
          </mc:Fallback>
        </mc:AlternateContent>
      </w:r>
    </w:p>
    <w:p w14:paraId="3A6B560F" w14:textId="77777777" w:rsidR="00AA3BF2" w:rsidRPr="00C01A73" w:rsidRDefault="00AA3BF2" w:rsidP="00AA3BF2">
      <w:pPr>
        <w:rPr>
          <w:rFonts w:cs="Arial"/>
        </w:rPr>
      </w:pPr>
      <w:r w:rsidRPr="00C01A73">
        <w:rPr>
          <w:rFonts w:cs="Arial"/>
        </w:rPr>
        <w:t>From the perspective of health inquiry, however, this literature addresses only part of the problem. Prompt optimisation techniques operate downstream of inquiry formulation and generally assume that the underlying health question is already epistemically well formed. They focus on improving how models respond to a task, rather than on whether the task itself encodes the interactional, mediated, and temporal assumptions required by health evidence.</w:t>
      </w:r>
    </w:p>
    <w:p w14:paraId="42D157BD" w14:textId="77777777" w:rsidR="00AA3BF2" w:rsidRPr="00C01A73" w:rsidRDefault="00AA3BF2" w:rsidP="00AA3BF2">
      <w:pPr>
        <w:rPr>
          <w:rFonts w:cs="Arial"/>
        </w:rPr>
      </w:pPr>
      <w:r w:rsidRPr="00C01A73">
        <w:rPr>
          <w:rFonts w:cs="Arial"/>
        </w:rPr>
        <w:t>As a result, prompt-based inquiry typically leaves key structural assumptions implicit. Unless explicitly instructed otherwise, prompts tend to assume additive relationships, direct causation, and immediate effects. In domains where interaction, mediation, and temporality are central, this can lead LLMs to generate fluent and plausible responses that nonetheless obscure heterogeneity, misrepresent pathways, or flatten time into an implicit “average present”.</w:t>
      </w:r>
    </w:p>
    <w:p w14:paraId="741FC2C7" w14:textId="00251DCF" w:rsidR="00AA3BF2" w:rsidRPr="00C01A73" w:rsidRDefault="00AA3BF2" w:rsidP="00AA3BF2">
      <w:pPr>
        <w:spacing w:after="0"/>
        <w:rPr>
          <w:rFonts w:cs="Arial"/>
          <w:b/>
          <w:bCs/>
        </w:rPr>
      </w:pPr>
      <w:r w:rsidRPr="00C01A73">
        <w:rPr>
          <w:rFonts w:cs="Arial"/>
          <w:b/>
          <w:bCs/>
        </w:rPr>
        <w:t>2</w:t>
      </w:r>
      <w:r w:rsidRPr="00C01A73">
        <w:rPr>
          <w:rFonts w:cs="Arial"/>
          <w:b/>
          <w:bCs/>
        </w:rPr>
        <w:t>.3</w:t>
      </w:r>
      <w:r w:rsidRPr="00C01A73">
        <w:rPr>
          <w:rFonts w:cs="Arial"/>
          <w:b/>
          <w:bCs/>
        </w:rPr>
        <w:tab/>
        <w:t>Expert and Lay Users as Distinct Problem-Formers</w:t>
      </w:r>
    </w:p>
    <w:p w14:paraId="01803353" w14:textId="77777777" w:rsidR="00AA3BF2" w:rsidRPr="00C01A73" w:rsidRDefault="00AA3BF2" w:rsidP="00AA3BF2">
      <w:pPr>
        <w:rPr>
          <w:rFonts w:cs="Arial"/>
        </w:rPr>
      </w:pPr>
      <w:r w:rsidRPr="00C01A73">
        <w:rPr>
          <w:rFonts w:cs="Arial"/>
        </w:rPr>
        <w:lastRenderedPageBreak/>
        <w:t>The consequences of underspecified inquiry are amplified by differences in epistemic role. Hyper-personalised health serves stakeholders who engage with evidence for fundamentally different purposes, even when drawing on the same underlying knowledge base. Expert stakeholders—such as clinicians, public health professionals, and policymakers—typically seek population- or system-level explanations of heterogeneity, causal pathways, and transferability across contexts and time horizons. Lay users engage with the same evidence primarily for person-level sensemaking: understanding when general guidance depends on conditions and identifying common oversimplifications, without implying personalised clinical decisions.</w:t>
      </w:r>
    </w:p>
    <w:p w14:paraId="2E3DA157" w14:textId="77777777" w:rsidR="00AA3BF2" w:rsidRDefault="00AA3BF2" w:rsidP="00AA3BF2">
      <w:pPr>
        <w:rPr>
          <w:rFonts w:cs="Arial"/>
        </w:rPr>
      </w:pPr>
      <w:r w:rsidRPr="00C01A73">
        <w:rPr>
          <w:rFonts w:cs="Arial"/>
        </w:rPr>
        <w:t>Both roles require interaction-aware reasoning, but they instantiate the same inquiry requirements differently. Expert-facing inquiry prioritises causal structure, effect modification across groups, and evidentiary interpretation. Lay-facing inquiry prioritises conditional applicability, bounded interpretation, and communication that avoids unsafe generalisation. Prompt-based interaction standardises question framing and provides little support for accommodating these role-dependent differences in problem formation.</w:t>
      </w:r>
    </w:p>
    <w:p w14:paraId="1DED0C4A" w14:textId="5D5836C9" w:rsidR="00645A22" w:rsidRDefault="00645A22" w:rsidP="00AA3BF2">
      <w:pPr>
        <w:rPr>
          <w:rFonts w:cs="Arial"/>
          <w:b/>
          <w:bCs/>
          <w:sz w:val="28"/>
          <w:szCs w:val="28"/>
        </w:rPr>
      </w:pPr>
      <w:r w:rsidRPr="00645A22">
        <w:rPr>
          <w:rFonts w:cs="Arial"/>
          <w:b/>
          <w:bCs/>
          <w:sz w:val="28"/>
          <w:szCs w:val="28"/>
        </w:rPr>
        <w:t>References</w:t>
      </w:r>
    </w:p>
    <w:p w14:paraId="3CC6730F" w14:textId="77777777" w:rsidR="007F6F14" w:rsidRPr="00AC32D4" w:rsidRDefault="007F6F14" w:rsidP="007F6F14">
      <w:pPr>
        <w:pStyle w:val="ListParagraph"/>
        <w:numPr>
          <w:ilvl w:val="0"/>
          <w:numId w:val="6"/>
        </w:numPr>
        <w:rPr>
          <w:rFonts w:cs="Arial"/>
        </w:rPr>
      </w:pPr>
      <w:r w:rsidRPr="00AC32D4">
        <w:rPr>
          <w:rFonts w:cs="Arial"/>
        </w:rPr>
        <w:t xml:space="preserve">Fenoglio, E., &amp; Treleaven, P. (in press). Federated computing: Information integration under sovereignty constraints. </w:t>
      </w:r>
      <w:r w:rsidRPr="00AC32D4">
        <w:rPr>
          <w:rFonts w:cs="Arial"/>
          <w:i/>
          <w:iCs/>
        </w:rPr>
        <w:t>Royal Society Open Science</w:t>
      </w:r>
      <w:r w:rsidRPr="00AC32D4">
        <w:rPr>
          <w:rFonts w:cs="Arial"/>
        </w:rPr>
        <w:t>.</w:t>
      </w:r>
    </w:p>
    <w:p w14:paraId="2438E59C" w14:textId="77777777" w:rsidR="007F6F14" w:rsidRPr="002A3B86" w:rsidRDefault="007F6F14" w:rsidP="007F6F14">
      <w:pPr>
        <w:pStyle w:val="ListParagraph"/>
        <w:numPr>
          <w:ilvl w:val="0"/>
          <w:numId w:val="6"/>
        </w:numPr>
        <w:rPr>
          <w:rFonts w:cs="Arial"/>
        </w:rPr>
      </w:pPr>
      <w:r w:rsidRPr="00AC32D4">
        <w:rPr>
          <w:rFonts w:cs="Arial"/>
        </w:rPr>
        <w:t xml:space="preserve">Nieroda, M., Fenoglio, E., Kalogeropoulos, D., Śmietanka, M., &amp; Treleaven, P. (2026). </w:t>
      </w:r>
      <w:r w:rsidRPr="00AC32D4">
        <w:rPr>
          <w:rFonts w:cs="Arial"/>
          <w:i/>
          <w:iCs/>
        </w:rPr>
        <w:t>Open health platform: Federated computing and data for new knowledge creation</w:t>
      </w:r>
      <w:r w:rsidRPr="00AC32D4">
        <w:rPr>
          <w:rFonts w:cs="Arial"/>
        </w:rPr>
        <w:t xml:space="preserve">. SSRN. </w:t>
      </w:r>
      <w:hyperlink r:id="rId5" w:tgtFrame="_new" w:history="1">
        <w:r w:rsidRPr="00AC32D4">
          <w:rPr>
            <w:rStyle w:val="Hyperlink"/>
            <w:rFonts w:cs="Arial"/>
          </w:rPr>
          <w:t>https://doi.org/10.2139/ssrn.6033536</w:t>
        </w:r>
      </w:hyperlink>
    </w:p>
    <w:p w14:paraId="672D27B5" w14:textId="77777777" w:rsidR="002A3B86" w:rsidRPr="00AC32D4" w:rsidRDefault="002A3B86" w:rsidP="002A3B86">
      <w:pPr>
        <w:pStyle w:val="ListParagraph"/>
        <w:numPr>
          <w:ilvl w:val="0"/>
          <w:numId w:val="6"/>
        </w:numPr>
        <w:rPr>
          <w:rFonts w:cs="Arial"/>
        </w:rPr>
      </w:pPr>
      <w:r w:rsidRPr="00AC32D4">
        <w:rPr>
          <w:rFonts w:cs="Arial"/>
        </w:rPr>
        <w:t xml:space="preserve">Li, L., Back, E., Lee, S., Shipley, R., Mapitse, N., Elbe, S., … Li, L. (2025). Balancing risks and opportunities: Data-empowered-health ecosystems. </w:t>
      </w:r>
      <w:r w:rsidRPr="00AC32D4">
        <w:rPr>
          <w:rFonts w:cs="Arial"/>
          <w:i/>
          <w:iCs/>
        </w:rPr>
        <w:t>Journal of Medical Internet Research, 27</w:t>
      </w:r>
      <w:r w:rsidRPr="00AC32D4">
        <w:rPr>
          <w:rFonts w:cs="Arial"/>
        </w:rPr>
        <w:t xml:space="preserve">, e57237. </w:t>
      </w:r>
      <w:hyperlink r:id="rId6" w:tgtFrame="_new" w:history="1">
        <w:r w:rsidRPr="00AC32D4">
          <w:rPr>
            <w:rStyle w:val="Hyperlink"/>
            <w:rFonts w:cs="Arial"/>
          </w:rPr>
          <w:t>https://doi.org/10.2196/57237</w:t>
        </w:r>
      </w:hyperlink>
    </w:p>
    <w:p w14:paraId="6242DB86" w14:textId="77777777" w:rsidR="00B71885" w:rsidRPr="00AC32D4" w:rsidRDefault="00B71885" w:rsidP="00B71885">
      <w:pPr>
        <w:pStyle w:val="ListParagraph"/>
        <w:numPr>
          <w:ilvl w:val="0"/>
          <w:numId w:val="6"/>
        </w:numPr>
        <w:rPr>
          <w:rFonts w:cs="Arial"/>
        </w:rPr>
      </w:pPr>
      <w:r w:rsidRPr="00AC32D4">
        <w:rPr>
          <w:rFonts w:cs="Arial"/>
        </w:rPr>
        <w:t xml:space="preserve">Kavianpour, S., Sutherland, J., Mansouri-Benssassi, E., Coull, N., &amp; Jefferson, E. (2022). Next-generation capabilities in trusted research environments: Interview study. </w:t>
      </w:r>
      <w:r w:rsidRPr="00AC32D4">
        <w:rPr>
          <w:rFonts w:cs="Arial"/>
          <w:i/>
          <w:iCs/>
        </w:rPr>
        <w:t>Journal of Medical Internet Research, 24</w:t>
      </w:r>
      <w:r w:rsidRPr="00AC32D4">
        <w:rPr>
          <w:rFonts w:cs="Arial"/>
        </w:rPr>
        <w:t xml:space="preserve">(9), e33720. </w:t>
      </w:r>
      <w:hyperlink r:id="rId7" w:tgtFrame="_new" w:history="1">
        <w:r w:rsidRPr="00AC32D4">
          <w:rPr>
            <w:rStyle w:val="Hyperlink"/>
            <w:rFonts w:cs="Arial"/>
          </w:rPr>
          <w:t>https://doi.org/10.2196/33720</w:t>
        </w:r>
      </w:hyperlink>
    </w:p>
    <w:p w14:paraId="2B1D705A" w14:textId="77777777" w:rsidR="00EF0508" w:rsidRPr="00AC32D4" w:rsidRDefault="00EF0508" w:rsidP="00EF0508">
      <w:pPr>
        <w:pStyle w:val="ListParagraph"/>
        <w:numPr>
          <w:ilvl w:val="0"/>
          <w:numId w:val="6"/>
        </w:numPr>
        <w:rPr>
          <w:rFonts w:cs="Arial"/>
        </w:rPr>
      </w:pPr>
      <w:r w:rsidRPr="00AC32D4">
        <w:rPr>
          <w:rFonts w:cs="Arial"/>
        </w:rPr>
        <w:t xml:space="preserve">Fenoglio, E., &amp; Treleaven, P. (2025). </w:t>
      </w:r>
      <w:r w:rsidRPr="00AC32D4">
        <w:rPr>
          <w:rFonts w:cs="Arial"/>
          <w:i/>
          <w:iCs/>
        </w:rPr>
        <w:t>Federated computing: A data-driven business infrastructure</w:t>
      </w:r>
      <w:r w:rsidRPr="00AC32D4">
        <w:rPr>
          <w:rFonts w:cs="Arial"/>
        </w:rPr>
        <w:t xml:space="preserve">. SSRN. </w:t>
      </w:r>
      <w:hyperlink r:id="rId8" w:tgtFrame="_new" w:history="1">
        <w:r w:rsidRPr="00AC32D4">
          <w:rPr>
            <w:rStyle w:val="Hyperlink"/>
            <w:rFonts w:cs="Arial"/>
          </w:rPr>
          <w:t>https://doi.org/10.2139/ssrn.5218039</w:t>
        </w:r>
      </w:hyperlink>
    </w:p>
    <w:p w14:paraId="3FCFEB1C" w14:textId="77777777" w:rsidR="00C716DE" w:rsidRPr="00AC32D4" w:rsidRDefault="00C716DE" w:rsidP="00C716DE">
      <w:pPr>
        <w:pStyle w:val="ListParagraph"/>
        <w:numPr>
          <w:ilvl w:val="0"/>
          <w:numId w:val="6"/>
        </w:numPr>
        <w:rPr>
          <w:rFonts w:cs="Arial"/>
        </w:rPr>
      </w:pPr>
      <w:r w:rsidRPr="00AC32D4">
        <w:rPr>
          <w:rFonts w:cs="Arial"/>
        </w:rPr>
        <w:t xml:space="preserve">Tan, M. J. T., Kasireddy, H. R., Satriya, A. B., Karim, H. A., &amp; AlDahoul, N. (2025). Health is beyond genetics: On the integration of lifestyle and environment in real time for hyper-personalized medicine. </w:t>
      </w:r>
      <w:r w:rsidRPr="00AC32D4">
        <w:rPr>
          <w:rFonts w:cs="Arial"/>
          <w:i/>
          <w:iCs/>
        </w:rPr>
        <w:t>Frontiers in Public Health, 12</w:t>
      </w:r>
      <w:r w:rsidRPr="00AC32D4">
        <w:rPr>
          <w:rFonts w:cs="Arial"/>
        </w:rPr>
        <w:t xml:space="preserve">, 1522673. </w:t>
      </w:r>
      <w:hyperlink r:id="rId9" w:history="1">
        <w:r w:rsidRPr="00690064">
          <w:rPr>
            <w:rStyle w:val="Hyperlink"/>
            <w:rFonts w:cs="Arial"/>
          </w:rPr>
          <w:t>https://doi.org/10.3389/fpubh.2024.1522673</w:t>
        </w:r>
      </w:hyperlink>
      <w:r>
        <w:rPr>
          <w:rFonts w:cs="Arial"/>
        </w:rPr>
        <w:t xml:space="preserve"> </w:t>
      </w:r>
    </w:p>
    <w:p w14:paraId="42888E91" w14:textId="77777777" w:rsidR="007C1E80" w:rsidRPr="00AC32D4" w:rsidRDefault="007C1E80" w:rsidP="007C1E80">
      <w:pPr>
        <w:pStyle w:val="ListParagraph"/>
        <w:numPr>
          <w:ilvl w:val="0"/>
          <w:numId w:val="6"/>
        </w:numPr>
        <w:rPr>
          <w:rFonts w:cs="Arial"/>
        </w:rPr>
      </w:pPr>
      <w:r w:rsidRPr="00AC32D4">
        <w:rPr>
          <w:rFonts w:cs="Arial"/>
        </w:rPr>
        <w:t xml:space="preserve">Goldacre, B., &amp; Morley, J. (2022). </w:t>
      </w:r>
      <w:r w:rsidRPr="00AC32D4">
        <w:rPr>
          <w:rFonts w:cs="Arial"/>
          <w:i/>
          <w:iCs/>
        </w:rPr>
        <w:t>Better, broader, safer: Using health data for research and analysis</w:t>
      </w:r>
      <w:r w:rsidRPr="00AC32D4">
        <w:rPr>
          <w:rFonts w:cs="Arial"/>
        </w:rPr>
        <w:t xml:space="preserve">. Department of Health and Social Care. </w:t>
      </w:r>
      <w:hyperlink r:id="rId10" w:tgtFrame="_new" w:history="1">
        <w:r w:rsidRPr="00AC32D4">
          <w:rPr>
            <w:rStyle w:val="Hyperlink"/>
            <w:rFonts w:cs="Arial"/>
          </w:rPr>
          <w:t>https://assets.publishing.service.gov.uk/media/624ea0ade90e072a014d508a/goldacre-review-using-health-data-for-research-and-analysis.pdf</w:t>
        </w:r>
      </w:hyperlink>
    </w:p>
    <w:p w14:paraId="22D08894" w14:textId="77777777" w:rsidR="001648B2" w:rsidRPr="00AC32D4" w:rsidRDefault="001648B2" w:rsidP="001648B2">
      <w:pPr>
        <w:pStyle w:val="ListParagraph"/>
        <w:numPr>
          <w:ilvl w:val="0"/>
          <w:numId w:val="6"/>
        </w:numPr>
        <w:rPr>
          <w:rFonts w:cs="Arial"/>
        </w:rPr>
      </w:pPr>
      <w:r w:rsidRPr="00AC32D4">
        <w:rPr>
          <w:rFonts w:cs="Arial"/>
        </w:rPr>
        <w:lastRenderedPageBreak/>
        <w:t xml:space="preserve">Menon, P. (2023). </w:t>
      </w:r>
      <w:r w:rsidRPr="00AC32D4">
        <w:rPr>
          <w:rFonts w:cs="Arial"/>
          <w:i/>
          <w:iCs/>
        </w:rPr>
        <w:t>Introduction to large language models and the transformer architecture</w:t>
      </w:r>
      <w:r w:rsidRPr="00AC32D4">
        <w:rPr>
          <w:rFonts w:cs="Arial"/>
        </w:rPr>
        <w:t xml:space="preserve">. Medium. </w:t>
      </w:r>
      <w:hyperlink r:id="rId11" w:tgtFrame="_new" w:history="1">
        <w:r w:rsidRPr="00AC32D4">
          <w:rPr>
            <w:rStyle w:val="Hyperlink"/>
            <w:rFonts w:cs="Arial"/>
          </w:rPr>
          <w:t>https://rpradeepmenon.medium.com/introduction-to-large-language-models-and-the-transformer-architecture-534408ed7e61</w:t>
        </w:r>
      </w:hyperlink>
    </w:p>
    <w:p w14:paraId="6264AEAE" w14:textId="77777777" w:rsidR="00410AE0" w:rsidRPr="00AC32D4" w:rsidRDefault="00410AE0" w:rsidP="00410AE0">
      <w:pPr>
        <w:pStyle w:val="ListParagraph"/>
        <w:numPr>
          <w:ilvl w:val="0"/>
          <w:numId w:val="6"/>
        </w:numPr>
        <w:rPr>
          <w:rFonts w:cs="Arial"/>
        </w:rPr>
      </w:pPr>
      <w:r w:rsidRPr="00AC32D4">
        <w:rPr>
          <w:rFonts w:cs="Arial"/>
        </w:rPr>
        <w:t xml:space="preserve">McCulloch, W., &amp; Pitts, W. (1943). A logical calculus of the ideas immanent in nervous activity. </w:t>
      </w:r>
      <w:r w:rsidRPr="00AC32D4">
        <w:rPr>
          <w:rFonts w:cs="Arial"/>
          <w:i/>
          <w:iCs/>
        </w:rPr>
        <w:t>Bulletin of Mathematical Biophysics, 5</w:t>
      </w:r>
      <w:r w:rsidRPr="00AC32D4">
        <w:rPr>
          <w:rFonts w:cs="Arial"/>
        </w:rPr>
        <w:t xml:space="preserve">, 115–133. </w:t>
      </w:r>
      <w:hyperlink r:id="rId12" w:tgtFrame="_new" w:history="1">
        <w:r w:rsidRPr="00AC32D4">
          <w:rPr>
            <w:rStyle w:val="Hyperlink"/>
            <w:rFonts w:cs="Arial"/>
          </w:rPr>
          <w:t>https://doi.org/10.1007/BF02478259</w:t>
        </w:r>
      </w:hyperlink>
    </w:p>
    <w:p w14:paraId="4B8E3F86" w14:textId="77777777" w:rsidR="00410AE0" w:rsidRPr="00AC32D4" w:rsidRDefault="00410AE0" w:rsidP="00410AE0">
      <w:pPr>
        <w:pStyle w:val="ListParagraph"/>
        <w:numPr>
          <w:ilvl w:val="0"/>
          <w:numId w:val="6"/>
        </w:numPr>
        <w:rPr>
          <w:rFonts w:cs="Arial"/>
        </w:rPr>
      </w:pPr>
      <w:r w:rsidRPr="00AC32D4">
        <w:rPr>
          <w:rFonts w:cs="Arial"/>
        </w:rPr>
        <w:t xml:space="preserve">Rumelhart, D. E., Hinton, G. E., &amp; Williams, R. J. (1986). Learning representations by back-propagating error. </w:t>
      </w:r>
      <w:r w:rsidRPr="00AC32D4">
        <w:rPr>
          <w:rFonts w:cs="Arial"/>
          <w:i/>
          <w:iCs/>
        </w:rPr>
        <w:t>Nature, 323</w:t>
      </w:r>
      <w:r w:rsidRPr="00AC32D4">
        <w:rPr>
          <w:rFonts w:cs="Arial"/>
        </w:rPr>
        <w:t xml:space="preserve">(6088), 533–536. </w:t>
      </w:r>
      <w:hyperlink r:id="rId13" w:tgtFrame="_new" w:history="1">
        <w:r w:rsidRPr="00AC32D4">
          <w:rPr>
            <w:rStyle w:val="Hyperlink"/>
            <w:rFonts w:cs="Arial"/>
          </w:rPr>
          <w:t>https://www.nature.com/articles/323533a0</w:t>
        </w:r>
      </w:hyperlink>
    </w:p>
    <w:p w14:paraId="603740E8" w14:textId="77777777" w:rsidR="00515E71" w:rsidRPr="00AC32D4" w:rsidRDefault="00515E71" w:rsidP="00515E71">
      <w:pPr>
        <w:pStyle w:val="ListParagraph"/>
        <w:numPr>
          <w:ilvl w:val="0"/>
          <w:numId w:val="6"/>
        </w:numPr>
        <w:rPr>
          <w:rFonts w:cs="Arial"/>
        </w:rPr>
      </w:pPr>
      <w:r w:rsidRPr="00AC32D4">
        <w:rPr>
          <w:rFonts w:cs="Arial"/>
        </w:rPr>
        <w:t xml:space="preserve">LeCun, Y., Bengio, Y., &amp; Hinton, G. (2015). Deep learning. </w:t>
      </w:r>
      <w:r w:rsidRPr="00AC32D4">
        <w:rPr>
          <w:rFonts w:cs="Arial"/>
          <w:i/>
          <w:iCs/>
        </w:rPr>
        <w:t>Nature, 521</w:t>
      </w:r>
      <w:r w:rsidRPr="00AC32D4">
        <w:rPr>
          <w:rFonts w:cs="Arial"/>
        </w:rPr>
        <w:t xml:space="preserve">(7553), 436–444. </w:t>
      </w:r>
      <w:hyperlink r:id="rId14" w:tgtFrame="_new" w:history="1">
        <w:r w:rsidRPr="00AC32D4">
          <w:rPr>
            <w:rStyle w:val="Hyperlink"/>
            <w:rFonts w:cs="Arial"/>
          </w:rPr>
          <w:t>https://www.nature.com/articles/nature14539</w:t>
        </w:r>
      </w:hyperlink>
    </w:p>
    <w:p w14:paraId="645CDF14" w14:textId="77777777" w:rsidR="00FE13C6" w:rsidRPr="00AC32D4" w:rsidRDefault="00FE13C6" w:rsidP="00FE13C6">
      <w:pPr>
        <w:pStyle w:val="ListParagraph"/>
        <w:numPr>
          <w:ilvl w:val="0"/>
          <w:numId w:val="6"/>
        </w:numPr>
        <w:rPr>
          <w:rFonts w:cs="Arial"/>
        </w:rPr>
      </w:pPr>
      <w:r w:rsidRPr="00AC32D4">
        <w:rPr>
          <w:rFonts w:cs="Arial"/>
        </w:rPr>
        <w:t xml:space="preserve">Grefenstette, G. (1999). Tokenization. In H. van Halteren (Ed.), </w:t>
      </w:r>
      <w:r w:rsidRPr="00AC32D4">
        <w:rPr>
          <w:rFonts w:cs="Arial"/>
          <w:i/>
          <w:iCs/>
        </w:rPr>
        <w:t>Syntactic wordclass tagging</w:t>
      </w:r>
      <w:r w:rsidRPr="00AC32D4">
        <w:rPr>
          <w:rFonts w:cs="Arial"/>
        </w:rPr>
        <w:t xml:space="preserve"> (pp. 117–133). Springer. </w:t>
      </w:r>
      <w:hyperlink r:id="rId15" w:history="1">
        <w:r w:rsidRPr="00690064">
          <w:rPr>
            <w:rStyle w:val="Hyperlink"/>
            <w:rFonts w:cs="Arial"/>
          </w:rPr>
          <w:t>https://doi.org/10.1007/978-94-015-9273-4_9</w:t>
        </w:r>
      </w:hyperlink>
      <w:r>
        <w:rPr>
          <w:rFonts w:cs="Arial"/>
        </w:rPr>
        <w:t xml:space="preserve"> </w:t>
      </w:r>
    </w:p>
    <w:p w14:paraId="59E70025" w14:textId="77777777" w:rsidR="00FE13C6" w:rsidRPr="00AC32D4" w:rsidRDefault="00FE13C6" w:rsidP="00FE13C6">
      <w:pPr>
        <w:pStyle w:val="ListParagraph"/>
        <w:numPr>
          <w:ilvl w:val="0"/>
          <w:numId w:val="6"/>
        </w:numPr>
        <w:rPr>
          <w:rFonts w:cs="Arial"/>
        </w:rPr>
      </w:pPr>
      <w:r w:rsidRPr="00AC32D4">
        <w:rPr>
          <w:rFonts w:cs="Arial"/>
        </w:rPr>
        <w:t xml:space="preserve">Hirschberg, J., &amp; Manning, C. D. (2015). Advances in natural language processing. </w:t>
      </w:r>
      <w:r w:rsidRPr="00AC32D4">
        <w:rPr>
          <w:rFonts w:cs="Arial"/>
          <w:i/>
          <w:iCs/>
        </w:rPr>
        <w:t>Science, 349</w:t>
      </w:r>
      <w:r w:rsidRPr="00AC32D4">
        <w:rPr>
          <w:rFonts w:cs="Arial"/>
        </w:rPr>
        <w:t xml:space="preserve">(6245), 261–266. </w:t>
      </w:r>
      <w:hyperlink r:id="rId16" w:tgtFrame="_new" w:history="1">
        <w:r w:rsidRPr="00AC32D4">
          <w:rPr>
            <w:rStyle w:val="Hyperlink"/>
            <w:rFonts w:cs="Arial"/>
          </w:rPr>
          <w:t>https://pubmed.ncbi.nlm.nih.gov/26185244/</w:t>
        </w:r>
      </w:hyperlink>
    </w:p>
    <w:p w14:paraId="0DFD6B47" w14:textId="77777777" w:rsidR="00FE13C6" w:rsidRPr="00AC32D4" w:rsidRDefault="00FE13C6" w:rsidP="00FE13C6">
      <w:pPr>
        <w:pStyle w:val="ListParagraph"/>
        <w:numPr>
          <w:ilvl w:val="0"/>
          <w:numId w:val="6"/>
        </w:numPr>
        <w:rPr>
          <w:rFonts w:cs="Arial"/>
        </w:rPr>
      </w:pPr>
      <w:r w:rsidRPr="00AC32D4">
        <w:rPr>
          <w:rFonts w:cs="Arial"/>
        </w:rPr>
        <w:t xml:space="preserve">DeepLearning.AI. (2023). </w:t>
      </w:r>
      <w:r w:rsidRPr="00AC32D4">
        <w:rPr>
          <w:rFonts w:cs="Arial"/>
          <w:i/>
          <w:iCs/>
        </w:rPr>
        <w:t>A complete guide to natural language processing</w:t>
      </w:r>
      <w:r w:rsidRPr="00AC32D4">
        <w:rPr>
          <w:rFonts w:cs="Arial"/>
        </w:rPr>
        <w:t xml:space="preserve">. </w:t>
      </w:r>
      <w:hyperlink r:id="rId17" w:tgtFrame="_new" w:history="1">
        <w:r w:rsidRPr="00AC32D4">
          <w:rPr>
            <w:rStyle w:val="Hyperlink"/>
            <w:rFonts w:cs="Arial"/>
          </w:rPr>
          <w:t>https://www.deeplearning.ai/resources/natural-language-processing/</w:t>
        </w:r>
      </w:hyperlink>
    </w:p>
    <w:p w14:paraId="5FFA8F10" w14:textId="77777777" w:rsidR="00A156E7" w:rsidRPr="00AC32D4" w:rsidRDefault="00A156E7" w:rsidP="00A156E7">
      <w:pPr>
        <w:pStyle w:val="ListParagraph"/>
        <w:numPr>
          <w:ilvl w:val="0"/>
          <w:numId w:val="6"/>
        </w:numPr>
        <w:rPr>
          <w:rFonts w:cs="Arial"/>
        </w:rPr>
      </w:pPr>
      <w:r w:rsidRPr="00AC32D4">
        <w:rPr>
          <w:rFonts w:cs="Arial"/>
        </w:rPr>
        <w:t xml:space="preserve">Vaswani, A., Shazeer, N., Parmar, N., Uszkoreit, J., Jones, L., Gomez, A. N., Kaiser, L., &amp; Polosukhin, I. (2017). Attention is all you need. </w:t>
      </w:r>
      <w:r w:rsidRPr="00AC32D4">
        <w:rPr>
          <w:rFonts w:cs="Arial"/>
          <w:i/>
          <w:iCs/>
        </w:rPr>
        <w:t>Advances in Neural Information Processing Systems, 30</w:t>
      </w:r>
      <w:r w:rsidRPr="00AC32D4">
        <w:rPr>
          <w:rFonts w:cs="Arial"/>
        </w:rPr>
        <w:t xml:space="preserve">. </w:t>
      </w:r>
      <w:hyperlink r:id="rId18" w:tgtFrame="_new" w:history="1">
        <w:r w:rsidRPr="00AC32D4">
          <w:rPr>
            <w:rStyle w:val="Hyperlink"/>
            <w:rFonts w:cs="Arial"/>
          </w:rPr>
          <w:t>https://proceedings.neurips.cc/paper_files/paper/2017/file/3f5ee243547dee91fbd053c1c4a845aa-Paper.pdf</w:t>
        </w:r>
      </w:hyperlink>
    </w:p>
    <w:p w14:paraId="2F2FE2A4" w14:textId="77777777" w:rsidR="00023F06" w:rsidRPr="00AC32D4" w:rsidRDefault="00023F06" w:rsidP="00023F06">
      <w:pPr>
        <w:pStyle w:val="ListParagraph"/>
        <w:numPr>
          <w:ilvl w:val="0"/>
          <w:numId w:val="6"/>
        </w:numPr>
        <w:rPr>
          <w:rFonts w:cs="Arial"/>
        </w:rPr>
      </w:pPr>
      <w:r w:rsidRPr="00AC32D4">
        <w:rPr>
          <w:rFonts w:cs="Arial"/>
        </w:rPr>
        <w:t xml:space="preserve">Devlin, J., Chang, M.-W., Lee, K., &amp; Toutanova, K. (2019). BERT: Pre-training of deep bidirectional transformers for language understanding. </w:t>
      </w:r>
      <w:r w:rsidRPr="00AC32D4">
        <w:rPr>
          <w:rFonts w:cs="Arial"/>
          <w:i/>
          <w:iCs/>
        </w:rPr>
        <w:t>Proceedings of the 2019 Conference of the North American Chapter of the Association for Computational Linguistics (NAACL-HLT)</w:t>
      </w:r>
      <w:r w:rsidRPr="00AC32D4">
        <w:rPr>
          <w:rFonts w:cs="Arial"/>
        </w:rPr>
        <w:t xml:space="preserve">. </w:t>
      </w:r>
      <w:hyperlink r:id="rId19" w:tgtFrame="_new" w:history="1">
        <w:r w:rsidRPr="00AC32D4">
          <w:rPr>
            <w:rStyle w:val="Hyperlink"/>
            <w:rFonts w:cs="Arial"/>
          </w:rPr>
          <w:t>https://arxiv.org/abs/1810.04805</w:t>
        </w:r>
      </w:hyperlink>
    </w:p>
    <w:p w14:paraId="582AE5D5" w14:textId="77777777" w:rsidR="001568B2" w:rsidRPr="004C320C" w:rsidRDefault="001568B2" w:rsidP="001568B2">
      <w:pPr>
        <w:pStyle w:val="ListParagraph"/>
        <w:numPr>
          <w:ilvl w:val="0"/>
          <w:numId w:val="6"/>
        </w:numPr>
        <w:rPr>
          <w:rFonts w:cs="Arial"/>
        </w:rPr>
      </w:pPr>
      <w:r w:rsidRPr="00AC32D4">
        <w:rPr>
          <w:rFonts w:cs="Arial"/>
        </w:rPr>
        <w:t xml:space="preserve">Lin, T., Wang, Y., Liu, X., &amp; Qiu, Z. (2021). A survey of transformers. </w:t>
      </w:r>
      <w:r w:rsidRPr="00AC32D4">
        <w:rPr>
          <w:rFonts w:cs="Arial"/>
          <w:i/>
          <w:iCs/>
        </w:rPr>
        <w:t>arXiv</w:t>
      </w:r>
      <w:r w:rsidRPr="00AC32D4">
        <w:rPr>
          <w:rFonts w:cs="Arial"/>
        </w:rPr>
        <w:t xml:space="preserve">. </w:t>
      </w:r>
      <w:hyperlink r:id="rId20" w:tgtFrame="_new" w:history="1">
        <w:r w:rsidRPr="00AC32D4">
          <w:rPr>
            <w:rStyle w:val="Hyperlink"/>
            <w:rFonts w:cs="Arial"/>
          </w:rPr>
          <w:t>https://arxiv.org/abs/2106.04554</w:t>
        </w:r>
      </w:hyperlink>
    </w:p>
    <w:p w14:paraId="494FE638" w14:textId="77777777" w:rsidR="004C320C" w:rsidRPr="00AC32D4" w:rsidRDefault="004C320C" w:rsidP="004C320C">
      <w:pPr>
        <w:pStyle w:val="ListParagraph"/>
        <w:numPr>
          <w:ilvl w:val="0"/>
          <w:numId w:val="6"/>
        </w:numPr>
        <w:rPr>
          <w:rFonts w:cs="Arial"/>
        </w:rPr>
      </w:pPr>
      <w:r w:rsidRPr="00AC32D4">
        <w:rPr>
          <w:rFonts w:cs="Arial"/>
        </w:rPr>
        <w:t xml:space="preserve">Schulhoff, S., Ilie, M., Balepur, N., Kahadze, K., Liu, A., Si, C., … Resnik, P. (2024). </w:t>
      </w:r>
      <w:r w:rsidRPr="00AC32D4">
        <w:rPr>
          <w:rFonts w:cs="Arial"/>
          <w:i/>
          <w:iCs/>
        </w:rPr>
        <w:t>The Prompt Report: A systematic survey of prompting techniques</w:t>
      </w:r>
      <w:r w:rsidRPr="00AC32D4">
        <w:rPr>
          <w:rFonts w:cs="Arial"/>
        </w:rPr>
        <w:t xml:space="preserve">. arXiv. </w:t>
      </w:r>
      <w:hyperlink r:id="rId21" w:tgtFrame="_new" w:history="1">
        <w:r w:rsidRPr="00AC32D4">
          <w:rPr>
            <w:rStyle w:val="Hyperlink"/>
            <w:rFonts w:cs="Arial"/>
          </w:rPr>
          <w:t>https://doi.org/10.48550/arXiv.2406.06608</w:t>
        </w:r>
      </w:hyperlink>
    </w:p>
    <w:p w14:paraId="3BD86CD5" w14:textId="77777777" w:rsidR="0080270F" w:rsidRPr="00AC32D4" w:rsidRDefault="0080270F" w:rsidP="0080270F">
      <w:pPr>
        <w:pStyle w:val="ListParagraph"/>
        <w:numPr>
          <w:ilvl w:val="0"/>
          <w:numId w:val="6"/>
        </w:numPr>
        <w:rPr>
          <w:rFonts w:cs="Arial"/>
        </w:rPr>
      </w:pPr>
      <w:r w:rsidRPr="00AC32D4">
        <w:rPr>
          <w:rFonts w:cs="Arial"/>
        </w:rPr>
        <w:t xml:space="preserve">Wei, J., Wang, X., Schuurmans, D., Bosma, M., Ichter, B., Xia, F., Chi, E., Le, Q. V., &amp; Zhou, D. (2022). Chain-of-thought prompting elicits reasoning in large language models. </w:t>
      </w:r>
      <w:r w:rsidRPr="00AC32D4">
        <w:rPr>
          <w:rFonts w:cs="Arial"/>
          <w:i/>
          <w:iCs/>
        </w:rPr>
        <w:t>Advances in Neural Information Processing Systems, 35</w:t>
      </w:r>
      <w:r w:rsidRPr="00AC32D4">
        <w:rPr>
          <w:rFonts w:cs="Arial"/>
        </w:rPr>
        <w:t xml:space="preserve">, 24824–24837. </w:t>
      </w:r>
      <w:hyperlink r:id="rId22" w:tgtFrame="_new" w:history="1">
        <w:r w:rsidRPr="00AC32D4">
          <w:rPr>
            <w:rStyle w:val="Hyperlink"/>
            <w:rFonts w:cs="Arial"/>
          </w:rPr>
          <w:t>https://arxiv.org/abs/2201.11903</w:t>
        </w:r>
      </w:hyperlink>
    </w:p>
    <w:p w14:paraId="1C9569F0" w14:textId="77777777" w:rsidR="00ED3DC7" w:rsidRPr="00AC32D4" w:rsidRDefault="00ED3DC7" w:rsidP="00ED3DC7">
      <w:pPr>
        <w:pStyle w:val="ListParagraph"/>
        <w:numPr>
          <w:ilvl w:val="0"/>
          <w:numId w:val="6"/>
        </w:numPr>
        <w:rPr>
          <w:rFonts w:cs="Arial"/>
        </w:rPr>
      </w:pPr>
      <w:r w:rsidRPr="00AC32D4">
        <w:rPr>
          <w:rFonts w:cs="Arial"/>
        </w:rPr>
        <w:t xml:space="preserve">Wang, W., Dong, L., Cheng, H., Liu, X., Yan, X., Gao, J., &amp; Wei, F. (2023). Augmenting language models with long-term memory. </w:t>
      </w:r>
      <w:r w:rsidRPr="00AC32D4">
        <w:rPr>
          <w:rFonts w:cs="Arial"/>
          <w:i/>
          <w:iCs/>
        </w:rPr>
        <w:t>arXiv</w:t>
      </w:r>
      <w:r w:rsidRPr="00AC32D4">
        <w:rPr>
          <w:rFonts w:cs="Arial"/>
        </w:rPr>
        <w:t xml:space="preserve">. </w:t>
      </w:r>
      <w:hyperlink r:id="rId23" w:tgtFrame="_new" w:history="1">
        <w:r w:rsidRPr="00AC32D4">
          <w:rPr>
            <w:rStyle w:val="Hyperlink"/>
            <w:rFonts w:cs="Arial"/>
          </w:rPr>
          <w:t>https://arxiv.org/abs/2306.07174</w:t>
        </w:r>
      </w:hyperlink>
    </w:p>
    <w:p w14:paraId="2B0DED43" w14:textId="77777777" w:rsidR="00ED3DC7" w:rsidRDefault="00ED3DC7" w:rsidP="00ED3DC7">
      <w:pPr>
        <w:pStyle w:val="ListParagraph"/>
        <w:numPr>
          <w:ilvl w:val="0"/>
          <w:numId w:val="6"/>
        </w:numPr>
        <w:rPr>
          <w:rFonts w:cs="Arial"/>
        </w:rPr>
      </w:pPr>
      <w:r w:rsidRPr="00AC32D4">
        <w:rPr>
          <w:rFonts w:cs="Arial"/>
        </w:rPr>
        <w:t xml:space="preserve">Wang, L., Ma, C., Feng, X., Zhang, Z., Yang, H., Zhang, J., Chen, Z., &amp; others. (2024). A survey on large language model-based autonomous agents. </w:t>
      </w:r>
      <w:r w:rsidRPr="00AC32D4">
        <w:rPr>
          <w:rFonts w:cs="Arial"/>
          <w:i/>
          <w:iCs/>
        </w:rPr>
        <w:lastRenderedPageBreak/>
        <w:t>Frontiers of Computer Science, 18</w:t>
      </w:r>
      <w:r w:rsidRPr="00AC32D4">
        <w:rPr>
          <w:rFonts w:cs="Arial"/>
        </w:rPr>
        <w:t>(6), 186345.</w:t>
      </w:r>
      <w:r>
        <w:rPr>
          <w:rFonts w:cs="Arial"/>
        </w:rPr>
        <w:t xml:space="preserve">  </w:t>
      </w:r>
      <w:hyperlink r:id="rId24" w:history="1">
        <w:r w:rsidRPr="00690064">
          <w:rPr>
            <w:rStyle w:val="Hyperlink"/>
            <w:rFonts w:cs="Arial"/>
          </w:rPr>
          <w:t>https://link.springer.com/content/pdf/10.1007/s11704-024-40231-1.pdf</w:t>
        </w:r>
      </w:hyperlink>
      <w:r>
        <w:rPr>
          <w:rFonts w:cs="Arial"/>
        </w:rPr>
        <w:t xml:space="preserve"> </w:t>
      </w:r>
    </w:p>
    <w:p w14:paraId="073F5BFB" w14:textId="77777777" w:rsidR="00040E64" w:rsidRPr="00AC32D4" w:rsidRDefault="00040E64" w:rsidP="00040E64">
      <w:pPr>
        <w:pStyle w:val="ListParagraph"/>
        <w:numPr>
          <w:ilvl w:val="0"/>
          <w:numId w:val="6"/>
        </w:numPr>
        <w:rPr>
          <w:rFonts w:cs="Arial"/>
        </w:rPr>
      </w:pPr>
      <w:r w:rsidRPr="00AC32D4">
        <w:rPr>
          <w:rFonts w:cs="Arial"/>
        </w:rPr>
        <w:t xml:space="preserve">Engel, G. L. (1977). The need for a new medical model: A challenge for biomedicine. </w:t>
      </w:r>
      <w:r w:rsidRPr="00AC32D4">
        <w:rPr>
          <w:rFonts w:cs="Arial"/>
          <w:i/>
          <w:iCs/>
        </w:rPr>
        <w:t>Science, 196</w:t>
      </w:r>
      <w:r w:rsidRPr="00AC32D4">
        <w:rPr>
          <w:rFonts w:cs="Arial"/>
        </w:rPr>
        <w:t xml:space="preserve">(4286), 129–136. </w:t>
      </w:r>
      <w:hyperlink r:id="rId25" w:tgtFrame="_new" w:history="1">
        <w:r w:rsidRPr="00AC32D4">
          <w:rPr>
            <w:rStyle w:val="Hyperlink"/>
            <w:rFonts w:cs="Arial"/>
          </w:rPr>
          <w:t>https://doi.org/10.1126/science.847460</w:t>
        </w:r>
      </w:hyperlink>
    </w:p>
    <w:p w14:paraId="24B85CE4" w14:textId="77777777" w:rsidR="00040E64" w:rsidRPr="00AC32D4" w:rsidRDefault="00040E64" w:rsidP="00040E64">
      <w:pPr>
        <w:pStyle w:val="ListParagraph"/>
        <w:numPr>
          <w:ilvl w:val="0"/>
          <w:numId w:val="6"/>
        </w:numPr>
        <w:rPr>
          <w:rFonts w:cs="Arial"/>
        </w:rPr>
      </w:pPr>
      <w:r w:rsidRPr="00AC32D4">
        <w:rPr>
          <w:rFonts w:cs="Arial"/>
        </w:rPr>
        <w:t xml:space="preserve">Ben-Shlomo, Y., &amp; Kuh, D. (2002). A life course approach to chronic disease epidemiology: Conceptual models, empirical challenges and interdisciplinary perspectives. </w:t>
      </w:r>
      <w:r w:rsidRPr="00AC32D4">
        <w:rPr>
          <w:rFonts w:cs="Arial"/>
          <w:i/>
          <w:iCs/>
        </w:rPr>
        <w:t>International Journal of Epidemiology, 31</w:t>
      </w:r>
      <w:r w:rsidRPr="00AC32D4">
        <w:rPr>
          <w:rFonts w:cs="Arial"/>
        </w:rPr>
        <w:t xml:space="preserve">(2), 285–293. </w:t>
      </w:r>
      <w:hyperlink r:id="rId26" w:tgtFrame="_new" w:history="1">
        <w:r w:rsidRPr="00AC32D4">
          <w:rPr>
            <w:rStyle w:val="Hyperlink"/>
            <w:rFonts w:cs="Arial"/>
          </w:rPr>
          <w:t>https://doi.org/10.1093/ije/31.2.285</w:t>
        </w:r>
      </w:hyperlink>
    </w:p>
    <w:p w14:paraId="4FD04CDA" w14:textId="77777777" w:rsidR="00040E64" w:rsidRPr="00AC32D4" w:rsidRDefault="00040E64" w:rsidP="00040E64">
      <w:pPr>
        <w:pStyle w:val="ListParagraph"/>
        <w:numPr>
          <w:ilvl w:val="0"/>
          <w:numId w:val="6"/>
        </w:numPr>
        <w:rPr>
          <w:rFonts w:cs="Arial"/>
        </w:rPr>
      </w:pPr>
      <w:r w:rsidRPr="00AC32D4">
        <w:rPr>
          <w:rFonts w:cs="Arial"/>
        </w:rPr>
        <w:t xml:space="preserve">Krieger, N. (2005). Embodiment: A conceptual glossary for epidemiology. </w:t>
      </w:r>
      <w:r w:rsidRPr="00AC32D4">
        <w:rPr>
          <w:rFonts w:cs="Arial"/>
          <w:i/>
          <w:iCs/>
        </w:rPr>
        <w:t>Journal of Epidemiology &amp; Community Health, 59</w:t>
      </w:r>
      <w:r w:rsidRPr="00AC32D4">
        <w:rPr>
          <w:rFonts w:cs="Arial"/>
        </w:rPr>
        <w:t xml:space="preserve">(5), 350–355. </w:t>
      </w:r>
      <w:hyperlink r:id="rId27" w:tgtFrame="_new" w:history="1">
        <w:r w:rsidRPr="00AC32D4">
          <w:rPr>
            <w:rStyle w:val="Hyperlink"/>
            <w:rFonts w:cs="Arial"/>
          </w:rPr>
          <w:t>https://doi.org/10.1136/jech.2004.024562</w:t>
        </w:r>
      </w:hyperlink>
    </w:p>
    <w:p w14:paraId="05211F9D" w14:textId="77777777" w:rsidR="00040E64" w:rsidRPr="00AC32D4" w:rsidRDefault="00040E64" w:rsidP="00040E64">
      <w:pPr>
        <w:pStyle w:val="ListParagraph"/>
        <w:numPr>
          <w:ilvl w:val="0"/>
          <w:numId w:val="6"/>
        </w:numPr>
        <w:rPr>
          <w:rFonts w:cs="Arial"/>
        </w:rPr>
      </w:pPr>
      <w:r w:rsidRPr="00AC32D4">
        <w:rPr>
          <w:rFonts w:cs="Arial"/>
        </w:rPr>
        <w:t xml:space="preserve">Wild, C. P. (2005). Complementing the genome with an “exposome”: The outstanding challenge of environmental exposure measurement in molecular epidemiology. </w:t>
      </w:r>
      <w:r w:rsidRPr="00AC32D4">
        <w:rPr>
          <w:rFonts w:cs="Arial"/>
          <w:i/>
          <w:iCs/>
        </w:rPr>
        <w:t>Cancer Epidemiology, Biomarkers &amp; Prevention, 14</w:t>
      </w:r>
      <w:r w:rsidRPr="00AC32D4">
        <w:rPr>
          <w:rFonts w:cs="Arial"/>
        </w:rPr>
        <w:t xml:space="preserve">(8), 1847–1850. </w:t>
      </w:r>
      <w:hyperlink r:id="rId28" w:tgtFrame="_new" w:history="1">
        <w:r w:rsidRPr="00AC32D4">
          <w:rPr>
            <w:rStyle w:val="Hyperlink"/>
            <w:rFonts w:cs="Arial"/>
          </w:rPr>
          <w:t>https://doi.org/10.1158/1055-9965.EPI-05-0456</w:t>
        </w:r>
      </w:hyperlink>
    </w:p>
    <w:p w14:paraId="19CD183F" w14:textId="77777777" w:rsidR="000D59C8" w:rsidRPr="00AC32D4" w:rsidRDefault="000D59C8" w:rsidP="000D59C8">
      <w:pPr>
        <w:pStyle w:val="ListParagraph"/>
        <w:numPr>
          <w:ilvl w:val="0"/>
          <w:numId w:val="6"/>
        </w:numPr>
        <w:rPr>
          <w:rFonts w:cs="Arial"/>
        </w:rPr>
      </w:pPr>
      <w:r w:rsidRPr="00AC32D4">
        <w:rPr>
          <w:rFonts w:cs="Arial"/>
        </w:rPr>
        <w:t xml:space="preserve">Vineis, P., Robinson, O., Chadeau-Hyam, M., Dehghan, A., Mudway, I., &amp; Dagnino, S. (2020). What is new in the exposome? </w:t>
      </w:r>
      <w:r w:rsidRPr="00AC32D4">
        <w:rPr>
          <w:rFonts w:cs="Arial"/>
          <w:i/>
          <w:iCs/>
        </w:rPr>
        <w:t>Environment International, 143</w:t>
      </w:r>
      <w:r w:rsidRPr="00AC32D4">
        <w:rPr>
          <w:rFonts w:cs="Arial"/>
        </w:rPr>
        <w:t xml:space="preserve">, 105887. </w:t>
      </w:r>
      <w:hyperlink r:id="rId29" w:tgtFrame="_new" w:history="1">
        <w:r w:rsidRPr="00AC32D4">
          <w:rPr>
            <w:rStyle w:val="Hyperlink"/>
            <w:rFonts w:cs="Arial"/>
          </w:rPr>
          <w:t>https://doi.org/10.1016/j.envint.2020.105887</w:t>
        </w:r>
      </w:hyperlink>
    </w:p>
    <w:p w14:paraId="0991E4D1" w14:textId="77777777" w:rsidR="00E00244" w:rsidRPr="00AC32D4" w:rsidRDefault="00E00244" w:rsidP="00E00244">
      <w:pPr>
        <w:pStyle w:val="ListParagraph"/>
        <w:numPr>
          <w:ilvl w:val="0"/>
          <w:numId w:val="6"/>
        </w:numPr>
        <w:rPr>
          <w:rFonts w:cs="Arial"/>
        </w:rPr>
      </w:pPr>
      <w:r w:rsidRPr="00AC32D4">
        <w:rPr>
          <w:rFonts w:cs="Arial"/>
        </w:rPr>
        <w:t xml:space="preserve">Hevner, A. R., March, S. T., Park, J., &amp; Ram, S. (2004). Design science in information systems research. </w:t>
      </w:r>
      <w:r w:rsidRPr="00AC32D4">
        <w:rPr>
          <w:rFonts w:cs="Arial"/>
          <w:i/>
          <w:iCs/>
        </w:rPr>
        <w:t>MIS Quarterly, 28</w:t>
      </w:r>
      <w:r w:rsidRPr="00AC32D4">
        <w:rPr>
          <w:rFonts w:cs="Arial"/>
        </w:rPr>
        <w:t xml:space="preserve">(1), 75–105. </w:t>
      </w:r>
      <w:hyperlink r:id="rId30" w:tgtFrame="_new" w:history="1">
        <w:r w:rsidRPr="00AC32D4">
          <w:rPr>
            <w:rStyle w:val="Hyperlink"/>
            <w:rFonts w:cs="Arial"/>
          </w:rPr>
          <w:t>https://www.jstor.org/stable/25148625</w:t>
        </w:r>
      </w:hyperlink>
    </w:p>
    <w:p w14:paraId="3D03DFB3" w14:textId="77777777" w:rsidR="00E00244" w:rsidRPr="00AC32D4" w:rsidRDefault="00E00244" w:rsidP="00E00244">
      <w:pPr>
        <w:pStyle w:val="ListParagraph"/>
        <w:numPr>
          <w:ilvl w:val="0"/>
          <w:numId w:val="6"/>
        </w:numPr>
        <w:rPr>
          <w:rFonts w:cs="Arial"/>
        </w:rPr>
      </w:pPr>
      <w:r w:rsidRPr="00AC32D4">
        <w:rPr>
          <w:rFonts w:cs="Arial"/>
        </w:rPr>
        <w:t xml:space="preserve">Gregor, S., &amp; Hevner, A. R. (2013). Positioning and presenting design science research for maximum impact. </w:t>
      </w:r>
      <w:r w:rsidRPr="00AC32D4">
        <w:rPr>
          <w:rFonts w:cs="Arial"/>
          <w:i/>
          <w:iCs/>
        </w:rPr>
        <w:t>MIS Quarterly, 37</w:t>
      </w:r>
      <w:r w:rsidRPr="00AC32D4">
        <w:rPr>
          <w:rFonts w:cs="Arial"/>
        </w:rPr>
        <w:t xml:space="preserve">(2), 337–355. </w:t>
      </w:r>
      <w:hyperlink r:id="rId31" w:tgtFrame="_new" w:history="1">
        <w:r w:rsidRPr="00AC32D4">
          <w:rPr>
            <w:rStyle w:val="Hyperlink"/>
            <w:rFonts w:cs="Arial"/>
          </w:rPr>
          <w:t>https://doi.org/10.25300/MISQ/2013/37.2.01</w:t>
        </w:r>
      </w:hyperlink>
    </w:p>
    <w:p w14:paraId="4F2137A7" w14:textId="77777777" w:rsidR="004240F0" w:rsidRPr="00AC32D4" w:rsidRDefault="004240F0" w:rsidP="004240F0">
      <w:pPr>
        <w:pStyle w:val="ListParagraph"/>
        <w:numPr>
          <w:ilvl w:val="0"/>
          <w:numId w:val="6"/>
        </w:numPr>
        <w:rPr>
          <w:rFonts w:cs="Arial"/>
        </w:rPr>
      </w:pPr>
      <w:r w:rsidRPr="00AC32D4">
        <w:rPr>
          <w:rFonts w:cs="Arial"/>
        </w:rPr>
        <w:t xml:space="preserve">Marmot, M. G., Bosma, H., Hemingway, H., Brunner, E., &amp; Stansfeld, S. (1997). Contribution of job control and other risk factors to social variations in coronary heart disease incidence. </w:t>
      </w:r>
      <w:r w:rsidRPr="00AC32D4">
        <w:rPr>
          <w:rFonts w:cs="Arial"/>
          <w:i/>
          <w:iCs/>
        </w:rPr>
        <w:t>The Lancet, 350</w:t>
      </w:r>
      <w:r w:rsidRPr="00AC32D4">
        <w:rPr>
          <w:rFonts w:cs="Arial"/>
        </w:rPr>
        <w:t xml:space="preserve">(9073), 235–239. </w:t>
      </w:r>
      <w:hyperlink r:id="rId32" w:tgtFrame="_new" w:history="1">
        <w:r w:rsidRPr="00AC32D4">
          <w:rPr>
            <w:rStyle w:val="Hyperlink"/>
            <w:rFonts w:cs="Arial"/>
          </w:rPr>
          <w:t>https://doi.org/10.1016/S0140-6736(97)04244-X</w:t>
        </w:r>
      </w:hyperlink>
    </w:p>
    <w:p w14:paraId="4860DA4F" w14:textId="77777777" w:rsidR="004240F0" w:rsidRPr="00AC32D4" w:rsidRDefault="004240F0" w:rsidP="004240F0">
      <w:pPr>
        <w:pStyle w:val="ListParagraph"/>
        <w:numPr>
          <w:ilvl w:val="0"/>
          <w:numId w:val="6"/>
        </w:numPr>
        <w:rPr>
          <w:rFonts w:cs="Arial"/>
        </w:rPr>
      </w:pPr>
      <w:r w:rsidRPr="00AC32D4">
        <w:rPr>
          <w:rFonts w:cs="Arial"/>
        </w:rPr>
        <w:t xml:space="preserve">Stringhini, S., Carmeli, C., Jokela, M., Avendano, M., Muennig, P., Guida, F., … Stringhini, S. (2017). Socioeconomic status and the 25 × 25 risk factors as determinants of premature mortality: A multicohort study. </w:t>
      </w:r>
      <w:r w:rsidRPr="00AC32D4">
        <w:rPr>
          <w:rFonts w:cs="Arial"/>
          <w:i/>
          <w:iCs/>
        </w:rPr>
        <w:t>The Lancet, 389</w:t>
      </w:r>
      <w:r w:rsidRPr="00AC32D4">
        <w:rPr>
          <w:rFonts w:cs="Arial"/>
        </w:rPr>
        <w:t xml:space="preserve">(10075), 1229–1237. </w:t>
      </w:r>
      <w:hyperlink r:id="rId33" w:tgtFrame="_new" w:history="1">
        <w:r w:rsidRPr="00AC32D4">
          <w:rPr>
            <w:rStyle w:val="Hyperlink"/>
            <w:rFonts w:cs="Arial"/>
          </w:rPr>
          <w:t>https://doi.org/10.1016/S0140-6736(16)32380-7</w:t>
        </w:r>
      </w:hyperlink>
    </w:p>
    <w:p w14:paraId="141600D3" w14:textId="77777777" w:rsidR="00E77844" w:rsidRPr="00AC32D4" w:rsidRDefault="00E77844" w:rsidP="00E77844">
      <w:pPr>
        <w:pStyle w:val="ListParagraph"/>
        <w:numPr>
          <w:ilvl w:val="0"/>
          <w:numId w:val="6"/>
        </w:numPr>
        <w:rPr>
          <w:rFonts w:cs="Arial"/>
        </w:rPr>
      </w:pPr>
      <w:r w:rsidRPr="00AC32D4">
        <w:rPr>
          <w:rFonts w:cs="Arial"/>
        </w:rPr>
        <w:t xml:space="preserve">VanderWeele, T. J. (2015). </w:t>
      </w:r>
      <w:r w:rsidRPr="00AC32D4">
        <w:rPr>
          <w:rFonts w:cs="Arial"/>
          <w:i/>
          <w:iCs/>
        </w:rPr>
        <w:t>Explanation in causal inference: Methods for mediation and interaction</w:t>
      </w:r>
      <w:r w:rsidRPr="00AC32D4">
        <w:rPr>
          <w:rFonts w:cs="Arial"/>
        </w:rPr>
        <w:t>. Oxford University Press.</w:t>
      </w:r>
    </w:p>
    <w:p w14:paraId="5212D915" w14:textId="77777777" w:rsidR="00066465" w:rsidRPr="00AC32D4" w:rsidRDefault="00066465" w:rsidP="00066465">
      <w:pPr>
        <w:pStyle w:val="ListParagraph"/>
        <w:numPr>
          <w:ilvl w:val="0"/>
          <w:numId w:val="6"/>
        </w:numPr>
        <w:rPr>
          <w:rFonts w:cs="Arial"/>
        </w:rPr>
      </w:pPr>
      <w:r w:rsidRPr="00AC32D4">
        <w:rPr>
          <w:rFonts w:cs="Arial"/>
        </w:rPr>
        <w:t xml:space="preserve">Lewis, P., Perez, E., Piktus, A., Petroni, F., Karpukhin, V., Goyal, N., Küttler, H., Lewis, M., Yih, W.-T., Rocktäschel, T., Riedel, S., &amp; Kiela, D. (2020). Retrieval-augmented generation for knowledge-intensive NLP tasks. </w:t>
      </w:r>
      <w:r w:rsidRPr="00AC32D4">
        <w:rPr>
          <w:rFonts w:cs="Arial"/>
          <w:i/>
          <w:iCs/>
        </w:rPr>
        <w:t>arXiv</w:t>
      </w:r>
      <w:r w:rsidRPr="00AC32D4">
        <w:rPr>
          <w:rFonts w:cs="Arial"/>
        </w:rPr>
        <w:t xml:space="preserve">. </w:t>
      </w:r>
      <w:hyperlink r:id="rId34" w:tgtFrame="_new" w:history="1">
        <w:r w:rsidRPr="00AC32D4">
          <w:rPr>
            <w:rStyle w:val="Hyperlink"/>
            <w:rFonts w:cs="Arial"/>
          </w:rPr>
          <w:t>https://arxiv.org/abs/2005.11401</w:t>
        </w:r>
      </w:hyperlink>
    </w:p>
    <w:p w14:paraId="7DCDC5FA" w14:textId="77777777" w:rsidR="00884CDE" w:rsidRPr="00AC32D4" w:rsidRDefault="00884CDE" w:rsidP="00884CDE">
      <w:pPr>
        <w:pStyle w:val="ListParagraph"/>
        <w:numPr>
          <w:ilvl w:val="0"/>
          <w:numId w:val="6"/>
        </w:numPr>
        <w:rPr>
          <w:rFonts w:cs="Arial"/>
        </w:rPr>
      </w:pPr>
      <w:r w:rsidRPr="00AC32D4">
        <w:rPr>
          <w:rFonts w:cs="Arial"/>
        </w:rPr>
        <w:t xml:space="preserve">Chen, Y., Wang, Z., Xing, X., Xu, Z., Fang, K., Wang, J., … Xu, X. (2023). Bianque: Balancing the questioning and suggestion ability of health LLMs with multi-turn health conversations polished by ChatGPT. </w:t>
      </w:r>
      <w:r w:rsidRPr="00AC32D4">
        <w:rPr>
          <w:rFonts w:cs="Arial"/>
          <w:i/>
          <w:iCs/>
        </w:rPr>
        <w:t>arXiv</w:t>
      </w:r>
      <w:r w:rsidRPr="00AC32D4">
        <w:rPr>
          <w:rFonts w:cs="Arial"/>
        </w:rPr>
        <w:t xml:space="preserve">. </w:t>
      </w:r>
      <w:hyperlink r:id="rId35" w:history="1">
        <w:r w:rsidRPr="00690064">
          <w:rPr>
            <w:rStyle w:val="Hyperlink"/>
            <w:rFonts w:cs="Arial"/>
          </w:rPr>
          <w:t>https://arxiv.org/abs/2310.15896</w:t>
        </w:r>
      </w:hyperlink>
      <w:r>
        <w:rPr>
          <w:rFonts w:cs="Arial"/>
        </w:rPr>
        <w:t xml:space="preserve"> </w:t>
      </w:r>
    </w:p>
    <w:p w14:paraId="5A3101BA" w14:textId="77777777" w:rsidR="00884CDE" w:rsidRPr="00AC32D4" w:rsidRDefault="00884CDE" w:rsidP="00884CDE">
      <w:pPr>
        <w:pStyle w:val="ListParagraph"/>
        <w:numPr>
          <w:ilvl w:val="0"/>
          <w:numId w:val="6"/>
        </w:numPr>
        <w:rPr>
          <w:rFonts w:cs="Arial"/>
        </w:rPr>
      </w:pPr>
      <w:r w:rsidRPr="00AC32D4">
        <w:rPr>
          <w:rFonts w:cs="Arial"/>
        </w:rPr>
        <w:lastRenderedPageBreak/>
        <w:t xml:space="preserve">Wang, Z., Li, H., Huang, D., Kim, H. S., Shin, C. W., &amp; Rahmani, A. M. (2025). HealthQ: Unveiling questioning capabilities of LLM chains in healthcare conversations. </w:t>
      </w:r>
      <w:r w:rsidRPr="00AC32D4">
        <w:rPr>
          <w:rFonts w:cs="Arial"/>
          <w:i/>
          <w:iCs/>
        </w:rPr>
        <w:t>Smart Health</w:t>
      </w:r>
      <w:r w:rsidRPr="00AC32D4">
        <w:rPr>
          <w:rFonts w:cs="Arial"/>
        </w:rPr>
        <w:t xml:space="preserve">, 100570. </w:t>
      </w:r>
      <w:hyperlink r:id="rId36" w:tgtFrame="_new" w:history="1">
        <w:r w:rsidRPr="00AC32D4">
          <w:rPr>
            <w:rStyle w:val="Hyperlink"/>
            <w:rFonts w:cs="Arial"/>
          </w:rPr>
          <w:t>https://www.sciencedirect.com/science/article/pii/S2352648325000315</w:t>
        </w:r>
      </w:hyperlink>
    </w:p>
    <w:p w14:paraId="5249757D" w14:textId="77777777" w:rsidR="002A3B86" w:rsidRPr="00AC32D4" w:rsidRDefault="002A3B86" w:rsidP="00884CDE">
      <w:pPr>
        <w:pStyle w:val="ListParagraph"/>
        <w:rPr>
          <w:rFonts w:cs="Arial"/>
        </w:rPr>
      </w:pPr>
    </w:p>
    <w:p w14:paraId="0B9A62A1" w14:textId="77777777" w:rsidR="007F6F14" w:rsidRPr="00645A22" w:rsidRDefault="007F6F14" w:rsidP="00AA3BF2">
      <w:pPr>
        <w:rPr>
          <w:rFonts w:cs="Arial"/>
          <w:b/>
          <w:bCs/>
          <w:sz w:val="28"/>
          <w:szCs w:val="28"/>
        </w:rPr>
      </w:pPr>
    </w:p>
    <w:p w14:paraId="6DE21676" w14:textId="77777777" w:rsidR="00AA3BF2" w:rsidRPr="00C01A73" w:rsidRDefault="00AA3BF2"/>
    <w:sectPr w:rsidR="00AA3BF2" w:rsidRPr="00C01A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098A"/>
    <w:multiLevelType w:val="hybridMultilevel"/>
    <w:tmpl w:val="493A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64495"/>
    <w:multiLevelType w:val="multilevel"/>
    <w:tmpl w:val="7A3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F288C"/>
    <w:multiLevelType w:val="hybridMultilevel"/>
    <w:tmpl w:val="6478B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D7439E"/>
    <w:multiLevelType w:val="multilevel"/>
    <w:tmpl w:val="72BA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B2B46"/>
    <w:multiLevelType w:val="multilevel"/>
    <w:tmpl w:val="CB9E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9F5D06"/>
    <w:multiLevelType w:val="multilevel"/>
    <w:tmpl w:val="EF5C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169077">
    <w:abstractNumId w:val="4"/>
  </w:num>
  <w:num w:numId="2" w16cid:durableId="1646004689">
    <w:abstractNumId w:val="5"/>
  </w:num>
  <w:num w:numId="3" w16cid:durableId="1695770034">
    <w:abstractNumId w:val="1"/>
  </w:num>
  <w:num w:numId="4" w16cid:durableId="1783766066">
    <w:abstractNumId w:val="3"/>
  </w:num>
  <w:num w:numId="5" w16cid:durableId="1348827087">
    <w:abstractNumId w:val="0"/>
  </w:num>
  <w:num w:numId="6" w16cid:durableId="552891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F2"/>
    <w:rsid w:val="00023F06"/>
    <w:rsid w:val="00040E64"/>
    <w:rsid w:val="00066465"/>
    <w:rsid w:val="000D59C8"/>
    <w:rsid w:val="00111D90"/>
    <w:rsid w:val="001568B2"/>
    <w:rsid w:val="001648B2"/>
    <w:rsid w:val="002330AA"/>
    <w:rsid w:val="002A1282"/>
    <w:rsid w:val="002A3B86"/>
    <w:rsid w:val="002C6DD6"/>
    <w:rsid w:val="003C6134"/>
    <w:rsid w:val="003F4F9D"/>
    <w:rsid w:val="00410AE0"/>
    <w:rsid w:val="004240F0"/>
    <w:rsid w:val="004C320C"/>
    <w:rsid w:val="00515E71"/>
    <w:rsid w:val="0062375A"/>
    <w:rsid w:val="006240A2"/>
    <w:rsid w:val="00645A22"/>
    <w:rsid w:val="006A1269"/>
    <w:rsid w:val="007763DA"/>
    <w:rsid w:val="007847DE"/>
    <w:rsid w:val="007C1E80"/>
    <w:rsid w:val="007F6F14"/>
    <w:rsid w:val="0080270F"/>
    <w:rsid w:val="00884CDE"/>
    <w:rsid w:val="009E5065"/>
    <w:rsid w:val="00A156E7"/>
    <w:rsid w:val="00A9537B"/>
    <w:rsid w:val="00AA3BF2"/>
    <w:rsid w:val="00AD4DB0"/>
    <w:rsid w:val="00B003F7"/>
    <w:rsid w:val="00B71885"/>
    <w:rsid w:val="00C01A73"/>
    <w:rsid w:val="00C716DE"/>
    <w:rsid w:val="00C97DB5"/>
    <w:rsid w:val="00D4364E"/>
    <w:rsid w:val="00E00244"/>
    <w:rsid w:val="00E77844"/>
    <w:rsid w:val="00ED3DC7"/>
    <w:rsid w:val="00EF0508"/>
    <w:rsid w:val="00FE1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5456"/>
  <w15:chartTrackingRefBased/>
  <w15:docId w15:val="{C0271395-7AC2-4AE2-974C-77DEC735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F2"/>
    <w:rPr>
      <w:rFonts w:ascii="Arial" w:hAnsi="Arial"/>
    </w:rPr>
  </w:style>
  <w:style w:type="paragraph" w:styleId="Heading1">
    <w:name w:val="heading 1"/>
    <w:basedOn w:val="Normal"/>
    <w:next w:val="Normal"/>
    <w:link w:val="Heading1Char"/>
    <w:uiPriority w:val="9"/>
    <w:qFormat/>
    <w:rsid w:val="00AA3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3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3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3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3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BF2"/>
    <w:rPr>
      <w:rFonts w:eastAsiaTheme="majorEastAsia" w:cstheme="majorBidi"/>
      <w:color w:val="272727" w:themeColor="text1" w:themeTint="D8"/>
    </w:rPr>
  </w:style>
  <w:style w:type="paragraph" w:styleId="Title">
    <w:name w:val="Title"/>
    <w:basedOn w:val="Normal"/>
    <w:next w:val="Normal"/>
    <w:link w:val="TitleChar"/>
    <w:uiPriority w:val="10"/>
    <w:qFormat/>
    <w:rsid w:val="00AA3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BF2"/>
    <w:pPr>
      <w:spacing w:before="160"/>
      <w:jc w:val="center"/>
    </w:pPr>
    <w:rPr>
      <w:i/>
      <w:iCs/>
      <w:color w:val="404040" w:themeColor="text1" w:themeTint="BF"/>
    </w:rPr>
  </w:style>
  <w:style w:type="character" w:customStyle="1" w:styleId="QuoteChar">
    <w:name w:val="Quote Char"/>
    <w:basedOn w:val="DefaultParagraphFont"/>
    <w:link w:val="Quote"/>
    <w:uiPriority w:val="29"/>
    <w:rsid w:val="00AA3BF2"/>
    <w:rPr>
      <w:i/>
      <w:iCs/>
      <w:color w:val="404040" w:themeColor="text1" w:themeTint="BF"/>
    </w:rPr>
  </w:style>
  <w:style w:type="paragraph" w:styleId="ListParagraph">
    <w:name w:val="List Paragraph"/>
    <w:basedOn w:val="Normal"/>
    <w:uiPriority w:val="34"/>
    <w:qFormat/>
    <w:rsid w:val="00AA3BF2"/>
    <w:pPr>
      <w:ind w:left="720"/>
      <w:contextualSpacing/>
    </w:pPr>
  </w:style>
  <w:style w:type="character" w:styleId="IntenseEmphasis">
    <w:name w:val="Intense Emphasis"/>
    <w:basedOn w:val="DefaultParagraphFont"/>
    <w:uiPriority w:val="21"/>
    <w:qFormat/>
    <w:rsid w:val="00AA3BF2"/>
    <w:rPr>
      <w:i/>
      <w:iCs/>
      <w:color w:val="0F4761" w:themeColor="accent1" w:themeShade="BF"/>
    </w:rPr>
  </w:style>
  <w:style w:type="paragraph" w:styleId="IntenseQuote">
    <w:name w:val="Intense Quote"/>
    <w:basedOn w:val="Normal"/>
    <w:next w:val="Normal"/>
    <w:link w:val="IntenseQuoteChar"/>
    <w:uiPriority w:val="30"/>
    <w:qFormat/>
    <w:rsid w:val="00AA3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BF2"/>
    <w:rPr>
      <w:i/>
      <w:iCs/>
      <w:color w:val="0F4761" w:themeColor="accent1" w:themeShade="BF"/>
    </w:rPr>
  </w:style>
  <w:style w:type="character" w:styleId="IntenseReference">
    <w:name w:val="Intense Reference"/>
    <w:basedOn w:val="DefaultParagraphFont"/>
    <w:uiPriority w:val="32"/>
    <w:qFormat/>
    <w:rsid w:val="00AA3BF2"/>
    <w:rPr>
      <w:b/>
      <w:bCs/>
      <w:smallCaps/>
      <w:color w:val="0F4761" w:themeColor="accent1" w:themeShade="BF"/>
      <w:spacing w:val="5"/>
    </w:rPr>
  </w:style>
  <w:style w:type="table" w:styleId="TableGrid">
    <w:name w:val="Table Grid"/>
    <w:basedOn w:val="TableNormal"/>
    <w:uiPriority w:val="39"/>
    <w:rsid w:val="00AA3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F14"/>
    <w:rPr>
      <w:color w:val="467886" w:themeColor="hyperlink"/>
      <w:u w:val="single"/>
    </w:rPr>
  </w:style>
  <w:style w:type="paragraph" w:styleId="Revision">
    <w:name w:val="Revision"/>
    <w:hidden/>
    <w:uiPriority w:val="99"/>
    <w:semiHidden/>
    <w:rsid w:val="00C97DB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ure.com/articles/323533a0" TargetMode="External"/><Relationship Id="rId18" Type="http://schemas.openxmlformats.org/officeDocument/2006/relationships/hyperlink" Target="https://proceedings.neurips.cc/paper_files/paper/2017/file/3f5ee243547dee91fbd053c1c4a845aa-Paper.pdf" TargetMode="External"/><Relationship Id="rId26" Type="http://schemas.openxmlformats.org/officeDocument/2006/relationships/hyperlink" Target="https://doi.org/10.1093/ije/31.2.285" TargetMode="External"/><Relationship Id="rId21" Type="http://schemas.openxmlformats.org/officeDocument/2006/relationships/hyperlink" Target="https://doi.org/10.48550/arXiv.2406.06608" TargetMode="External"/><Relationship Id="rId34" Type="http://schemas.openxmlformats.org/officeDocument/2006/relationships/hyperlink" Target="https://arxiv.org/abs/2005.11401" TargetMode="External"/><Relationship Id="rId7" Type="http://schemas.openxmlformats.org/officeDocument/2006/relationships/hyperlink" Target="https://doi.org/10.2196/33720" TargetMode="External"/><Relationship Id="rId12" Type="http://schemas.openxmlformats.org/officeDocument/2006/relationships/hyperlink" Target="https://doi.org/10.1007/BF02478259" TargetMode="External"/><Relationship Id="rId17" Type="http://schemas.openxmlformats.org/officeDocument/2006/relationships/hyperlink" Target="https://www.deeplearning.ai/resources/natural-language-processing/" TargetMode="External"/><Relationship Id="rId25" Type="http://schemas.openxmlformats.org/officeDocument/2006/relationships/hyperlink" Target="https://doi.org/10.1126/science.847460" TargetMode="External"/><Relationship Id="rId33" Type="http://schemas.openxmlformats.org/officeDocument/2006/relationships/hyperlink" Target="https://doi.org/10.1016/S0140-6736(16)32380-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med.ncbi.nlm.nih.gov/26185244/" TargetMode="External"/><Relationship Id="rId20" Type="http://schemas.openxmlformats.org/officeDocument/2006/relationships/hyperlink" Target="https://arxiv.org/abs/2106.04554" TargetMode="External"/><Relationship Id="rId29" Type="http://schemas.openxmlformats.org/officeDocument/2006/relationships/hyperlink" Target="https://doi.org/10.1016/j.envint.2020.105887" TargetMode="External"/><Relationship Id="rId1" Type="http://schemas.openxmlformats.org/officeDocument/2006/relationships/numbering" Target="numbering.xml"/><Relationship Id="rId6" Type="http://schemas.openxmlformats.org/officeDocument/2006/relationships/hyperlink" Target="https://doi.org/10.2196/57237" TargetMode="External"/><Relationship Id="rId11" Type="http://schemas.openxmlformats.org/officeDocument/2006/relationships/hyperlink" Target="https://rpradeepmenon.medium.com/introduction-to-large-language-models-and-the-transformer-architecture-534408ed7e61" TargetMode="External"/><Relationship Id="rId24" Type="http://schemas.openxmlformats.org/officeDocument/2006/relationships/hyperlink" Target="https://link.springer.com/content/pdf/10.1007/s11704-024-40231-1.pdf" TargetMode="External"/><Relationship Id="rId32" Type="http://schemas.openxmlformats.org/officeDocument/2006/relationships/hyperlink" Target="https://doi.org/10.1016/S0140-6736(97)04244-X" TargetMode="External"/><Relationship Id="rId37" Type="http://schemas.openxmlformats.org/officeDocument/2006/relationships/fontTable" Target="fontTable.xml"/><Relationship Id="rId5" Type="http://schemas.openxmlformats.org/officeDocument/2006/relationships/hyperlink" Target="https://doi.org/10.2139/ssrn.6033536" TargetMode="External"/><Relationship Id="rId15" Type="http://schemas.openxmlformats.org/officeDocument/2006/relationships/hyperlink" Target="https://doi.org/10.1007/978-94-015-9273-4_9" TargetMode="External"/><Relationship Id="rId23" Type="http://schemas.openxmlformats.org/officeDocument/2006/relationships/hyperlink" Target="https://arxiv.org/abs/2306.07174" TargetMode="External"/><Relationship Id="rId28" Type="http://schemas.openxmlformats.org/officeDocument/2006/relationships/hyperlink" Target="https://doi.org/10.1158/1055-9965.EPI-05-0456" TargetMode="External"/><Relationship Id="rId36" Type="http://schemas.openxmlformats.org/officeDocument/2006/relationships/hyperlink" Target="https://www.sciencedirect.com/science/article/pii/S2352648325000315" TargetMode="External"/><Relationship Id="rId10" Type="http://schemas.openxmlformats.org/officeDocument/2006/relationships/hyperlink" Target="https://assets.publishing.service.gov.uk/media/624ea0ade90e072a014d508a/goldacre-review-using-health-data-for-research-and-analysis.pdf" TargetMode="External"/><Relationship Id="rId19" Type="http://schemas.openxmlformats.org/officeDocument/2006/relationships/hyperlink" Target="https://arxiv.org/abs/1810.04805" TargetMode="External"/><Relationship Id="rId31" Type="http://schemas.openxmlformats.org/officeDocument/2006/relationships/hyperlink" Target="https://doi.org/10.25300/MISQ/2013/37.2.01" TargetMode="External"/><Relationship Id="rId4" Type="http://schemas.openxmlformats.org/officeDocument/2006/relationships/webSettings" Target="webSettings.xml"/><Relationship Id="rId9" Type="http://schemas.openxmlformats.org/officeDocument/2006/relationships/hyperlink" Target="https://doi.org/10.3389/fpubh.2024.1522673" TargetMode="External"/><Relationship Id="rId14" Type="http://schemas.openxmlformats.org/officeDocument/2006/relationships/hyperlink" Target="https://www.nature.com/articles/nature14539" TargetMode="External"/><Relationship Id="rId22" Type="http://schemas.openxmlformats.org/officeDocument/2006/relationships/hyperlink" Target="https://arxiv.org/abs/2201.11903" TargetMode="External"/><Relationship Id="rId27" Type="http://schemas.openxmlformats.org/officeDocument/2006/relationships/hyperlink" Target="https://doi.org/10.1136/jech.2004.024562" TargetMode="External"/><Relationship Id="rId30" Type="http://schemas.openxmlformats.org/officeDocument/2006/relationships/hyperlink" Target="https://www.jstor.org/stable/25148625" TargetMode="External"/><Relationship Id="rId35" Type="http://schemas.openxmlformats.org/officeDocument/2006/relationships/hyperlink" Target="https://arxiv.org/abs/2310.15896" TargetMode="External"/><Relationship Id="rId8" Type="http://schemas.openxmlformats.org/officeDocument/2006/relationships/hyperlink" Target="https://doi.org/10.2139/ssrn.521803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93</TotalTime>
  <Pages>14</Pages>
  <Words>3743</Words>
  <Characters>22871</Characters>
  <Application>Microsoft Office Word</Application>
  <DocSecurity>0</DocSecurity>
  <Lines>816</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Nieroda, Marzena</dc:creator>
  <cp:keywords/>
  <dc:description/>
  <cp:lastModifiedBy>Nieroda, Marzena</cp:lastModifiedBy>
  <cp:revision>40</cp:revision>
  <dcterms:created xsi:type="dcterms:W3CDTF">2026-01-13T13:56:00Z</dcterms:created>
  <dcterms:modified xsi:type="dcterms:W3CDTF">2026-01-13T16:45:00Z</dcterms:modified>
</cp:coreProperties>
</file>