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BC" w:rsidRDefault="000F6373" w:rsidP="00A476BC">
      <w:pPr>
        <w:spacing w:line="480" w:lineRule="auto"/>
        <w:jc w:val="center"/>
        <w:rPr>
          <w:rFonts w:ascii="Arial" w:hAnsi="Arial" w:cs="Arial"/>
          <w:b/>
          <w:bCs/>
          <w:sz w:val="24"/>
          <w:szCs w:val="24"/>
        </w:rPr>
      </w:pPr>
      <w:r w:rsidRPr="000F6373">
        <w:rPr>
          <w:rFonts w:ascii="Arial" w:hAnsi="Arial" w:cs="Arial"/>
          <w:b/>
          <w:bCs/>
          <w:sz w:val="24"/>
          <w:szCs w:val="24"/>
        </w:rPr>
        <w:t>Transient receptor potential vanilloid 4 channels contribute to the initiation of water-induced swallowing reflexes</w:t>
      </w:r>
    </w:p>
    <w:p w:rsidR="00A476BC" w:rsidRPr="00D25F4C" w:rsidRDefault="00A476BC" w:rsidP="00A476BC">
      <w:pPr>
        <w:spacing w:line="480" w:lineRule="auto"/>
        <w:jc w:val="both"/>
        <w:rPr>
          <w:rFonts w:ascii="Arial" w:hAnsi="Arial" w:cs="Arial"/>
          <w:sz w:val="24"/>
          <w:szCs w:val="24"/>
        </w:rPr>
      </w:pPr>
      <w:r w:rsidRPr="00D25F4C">
        <w:rPr>
          <w:rFonts w:ascii="Arial" w:hAnsi="Arial" w:cs="Arial"/>
          <w:sz w:val="24"/>
          <w:szCs w:val="24"/>
        </w:rPr>
        <w:t xml:space="preserve">Mohammad Zakir Hossain, Hiroshi Ando, </w:t>
      </w:r>
      <w:r>
        <w:rPr>
          <w:rFonts w:ascii="Arial" w:hAnsi="Arial" w:cs="Arial"/>
          <w:sz w:val="24"/>
          <w:szCs w:val="24"/>
        </w:rPr>
        <w:t>Rita Rani Roy</w:t>
      </w:r>
      <w:r w:rsidRPr="00D25F4C">
        <w:rPr>
          <w:rFonts w:ascii="Arial" w:hAnsi="Arial" w:cs="Arial"/>
          <w:sz w:val="24"/>
          <w:szCs w:val="24"/>
        </w:rPr>
        <w:t xml:space="preserve"> &amp; Junichi Kitagawa</w:t>
      </w:r>
      <w:bookmarkStart w:id="0" w:name="_GoBack"/>
      <w:bookmarkEnd w:id="0"/>
    </w:p>
    <w:p w:rsidR="00F939BD" w:rsidRDefault="00A476BC" w:rsidP="00F939BD">
      <w:pPr>
        <w:spacing w:after="0" w:line="480" w:lineRule="auto"/>
        <w:jc w:val="both"/>
        <w:rPr>
          <w:rFonts w:ascii="Arial" w:hAnsi="Arial" w:cs="Arial"/>
          <w:b/>
          <w:sz w:val="24"/>
          <w:szCs w:val="24"/>
        </w:rPr>
      </w:pPr>
      <w:r w:rsidRPr="00C63F9B">
        <w:rPr>
          <w:rFonts w:ascii="Arial" w:hAnsi="Arial" w:cs="Arial"/>
          <w:b/>
          <w:color w:val="282828"/>
          <w:sz w:val="24"/>
          <w:szCs w:val="24"/>
          <w:shd w:val="clear" w:color="auto" w:fill="FFFFFF"/>
        </w:rPr>
        <w:t>Supplementary</w:t>
      </w:r>
      <w:r w:rsidRPr="00B8129C">
        <w:rPr>
          <w:rFonts w:ascii="Arial" w:hAnsi="Arial" w:cs="Arial"/>
          <w:b/>
          <w:sz w:val="24"/>
          <w:szCs w:val="24"/>
        </w:rPr>
        <w:t xml:space="preserve"> </w:t>
      </w:r>
      <w:r>
        <w:rPr>
          <w:rFonts w:ascii="Arial" w:hAnsi="Arial" w:cs="Arial"/>
          <w:b/>
          <w:sz w:val="24"/>
          <w:szCs w:val="24"/>
        </w:rPr>
        <w:t>f</w:t>
      </w:r>
      <w:r w:rsidRPr="00B8129C">
        <w:rPr>
          <w:rFonts w:ascii="Arial" w:hAnsi="Arial" w:cs="Arial"/>
          <w:b/>
          <w:sz w:val="24"/>
          <w:szCs w:val="24"/>
        </w:rPr>
        <w:t>igure</w:t>
      </w:r>
      <w:r>
        <w:rPr>
          <w:rFonts w:ascii="Arial" w:hAnsi="Arial" w:cs="Arial"/>
          <w:b/>
          <w:sz w:val="24"/>
          <w:szCs w:val="24"/>
        </w:rPr>
        <w:t>s with figure legends</w:t>
      </w:r>
    </w:p>
    <w:p w:rsidR="002D36D6" w:rsidRDefault="002D36D6" w:rsidP="00F939BD">
      <w:pPr>
        <w:spacing w:after="0" w:line="480" w:lineRule="auto"/>
        <w:jc w:val="both"/>
        <w:rPr>
          <w:rFonts w:ascii="Arial" w:hAnsi="Arial" w:cs="Arial"/>
          <w:b/>
          <w:sz w:val="24"/>
          <w:szCs w:val="24"/>
        </w:rPr>
      </w:pPr>
      <w:r>
        <w:rPr>
          <w:rFonts w:ascii="Arial" w:hAnsi="Arial" w:cs="Arial"/>
          <w:b/>
          <w:noProof/>
          <w:sz w:val="24"/>
          <w:szCs w:val="24"/>
        </w:rPr>
        <w:drawing>
          <wp:anchor distT="0" distB="0" distL="114300" distR="114300" simplePos="0" relativeHeight="251659264" behindDoc="0" locked="0" layoutInCell="1" allowOverlap="1" wp14:anchorId="3D19F4EC" wp14:editId="27D5CD57">
            <wp:simplePos x="0" y="0"/>
            <wp:positionH relativeFrom="margin">
              <wp:align>center</wp:align>
            </wp:positionH>
            <wp:positionV relativeFrom="paragraph">
              <wp:posOffset>4871</wp:posOffset>
            </wp:positionV>
            <wp:extent cx="4887595" cy="609790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7595" cy="6097905"/>
                    </a:xfrm>
                    <a:prstGeom prst="rect">
                      <a:avLst/>
                    </a:prstGeom>
                    <a:noFill/>
                  </pic:spPr>
                </pic:pic>
              </a:graphicData>
            </a:graphic>
            <wp14:sizeRelH relativeFrom="margin">
              <wp14:pctWidth>0</wp14:pctWidth>
            </wp14:sizeRelH>
            <wp14:sizeRelV relativeFrom="margin">
              <wp14:pctHeight>0</wp14:pctHeight>
            </wp14:sizeRelV>
          </wp:anchor>
        </w:drawing>
      </w:r>
    </w:p>
    <w:p w:rsidR="002D36D6" w:rsidRDefault="00F939BD" w:rsidP="00F939BD">
      <w:pPr>
        <w:spacing w:after="0" w:line="480" w:lineRule="auto"/>
        <w:jc w:val="both"/>
        <w:rPr>
          <w:rFonts w:ascii="Arial" w:hAnsi="Arial" w:cs="Arial"/>
          <w:b/>
          <w:color w:val="282828"/>
          <w:sz w:val="24"/>
          <w:szCs w:val="24"/>
          <w:shd w:val="clear" w:color="auto" w:fill="FFFFFF"/>
        </w:rPr>
      </w:pPr>
      <w:r>
        <w:rPr>
          <w:rFonts w:ascii="Arial" w:hAnsi="Arial" w:cs="Arial"/>
          <w:b/>
          <w:color w:val="282828"/>
          <w:sz w:val="24"/>
          <w:szCs w:val="24"/>
          <w:shd w:val="clear" w:color="auto" w:fill="FFFFFF"/>
        </w:rPr>
        <w:t xml:space="preserve">    </w:t>
      </w: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2D36D6" w:rsidRDefault="002D36D6" w:rsidP="00F939BD">
      <w:pPr>
        <w:spacing w:after="0" w:line="480" w:lineRule="auto"/>
        <w:jc w:val="both"/>
        <w:rPr>
          <w:rFonts w:ascii="Arial" w:hAnsi="Arial" w:cs="Arial"/>
          <w:b/>
          <w:color w:val="282828"/>
          <w:sz w:val="24"/>
          <w:szCs w:val="24"/>
          <w:shd w:val="clear" w:color="auto" w:fill="FFFFFF"/>
        </w:rPr>
      </w:pPr>
    </w:p>
    <w:p w:rsidR="00A476BC" w:rsidRDefault="00F939BD" w:rsidP="00F939BD">
      <w:pPr>
        <w:spacing w:after="0" w:line="480" w:lineRule="auto"/>
        <w:jc w:val="both"/>
        <w:rPr>
          <w:rFonts w:ascii="Arial" w:hAnsi="Arial" w:cs="Arial"/>
          <w:sz w:val="24"/>
          <w:szCs w:val="24"/>
        </w:rPr>
      </w:pPr>
      <w:r>
        <w:rPr>
          <w:rFonts w:ascii="Arial" w:hAnsi="Arial" w:cs="Arial"/>
          <w:b/>
          <w:color w:val="282828"/>
          <w:sz w:val="24"/>
          <w:szCs w:val="24"/>
          <w:shd w:val="clear" w:color="auto" w:fill="FFFFFF"/>
        </w:rPr>
        <w:t xml:space="preserve">      </w:t>
      </w:r>
      <w:r w:rsidR="002D36D6">
        <w:rPr>
          <w:rFonts w:ascii="Arial" w:hAnsi="Arial" w:cs="Arial"/>
          <w:b/>
          <w:color w:val="282828"/>
          <w:sz w:val="24"/>
          <w:szCs w:val="24"/>
          <w:shd w:val="clear" w:color="auto" w:fill="FFFFFF"/>
        </w:rPr>
        <w:t xml:space="preserve">       </w:t>
      </w:r>
      <w:r w:rsidR="00A476BC" w:rsidRPr="00C63F9B">
        <w:rPr>
          <w:rFonts w:ascii="Arial" w:hAnsi="Arial" w:cs="Arial"/>
          <w:b/>
          <w:color w:val="282828"/>
          <w:sz w:val="24"/>
          <w:szCs w:val="24"/>
          <w:shd w:val="clear" w:color="auto" w:fill="FFFFFF"/>
        </w:rPr>
        <w:t>Supplementary Figure 1.</w:t>
      </w:r>
      <w:r w:rsidR="00A476BC" w:rsidRPr="00C63F9B">
        <w:rPr>
          <w:sz w:val="24"/>
          <w:szCs w:val="24"/>
        </w:rPr>
        <w:t xml:space="preserve"> </w:t>
      </w:r>
      <w:r w:rsidR="00102FDB" w:rsidRPr="00CF5369">
        <w:rPr>
          <w:rFonts w:ascii="Arial" w:hAnsi="Arial" w:cs="Arial"/>
          <w:color w:val="282828"/>
          <w:sz w:val="24"/>
          <w:szCs w:val="24"/>
          <w:shd w:val="clear" w:color="auto" w:fill="FFFFFF"/>
          <w:lang w:val="en-US"/>
        </w:rPr>
        <w:t xml:space="preserve">Respiratory chest movements and </w:t>
      </w:r>
      <w:r w:rsidR="00102FDB">
        <w:rPr>
          <w:rFonts w:ascii="Arial" w:hAnsi="Arial" w:cs="Arial"/>
          <w:color w:val="282828"/>
          <w:sz w:val="24"/>
          <w:szCs w:val="24"/>
          <w:shd w:val="clear" w:color="auto" w:fill="FFFFFF"/>
          <w:lang w:val="en-US"/>
        </w:rPr>
        <w:t>electromyographic (</w:t>
      </w:r>
      <w:r w:rsidR="00102FDB" w:rsidRPr="00CF5369">
        <w:rPr>
          <w:rFonts w:ascii="Arial" w:hAnsi="Arial" w:cs="Arial"/>
          <w:color w:val="282828"/>
          <w:sz w:val="24"/>
          <w:szCs w:val="24"/>
          <w:shd w:val="clear" w:color="auto" w:fill="FFFFFF"/>
          <w:lang w:val="en-US"/>
        </w:rPr>
        <w:t>EMG</w:t>
      </w:r>
      <w:r w:rsidR="00102FDB">
        <w:rPr>
          <w:rFonts w:ascii="Arial" w:hAnsi="Arial" w:cs="Arial"/>
          <w:color w:val="282828"/>
          <w:sz w:val="24"/>
          <w:szCs w:val="24"/>
          <w:shd w:val="clear" w:color="auto" w:fill="FFFFFF"/>
          <w:lang w:val="en-US"/>
        </w:rPr>
        <w:t>)</w:t>
      </w:r>
      <w:r w:rsidR="00102FDB" w:rsidRPr="00CF5369">
        <w:rPr>
          <w:rFonts w:ascii="Arial" w:hAnsi="Arial" w:cs="Arial"/>
          <w:color w:val="282828"/>
          <w:sz w:val="24"/>
          <w:szCs w:val="24"/>
          <w:shd w:val="clear" w:color="auto" w:fill="FFFFFF"/>
          <w:lang w:val="en-US"/>
        </w:rPr>
        <w:t xml:space="preserve"> </w:t>
      </w:r>
      <w:r w:rsidR="00102FDB" w:rsidRPr="00CF5369">
        <w:rPr>
          <w:rFonts w:ascii="Arial" w:hAnsi="Arial" w:cs="Arial"/>
          <w:color w:val="282828"/>
          <w:sz w:val="24"/>
          <w:szCs w:val="24"/>
          <w:shd w:val="clear" w:color="auto" w:fill="FFFFFF"/>
          <w:lang w:val="en-US"/>
        </w:rPr>
        <w:lastRenderedPageBreak/>
        <w:t xml:space="preserve">activity of the mylohyoid and rectus abdominis muscles following saline and </w:t>
      </w:r>
      <w:r w:rsidR="00102FDB">
        <w:rPr>
          <w:rFonts w:ascii="Arial" w:hAnsi="Arial" w:cs="Arial"/>
          <w:color w:val="282828"/>
          <w:sz w:val="24"/>
          <w:szCs w:val="24"/>
          <w:shd w:val="clear" w:color="auto" w:fill="FFFFFF"/>
          <w:lang w:val="en-US"/>
        </w:rPr>
        <w:t>distilled water (</w:t>
      </w:r>
      <w:r w:rsidR="00102FDB" w:rsidRPr="00CF5369">
        <w:rPr>
          <w:rFonts w:ascii="Arial" w:hAnsi="Arial" w:cs="Arial"/>
          <w:color w:val="282828"/>
          <w:sz w:val="24"/>
          <w:szCs w:val="24"/>
          <w:shd w:val="clear" w:color="auto" w:fill="FFFFFF"/>
          <w:lang w:val="en-US"/>
        </w:rPr>
        <w:t>DW</w:t>
      </w:r>
      <w:r w:rsidR="00102FDB">
        <w:rPr>
          <w:rFonts w:ascii="Arial" w:hAnsi="Arial" w:cs="Arial"/>
          <w:color w:val="282828"/>
          <w:sz w:val="24"/>
          <w:szCs w:val="24"/>
          <w:shd w:val="clear" w:color="auto" w:fill="FFFFFF"/>
          <w:lang w:val="en-US"/>
        </w:rPr>
        <w:t>)</w:t>
      </w:r>
      <w:r w:rsidR="00102FDB" w:rsidRPr="00CF5369">
        <w:rPr>
          <w:rFonts w:ascii="Arial" w:hAnsi="Arial" w:cs="Arial"/>
          <w:color w:val="282828"/>
          <w:sz w:val="24"/>
          <w:szCs w:val="24"/>
          <w:shd w:val="clear" w:color="auto" w:fill="FFFFFF"/>
          <w:lang w:val="en-US"/>
        </w:rPr>
        <w:t xml:space="preserve"> administration.</w:t>
      </w:r>
      <w:r w:rsidR="00102FDB" w:rsidRPr="00CF5369">
        <w:rPr>
          <w:rFonts w:ascii="Arial" w:hAnsi="Arial" w:cs="Arial"/>
          <w:b/>
          <w:color w:val="282828"/>
          <w:sz w:val="24"/>
          <w:szCs w:val="24"/>
          <w:shd w:val="clear" w:color="auto" w:fill="FFFFFF"/>
          <w:lang w:val="en-US"/>
        </w:rPr>
        <w:t xml:space="preserve"> (A)</w:t>
      </w:r>
      <w:r w:rsidR="00102FDB" w:rsidRPr="00CF5369">
        <w:rPr>
          <w:rFonts w:ascii="Arial" w:hAnsi="Arial" w:cs="Arial"/>
          <w:color w:val="282828"/>
          <w:sz w:val="24"/>
          <w:szCs w:val="24"/>
          <w:shd w:val="clear" w:color="auto" w:fill="FFFFFF"/>
          <w:lang w:val="en-US"/>
        </w:rPr>
        <w:t xml:space="preserve"> Representative recordings of respiratory chest movements and EMG activity of the mylohyoid and rectus abdominis muscles after saline administration. </w:t>
      </w:r>
      <w:r w:rsidR="00102FDB">
        <w:rPr>
          <w:rFonts w:ascii="Arial" w:hAnsi="Arial" w:cs="Arial"/>
          <w:color w:val="282828"/>
          <w:sz w:val="24"/>
          <w:szCs w:val="24"/>
          <w:shd w:val="clear" w:color="auto" w:fill="FFFFFF"/>
          <w:lang w:val="en-US"/>
        </w:rPr>
        <w:t xml:space="preserve">The </w:t>
      </w:r>
      <w:r w:rsidR="00102FDB" w:rsidRPr="00CF5369">
        <w:rPr>
          <w:rFonts w:ascii="Arial" w:hAnsi="Arial" w:cs="Arial"/>
          <w:color w:val="282828"/>
          <w:sz w:val="24"/>
          <w:szCs w:val="24"/>
          <w:shd w:val="clear" w:color="auto" w:fill="FFFFFF"/>
          <w:lang w:val="en-US"/>
        </w:rPr>
        <w:t>black arrowhead</w:t>
      </w:r>
      <w:r w:rsidR="00102FDB">
        <w:rPr>
          <w:rFonts w:ascii="Arial" w:hAnsi="Arial" w:cs="Arial"/>
          <w:color w:val="282828"/>
          <w:sz w:val="24"/>
          <w:szCs w:val="24"/>
          <w:shd w:val="clear" w:color="auto" w:fill="FFFFFF"/>
          <w:lang w:val="en-US"/>
        </w:rPr>
        <w:t xml:space="preserve"> indicates when the saline was delivered</w:t>
      </w:r>
      <w:r w:rsidR="00102FDB" w:rsidRPr="00CF5369">
        <w:rPr>
          <w:rFonts w:ascii="Arial" w:hAnsi="Arial" w:cs="Arial"/>
          <w:color w:val="282828"/>
          <w:sz w:val="24"/>
          <w:szCs w:val="24"/>
          <w:shd w:val="clear" w:color="auto" w:fill="FFFFFF"/>
          <w:lang w:val="en-US"/>
        </w:rPr>
        <w:t xml:space="preserve">. Saline administration evoked a single high-amplitude EMG burst in the mylohyoid muscle, corresponding to the swallowing reflex. This reflex was accompanied by a brief respiratory pause (apnea) without any detectable EMG activity in the rectus abdominis muscle. The inset shows an expanded view of the section outlined by the dotted line. </w:t>
      </w:r>
      <w:r w:rsidR="00102FDB" w:rsidRPr="00CF5369">
        <w:rPr>
          <w:rFonts w:ascii="Arial" w:hAnsi="Arial" w:cs="Arial"/>
          <w:b/>
          <w:color w:val="282828"/>
          <w:sz w:val="24"/>
          <w:szCs w:val="24"/>
          <w:shd w:val="clear" w:color="auto" w:fill="FFFFFF"/>
          <w:lang w:val="en-US"/>
        </w:rPr>
        <w:t>(B)</w:t>
      </w:r>
      <w:r w:rsidR="00102FDB" w:rsidRPr="00CF5369">
        <w:rPr>
          <w:rFonts w:ascii="Arial" w:hAnsi="Arial" w:cs="Arial"/>
          <w:color w:val="282828"/>
          <w:sz w:val="24"/>
          <w:szCs w:val="24"/>
          <w:shd w:val="clear" w:color="auto" w:fill="FFFFFF"/>
          <w:lang w:val="en-US"/>
        </w:rPr>
        <w:t xml:space="preserve"> Representative recordings following DW administration. </w:t>
      </w:r>
      <w:r w:rsidR="00102FDB">
        <w:rPr>
          <w:rFonts w:ascii="Arial" w:hAnsi="Arial" w:cs="Arial"/>
          <w:color w:val="282828"/>
          <w:sz w:val="24"/>
          <w:szCs w:val="24"/>
          <w:shd w:val="clear" w:color="auto" w:fill="FFFFFF"/>
          <w:lang w:val="en-US"/>
        </w:rPr>
        <w:t xml:space="preserve">The </w:t>
      </w:r>
      <w:r w:rsidR="00102FDB" w:rsidRPr="00CF5369">
        <w:rPr>
          <w:rFonts w:ascii="Arial" w:hAnsi="Arial" w:cs="Arial"/>
          <w:color w:val="282828"/>
          <w:sz w:val="24"/>
          <w:szCs w:val="24"/>
          <w:shd w:val="clear" w:color="auto" w:fill="FFFFFF"/>
          <w:lang w:val="en-US"/>
        </w:rPr>
        <w:t>black arrowhead</w:t>
      </w:r>
      <w:r w:rsidR="00102FDB">
        <w:rPr>
          <w:rFonts w:ascii="Arial" w:hAnsi="Arial" w:cs="Arial"/>
          <w:color w:val="282828"/>
          <w:sz w:val="24"/>
          <w:szCs w:val="24"/>
          <w:shd w:val="clear" w:color="auto" w:fill="FFFFFF"/>
          <w:lang w:val="en-US"/>
        </w:rPr>
        <w:t xml:space="preserve"> indicates when the DW was delivered</w:t>
      </w:r>
      <w:r w:rsidR="00102FDB" w:rsidRPr="00CF5369">
        <w:rPr>
          <w:rFonts w:ascii="Arial" w:hAnsi="Arial" w:cs="Arial"/>
          <w:color w:val="282828"/>
          <w:sz w:val="24"/>
          <w:szCs w:val="24"/>
          <w:shd w:val="clear" w:color="auto" w:fill="FFFFFF"/>
          <w:lang w:val="en-US"/>
        </w:rPr>
        <w:t>. DW application elicited multiple high-amplitude EMG bursts in the mylohyoid muscle within a short period, accompanied by complete cessation of respiratory movements. No EMG activity was observed in the rectus abdominis muscle. The absence of inspiratory and expiratory chest movements, together with the lack of rectus abdominis activity, confirmed that the high-amplitude EMG bursts represented swallowing reflexes rather than cough reflexes. As respiration gradually resumed after repeated reflex triggering, subsequent swallowing reflexes occurred at longer intervals, again without rectus abdominis activation. The inset shows an expanded view of the section outlined by the dotted line. Laryngeal movements associated with the swallowing reflex were also visually observed. Chest movements were recorded using a piezoelectric transducer, which also detected small, heartbeat-associated movements that became evident during respiratory cessation induced by repetitive swallowing reflexes following DW administration</w:t>
      </w:r>
      <w:r w:rsidR="00102FDB" w:rsidRPr="00CF5369">
        <w:rPr>
          <w:rFonts w:ascii="Arial" w:hAnsi="Arial" w:cs="Arial"/>
          <w:sz w:val="24"/>
          <w:szCs w:val="24"/>
          <w:lang w:val="en-US"/>
        </w:rPr>
        <w:t>.</w:t>
      </w:r>
      <w:r w:rsidR="00102FDB">
        <w:rPr>
          <w:rFonts w:ascii="Arial" w:hAnsi="Arial" w:cs="Arial"/>
          <w:color w:val="282828"/>
          <w:sz w:val="24"/>
          <w:szCs w:val="24"/>
          <w:shd w:val="clear" w:color="auto" w:fill="FFFFFF"/>
          <w:lang w:val="en-US"/>
        </w:rPr>
        <w:t xml:space="preserve"> </w:t>
      </w:r>
      <w:r w:rsidR="00102FDB" w:rsidRPr="00CF5369">
        <w:rPr>
          <w:rFonts w:ascii="Arial" w:hAnsi="Arial" w:cs="Arial"/>
          <w:color w:val="282828"/>
          <w:sz w:val="24"/>
          <w:szCs w:val="24"/>
          <w:shd w:val="clear" w:color="auto" w:fill="FFFFFF"/>
          <w:lang w:val="en-US"/>
        </w:rPr>
        <w:t>I, inspiratory direction of chest movement; E, expiratory direction of chest movement</w:t>
      </w:r>
      <w:r w:rsidR="00102FDB">
        <w:rPr>
          <w:rFonts w:ascii="Arial" w:hAnsi="Arial" w:cs="Arial"/>
          <w:color w:val="282828"/>
          <w:sz w:val="24"/>
          <w:szCs w:val="24"/>
          <w:shd w:val="clear" w:color="auto" w:fill="FFFFFF"/>
          <w:lang w:val="en-US"/>
        </w:rPr>
        <w:t>; S, seconds.</w:t>
      </w:r>
      <w:r w:rsidR="00A476BC" w:rsidRPr="00C63F9B">
        <w:rPr>
          <w:rFonts w:ascii="Arial" w:hAnsi="Arial" w:cs="Arial"/>
          <w:sz w:val="24"/>
          <w:szCs w:val="24"/>
        </w:rPr>
        <w:t xml:space="preserve"> </w:t>
      </w:r>
    </w:p>
    <w:p w:rsidR="00F939BD" w:rsidRPr="00F939BD" w:rsidRDefault="002D36D6" w:rsidP="00F939BD">
      <w:pPr>
        <w:spacing w:after="0" w:line="480" w:lineRule="auto"/>
        <w:jc w:val="both"/>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60288" behindDoc="0" locked="0" layoutInCell="1" allowOverlap="1" wp14:anchorId="3D319195">
            <wp:simplePos x="0" y="0"/>
            <wp:positionH relativeFrom="margin">
              <wp:align>center</wp:align>
            </wp:positionH>
            <wp:positionV relativeFrom="paragraph">
              <wp:posOffset>210933</wp:posOffset>
            </wp:positionV>
            <wp:extent cx="5157470" cy="6461760"/>
            <wp:effectExtent l="0" t="0" r="508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7470" cy="6461760"/>
                    </a:xfrm>
                    <a:prstGeom prst="rect">
                      <a:avLst/>
                    </a:prstGeom>
                    <a:noFill/>
                  </pic:spPr>
                </pic:pic>
              </a:graphicData>
            </a:graphic>
            <wp14:sizeRelH relativeFrom="margin">
              <wp14:pctWidth>0</wp14:pctWidth>
            </wp14:sizeRelH>
            <wp14:sizeRelV relativeFrom="margin">
              <wp14:pctHeight>0</wp14:pctHeight>
            </wp14:sizeRelV>
          </wp:anchor>
        </w:drawing>
      </w:r>
    </w:p>
    <w:p w:rsidR="002D36D6" w:rsidRDefault="00F939BD" w:rsidP="00A476BC">
      <w:pPr>
        <w:spacing w:line="480" w:lineRule="auto"/>
        <w:jc w:val="both"/>
        <w:rPr>
          <w:rFonts w:ascii="Arial" w:hAnsi="Arial" w:cs="Arial"/>
          <w:b/>
          <w:color w:val="282828"/>
          <w:sz w:val="24"/>
          <w:szCs w:val="24"/>
          <w:shd w:val="clear" w:color="auto" w:fill="FFFFFF"/>
        </w:rPr>
      </w:pPr>
      <w:r>
        <w:rPr>
          <w:rFonts w:ascii="Arial" w:hAnsi="Arial" w:cs="Arial"/>
          <w:b/>
          <w:color w:val="282828"/>
          <w:sz w:val="24"/>
          <w:szCs w:val="24"/>
          <w:shd w:val="clear" w:color="auto" w:fill="FFFFFF"/>
        </w:rPr>
        <w:t xml:space="preserve">          </w:t>
      </w: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2D36D6" w:rsidRDefault="002D36D6" w:rsidP="00A476BC">
      <w:pPr>
        <w:spacing w:line="480" w:lineRule="auto"/>
        <w:jc w:val="both"/>
        <w:rPr>
          <w:rFonts w:ascii="Arial" w:hAnsi="Arial" w:cs="Arial"/>
          <w:b/>
          <w:color w:val="282828"/>
          <w:sz w:val="24"/>
          <w:szCs w:val="24"/>
          <w:shd w:val="clear" w:color="auto" w:fill="FFFFFF"/>
        </w:rPr>
      </w:pPr>
    </w:p>
    <w:p w:rsidR="00A476BC" w:rsidRDefault="002D36D6" w:rsidP="00A476BC">
      <w:pPr>
        <w:spacing w:line="480" w:lineRule="auto"/>
        <w:jc w:val="both"/>
        <w:rPr>
          <w:rFonts w:ascii="Arial" w:hAnsi="Arial" w:cs="Arial"/>
          <w:color w:val="282828"/>
          <w:sz w:val="24"/>
          <w:szCs w:val="24"/>
          <w:shd w:val="clear" w:color="auto" w:fill="FFFFFF"/>
        </w:rPr>
      </w:pPr>
      <w:r>
        <w:rPr>
          <w:rFonts w:ascii="Arial" w:hAnsi="Arial" w:cs="Arial"/>
          <w:b/>
          <w:color w:val="282828"/>
          <w:sz w:val="24"/>
          <w:szCs w:val="24"/>
          <w:shd w:val="clear" w:color="auto" w:fill="FFFFFF"/>
        </w:rPr>
        <w:t xml:space="preserve">          </w:t>
      </w:r>
      <w:r w:rsidR="00A476BC" w:rsidRPr="00C63F9B">
        <w:rPr>
          <w:rFonts w:ascii="Arial" w:hAnsi="Arial" w:cs="Arial"/>
          <w:b/>
          <w:color w:val="282828"/>
          <w:sz w:val="24"/>
          <w:szCs w:val="24"/>
          <w:shd w:val="clear" w:color="auto" w:fill="FFFFFF"/>
        </w:rPr>
        <w:t>Supplementary Figure 2.</w:t>
      </w:r>
      <w:r w:rsidR="00A476BC" w:rsidRPr="00C63F9B">
        <w:rPr>
          <w:rFonts w:ascii="Arial" w:hAnsi="Arial" w:cs="Arial"/>
          <w:color w:val="282828"/>
          <w:sz w:val="24"/>
          <w:szCs w:val="24"/>
          <w:shd w:val="clear" w:color="auto" w:fill="FFFFFF"/>
        </w:rPr>
        <w:t xml:space="preserve"> </w:t>
      </w:r>
      <w:r w:rsidR="00102FDB" w:rsidRPr="00CF5369">
        <w:rPr>
          <w:rFonts w:ascii="Arial" w:hAnsi="Arial" w:cs="Arial"/>
          <w:color w:val="282828"/>
          <w:sz w:val="24"/>
          <w:szCs w:val="24"/>
          <w:shd w:val="clear" w:color="auto" w:fill="FFFFFF"/>
          <w:lang w:val="en-US"/>
        </w:rPr>
        <w:t>Positive and negative controls for the TRPV4 and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antibodies. </w:t>
      </w:r>
      <w:r w:rsidR="00102FDB" w:rsidRPr="00CF5369">
        <w:rPr>
          <w:rFonts w:ascii="Arial" w:hAnsi="Arial" w:cs="Arial"/>
          <w:b/>
          <w:color w:val="282828"/>
          <w:sz w:val="24"/>
          <w:szCs w:val="24"/>
          <w:shd w:val="clear" w:color="auto" w:fill="FFFFFF"/>
          <w:lang w:val="en-US"/>
        </w:rPr>
        <w:t>(A)</w:t>
      </w:r>
      <w:r w:rsidR="00102FDB" w:rsidRPr="00CF5369">
        <w:rPr>
          <w:rFonts w:ascii="Arial" w:hAnsi="Arial" w:cs="Arial"/>
          <w:color w:val="282828"/>
          <w:sz w:val="24"/>
          <w:szCs w:val="24"/>
          <w:shd w:val="clear" w:color="auto" w:fill="FFFFFF"/>
          <w:lang w:val="en-US"/>
        </w:rPr>
        <w:t xml:space="preserve"> Representative photomicrograph of a rat </w:t>
      </w:r>
      <w:r w:rsidR="00102FDB" w:rsidRPr="00CF5369">
        <w:rPr>
          <w:rFonts w:ascii="Arial" w:hAnsi="Arial" w:cs="Arial"/>
          <w:sz w:val="24"/>
          <w:szCs w:val="24"/>
          <w:lang w:val="en-US"/>
        </w:rPr>
        <w:t xml:space="preserve">trigeminal ganglion </w:t>
      </w:r>
      <w:r w:rsidR="00102FDB">
        <w:rPr>
          <w:rFonts w:ascii="Arial" w:hAnsi="Arial" w:cs="Arial"/>
          <w:sz w:val="24"/>
          <w:szCs w:val="24"/>
          <w:lang w:val="en-US"/>
        </w:rPr>
        <w:t xml:space="preserve">(TG) </w:t>
      </w:r>
      <w:r w:rsidR="00102FDB" w:rsidRPr="00CF5369">
        <w:rPr>
          <w:rFonts w:ascii="Arial" w:hAnsi="Arial" w:cs="Arial"/>
          <w:color w:val="282828"/>
          <w:sz w:val="24"/>
          <w:szCs w:val="24"/>
          <w:shd w:val="clear" w:color="auto" w:fill="FFFFFF"/>
          <w:lang w:val="en-US"/>
        </w:rPr>
        <w:t>section used as a positive control for the anti-c-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(rabbit polyclonal anti-c-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antibody; Cat# ab190289; Abcam, Cambridge, UK) and anti-TRPV4 (Alexa Fluor 488–conjugated rabbit </w:t>
      </w:r>
      <w:r w:rsidR="00102FDB" w:rsidRPr="00CF5369">
        <w:rPr>
          <w:rFonts w:ascii="Arial" w:hAnsi="Arial" w:cs="Arial"/>
          <w:color w:val="282828"/>
          <w:sz w:val="24"/>
          <w:szCs w:val="24"/>
          <w:shd w:val="clear" w:color="auto" w:fill="FFFFFF"/>
          <w:lang w:val="en-US"/>
        </w:rPr>
        <w:lastRenderedPageBreak/>
        <w:t>monoclonal anti-TRPV4 antibody; Cat# ab315136; Abcam, Cambridge, UK) antibodies. White arrows indicate cells positive for both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and TRPV4; yellow arrows indicate neurons positive for TRPV4 but negative for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and white arrowheads indicate cells negative for TRPV4 but positive for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Nonspecific cytoplasmic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signals are visible in the positive control section. High-magnification images of the cells outlined by the dotted circles are shown in the right panels</w:t>
      </w:r>
      <w:r w:rsidR="00102FDB">
        <w:rPr>
          <w:rFonts w:ascii="Arial" w:hAnsi="Arial" w:cs="Arial"/>
          <w:color w:val="282828"/>
          <w:sz w:val="24"/>
          <w:szCs w:val="24"/>
          <w:shd w:val="clear" w:color="auto" w:fill="FFFFFF"/>
          <w:lang w:val="en-US"/>
        </w:rPr>
        <w:t>; the nuclei were</w:t>
      </w:r>
      <w:r w:rsidR="00102FDB" w:rsidRPr="00CF5369">
        <w:rPr>
          <w:rFonts w:ascii="Arial" w:hAnsi="Arial" w:cs="Arial"/>
          <w:color w:val="282828"/>
          <w:sz w:val="24"/>
          <w:szCs w:val="24"/>
          <w:shd w:val="clear" w:color="auto" w:fill="FFFFFF"/>
          <w:lang w:val="en-US"/>
        </w:rPr>
        <w:t xml:space="preserve"> counterstain</w:t>
      </w:r>
      <w:r w:rsidR="00102FDB">
        <w:rPr>
          <w:rFonts w:ascii="Arial" w:hAnsi="Arial" w:cs="Arial"/>
          <w:color w:val="282828"/>
          <w:sz w:val="24"/>
          <w:szCs w:val="24"/>
          <w:shd w:val="clear" w:color="auto" w:fill="FFFFFF"/>
          <w:lang w:val="en-US"/>
        </w:rPr>
        <w:t xml:space="preserve">ed with </w:t>
      </w:r>
      <w:r w:rsidR="00102FDB" w:rsidRPr="00CF5369">
        <w:rPr>
          <w:rFonts w:ascii="Arial" w:hAnsi="Arial" w:cs="Arial"/>
          <w:sz w:val="24"/>
          <w:szCs w:val="24"/>
          <w:lang w:val="en-US"/>
        </w:rPr>
        <w:t xml:space="preserve">4ʹ,6-diamidino-2-phenylindole </w:t>
      </w:r>
      <w:r w:rsidR="00102FDB">
        <w:rPr>
          <w:rFonts w:ascii="Arial" w:hAnsi="Arial" w:cs="Arial"/>
          <w:sz w:val="24"/>
          <w:szCs w:val="24"/>
          <w:lang w:val="en-US"/>
        </w:rPr>
        <w:t>(</w:t>
      </w:r>
      <w:r w:rsidR="00102FDB" w:rsidRPr="00CF5369">
        <w:rPr>
          <w:rFonts w:ascii="Arial" w:hAnsi="Arial" w:cs="Arial"/>
          <w:color w:val="282828"/>
          <w:sz w:val="24"/>
          <w:szCs w:val="24"/>
          <w:shd w:val="clear" w:color="auto" w:fill="FFFFFF"/>
          <w:lang w:val="en-US"/>
        </w:rPr>
        <w:t>DAPI</w:t>
      </w:r>
      <w:r w:rsidR="00102FDB">
        <w:rPr>
          <w:rFonts w:ascii="Arial" w:hAnsi="Arial" w:cs="Arial"/>
          <w:color w:val="282828"/>
          <w:sz w:val="24"/>
          <w:szCs w:val="24"/>
          <w:shd w:val="clear" w:color="auto" w:fill="FFFFFF"/>
          <w:lang w:val="en-US"/>
        </w:rPr>
        <w:t>)</w:t>
      </w:r>
      <w:r w:rsidR="00102FDB" w:rsidRPr="00CF5369">
        <w:rPr>
          <w:rFonts w:ascii="Arial" w:hAnsi="Arial" w:cs="Arial"/>
          <w:color w:val="282828"/>
          <w:sz w:val="24"/>
          <w:szCs w:val="24"/>
          <w:shd w:val="clear" w:color="auto" w:fill="FFFFFF"/>
          <w:lang w:val="en-US"/>
        </w:rPr>
        <w:t>. DAPI stain</w:t>
      </w:r>
      <w:r w:rsidR="00102FDB">
        <w:rPr>
          <w:rFonts w:ascii="Arial" w:hAnsi="Arial" w:cs="Arial"/>
          <w:color w:val="282828"/>
          <w:sz w:val="24"/>
          <w:szCs w:val="24"/>
          <w:shd w:val="clear" w:color="auto" w:fill="FFFFFF"/>
          <w:lang w:val="en-US"/>
        </w:rPr>
        <w:t>ed</w:t>
      </w:r>
      <w:r w:rsidR="00102FDB" w:rsidRPr="00CF5369">
        <w:rPr>
          <w:rFonts w:ascii="Arial" w:hAnsi="Arial" w:cs="Arial"/>
          <w:color w:val="282828"/>
          <w:sz w:val="24"/>
          <w:szCs w:val="24"/>
          <w:shd w:val="clear" w:color="auto" w:fill="FFFFFF"/>
          <w:lang w:val="en-US"/>
        </w:rPr>
        <w:t xml:space="preserve"> the nuclei of both </w:t>
      </w:r>
      <w:r w:rsidR="00102FDB">
        <w:rPr>
          <w:rFonts w:ascii="Arial" w:hAnsi="Arial" w:cs="Arial"/>
          <w:color w:val="282828"/>
          <w:sz w:val="24"/>
          <w:szCs w:val="24"/>
          <w:shd w:val="clear" w:color="auto" w:fill="FFFFFF"/>
          <w:lang w:val="en-US"/>
        </w:rPr>
        <w:t xml:space="preserve">the </w:t>
      </w:r>
      <w:r w:rsidR="00102FDB" w:rsidRPr="00CF5369">
        <w:rPr>
          <w:rFonts w:ascii="Arial" w:hAnsi="Arial" w:cs="Arial"/>
          <w:color w:val="282828"/>
          <w:sz w:val="24"/>
          <w:szCs w:val="24"/>
          <w:shd w:val="clear" w:color="auto" w:fill="FFFFFF"/>
          <w:lang w:val="en-US"/>
        </w:rPr>
        <w:t xml:space="preserve">neurons and </w:t>
      </w:r>
      <w:r w:rsidR="00102FDB">
        <w:rPr>
          <w:rFonts w:ascii="Arial" w:hAnsi="Arial" w:cs="Arial"/>
          <w:color w:val="282828"/>
          <w:sz w:val="24"/>
          <w:szCs w:val="24"/>
          <w:shd w:val="clear" w:color="auto" w:fill="FFFFFF"/>
          <w:lang w:val="en-US"/>
        </w:rPr>
        <w:t xml:space="preserve">the </w:t>
      </w:r>
      <w:r w:rsidR="00102FDB" w:rsidRPr="00CF5369">
        <w:rPr>
          <w:rFonts w:ascii="Arial" w:hAnsi="Arial" w:cs="Arial"/>
          <w:color w:val="282828"/>
          <w:sz w:val="24"/>
          <w:szCs w:val="24"/>
          <w:shd w:val="clear" w:color="auto" w:fill="FFFFFF"/>
          <w:lang w:val="en-US"/>
        </w:rPr>
        <w:t>surrounding satellite cells. To induce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expression in the TG, capsaicin (0.05 mM, 50 </w:t>
      </w:r>
      <w:proofErr w:type="spellStart"/>
      <w:r w:rsidR="00102FDB" w:rsidRPr="00CF5369">
        <w:rPr>
          <w:rFonts w:ascii="Arial" w:hAnsi="Arial" w:cs="Arial"/>
          <w:color w:val="282828"/>
          <w:sz w:val="24"/>
          <w:szCs w:val="24"/>
          <w:shd w:val="clear" w:color="auto" w:fill="FFFFFF"/>
          <w:lang w:val="en-US"/>
        </w:rPr>
        <w:t>μL</w:t>
      </w:r>
      <w:proofErr w:type="spellEnd"/>
      <w:r w:rsidR="00102FDB" w:rsidRPr="00CF5369">
        <w:rPr>
          <w:rFonts w:ascii="Arial" w:hAnsi="Arial" w:cs="Arial"/>
          <w:color w:val="282828"/>
          <w:sz w:val="24"/>
          <w:szCs w:val="24"/>
          <w:shd w:val="clear" w:color="auto" w:fill="FFFFFF"/>
          <w:lang w:val="en-US"/>
        </w:rPr>
        <w:t xml:space="preserve">) was injected into the right </w:t>
      </w:r>
      <w:proofErr w:type="spellStart"/>
      <w:r w:rsidR="00102FDB" w:rsidRPr="00CF5369">
        <w:rPr>
          <w:rFonts w:ascii="Arial" w:hAnsi="Arial" w:cs="Arial"/>
          <w:color w:val="282828"/>
          <w:sz w:val="24"/>
          <w:szCs w:val="24"/>
          <w:shd w:val="clear" w:color="auto" w:fill="FFFFFF"/>
          <w:lang w:val="en-US"/>
        </w:rPr>
        <w:t>vibrissal</w:t>
      </w:r>
      <w:proofErr w:type="spellEnd"/>
      <w:r w:rsidR="00102FDB" w:rsidRPr="00CF5369">
        <w:rPr>
          <w:rFonts w:ascii="Arial" w:hAnsi="Arial" w:cs="Arial"/>
          <w:color w:val="282828"/>
          <w:sz w:val="24"/>
          <w:szCs w:val="24"/>
          <w:shd w:val="clear" w:color="auto" w:fill="FFFFFF"/>
          <w:lang w:val="en-US"/>
        </w:rPr>
        <w:t xml:space="preserve"> pad and lower lip. </w:t>
      </w:r>
      <w:r w:rsidR="00102FDB" w:rsidRPr="00CF5369">
        <w:rPr>
          <w:rFonts w:ascii="Arial" w:hAnsi="Arial" w:cs="Arial"/>
          <w:b/>
          <w:color w:val="282828"/>
          <w:sz w:val="24"/>
          <w:szCs w:val="24"/>
          <w:shd w:val="clear" w:color="auto" w:fill="FFFFFF"/>
          <w:lang w:val="en-US"/>
        </w:rPr>
        <w:t>(B)</w:t>
      </w:r>
      <w:r w:rsidR="00102FDB" w:rsidRPr="00CF5369">
        <w:rPr>
          <w:rFonts w:ascii="Arial" w:hAnsi="Arial" w:cs="Arial"/>
          <w:color w:val="282828"/>
          <w:sz w:val="24"/>
          <w:szCs w:val="24"/>
          <w:shd w:val="clear" w:color="auto" w:fill="FFFFFF"/>
          <w:lang w:val="en-US"/>
        </w:rPr>
        <w:t xml:space="preserve"> Representative photomicrograph of a nodose ganglion section </w:t>
      </w:r>
      <w:r w:rsidR="00102FDB">
        <w:rPr>
          <w:rFonts w:ascii="Arial" w:hAnsi="Arial" w:cs="Arial"/>
          <w:color w:val="282828"/>
          <w:sz w:val="24"/>
          <w:szCs w:val="24"/>
          <w:shd w:val="clear" w:color="auto" w:fill="FFFFFF"/>
          <w:lang w:val="en-US"/>
        </w:rPr>
        <w:t xml:space="preserve">that was </w:t>
      </w:r>
      <w:r w:rsidR="00102FDB" w:rsidRPr="00CF5369">
        <w:rPr>
          <w:rFonts w:ascii="Arial" w:hAnsi="Arial" w:cs="Arial"/>
          <w:color w:val="282828"/>
          <w:sz w:val="24"/>
          <w:szCs w:val="24"/>
          <w:shd w:val="clear" w:color="auto" w:fill="FFFFFF"/>
          <w:lang w:val="en-US"/>
        </w:rPr>
        <w:t>used as a negative control for the anti-c-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and anti-TRPV4 antibodies. A universal negative control reagent containing a mixture of purified rabbit, mouse, and goat immunoglobulins was substituted for the primary antibodies. High-magnification images of the cells outlined by the dotted circles are shown in the right panels, with DAPI nuclear counterstaining. As in the positive control, DAPI stained the nuclei of both </w:t>
      </w:r>
      <w:r w:rsidR="00102FDB">
        <w:rPr>
          <w:rFonts w:ascii="Arial" w:hAnsi="Arial" w:cs="Arial"/>
          <w:color w:val="282828"/>
          <w:sz w:val="24"/>
          <w:szCs w:val="24"/>
          <w:shd w:val="clear" w:color="auto" w:fill="FFFFFF"/>
          <w:lang w:val="en-US"/>
        </w:rPr>
        <w:t xml:space="preserve">the </w:t>
      </w:r>
      <w:r w:rsidR="00102FDB" w:rsidRPr="00CF5369">
        <w:rPr>
          <w:rFonts w:ascii="Arial" w:hAnsi="Arial" w:cs="Arial"/>
          <w:color w:val="282828"/>
          <w:sz w:val="24"/>
          <w:szCs w:val="24"/>
          <w:shd w:val="clear" w:color="auto" w:fill="FFFFFF"/>
          <w:lang w:val="en-US"/>
        </w:rPr>
        <w:t xml:space="preserve">neurons and </w:t>
      </w:r>
      <w:r w:rsidR="00102FDB">
        <w:rPr>
          <w:rFonts w:ascii="Arial" w:hAnsi="Arial" w:cs="Arial"/>
          <w:color w:val="282828"/>
          <w:sz w:val="24"/>
          <w:szCs w:val="24"/>
          <w:shd w:val="clear" w:color="auto" w:fill="FFFFFF"/>
          <w:lang w:val="en-US"/>
        </w:rPr>
        <w:t xml:space="preserve">the </w:t>
      </w:r>
      <w:r w:rsidR="00102FDB" w:rsidRPr="00CF5369">
        <w:rPr>
          <w:rFonts w:ascii="Arial" w:hAnsi="Arial" w:cs="Arial"/>
          <w:color w:val="282828"/>
          <w:sz w:val="24"/>
          <w:szCs w:val="24"/>
          <w:shd w:val="clear" w:color="auto" w:fill="FFFFFF"/>
          <w:lang w:val="en-US"/>
        </w:rPr>
        <w:t>surrounding satellite cells. Nonspecific cytoplasmic c-</w:t>
      </w:r>
      <w:proofErr w:type="spellStart"/>
      <w:r w:rsidR="00102FDB" w:rsidRPr="00CF5369">
        <w:rPr>
          <w:rFonts w:ascii="Arial" w:hAnsi="Arial" w:cs="Arial"/>
          <w:color w:val="282828"/>
          <w:sz w:val="24"/>
          <w:szCs w:val="24"/>
          <w:shd w:val="clear" w:color="auto" w:fill="FFFFFF"/>
          <w:lang w:val="en-US"/>
        </w:rPr>
        <w:t>Fos</w:t>
      </w:r>
      <w:proofErr w:type="spellEnd"/>
      <w:r w:rsidR="00102FDB" w:rsidRPr="00CF5369">
        <w:rPr>
          <w:rFonts w:ascii="Arial" w:hAnsi="Arial" w:cs="Arial"/>
          <w:color w:val="282828"/>
          <w:sz w:val="24"/>
          <w:szCs w:val="24"/>
          <w:shd w:val="clear" w:color="auto" w:fill="FFFFFF"/>
          <w:lang w:val="en-US"/>
        </w:rPr>
        <w:t xml:space="preserve"> signals were observed in the negative control section. </w:t>
      </w:r>
      <w:r w:rsidR="00102FDB" w:rsidRPr="00CF5369">
        <w:rPr>
          <w:rFonts w:ascii="Arial" w:hAnsi="Arial" w:cs="Arial"/>
          <w:b/>
          <w:color w:val="282828"/>
          <w:sz w:val="24"/>
          <w:szCs w:val="24"/>
          <w:shd w:val="clear" w:color="auto" w:fill="FFFFFF"/>
          <w:lang w:val="en-US"/>
        </w:rPr>
        <w:t>(C)</w:t>
      </w:r>
      <w:r w:rsidR="00102FDB" w:rsidRPr="00CF5369">
        <w:rPr>
          <w:rFonts w:ascii="Arial" w:hAnsi="Arial" w:cs="Arial"/>
          <w:color w:val="282828"/>
          <w:sz w:val="24"/>
          <w:szCs w:val="24"/>
          <w:shd w:val="clear" w:color="auto" w:fill="FFFFFF"/>
          <w:lang w:val="en-US"/>
        </w:rPr>
        <w:t xml:space="preserve"> Representative photomicrographs of a section from the swallowing-related region (epiglottis) </w:t>
      </w:r>
      <w:r w:rsidR="00102FDB">
        <w:rPr>
          <w:rFonts w:ascii="Arial" w:hAnsi="Arial" w:cs="Arial"/>
          <w:color w:val="282828"/>
          <w:sz w:val="24"/>
          <w:szCs w:val="24"/>
          <w:shd w:val="clear" w:color="auto" w:fill="FFFFFF"/>
          <w:lang w:val="en-US"/>
        </w:rPr>
        <w:t xml:space="preserve">innervated by the superior laryngeal nerve that was </w:t>
      </w:r>
      <w:r w:rsidR="00102FDB" w:rsidRPr="00CF5369">
        <w:rPr>
          <w:rFonts w:ascii="Arial" w:hAnsi="Arial" w:cs="Arial"/>
          <w:color w:val="282828"/>
          <w:sz w:val="24"/>
          <w:szCs w:val="24"/>
          <w:shd w:val="clear" w:color="auto" w:fill="FFFFFF"/>
          <w:lang w:val="en-US"/>
        </w:rPr>
        <w:t>used as an additional negative control for the anti-TRPV4 antibody. DAPI staining was used to visualize cell nuclei. As with the nodose ganglion, a universal negative control reagent containing a mixture of purified rabbit, mouse, and goat immunoglobulins was substituted for the primary antibody.</w:t>
      </w:r>
    </w:p>
    <w:p w:rsidR="002D36D6" w:rsidRDefault="002D36D6" w:rsidP="00A476BC">
      <w:pPr>
        <w:spacing w:line="480" w:lineRule="auto"/>
        <w:jc w:val="both"/>
        <w:rPr>
          <w:rFonts w:ascii="Arial" w:hAnsi="Arial" w:cs="Arial"/>
          <w:color w:val="282828"/>
          <w:sz w:val="24"/>
          <w:szCs w:val="24"/>
          <w:shd w:val="clear" w:color="auto" w:fill="FFFFFF"/>
        </w:rPr>
      </w:pPr>
    </w:p>
    <w:p w:rsidR="002D36D6" w:rsidRPr="00C63F9B" w:rsidRDefault="002D36D6" w:rsidP="00A476BC">
      <w:pPr>
        <w:spacing w:line="480" w:lineRule="auto"/>
        <w:jc w:val="both"/>
        <w:rPr>
          <w:rFonts w:ascii="Arial" w:hAnsi="Arial" w:cs="Arial"/>
          <w:color w:val="282828"/>
          <w:sz w:val="24"/>
          <w:szCs w:val="24"/>
          <w:shd w:val="clear" w:color="auto" w:fill="FFFFFF"/>
        </w:rPr>
      </w:pPr>
    </w:p>
    <w:p w:rsidR="002D36D6" w:rsidRDefault="00F939BD" w:rsidP="00A476BC">
      <w:pPr>
        <w:spacing w:line="480" w:lineRule="auto"/>
        <w:jc w:val="both"/>
        <w:rPr>
          <w:rFonts w:ascii="Arial" w:hAnsi="Arial" w:cs="Arial"/>
          <w:b/>
          <w:color w:val="282828"/>
          <w:sz w:val="24"/>
          <w:szCs w:val="24"/>
          <w:shd w:val="clear" w:color="auto" w:fill="FFFFFF"/>
        </w:rPr>
      </w:pPr>
      <w:r>
        <w:rPr>
          <w:rFonts w:ascii="Arial" w:hAnsi="Arial" w:cs="Arial"/>
          <w:b/>
          <w:color w:val="282828"/>
          <w:sz w:val="24"/>
          <w:szCs w:val="24"/>
          <w:shd w:val="clear" w:color="auto" w:fill="FFFFFF"/>
        </w:rPr>
        <w:t xml:space="preserve">          </w:t>
      </w:r>
    </w:p>
    <w:p w:rsidR="00102FDB" w:rsidRPr="00CF5369" w:rsidRDefault="002D36D6" w:rsidP="00102FDB">
      <w:pPr>
        <w:spacing w:line="480" w:lineRule="auto"/>
        <w:jc w:val="both"/>
        <w:rPr>
          <w:rFonts w:ascii="Arial" w:hAnsi="Arial" w:cs="Arial"/>
          <w:color w:val="282828"/>
          <w:sz w:val="24"/>
          <w:szCs w:val="24"/>
          <w:shd w:val="clear" w:color="auto" w:fill="FFFFFF"/>
          <w:lang w:val="en-US"/>
        </w:rPr>
      </w:pPr>
      <w:r>
        <w:rPr>
          <w:rFonts w:ascii="Arial" w:hAnsi="Arial" w:cs="Arial"/>
          <w:b/>
          <w:noProof/>
          <w:color w:val="282828"/>
          <w:sz w:val="24"/>
          <w:szCs w:val="24"/>
          <w:shd w:val="clear" w:color="auto" w:fill="FFFFFF"/>
        </w:rPr>
        <w:drawing>
          <wp:anchor distT="0" distB="0" distL="114300" distR="114300" simplePos="0" relativeHeight="251661312" behindDoc="0" locked="0" layoutInCell="1" allowOverlap="1" wp14:anchorId="135F0931">
            <wp:simplePos x="0" y="0"/>
            <wp:positionH relativeFrom="margin">
              <wp:align>center</wp:align>
            </wp:positionH>
            <wp:positionV relativeFrom="paragraph">
              <wp:posOffset>246</wp:posOffset>
            </wp:positionV>
            <wp:extent cx="5274826" cy="6580202"/>
            <wp:effectExtent l="0" t="0" r="254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826" cy="6580202"/>
                    </a:xfrm>
                    <a:prstGeom prst="rect">
                      <a:avLst/>
                    </a:prstGeom>
                    <a:noFill/>
                  </pic:spPr>
                </pic:pic>
              </a:graphicData>
            </a:graphic>
          </wp:anchor>
        </w:drawing>
      </w:r>
      <w:r w:rsidR="00A476BC" w:rsidRPr="00C63F9B">
        <w:rPr>
          <w:rFonts w:ascii="Arial" w:hAnsi="Arial" w:cs="Arial"/>
          <w:b/>
          <w:color w:val="282828"/>
          <w:sz w:val="24"/>
          <w:szCs w:val="24"/>
          <w:shd w:val="clear" w:color="auto" w:fill="FFFFFF"/>
        </w:rPr>
        <w:t>Supplementary Figure 3.</w:t>
      </w:r>
      <w:r w:rsidR="00A476BC" w:rsidRPr="00C63F9B">
        <w:rPr>
          <w:sz w:val="24"/>
          <w:szCs w:val="24"/>
        </w:rPr>
        <w:t xml:space="preserve"> </w:t>
      </w:r>
      <w:r w:rsidR="00102FDB">
        <w:rPr>
          <w:rFonts w:ascii="Arial" w:hAnsi="Arial" w:cs="Arial"/>
          <w:color w:val="282828"/>
          <w:sz w:val="24"/>
          <w:szCs w:val="24"/>
          <w:shd w:val="clear" w:color="auto" w:fill="FFFFFF"/>
          <w:lang w:val="en-US"/>
        </w:rPr>
        <w:t>Prior t</w:t>
      </w:r>
      <w:r w:rsidR="00102FDB" w:rsidRPr="00CF5369">
        <w:rPr>
          <w:rFonts w:ascii="Arial" w:hAnsi="Arial" w:cs="Arial"/>
          <w:color w:val="282828"/>
          <w:sz w:val="24"/>
          <w:szCs w:val="24"/>
          <w:shd w:val="clear" w:color="auto" w:fill="FFFFFF"/>
          <w:lang w:val="en-US"/>
        </w:rPr>
        <w:t xml:space="preserve">opical lidocaine application or bilateral </w:t>
      </w:r>
      <w:r w:rsidR="00102FDB">
        <w:rPr>
          <w:rFonts w:ascii="Arial" w:hAnsi="Arial" w:cs="Arial"/>
          <w:color w:val="282828"/>
          <w:sz w:val="24"/>
          <w:szCs w:val="24"/>
          <w:shd w:val="clear" w:color="auto" w:fill="FFFFFF"/>
          <w:lang w:val="en-US"/>
        </w:rPr>
        <w:t>superior laryngeal nerve (</w:t>
      </w:r>
      <w:r w:rsidR="00102FDB" w:rsidRPr="00CF5369">
        <w:rPr>
          <w:rFonts w:ascii="Arial" w:hAnsi="Arial" w:cs="Arial"/>
          <w:color w:val="282828"/>
          <w:sz w:val="24"/>
          <w:szCs w:val="24"/>
          <w:shd w:val="clear" w:color="auto" w:fill="FFFFFF"/>
          <w:lang w:val="en-US"/>
        </w:rPr>
        <w:t>SLN</w:t>
      </w:r>
      <w:r w:rsidR="00102FDB">
        <w:rPr>
          <w:rFonts w:ascii="Arial" w:hAnsi="Arial" w:cs="Arial"/>
          <w:color w:val="282828"/>
          <w:sz w:val="24"/>
          <w:szCs w:val="24"/>
          <w:shd w:val="clear" w:color="auto" w:fill="FFFFFF"/>
          <w:lang w:val="en-US"/>
        </w:rPr>
        <w:t>)</w:t>
      </w:r>
      <w:r w:rsidR="00102FDB" w:rsidRPr="00CF5369">
        <w:rPr>
          <w:rFonts w:ascii="Arial" w:hAnsi="Arial" w:cs="Arial"/>
          <w:color w:val="282828"/>
          <w:sz w:val="24"/>
          <w:szCs w:val="24"/>
          <w:shd w:val="clear" w:color="auto" w:fill="FFFFFF"/>
          <w:lang w:val="en-US"/>
        </w:rPr>
        <w:t xml:space="preserve"> transection prevented </w:t>
      </w:r>
      <w:r w:rsidR="00102FDB">
        <w:rPr>
          <w:rFonts w:ascii="Arial" w:hAnsi="Arial" w:cs="Arial"/>
          <w:color w:val="282828"/>
          <w:sz w:val="24"/>
          <w:szCs w:val="24"/>
          <w:shd w:val="clear" w:color="auto" w:fill="FFFFFF"/>
          <w:lang w:val="en-US"/>
        </w:rPr>
        <w:t>distilled water (DW) from</w:t>
      </w:r>
      <w:r w:rsidR="00102FDB" w:rsidRPr="00CF5369">
        <w:rPr>
          <w:rFonts w:ascii="Arial" w:hAnsi="Arial" w:cs="Arial"/>
          <w:color w:val="282828"/>
          <w:sz w:val="24"/>
          <w:szCs w:val="24"/>
          <w:shd w:val="clear" w:color="auto" w:fill="FFFFFF"/>
          <w:lang w:val="en-US"/>
        </w:rPr>
        <w:t xml:space="preserve"> induc</w:t>
      </w:r>
      <w:r w:rsidR="00102FDB">
        <w:rPr>
          <w:rFonts w:ascii="Arial" w:hAnsi="Arial" w:cs="Arial"/>
          <w:color w:val="282828"/>
          <w:sz w:val="24"/>
          <w:szCs w:val="24"/>
          <w:shd w:val="clear" w:color="auto" w:fill="FFFFFF"/>
          <w:lang w:val="en-US"/>
        </w:rPr>
        <w:t>ing</w:t>
      </w:r>
      <w:r w:rsidR="00102FDB" w:rsidRPr="00CF5369">
        <w:rPr>
          <w:rFonts w:ascii="Arial" w:hAnsi="Arial" w:cs="Arial"/>
          <w:color w:val="282828"/>
          <w:sz w:val="24"/>
          <w:szCs w:val="24"/>
          <w:shd w:val="clear" w:color="auto" w:fill="FFFFFF"/>
          <w:lang w:val="en-US"/>
        </w:rPr>
        <w:t xml:space="preserve"> swallowing and </w:t>
      </w:r>
      <w:r w:rsidR="00102FDB" w:rsidRPr="00CF5369">
        <w:rPr>
          <w:rFonts w:ascii="Arial" w:hAnsi="Arial" w:cs="Arial"/>
          <w:color w:val="282828"/>
          <w:sz w:val="24"/>
          <w:szCs w:val="24"/>
          <w:shd w:val="clear" w:color="auto" w:fill="FFFFFF"/>
          <w:lang w:val="en-US"/>
        </w:rPr>
        <w:lastRenderedPageBreak/>
        <w:t xml:space="preserve">apnea. </w:t>
      </w:r>
      <w:r w:rsidR="00102FDB" w:rsidRPr="00CB7E73">
        <w:rPr>
          <w:rFonts w:ascii="Arial" w:hAnsi="Arial" w:cs="Arial"/>
          <w:b/>
          <w:bCs/>
          <w:color w:val="282828"/>
          <w:sz w:val="24"/>
          <w:szCs w:val="24"/>
          <w:shd w:val="clear" w:color="auto" w:fill="FFFFFF"/>
          <w:lang w:val="en-US"/>
        </w:rPr>
        <w:t>(A)</w:t>
      </w:r>
      <w:r w:rsidR="00102FDB" w:rsidRPr="00CF5369">
        <w:rPr>
          <w:rFonts w:ascii="Arial" w:hAnsi="Arial" w:cs="Arial"/>
          <w:color w:val="282828"/>
          <w:sz w:val="24"/>
          <w:szCs w:val="24"/>
          <w:shd w:val="clear" w:color="auto" w:fill="FFFFFF"/>
          <w:lang w:val="en-US"/>
        </w:rPr>
        <w:t xml:space="preserve"> Representative recordings of respiratory chest movements and </w:t>
      </w:r>
      <w:r w:rsidR="00102FDB">
        <w:rPr>
          <w:rFonts w:ascii="Arial" w:hAnsi="Arial" w:cs="Arial"/>
          <w:color w:val="282828"/>
          <w:sz w:val="24"/>
          <w:szCs w:val="24"/>
          <w:shd w:val="clear" w:color="auto" w:fill="FFFFFF"/>
          <w:lang w:val="en-US"/>
        </w:rPr>
        <w:t>electromyographic (</w:t>
      </w:r>
      <w:r w:rsidR="00102FDB" w:rsidRPr="00CF5369">
        <w:rPr>
          <w:rFonts w:ascii="Arial" w:hAnsi="Arial" w:cs="Arial"/>
          <w:color w:val="282828"/>
          <w:sz w:val="24"/>
          <w:szCs w:val="24"/>
          <w:shd w:val="clear" w:color="auto" w:fill="FFFFFF"/>
          <w:lang w:val="en-US"/>
        </w:rPr>
        <w:t>EMG</w:t>
      </w:r>
      <w:r w:rsidR="00102FDB">
        <w:rPr>
          <w:rFonts w:ascii="Arial" w:hAnsi="Arial" w:cs="Arial"/>
          <w:color w:val="282828"/>
          <w:sz w:val="24"/>
          <w:szCs w:val="24"/>
          <w:shd w:val="clear" w:color="auto" w:fill="FFFFFF"/>
          <w:lang w:val="en-US"/>
        </w:rPr>
        <w:t>)</w:t>
      </w:r>
      <w:r w:rsidR="00102FDB" w:rsidRPr="00CF5369">
        <w:rPr>
          <w:rFonts w:ascii="Arial" w:hAnsi="Arial" w:cs="Arial"/>
          <w:color w:val="282828"/>
          <w:sz w:val="24"/>
          <w:szCs w:val="24"/>
          <w:shd w:val="clear" w:color="auto" w:fill="FFFFFF"/>
          <w:lang w:val="en-US"/>
        </w:rPr>
        <w:t xml:space="preserve"> activity of the mylohyoid and rectus abdominis muscles following DW administration after topical lidocaine application. </w:t>
      </w:r>
      <w:r w:rsidR="00102FDB">
        <w:rPr>
          <w:rFonts w:ascii="Arial" w:hAnsi="Arial" w:cs="Arial"/>
          <w:color w:val="282828"/>
          <w:sz w:val="24"/>
          <w:szCs w:val="24"/>
          <w:shd w:val="clear" w:color="auto" w:fill="FFFFFF"/>
          <w:lang w:val="en-US"/>
        </w:rPr>
        <w:t>The</w:t>
      </w:r>
      <w:r w:rsidR="00102FDB" w:rsidRPr="00CF5369">
        <w:rPr>
          <w:rFonts w:ascii="Arial" w:hAnsi="Arial" w:cs="Arial"/>
          <w:color w:val="282828"/>
          <w:sz w:val="24"/>
          <w:szCs w:val="24"/>
          <w:shd w:val="clear" w:color="auto" w:fill="FFFFFF"/>
          <w:lang w:val="en-US"/>
        </w:rPr>
        <w:t xml:space="preserve"> black arrowhead</w:t>
      </w:r>
      <w:r w:rsidR="00102FDB">
        <w:rPr>
          <w:rFonts w:ascii="Arial" w:hAnsi="Arial" w:cs="Arial"/>
          <w:color w:val="282828"/>
          <w:sz w:val="24"/>
          <w:szCs w:val="24"/>
          <w:shd w:val="clear" w:color="auto" w:fill="FFFFFF"/>
          <w:lang w:val="en-US"/>
        </w:rPr>
        <w:t xml:space="preserve"> indicates when the DW was delivered</w:t>
      </w:r>
      <w:r w:rsidR="00102FDB" w:rsidRPr="00CF5369">
        <w:rPr>
          <w:rFonts w:ascii="Arial" w:hAnsi="Arial" w:cs="Arial"/>
          <w:color w:val="282828"/>
          <w:sz w:val="24"/>
          <w:szCs w:val="24"/>
          <w:shd w:val="clear" w:color="auto" w:fill="FFFFFF"/>
          <w:lang w:val="en-US"/>
        </w:rPr>
        <w:t xml:space="preserve">. No swallowing reflexes or apnea were observed following DW application. The inset shows an expanded view of the section outlined by the dotted line. </w:t>
      </w:r>
      <w:r w:rsidR="00102FDB" w:rsidRPr="00CB7E73">
        <w:rPr>
          <w:rFonts w:ascii="Arial" w:hAnsi="Arial" w:cs="Arial"/>
          <w:b/>
          <w:bCs/>
          <w:color w:val="282828"/>
          <w:sz w:val="24"/>
          <w:szCs w:val="24"/>
          <w:shd w:val="clear" w:color="auto" w:fill="FFFFFF"/>
          <w:lang w:val="en-US"/>
        </w:rPr>
        <w:t>(B)</w:t>
      </w:r>
      <w:r w:rsidR="00102FDB" w:rsidRPr="00CF5369">
        <w:rPr>
          <w:rFonts w:ascii="Arial" w:hAnsi="Arial" w:cs="Arial"/>
          <w:color w:val="282828"/>
          <w:sz w:val="24"/>
          <w:szCs w:val="24"/>
          <w:shd w:val="clear" w:color="auto" w:fill="FFFFFF"/>
          <w:lang w:val="en-US"/>
        </w:rPr>
        <w:t xml:space="preserve"> Representative recordings of respiratory chest movements and EMG activity of the mylohyoid and rectus abdominis muscles following DW administration after bilateral transection of the SLNs. </w:t>
      </w:r>
      <w:r w:rsidR="00102FDB">
        <w:rPr>
          <w:rFonts w:ascii="Arial" w:hAnsi="Arial" w:cs="Arial"/>
          <w:color w:val="282828"/>
          <w:sz w:val="24"/>
          <w:szCs w:val="24"/>
          <w:shd w:val="clear" w:color="auto" w:fill="FFFFFF"/>
          <w:lang w:val="en-US"/>
        </w:rPr>
        <w:t>The</w:t>
      </w:r>
      <w:r w:rsidR="00102FDB" w:rsidRPr="00CF5369">
        <w:rPr>
          <w:rFonts w:ascii="Arial" w:hAnsi="Arial" w:cs="Arial"/>
          <w:color w:val="282828"/>
          <w:sz w:val="24"/>
          <w:szCs w:val="24"/>
          <w:shd w:val="clear" w:color="auto" w:fill="FFFFFF"/>
          <w:lang w:val="en-US"/>
        </w:rPr>
        <w:t xml:space="preserve"> black arrowhead</w:t>
      </w:r>
      <w:r w:rsidR="00102FDB">
        <w:rPr>
          <w:rFonts w:ascii="Arial" w:hAnsi="Arial" w:cs="Arial"/>
          <w:color w:val="282828"/>
          <w:sz w:val="24"/>
          <w:szCs w:val="24"/>
          <w:shd w:val="clear" w:color="auto" w:fill="FFFFFF"/>
          <w:lang w:val="en-US"/>
        </w:rPr>
        <w:t xml:space="preserve"> indicates when the DW was delivered</w:t>
      </w:r>
      <w:r w:rsidR="00102FDB" w:rsidRPr="00CF5369">
        <w:rPr>
          <w:rFonts w:ascii="Arial" w:hAnsi="Arial" w:cs="Arial"/>
          <w:color w:val="282828"/>
          <w:sz w:val="24"/>
          <w:szCs w:val="24"/>
          <w:shd w:val="clear" w:color="auto" w:fill="FFFFFF"/>
          <w:lang w:val="en-US"/>
        </w:rPr>
        <w:t>. Consistent with panel A, no swallowing reflexes or apnea were observed after DW application. I, inspiratory direction of chest movement; E, expiratory direction of chest movement</w:t>
      </w:r>
      <w:r w:rsidR="00102FDB">
        <w:rPr>
          <w:rFonts w:ascii="Arial" w:hAnsi="Arial" w:cs="Arial"/>
          <w:color w:val="282828"/>
          <w:sz w:val="24"/>
          <w:szCs w:val="24"/>
          <w:shd w:val="clear" w:color="auto" w:fill="FFFFFF"/>
          <w:lang w:val="en-US"/>
        </w:rPr>
        <w:t>; S, seconds</w:t>
      </w:r>
      <w:r w:rsidR="00102FDB" w:rsidRPr="00CF5369">
        <w:rPr>
          <w:rFonts w:ascii="Arial" w:hAnsi="Arial" w:cs="Arial"/>
          <w:color w:val="282828"/>
          <w:sz w:val="24"/>
          <w:szCs w:val="24"/>
          <w:shd w:val="clear" w:color="auto" w:fill="FFFFFF"/>
          <w:lang w:val="en-US"/>
        </w:rPr>
        <w:t>.</w:t>
      </w:r>
    </w:p>
    <w:p w:rsidR="00A476BC" w:rsidRPr="002D36D6" w:rsidRDefault="00A476BC" w:rsidP="00A476BC">
      <w:pPr>
        <w:spacing w:line="480" w:lineRule="auto"/>
        <w:jc w:val="both"/>
        <w:rPr>
          <w:rFonts w:ascii="Arial" w:hAnsi="Arial" w:cs="Arial"/>
          <w:b/>
          <w:color w:val="282828"/>
          <w:sz w:val="24"/>
          <w:szCs w:val="24"/>
          <w:shd w:val="clear" w:color="auto" w:fill="FFFFFF"/>
        </w:rPr>
      </w:pPr>
    </w:p>
    <w:p w:rsidR="00211D49" w:rsidRDefault="00A4490D"/>
    <w:sectPr w:rsidR="00211D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90D" w:rsidRDefault="00A4490D" w:rsidP="002D36D6">
      <w:pPr>
        <w:spacing w:after="0" w:line="240" w:lineRule="auto"/>
      </w:pPr>
      <w:r>
        <w:separator/>
      </w:r>
    </w:p>
  </w:endnote>
  <w:endnote w:type="continuationSeparator" w:id="0">
    <w:p w:rsidR="00A4490D" w:rsidRDefault="00A4490D" w:rsidP="002D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696241"/>
      <w:docPartObj>
        <w:docPartGallery w:val="Page Numbers (Bottom of Page)"/>
        <w:docPartUnique/>
      </w:docPartObj>
    </w:sdtPr>
    <w:sdtEndPr>
      <w:rPr>
        <w:noProof/>
      </w:rPr>
    </w:sdtEndPr>
    <w:sdtContent>
      <w:p w:rsidR="00F636F2" w:rsidRDefault="00F63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D36D6" w:rsidRDefault="002D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90D" w:rsidRDefault="00A4490D" w:rsidP="002D36D6">
      <w:pPr>
        <w:spacing w:after="0" w:line="240" w:lineRule="auto"/>
      </w:pPr>
      <w:r>
        <w:separator/>
      </w:r>
    </w:p>
  </w:footnote>
  <w:footnote w:type="continuationSeparator" w:id="0">
    <w:p w:rsidR="00A4490D" w:rsidRDefault="00A4490D" w:rsidP="002D3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NDEwNjK3MLc0NTdR0lEKTi0uzszPAykwqQUAnKKZSCwAAAA="/>
  </w:docVars>
  <w:rsids>
    <w:rsidRoot w:val="00A476BC"/>
    <w:rsid w:val="0003622D"/>
    <w:rsid w:val="0008331E"/>
    <w:rsid w:val="000E24FE"/>
    <w:rsid w:val="000F6373"/>
    <w:rsid w:val="00102FDB"/>
    <w:rsid w:val="00185B17"/>
    <w:rsid w:val="00195A2C"/>
    <w:rsid w:val="00224799"/>
    <w:rsid w:val="0022782E"/>
    <w:rsid w:val="00273C5E"/>
    <w:rsid w:val="002D36D6"/>
    <w:rsid w:val="0030698B"/>
    <w:rsid w:val="00434986"/>
    <w:rsid w:val="004771F6"/>
    <w:rsid w:val="004F2A41"/>
    <w:rsid w:val="00797AEF"/>
    <w:rsid w:val="007F5974"/>
    <w:rsid w:val="008A4BB2"/>
    <w:rsid w:val="008E39FB"/>
    <w:rsid w:val="00A4490D"/>
    <w:rsid w:val="00A476BC"/>
    <w:rsid w:val="00A94952"/>
    <w:rsid w:val="00AE1A7F"/>
    <w:rsid w:val="00BC2475"/>
    <w:rsid w:val="00C515D8"/>
    <w:rsid w:val="00D626B3"/>
    <w:rsid w:val="00D916A1"/>
    <w:rsid w:val="00E52AE5"/>
    <w:rsid w:val="00E90508"/>
    <w:rsid w:val="00E95C22"/>
    <w:rsid w:val="00EC4558"/>
    <w:rsid w:val="00F04184"/>
    <w:rsid w:val="00F636F2"/>
    <w:rsid w:val="00F939BD"/>
    <w:rsid w:val="00FE3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4173F-10BE-497F-8BD4-9BFE85B2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B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D6"/>
    <w:rPr>
      <w:lang w:val="en-GB"/>
    </w:rPr>
  </w:style>
  <w:style w:type="paragraph" w:styleId="Footer">
    <w:name w:val="footer"/>
    <w:basedOn w:val="Normal"/>
    <w:link w:val="FooterChar"/>
    <w:uiPriority w:val="99"/>
    <w:unhideWhenUsed/>
    <w:rsid w:val="002D3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Zakir Hossain</dc:creator>
  <cp:keywords/>
  <dc:description/>
  <cp:lastModifiedBy>Mohammad Zakir Hossain</cp:lastModifiedBy>
  <cp:revision>6</cp:revision>
  <dcterms:created xsi:type="dcterms:W3CDTF">2025-12-11T08:07:00Z</dcterms:created>
  <dcterms:modified xsi:type="dcterms:W3CDTF">2026-01-27T05:32:00Z</dcterms:modified>
</cp:coreProperties>
</file>