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5E7F04" w14:textId="77777777" w:rsidR="00CB79B9" w:rsidRDefault="00CB79B9" w:rsidP="00CB79B9">
      <w:pPr>
        <w:spacing w:line="480" w:lineRule="auto"/>
        <w:ind w:firstLineChars="0" w:firstLine="0"/>
        <w:rPr>
          <w:color w:val="000000" w:themeColor="text1"/>
        </w:rPr>
      </w:pPr>
      <w:r w:rsidRPr="00545BF5">
        <w:rPr>
          <w:rFonts w:cs="Times New Roman"/>
          <w:b/>
          <w:bCs/>
          <w:szCs w:val="24"/>
        </w:rPr>
        <w:t>Supplementary data</w:t>
      </w:r>
      <w:r w:rsidRPr="00545BF5">
        <w:rPr>
          <w:color w:val="000000" w:themeColor="text1"/>
        </w:rPr>
        <w:cr/>
      </w:r>
      <w:r w:rsidRPr="003122EC">
        <w:rPr>
          <w:rFonts w:cs="Times New Roman" w:hint="eastAsia"/>
          <w:b/>
          <w:szCs w:val="24"/>
        </w:rPr>
        <w:t>Table</w:t>
      </w:r>
      <w:r w:rsidRPr="003122EC">
        <w:rPr>
          <w:rFonts w:cs="Times New Roman"/>
          <w:b/>
          <w:szCs w:val="24"/>
        </w:rPr>
        <w:t xml:space="preserve"> </w:t>
      </w:r>
      <w:r w:rsidRPr="003122EC">
        <w:rPr>
          <w:rFonts w:cs="Times New Roman" w:hint="eastAsia"/>
          <w:b/>
          <w:szCs w:val="24"/>
        </w:rPr>
        <w:t>S1</w:t>
      </w:r>
      <w:r w:rsidRPr="003122EC">
        <w:rPr>
          <w:rFonts w:cs="Times New Roman"/>
          <w:szCs w:val="24"/>
        </w:rPr>
        <w:t xml:space="preserve"> </w:t>
      </w:r>
      <w:r w:rsidRPr="007A6BDD">
        <w:rPr>
          <w:rFonts w:cs="Times New Roman"/>
          <w:szCs w:val="24"/>
        </w:rPr>
        <w:t>Primers used for qRT-PCR</w:t>
      </w:r>
      <w:r w:rsidRPr="007A6BDD">
        <w:rPr>
          <w:rFonts w:cs="Times New Roman" w:hint="eastAsia"/>
          <w:szCs w:val="24"/>
        </w:rPr>
        <w:t>.</w:t>
      </w:r>
    </w:p>
    <w:p w14:paraId="1E3B85BC" w14:textId="77777777" w:rsidR="00CB79B9" w:rsidRPr="00352582" w:rsidRDefault="00CB79B9" w:rsidP="00CB79B9">
      <w:pPr>
        <w:spacing w:line="480" w:lineRule="auto"/>
        <w:ind w:firstLineChars="0" w:firstLine="0"/>
        <w:rPr>
          <w:rFonts w:cs="Times New Roman"/>
          <w:b/>
        </w:rPr>
      </w:pPr>
      <w:r w:rsidRPr="007A6BDD">
        <w:rPr>
          <w:rFonts w:cs="Times New Roman"/>
          <w:b/>
        </w:rPr>
        <w:t xml:space="preserve">Table </w:t>
      </w:r>
      <w:r w:rsidRPr="007A6BDD">
        <w:rPr>
          <w:rFonts w:cs="Times New Roman" w:hint="eastAsia"/>
          <w:b/>
        </w:rPr>
        <w:t>S2</w:t>
      </w:r>
      <w:r w:rsidRPr="00A433DA">
        <w:rPr>
          <w:rFonts w:cs="Times New Roman" w:hint="eastAsia"/>
        </w:rPr>
        <w:t xml:space="preserve"> </w:t>
      </w:r>
      <w:r>
        <w:rPr>
          <w:rFonts w:cs="Times New Roman" w:hint="eastAsia"/>
        </w:rPr>
        <w:t>P</w:t>
      </w:r>
      <w:r>
        <w:rPr>
          <w:rFonts w:cs="Times New Roman"/>
        </w:rPr>
        <w:t>hotosynthetic pigments (mg g</w:t>
      </w:r>
      <w:r w:rsidRPr="001B1EAD">
        <w:rPr>
          <w:rFonts w:cs="Times New Roman" w:hint="eastAsia"/>
          <w:vertAlign w:val="superscript"/>
        </w:rPr>
        <w:t>-</w:t>
      </w:r>
      <w:r w:rsidRPr="001B1EAD">
        <w:rPr>
          <w:rFonts w:cs="Times New Roman"/>
          <w:vertAlign w:val="superscript"/>
        </w:rPr>
        <w:t>1</w:t>
      </w:r>
      <w:r w:rsidRPr="001B1EAD">
        <w:rPr>
          <w:rFonts w:cs="Times New Roman"/>
        </w:rPr>
        <w:t>dry weight)</w:t>
      </w:r>
      <w:r>
        <w:rPr>
          <w:rFonts w:cs="Times New Roman" w:hint="eastAsia"/>
        </w:rPr>
        <w:t xml:space="preserve"> in leaves of </w:t>
      </w:r>
      <w:r w:rsidRPr="003E13DD">
        <w:rPr>
          <w:rFonts w:cs="Times New Roman" w:hint="eastAsia"/>
          <w:i/>
        </w:rPr>
        <w:t>Malus</w:t>
      </w:r>
      <w:r w:rsidRPr="003E13DD">
        <w:rPr>
          <w:rFonts w:cs="Times New Roman"/>
          <w:i/>
        </w:rPr>
        <w:t xml:space="preserve"> hupehensis</w:t>
      </w:r>
      <w:r>
        <w:rPr>
          <w:rFonts w:cs="Times New Roman" w:hint="eastAsia"/>
        </w:rPr>
        <w:t xml:space="preserve"> </w:t>
      </w:r>
      <w:r w:rsidRPr="00B20F69">
        <w:rPr>
          <w:rFonts w:cs="Times New Roman"/>
        </w:rPr>
        <w:t xml:space="preserve"> exposed to 0 or</w:t>
      </w:r>
      <w:r>
        <w:rPr>
          <w:rFonts w:cs="Times New Roman" w:hint="eastAsia"/>
        </w:rPr>
        <w:t xml:space="preserve"> 5</w:t>
      </w:r>
      <w:r w:rsidRPr="00B20F69">
        <w:rPr>
          <w:rFonts w:cs="Times New Roman"/>
        </w:rPr>
        <w:t>0 μM CdCl</w:t>
      </w:r>
      <w:r w:rsidRPr="00B20F69">
        <w:rPr>
          <w:rFonts w:cs="Times New Roman"/>
          <w:vertAlign w:val="subscript"/>
        </w:rPr>
        <w:t>2</w:t>
      </w:r>
      <w:r w:rsidRPr="00B20F69">
        <w:rPr>
          <w:rFonts w:cs="Times New Roman"/>
        </w:rPr>
        <w:t xml:space="preserve"> combined with either 0</w:t>
      </w:r>
      <w:r>
        <w:rPr>
          <w:rFonts w:cs="Times New Roman" w:hint="eastAsia"/>
        </w:rPr>
        <w:t>, 12.5, 50 or</w:t>
      </w:r>
      <w:r w:rsidRPr="00B20F69">
        <w:rPr>
          <w:rFonts w:cs="Times New Roman"/>
        </w:rPr>
        <w:t xml:space="preserve"> 1</w:t>
      </w:r>
      <w:r>
        <w:rPr>
          <w:rFonts w:cs="Times New Roman" w:hint="eastAsia"/>
        </w:rPr>
        <w:t>5</w:t>
      </w:r>
      <w:r w:rsidRPr="00B20F69">
        <w:rPr>
          <w:rFonts w:cs="Times New Roman"/>
        </w:rPr>
        <w:t xml:space="preserve">0 μM </w:t>
      </w:r>
      <w:r>
        <w:rPr>
          <w:rFonts w:cs="Times New Roman" w:hint="eastAsia"/>
        </w:rPr>
        <w:t>B</w:t>
      </w:r>
      <w:r>
        <w:rPr>
          <w:rFonts w:cs="Times New Roman"/>
        </w:rPr>
        <w:t xml:space="preserve"> for </w:t>
      </w:r>
      <w:r>
        <w:rPr>
          <w:rFonts w:cs="Times New Roman" w:hint="eastAsia"/>
        </w:rPr>
        <w:t>3</w:t>
      </w:r>
      <w:r w:rsidRPr="00B20F69">
        <w:rPr>
          <w:rFonts w:cs="Times New Roman"/>
        </w:rPr>
        <w:t>0 days.</w:t>
      </w:r>
      <w:r w:rsidRPr="003E13DD">
        <w:rPr>
          <w:rFonts w:cs="Times New Roman"/>
        </w:rPr>
        <w:t xml:space="preserve"> Data are means ± standard error (SE; n = 3). Different letters after values indicate significant differences between treatments. </w:t>
      </w:r>
      <w:r w:rsidRPr="003E13DD">
        <w:rPr>
          <w:rFonts w:cs="Times New Roman"/>
          <w:i/>
        </w:rPr>
        <w:t>P</w:t>
      </w:r>
      <w:r w:rsidRPr="003E13DD">
        <w:rPr>
          <w:rFonts w:cs="Times New Roman"/>
        </w:rPr>
        <w:t>-values for ANOVA of CdCl</w:t>
      </w:r>
      <w:r w:rsidRPr="00FD34EC">
        <w:rPr>
          <w:rFonts w:cs="Times New Roman"/>
          <w:vertAlign w:val="subscript"/>
        </w:rPr>
        <w:t>2</w:t>
      </w:r>
      <w:r w:rsidRPr="003E13DD">
        <w:rPr>
          <w:rFonts w:cs="Times New Roman"/>
        </w:rPr>
        <w:t xml:space="preserve"> (Cd), </w:t>
      </w:r>
      <w:r>
        <w:rPr>
          <w:rFonts w:cs="Times New Roman" w:hint="eastAsia"/>
        </w:rPr>
        <w:t>B</w:t>
      </w:r>
      <w:r w:rsidRPr="003E13DD">
        <w:rPr>
          <w:rFonts w:cs="Times New Roman"/>
        </w:rPr>
        <w:t xml:space="preserve">, and their interactions are shown. **: </w:t>
      </w:r>
      <w:r w:rsidRPr="00630C57">
        <w:rPr>
          <w:rFonts w:cs="Times New Roman"/>
          <w:i/>
        </w:rPr>
        <w:t>P</w:t>
      </w:r>
      <w:r w:rsidRPr="003E13DD">
        <w:rPr>
          <w:rFonts w:cs="Times New Roman"/>
        </w:rPr>
        <w:t xml:space="preserve"> ≤ 0.01;</w:t>
      </w:r>
      <w:r>
        <w:rPr>
          <w:rFonts w:cs="Times New Roman" w:hint="eastAsia"/>
        </w:rPr>
        <w:t xml:space="preserve"> </w:t>
      </w:r>
      <w:r w:rsidRPr="003E13DD">
        <w:rPr>
          <w:rFonts w:cs="Times New Roman"/>
        </w:rPr>
        <w:t>**</w:t>
      </w:r>
      <w:r>
        <w:rPr>
          <w:rFonts w:cs="Times New Roman" w:hint="eastAsia"/>
        </w:rPr>
        <w:t>*</w:t>
      </w:r>
      <w:r w:rsidRPr="003E13DD">
        <w:rPr>
          <w:rFonts w:cs="Times New Roman"/>
        </w:rPr>
        <w:t xml:space="preserve">: </w:t>
      </w:r>
      <w:r w:rsidRPr="00630C57">
        <w:rPr>
          <w:rFonts w:cs="Times New Roman"/>
          <w:i/>
        </w:rPr>
        <w:t>P</w:t>
      </w:r>
      <w:r w:rsidRPr="003E13DD">
        <w:rPr>
          <w:rFonts w:cs="Times New Roman"/>
        </w:rPr>
        <w:t xml:space="preserve"> ≤ 0.0</w:t>
      </w:r>
      <w:r>
        <w:rPr>
          <w:rFonts w:cs="Times New Roman" w:hint="eastAsia"/>
        </w:rPr>
        <w:t>0</w:t>
      </w:r>
      <w:r w:rsidRPr="003E13DD">
        <w:rPr>
          <w:rFonts w:cs="Times New Roman"/>
        </w:rPr>
        <w:t>1</w:t>
      </w:r>
      <w:r>
        <w:rPr>
          <w:rFonts w:cs="Times New Roman" w:hint="eastAsia"/>
        </w:rPr>
        <w:t>;</w:t>
      </w:r>
      <w:r w:rsidRPr="003E13DD">
        <w:rPr>
          <w:rFonts w:cs="Times New Roman"/>
        </w:rPr>
        <w:t xml:space="preserve"> ****: </w:t>
      </w:r>
      <w:r w:rsidRPr="00630C57">
        <w:rPr>
          <w:rFonts w:cs="Times New Roman"/>
          <w:i/>
        </w:rPr>
        <w:t>P</w:t>
      </w:r>
      <w:r w:rsidRPr="003E13DD">
        <w:rPr>
          <w:rFonts w:cs="Times New Roman"/>
        </w:rPr>
        <w:t xml:space="preserve"> ≤ 0.0001; ns: not significant.</w:t>
      </w:r>
      <w:r>
        <w:rPr>
          <w:rFonts w:cs="Times New Roman" w:hint="eastAsia"/>
        </w:rPr>
        <w:t xml:space="preserve"> </w:t>
      </w:r>
      <w:r w:rsidRPr="003270F0">
        <w:rPr>
          <w:rFonts w:cs="Times New Roman"/>
        </w:rPr>
        <w:t>Chla, chlorophyll a; Chl b, chlorophyll b; Chl (a + b), sum of chlorophyll a and b; Car, carotenoid</w:t>
      </w:r>
      <w:r>
        <w:rPr>
          <w:rFonts w:cs="Times New Roman" w:hint="eastAsia"/>
        </w:rPr>
        <w:t>.</w:t>
      </w:r>
    </w:p>
    <w:p w14:paraId="6C86497F" w14:textId="77777777" w:rsidR="00CB79B9" w:rsidRDefault="00CB79B9" w:rsidP="00CB79B9">
      <w:pPr>
        <w:spacing w:line="480" w:lineRule="auto"/>
        <w:ind w:firstLineChars="0" w:firstLine="0"/>
        <w:rPr>
          <w:color w:val="000000" w:themeColor="text1"/>
        </w:rPr>
      </w:pPr>
      <w:r w:rsidRPr="005C0CE8">
        <w:rPr>
          <w:b/>
          <w:bCs/>
          <w:color w:val="000000" w:themeColor="text1"/>
        </w:rPr>
        <w:t>Table S3</w:t>
      </w:r>
      <w:r w:rsidRPr="005C0CE8">
        <w:rPr>
          <w:color w:val="000000" w:themeColor="text1"/>
        </w:rPr>
        <w:t xml:space="preserve"> Root configuration and vitality of </w:t>
      </w:r>
      <w:r w:rsidRPr="005C0CE8">
        <w:rPr>
          <w:i/>
          <w:iCs/>
          <w:color w:val="000000" w:themeColor="text1"/>
        </w:rPr>
        <w:t>Malus hupehensis</w:t>
      </w:r>
      <w:r w:rsidRPr="005C0CE8">
        <w:rPr>
          <w:color w:val="000000" w:themeColor="text1"/>
        </w:rPr>
        <w:t xml:space="preserve"> exposed to 0 or 50 μM CdCl</w:t>
      </w:r>
      <w:r w:rsidRPr="005C0CE8">
        <w:rPr>
          <w:color w:val="000000" w:themeColor="text1"/>
          <w:vertAlign w:val="subscript"/>
        </w:rPr>
        <w:t>2</w:t>
      </w:r>
      <w:r w:rsidRPr="005C0CE8">
        <w:rPr>
          <w:color w:val="000000" w:themeColor="text1"/>
        </w:rPr>
        <w:t xml:space="preserve"> combined with either 0, 12.5, 50 or 150 μM B for 30 days. Data are means ± standard error (SE; n = 3). Different letters after values indicate significant differences </w:t>
      </w:r>
      <w:r w:rsidRPr="005C0CE8">
        <w:rPr>
          <w:rFonts w:hint="eastAsia"/>
          <w:color w:val="000000" w:themeColor="text1"/>
        </w:rPr>
        <w:t>between treatments. P-values for ANOVA of CdCl</w:t>
      </w:r>
      <w:r w:rsidRPr="005C0CE8">
        <w:rPr>
          <w:rFonts w:hint="eastAsia"/>
          <w:color w:val="000000" w:themeColor="text1"/>
          <w:vertAlign w:val="subscript"/>
        </w:rPr>
        <w:t>2</w:t>
      </w:r>
      <w:r w:rsidRPr="005C0CE8">
        <w:rPr>
          <w:rFonts w:hint="eastAsia"/>
          <w:color w:val="000000" w:themeColor="text1"/>
        </w:rPr>
        <w:t xml:space="preserve"> (Cd), B, and their interactions are shown. *: P </w:t>
      </w:r>
      <w:r w:rsidRPr="005C0CE8">
        <w:rPr>
          <w:rFonts w:hint="eastAsia"/>
          <w:color w:val="000000" w:themeColor="text1"/>
        </w:rPr>
        <w:t>≤</w:t>
      </w:r>
      <w:r w:rsidRPr="005C0CE8">
        <w:rPr>
          <w:rFonts w:hint="eastAsia"/>
          <w:color w:val="000000" w:themeColor="text1"/>
        </w:rPr>
        <w:t xml:space="preserve"> 0.05; **: P </w:t>
      </w:r>
      <w:r w:rsidRPr="005C0CE8">
        <w:rPr>
          <w:rFonts w:hint="eastAsia"/>
          <w:color w:val="000000" w:themeColor="text1"/>
        </w:rPr>
        <w:t>≤</w:t>
      </w:r>
      <w:r w:rsidRPr="005C0CE8">
        <w:rPr>
          <w:rFonts w:hint="eastAsia"/>
          <w:color w:val="000000" w:themeColor="text1"/>
        </w:rPr>
        <w:t xml:space="preserve"> 0.01; ***: P </w:t>
      </w:r>
      <w:r w:rsidRPr="005C0CE8">
        <w:rPr>
          <w:rFonts w:hint="eastAsia"/>
          <w:color w:val="000000" w:themeColor="text1"/>
        </w:rPr>
        <w:t>≤</w:t>
      </w:r>
      <w:r w:rsidRPr="005C0CE8">
        <w:rPr>
          <w:rFonts w:hint="eastAsia"/>
          <w:color w:val="000000" w:themeColor="text1"/>
        </w:rPr>
        <w:t xml:space="preserve"> 0.001; ****: P </w:t>
      </w:r>
      <w:r w:rsidRPr="005C0CE8">
        <w:rPr>
          <w:rFonts w:hint="eastAsia"/>
          <w:color w:val="000000" w:themeColor="text1"/>
        </w:rPr>
        <w:t>≤</w:t>
      </w:r>
      <w:r w:rsidRPr="005C0CE8">
        <w:rPr>
          <w:rFonts w:hint="eastAsia"/>
          <w:color w:val="000000" w:themeColor="text1"/>
        </w:rPr>
        <w:t xml:space="preserve"> 0.0001; ns: not significant.</w:t>
      </w:r>
      <w:r w:rsidRPr="005C0CE8">
        <w:rPr>
          <w:color w:val="000000" w:themeColor="text1"/>
        </w:rPr>
        <w:cr/>
      </w:r>
      <w:r w:rsidRPr="00E41418">
        <w:rPr>
          <w:b/>
          <w:bCs/>
          <w:color w:val="000000" w:themeColor="text1"/>
        </w:rPr>
        <w:t>Fig. S1</w:t>
      </w:r>
      <w:r w:rsidRPr="00E41418">
        <w:rPr>
          <w:color w:val="000000" w:themeColor="text1"/>
        </w:rPr>
        <w:t xml:space="preserve"> Activities of β-glucosidase, methylcellulase and pectin methylesterase in the root of </w:t>
      </w:r>
      <w:r w:rsidRPr="00EA5A4A">
        <w:rPr>
          <w:i/>
          <w:iCs/>
          <w:color w:val="000000" w:themeColor="text1"/>
        </w:rPr>
        <w:t xml:space="preserve">Malus hupehensis </w:t>
      </w:r>
      <w:r w:rsidRPr="00E41418">
        <w:rPr>
          <w:color w:val="000000" w:themeColor="text1"/>
        </w:rPr>
        <w:t>exposed to 0 or 50 μM CdCl</w:t>
      </w:r>
      <w:r w:rsidRPr="00AB3E05">
        <w:rPr>
          <w:color w:val="000000" w:themeColor="text1"/>
          <w:vertAlign w:val="subscript"/>
        </w:rPr>
        <w:t xml:space="preserve">2 </w:t>
      </w:r>
      <w:r w:rsidRPr="00E41418">
        <w:rPr>
          <w:color w:val="000000" w:themeColor="text1"/>
        </w:rPr>
        <w:t>combined with either 0, 12.5, 50 or 150 μM B for 30 days. Data are means ± standard error (SE; n = 3). Different lett</w:t>
      </w:r>
      <w:r w:rsidRPr="00E41418">
        <w:rPr>
          <w:rFonts w:hint="eastAsia"/>
          <w:color w:val="000000" w:themeColor="text1"/>
        </w:rPr>
        <w:t>ers on the bars indicate significant differences between treatments. P-values for ANOVA of CdCl</w:t>
      </w:r>
      <w:r w:rsidRPr="00AB3E05">
        <w:rPr>
          <w:rFonts w:hint="eastAsia"/>
          <w:color w:val="000000" w:themeColor="text1"/>
          <w:vertAlign w:val="subscript"/>
        </w:rPr>
        <w:t>2</w:t>
      </w:r>
      <w:r w:rsidRPr="00E41418">
        <w:rPr>
          <w:rFonts w:hint="eastAsia"/>
          <w:color w:val="000000" w:themeColor="text1"/>
        </w:rPr>
        <w:t xml:space="preserve"> (Cd), B, and their interactions are shown. *: P </w:t>
      </w:r>
      <w:r w:rsidRPr="00E41418">
        <w:rPr>
          <w:rFonts w:hint="eastAsia"/>
          <w:color w:val="000000" w:themeColor="text1"/>
        </w:rPr>
        <w:t>≤</w:t>
      </w:r>
      <w:r w:rsidRPr="00E41418">
        <w:rPr>
          <w:rFonts w:hint="eastAsia"/>
          <w:color w:val="000000" w:themeColor="text1"/>
        </w:rPr>
        <w:t xml:space="preserve"> 0.05; **: P </w:t>
      </w:r>
      <w:r w:rsidRPr="00E41418">
        <w:rPr>
          <w:rFonts w:hint="eastAsia"/>
          <w:color w:val="000000" w:themeColor="text1"/>
        </w:rPr>
        <w:t>≤</w:t>
      </w:r>
      <w:r w:rsidRPr="00E41418">
        <w:rPr>
          <w:rFonts w:hint="eastAsia"/>
          <w:color w:val="000000" w:themeColor="text1"/>
        </w:rPr>
        <w:t xml:space="preserve"> 0.01; ***: P </w:t>
      </w:r>
      <w:r w:rsidRPr="00E41418">
        <w:rPr>
          <w:rFonts w:hint="eastAsia"/>
          <w:color w:val="000000" w:themeColor="text1"/>
        </w:rPr>
        <w:t>≤</w:t>
      </w:r>
      <w:r w:rsidRPr="00E41418">
        <w:rPr>
          <w:rFonts w:hint="eastAsia"/>
          <w:color w:val="000000" w:themeColor="text1"/>
        </w:rPr>
        <w:t xml:space="preserve"> 0.001; ****: P </w:t>
      </w:r>
      <w:r w:rsidRPr="00E41418">
        <w:rPr>
          <w:rFonts w:hint="eastAsia"/>
          <w:color w:val="000000" w:themeColor="text1"/>
        </w:rPr>
        <w:t>≤</w:t>
      </w:r>
      <w:r w:rsidRPr="00E41418">
        <w:rPr>
          <w:rFonts w:hint="eastAsia"/>
          <w:color w:val="000000" w:themeColor="text1"/>
        </w:rPr>
        <w:t xml:space="preserve"> 0.0001; ns: not significant.</w:t>
      </w:r>
      <w:r w:rsidRPr="00E41418">
        <w:rPr>
          <w:color w:val="000000" w:themeColor="text1"/>
        </w:rPr>
        <w:cr/>
      </w:r>
      <w:r w:rsidRPr="00E41418">
        <w:rPr>
          <w:b/>
          <w:bCs/>
          <w:color w:val="000000" w:themeColor="text1"/>
        </w:rPr>
        <w:t>Fig. S2</w:t>
      </w:r>
      <w:r w:rsidRPr="00E41418">
        <w:rPr>
          <w:color w:val="000000" w:themeColor="text1"/>
        </w:rPr>
        <w:t xml:space="preserve"> Free proline, soluble phenolics, ascorbate (ASC), and total thiols (T-SH) in the roots and leaves of </w:t>
      </w:r>
      <w:r w:rsidRPr="00EA5A4A">
        <w:rPr>
          <w:i/>
          <w:iCs/>
          <w:color w:val="000000" w:themeColor="text1"/>
        </w:rPr>
        <w:t>Malus hupehensis</w:t>
      </w:r>
      <w:r w:rsidRPr="00E41418">
        <w:rPr>
          <w:color w:val="000000" w:themeColor="text1"/>
        </w:rPr>
        <w:t xml:space="preserve"> exposed to 0 or 50 μM CdCl</w:t>
      </w:r>
      <w:r w:rsidRPr="00E41418">
        <w:rPr>
          <w:color w:val="000000" w:themeColor="text1"/>
          <w:vertAlign w:val="subscript"/>
        </w:rPr>
        <w:t>2</w:t>
      </w:r>
      <w:r w:rsidRPr="00E41418">
        <w:rPr>
          <w:color w:val="000000" w:themeColor="text1"/>
        </w:rPr>
        <w:t xml:space="preserve"> combined with either 0, 12.5, 50 or 150 μM B for 30 days. Data are mean</w:t>
      </w:r>
      <w:r w:rsidRPr="00E41418">
        <w:rPr>
          <w:rFonts w:hint="eastAsia"/>
          <w:color w:val="000000" w:themeColor="text1"/>
        </w:rPr>
        <w:t xml:space="preserve">s </w:t>
      </w:r>
      <w:r w:rsidRPr="00E41418">
        <w:rPr>
          <w:color w:val="000000" w:themeColor="text1"/>
        </w:rPr>
        <w:t>±</w:t>
      </w:r>
      <w:r w:rsidRPr="00E41418">
        <w:rPr>
          <w:rFonts w:hint="eastAsia"/>
          <w:color w:val="000000" w:themeColor="text1"/>
        </w:rPr>
        <w:t xml:space="preserve"> standard error (SE; n = 3). Different letters on the bars indicate significant differences between treatments. P-values for ANOVA of CdCl</w:t>
      </w:r>
      <w:r w:rsidRPr="00BE54EC">
        <w:rPr>
          <w:rFonts w:hint="eastAsia"/>
          <w:color w:val="000000" w:themeColor="text1"/>
          <w:vertAlign w:val="subscript"/>
        </w:rPr>
        <w:t>2</w:t>
      </w:r>
      <w:r w:rsidRPr="00E41418">
        <w:rPr>
          <w:rFonts w:hint="eastAsia"/>
          <w:color w:val="000000" w:themeColor="text1"/>
        </w:rPr>
        <w:t xml:space="preserve"> (Cd), B, and their interactions are shown. *: P </w:t>
      </w:r>
      <w:r w:rsidRPr="00E41418">
        <w:rPr>
          <w:rFonts w:hint="eastAsia"/>
          <w:color w:val="000000" w:themeColor="text1"/>
        </w:rPr>
        <w:t>≤</w:t>
      </w:r>
      <w:r w:rsidRPr="00E41418">
        <w:rPr>
          <w:rFonts w:hint="eastAsia"/>
          <w:color w:val="000000" w:themeColor="text1"/>
        </w:rPr>
        <w:t xml:space="preserve"> 0.05; **: P </w:t>
      </w:r>
      <w:r w:rsidRPr="00E41418">
        <w:rPr>
          <w:rFonts w:hint="eastAsia"/>
          <w:color w:val="000000" w:themeColor="text1"/>
        </w:rPr>
        <w:t>≤</w:t>
      </w:r>
      <w:r w:rsidRPr="00E41418">
        <w:rPr>
          <w:rFonts w:hint="eastAsia"/>
          <w:color w:val="000000" w:themeColor="text1"/>
        </w:rPr>
        <w:t xml:space="preserve"> 0.01; ***: P </w:t>
      </w:r>
      <w:r w:rsidRPr="00E41418">
        <w:rPr>
          <w:rFonts w:hint="eastAsia"/>
          <w:color w:val="000000" w:themeColor="text1"/>
        </w:rPr>
        <w:t>≤</w:t>
      </w:r>
      <w:r w:rsidRPr="00E41418">
        <w:rPr>
          <w:rFonts w:hint="eastAsia"/>
          <w:color w:val="000000" w:themeColor="text1"/>
        </w:rPr>
        <w:t xml:space="preserve"> 0.001; ****: P </w:t>
      </w:r>
      <w:r w:rsidRPr="00E41418">
        <w:rPr>
          <w:rFonts w:hint="eastAsia"/>
          <w:color w:val="000000" w:themeColor="text1"/>
        </w:rPr>
        <w:t>≤</w:t>
      </w:r>
      <w:r w:rsidRPr="00E41418">
        <w:rPr>
          <w:rFonts w:hint="eastAsia"/>
          <w:color w:val="000000" w:themeColor="text1"/>
        </w:rPr>
        <w:t xml:space="preserve"> 0.0001; ns: not s</w:t>
      </w:r>
      <w:r w:rsidRPr="00E41418">
        <w:rPr>
          <w:color w:val="000000" w:themeColor="text1"/>
        </w:rPr>
        <w:t xml:space="preserve">ignificant. </w:t>
      </w:r>
    </w:p>
    <w:p w14:paraId="76BE82EC" w14:textId="77777777" w:rsidR="00CB79B9" w:rsidRPr="009C76F8" w:rsidRDefault="00CB79B9" w:rsidP="00CB79B9">
      <w:pPr>
        <w:spacing w:line="480" w:lineRule="auto"/>
        <w:ind w:firstLineChars="0" w:firstLine="0"/>
        <w:rPr>
          <w:color w:val="000000" w:themeColor="text1"/>
        </w:rPr>
      </w:pPr>
      <w:r w:rsidRPr="00095933">
        <w:rPr>
          <w:b/>
          <w:bCs/>
          <w:color w:val="000000" w:themeColor="text1"/>
        </w:rPr>
        <w:t>Fig. S3</w:t>
      </w:r>
      <w:r w:rsidRPr="00095933">
        <w:rPr>
          <w:color w:val="000000" w:themeColor="text1"/>
        </w:rPr>
        <w:t xml:space="preserve"> Superoxide dismutase (SOD), peroxidase (POD), catalase (CAT), ascorbate peroxidase </w:t>
      </w:r>
      <w:r w:rsidRPr="00095933">
        <w:rPr>
          <w:color w:val="000000" w:themeColor="text1"/>
        </w:rPr>
        <w:lastRenderedPageBreak/>
        <w:t xml:space="preserve">(APX) and glutathione reductase (GR) in the roots and leaves of </w:t>
      </w:r>
      <w:r w:rsidRPr="00E41418">
        <w:rPr>
          <w:i/>
          <w:iCs/>
          <w:color w:val="000000" w:themeColor="text1"/>
        </w:rPr>
        <w:t xml:space="preserve">Malus hupehensis </w:t>
      </w:r>
      <w:r w:rsidRPr="00095933">
        <w:rPr>
          <w:color w:val="000000" w:themeColor="text1"/>
        </w:rPr>
        <w:t>exposed to 0 or 50 μM CdCl</w:t>
      </w:r>
      <w:r w:rsidRPr="00E41418">
        <w:rPr>
          <w:color w:val="000000" w:themeColor="text1"/>
          <w:vertAlign w:val="subscript"/>
        </w:rPr>
        <w:t>2</w:t>
      </w:r>
      <w:r w:rsidRPr="00095933">
        <w:rPr>
          <w:color w:val="000000" w:themeColor="text1"/>
        </w:rPr>
        <w:t xml:space="preserve"> combined with either 0, 1</w:t>
      </w:r>
      <w:r w:rsidRPr="00095933">
        <w:rPr>
          <w:rFonts w:hint="eastAsia"/>
          <w:color w:val="000000" w:themeColor="text1"/>
        </w:rPr>
        <w:t xml:space="preserve">2.5, 50 or 150 </w:t>
      </w:r>
      <w:r w:rsidRPr="00095933">
        <w:rPr>
          <w:rFonts w:hint="eastAsia"/>
          <w:color w:val="000000" w:themeColor="text1"/>
        </w:rPr>
        <w:t>μ</w:t>
      </w:r>
      <w:r w:rsidRPr="00095933">
        <w:rPr>
          <w:rFonts w:hint="eastAsia"/>
          <w:color w:val="000000" w:themeColor="text1"/>
        </w:rPr>
        <w:t>M B for 30 days. Data are means</w:t>
      </w:r>
      <w:r>
        <w:rPr>
          <w:rFonts w:hint="eastAsia"/>
          <w:color w:val="000000" w:themeColor="text1"/>
        </w:rPr>
        <w:t xml:space="preserve"> </w:t>
      </w:r>
      <w:r w:rsidRPr="00E41418">
        <w:rPr>
          <w:color w:val="000000" w:themeColor="text1"/>
        </w:rPr>
        <w:t>±</w:t>
      </w:r>
      <w:r>
        <w:rPr>
          <w:rFonts w:hint="eastAsia"/>
          <w:color w:val="000000" w:themeColor="text1"/>
        </w:rPr>
        <w:t xml:space="preserve"> </w:t>
      </w:r>
      <w:r w:rsidRPr="00095933">
        <w:rPr>
          <w:rFonts w:hint="eastAsia"/>
          <w:color w:val="000000" w:themeColor="text1"/>
        </w:rPr>
        <w:t>standard error (SE; n = 3). Different letters on the bars indicate significant differences between treatments. P-values for ANOVA of CdCl</w:t>
      </w:r>
      <w:r w:rsidRPr="00BE54EC">
        <w:rPr>
          <w:rFonts w:hint="eastAsia"/>
          <w:color w:val="000000" w:themeColor="text1"/>
          <w:vertAlign w:val="subscript"/>
        </w:rPr>
        <w:t>2</w:t>
      </w:r>
      <w:r w:rsidRPr="00095933">
        <w:rPr>
          <w:rFonts w:hint="eastAsia"/>
          <w:color w:val="000000" w:themeColor="text1"/>
        </w:rPr>
        <w:t xml:space="preserve"> (Cd), B, and their interactions are shown. *: P </w:t>
      </w:r>
      <w:r w:rsidRPr="00095933">
        <w:rPr>
          <w:rFonts w:hint="eastAsia"/>
          <w:color w:val="000000" w:themeColor="text1"/>
        </w:rPr>
        <w:t>≤</w:t>
      </w:r>
      <w:r w:rsidRPr="00095933">
        <w:rPr>
          <w:rFonts w:hint="eastAsia"/>
          <w:color w:val="000000" w:themeColor="text1"/>
        </w:rPr>
        <w:t xml:space="preserve"> 0.05; **: P </w:t>
      </w:r>
      <w:r w:rsidRPr="00095933">
        <w:rPr>
          <w:rFonts w:hint="eastAsia"/>
          <w:color w:val="000000" w:themeColor="text1"/>
        </w:rPr>
        <w:t>≤</w:t>
      </w:r>
      <w:r w:rsidRPr="00095933">
        <w:rPr>
          <w:rFonts w:hint="eastAsia"/>
          <w:color w:val="000000" w:themeColor="text1"/>
        </w:rPr>
        <w:t xml:space="preserve"> 0.01; ***: P </w:t>
      </w:r>
      <w:r w:rsidRPr="00095933">
        <w:rPr>
          <w:rFonts w:hint="eastAsia"/>
          <w:color w:val="000000" w:themeColor="text1"/>
        </w:rPr>
        <w:t>≤</w:t>
      </w:r>
      <w:r w:rsidRPr="00095933">
        <w:rPr>
          <w:rFonts w:hint="eastAsia"/>
          <w:color w:val="000000" w:themeColor="text1"/>
        </w:rPr>
        <w:t xml:space="preserve"> 0.001; ****: P </w:t>
      </w:r>
      <w:r w:rsidRPr="00095933">
        <w:rPr>
          <w:rFonts w:hint="eastAsia"/>
          <w:color w:val="000000" w:themeColor="text1"/>
        </w:rPr>
        <w:t>≤</w:t>
      </w:r>
      <w:r w:rsidRPr="00095933">
        <w:rPr>
          <w:rFonts w:hint="eastAsia"/>
          <w:color w:val="000000" w:themeColor="text1"/>
        </w:rPr>
        <w:t xml:space="preserve"> 0.0001; ns: not significant.</w:t>
      </w:r>
    </w:p>
    <w:p w14:paraId="05B18642" w14:textId="77777777" w:rsidR="00EB4A2D" w:rsidRDefault="00EB4A2D">
      <w:pPr>
        <w:ind w:firstLine="480"/>
      </w:pPr>
    </w:p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9B9"/>
    <w:rsid w:val="002C7D54"/>
    <w:rsid w:val="0033371E"/>
    <w:rsid w:val="005C0D39"/>
    <w:rsid w:val="0070406C"/>
    <w:rsid w:val="00724754"/>
    <w:rsid w:val="00830E36"/>
    <w:rsid w:val="00C321FA"/>
    <w:rsid w:val="00C97210"/>
    <w:rsid w:val="00CB79B9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BEFB2B"/>
  <w15:chartTrackingRefBased/>
  <w15:docId w15:val="{A1795A14-9661-4D64-A35B-8322F3D7E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79B9"/>
    <w:pPr>
      <w:widowControl w:val="0"/>
      <w:spacing w:after="0" w:line="360" w:lineRule="auto"/>
      <w:ind w:firstLineChars="200" w:firstLine="200"/>
      <w:jc w:val="both"/>
    </w:pPr>
    <w:rPr>
      <w:rFonts w:ascii="Times New Roman" w:eastAsia="SimSun" w:hAnsi="Times New Roman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79B9"/>
    <w:pPr>
      <w:keepNext/>
      <w:keepLines/>
      <w:widowControl/>
      <w:spacing w:before="36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79B9"/>
    <w:pPr>
      <w:keepNext/>
      <w:keepLines/>
      <w:widowControl/>
      <w:spacing w:before="16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79B9"/>
    <w:pPr>
      <w:keepNext/>
      <w:keepLines/>
      <w:widowControl/>
      <w:spacing w:before="160" w:after="80" w:line="278" w:lineRule="auto"/>
      <w:ind w:firstLineChars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79B9"/>
    <w:pPr>
      <w:keepNext/>
      <w:keepLines/>
      <w:widowControl/>
      <w:spacing w:before="80" w:after="40" w:line="278" w:lineRule="auto"/>
      <w:ind w:firstLineChars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79B9"/>
    <w:pPr>
      <w:keepNext/>
      <w:keepLines/>
      <w:widowControl/>
      <w:spacing w:before="80" w:after="40" w:line="278" w:lineRule="auto"/>
      <w:ind w:firstLineChars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79B9"/>
    <w:pPr>
      <w:keepNext/>
      <w:keepLines/>
      <w:widowControl/>
      <w:spacing w:before="40" w:line="278" w:lineRule="auto"/>
      <w:ind w:firstLineChars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79B9"/>
    <w:pPr>
      <w:keepNext/>
      <w:keepLines/>
      <w:widowControl/>
      <w:spacing w:before="40" w:line="278" w:lineRule="auto"/>
      <w:ind w:firstLineChars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79B9"/>
    <w:pPr>
      <w:keepNext/>
      <w:keepLines/>
      <w:widowControl/>
      <w:spacing w:line="278" w:lineRule="auto"/>
      <w:ind w:firstLineChars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79B9"/>
    <w:pPr>
      <w:keepNext/>
      <w:keepLines/>
      <w:widowControl/>
      <w:spacing w:line="278" w:lineRule="auto"/>
      <w:ind w:firstLineChars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79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79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79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79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79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79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79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79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79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79B9"/>
    <w:pPr>
      <w:widowControl/>
      <w:spacing w:after="80" w:line="240" w:lineRule="auto"/>
      <w:ind w:firstLineChars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B79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79B9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B79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79B9"/>
    <w:pPr>
      <w:widowControl/>
      <w:spacing w:before="160" w:after="160" w:line="278" w:lineRule="auto"/>
      <w:ind w:firstLineChars="0" w:firstLine="0"/>
      <w:jc w:val="center"/>
    </w:pPr>
    <w:rPr>
      <w:rFonts w:asciiTheme="minorHAnsi" w:eastAsiaTheme="minorHAnsi" w:hAnsiTheme="minorHAnsi"/>
      <w:i/>
      <w:iCs/>
      <w:color w:val="404040" w:themeColor="text1" w:themeTint="BF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B79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79B9"/>
    <w:pPr>
      <w:widowControl/>
      <w:spacing w:after="160" w:line="278" w:lineRule="auto"/>
      <w:ind w:left="720" w:firstLineChars="0" w:firstLine="0"/>
      <w:contextualSpacing/>
      <w:jc w:val="left"/>
    </w:pPr>
    <w:rPr>
      <w:rFonts w:asciiTheme="minorHAnsi" w:eastAsiaTheme="minorHAnsi" w:hAnsiTheme="minorHAnsi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B79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79B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Chars="0" w:firstLine="0"/>
      <w:jc w:val="center"/>
    </w:pPr>
    <w:rPr>
      <w:rFonts w:asciiTheme="minorHAnsi" w:eastAsiaTheme="minorHAnsi" w:hAnsiTheme="minorHAnsi"/>
      <w:i/>
      <w:iCs/>
      <w:color w:val="0F4761" w:themeColor="accent1" w:themeShade="BF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79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79B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392</Words>
  <Characters>2142</Characters>
  <Application>Microsoft Office Word</Application>
  <DocSecurity>0</DocSecurity>
  <Lines>35</Lines>
  <Paragraphs>9</Paragraphs>
  <ScaleCrop>false</ScaleCrop>
  <Company/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2026-02-23T08:33:00Z</dcterms:created>
  <dcterms:modified xsi:type="dcterms:W3CDTF">2026-02-23T08:33:00Z</dcterms:modified>
</cp:coreProperties>
</file>