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E35" w:rsidRDefault="00485E35" w:rsidP="00485E35">
      <w:pPr>
        <w:spacing w:line="480" w:lineRule="auto"/>
        <w:jc w:val="both"/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  <w:b/>
          <w:bCs/>
        </w:rPr>
        <w:t>Table 1</w:t>
      </w:r>
      <w:r>
        <w:rPr>
          <w:rFonts w:ascii="Helvetica Neue Light" w:eastAsia="Helvetica Neue Light" w:hAnsi="Helvetica Neue Light" w:cs="Helvetica Neue Light"/>
        </w:rPr>
        <w:t>. Clinical and demographic characteristics of the study population (N=197).</w:t>
      </w:r>
    </w:p>
    <w:tbl>
      <w:tblPr>
        <w:tblStyle w:val="Style39"/>
        <w:tblpPr w:leftFromText="141" w:rightFromText="141" w:vertAnchor="page" w:horzAnchor="margin" w:tblpY="1945"/>
        <w:tblW w:w="86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2706"/>
      </w:tblGrid>
      <w:tr w:rsidR="00485E35" w:rsidTr="00222864">
        <w:tc>
          <w:tcPr>
            <w:tcW w:w="5949" w:type="dxa"/>
          </w:tcPr>
          <w:p w:rsidR="00485E35" w:rsidRDefault="00485E35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i/>
                <w:iCs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Female sex</w:t>
            </w:r>
            <w:bookmarkStart w:id="0" w:name="_GoBack"/>
            <w:bookmarkEnd w:id="0"/>
          </w:p>
        </w:tc>
        <w:tc>
          <w:tcPr>
            <w:tcW w:w="2706" w:type="dxa"/>
          </w:tcPr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97 (49)</w:t>
            </w:r>
          </w:p>
        </w:tc>
      </w:tr>
      <w:tr w:rsidR="00485E35" w:rsidTr="00222864">
        <w:tc>
          <w:tcPr>
            <w:tcW w:w="5949" w:type="dxa"/>
          </w:tcPr>
          <w:p w:rsidR="00485E35" w:rsidRDefault="00485E35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  <w:highlight w:val="yellow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Age at Crohn’s disease diagnosis</w:t>
            </w:r>
          </w:p>
        </w:tc>
        <w:tc>
          <w:tcPr>
            <w:tcW w:w="2706" w:type="dxa"/>
          </w:tcPr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26 (20 – 36)</w:t>
            </w:r>
          </w:p>
        </w:tc>
      </w:tr>
      <w:tr w:rsidR="00485E35" w:rsidTr="00222864">
        <w:tc>
          <w:tcPr>
            <w:tcW w:w="5949" w:type="dxa"/>
          </w:tcPr>
          <w:p w:rsidR="00485E35" w:rsidRDefault="00485E35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i/>
                <w:iCs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Crohn’s disease location</w:t>
            </w:r>
          </w:p>
          <w:p w:rsidR="00485E35" w:rsidRDefault="00485E35" w:rsidP="00222864">
            <w:pPr>
              <w:spacing w:line="480" w:lineRule="auto"/>
              <w:ind w:left="528"/>
              <w:jc w:val="both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 xml:space="preserve">Ileal / Colonic / Ileocolonic </w:t>
            </w:r>
          </w:p>
        </w:tc>
        <w:tc>
          <w:tcPr>
            <w:tcW w:w="2706" w:type="dxa"/>
          </w:tcPr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</w:p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89 (45) / 4 (2) / 104 (53)</w:t>
            </w:r>
          </w:p>
        </w:tc>
      </w:tr>
      <w:tr w:rsidR="00485E35" w:rsidTr="00222864">
        <w:tc>
          <w:tcPr>
            <w:tcW w:w="5949" w:type="dxa"/>
          </w:tcPr>
          <w:p w:rsidR="00485E35" w:rsidRDefault="00485E35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Crohn’s Disease behaviour</w:t>
            </w:r>
          </w:p>
          <w:p w:rsidR="00485E35" w:rsidRDefault="00485E35" w:rsidP="00222864">
            <w:pPr>
              <w:spacing w:line="480" w:lineRule="auto"/>
              <w:ind w:left="528"/>
              <w:jc w:val="both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 xml:space="preserve">Inflammatory / </w:t>
            </w:r>
            <w:proofErr w:type="spellStart"/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Fibrostenosing</w:t>
            </w:r>
            <w:proofErr w:type="spellEnd"/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 xml:space="preserve"> / Penetrating</w:t>
            </w:r>
          </w:p>
        </w:tc>
        <w:tc>
          <w:tcPr>
            <w:tcW w:w="2706" w:type="dxa"/>
          </w:tcPr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</w:p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29 (14) / 82 (42) / 86 (44)</w:t>
            </w:r>
          </w:p>
        </w:tc>
      </w:tr>
      <w:tr w:rsidR="00485E35" w:rsidTr="00222864">
        <w:tc>
          <w:tcPr>
            <w:tcW w:w="5949" w:type="dxa"/>
          </w:tcPr>
          <w:p w:rsidR="00485E35" w:rsidRDefault="00485E35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Additional risk factors for vitamin B12 deficiency</w:t>
            </w:r>
          </w:p>
          <w:p w:rsidR="00485E35" w:rsidRDefault="00485E35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 xml:space="preserve">    Positive anti-intrinsic factor/anti-parietal cell antibodies* </w:t>
            </w:r>
          </w:p>
          <w:p w:rsidR="00485E35" w:rsidRDefault="00485E35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 xml:space="preserve">    Positive anti-tissue transglutaminase </w:t>
            </w:r>
            <w:proofErr w:type="gramStart"/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IgA  antibodies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**</w:t>
            </w:r>
          </w:p>
          <w:p w:rsidR="00485E35" w:rsidRDefault="00485E35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 xml:space="preserve">    Pancreatic disease</w:t>
            </w:r>
          </w:p>
          <w:p w:rsidR="00485E35" w:rsidRDefault="00485E35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 xml:space="preserve">    Secondary amyloidosis</w:t>
            </w:r>
          </w:p>
          <w:p w:rsidR="00485E35" w:rsidRDefault="00485E35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 xml:space="preserve">    Malnutrition</w:t>
            </w:r>
          </w:p>
          <w:p w:rsidR="00485E35" w:rsidRDefault="00485E35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 xml:space="preserve">    Small bowel carcinoma</w:t>
            </w:r>
          </w:p>
          <w:p w:rsidR="00485E35" w:rsidRDefault="00485E35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 xml:space="preserve">    Carcinoid tumour</w:t>
            </w:r>
          </w:p>
          <w:p w:rsidR="00485E35" w:rsidRDefault="00485E35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 xml:space="preserve">    Hypothyroidism</w:t>
            </w:r>
          </w:p>
          <w:p w:rsidR="00485E35" w:rsidRDefault="00485E35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 xml:space="preserve">    Treatment with metformin</w:t>
            </w:r>
          </w:p>
          <w:p w:rsidR="00485E35" w:rsidRDefault="00485E35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 xml:space="preserve">    Omeprazole therapy</w:t>
            </w:r>
          </w:p>
        </w:tc>
        <w:tc>
          <w:tcPr>
            <w:tcW w:w="2706" w:type="dxa"/>
          </w:tcPr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91 (46)</w:t>
            </w:r>
          </w:p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24 (12)</w:t>
            </w:r>
          </w:p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15 (8)</w:t>
            </w:r>
          </w:p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6 (4)</w:t>
            </w:r>
          </w:p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2 (1)</w:t>
            </w:r>
          </w:p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1 (1)</w:t>
            </w:r>
          </w:p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1 (1)</w:t>
            </w:r>
          </w:p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1 (1)</w:t>
            </w:r>
          </w:p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1 (1)</w:t>
            </w:r>
          </w:p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1 (1)</w:t>
            </w:r>
          </w:p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35 (18)</w:t>
            </w:r>
          </w:p>
        </w:tc>
      </w:tr>
      <w:tr w:rsidR="00485E35" w:rsidTr="00222864">
        <w:tc>
          <w:tcPr>
            <w:tcW w:w="5949" w:type="dxa"/>
          </w:tcPr>
          <w:p w:rsidR="00485E35" w:rsidRDefault="00485E35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Age at first surgery</w:t>
            </w:r>
          </w:p>
        </w:tc>
        <w:tc>
          <w:tcPr>
            <w:tcW w:w="2706" w:type="dxa"/>
          </w:tcPr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35 (27-46)</w:t>
            </w:r>
          </w:p>
        </w:tc>
      </w:tr>
      <w:tr w:rsidR="00485E35" w:rsidTr="00222864">
        <w:tc>
          <w:tcPr>
            <w:tcW w:w="5949" w:type="dxa"/>
          </w:tcPr>
          <w:p w:rsidR="00485E35" w:rsidRDefault="00485E35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Type of ileal resection</w:t>
            </w:r>
          </w:p>
          <w:p w:rsidR="00485E35" w:rsidRDefault="00485E35" w:rsidP="00222864">
            <w:pPr>
              <w:spacing w:line="480" w:lineRule="auto"/>
              <w:ind w:left="528"/>
              <w:jc w:val="both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 xml:space="preserve">Ileocecal / Ileal </w:t>
            </w:r>
          </w:p>
        </w:tc>
        <w:tc>
          <w:tcPr>
            <w:tcW w:w="2706" w:type="dxa"/>
          </w:tcPr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</w:p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185 (94) / 12 (6)</w:t>
            </w:r>
          </w:p>
        </w:tc>
      </w:tr>
      <w:tr w:rsidR="00485E35" w:rsidTr="00222864">
        <w:tc>
          <w:tcPr>
            <w:tcW w:w="5949" w:type="dxa"/>
          </w:tcPr>
          <w:p w:rsidR="00485E35" w:rsidRDefault="00485E35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i/>
                <w:iCs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Length of ileal resection</w:t>
            </w:r>
          </w:p>
        </w:tc>
        <w:tc>
          <w:tcPr>
            <w:tcW w:w="2706" w:type="dxa"/>
          </w:tcPr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20 (14-36)</w:t>
            </w:r>
          </w:p>
        </w:tc>
      </w:tr>
      <w:tr w:rsidR="00485E35" w:rsidTr="00222864">
        <w:trPr>
          <w:trHeight w:val="385"/>
        </w:trPr>
        <w:tc>
          <w:tcPr>
            <w:tcW w:w="5949" w:type="dxa"/>
          </w:tcPr>
          <w:p w:rsidR="00485E35" w:rsidRDefault="00485E35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Post-surgical recurrence</w:t>
            </w:r>
          </w:p>
          <w:p w:rsidR="00485E35" w:rsidRDefault="00485E35" w:rsidP="00222864">
            <w:pPr>
              <w:spacing w:line="480" w:lineRule="auto"/>
              <w:ind w:left="528"/>
              <w:jc w:val="both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 xml:space="preserve">Clinical *** / Endoscopic / Surgical </w:t>
            </w:r>
          </w:p>
        </w:tc>
        <w:tc>
          <w:tcPr>
            <w:tcW w:w="2706" w:type="dxa"/>
          </w:tcPr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</w:p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95 (48) / 41 (21) / 44 (22)</w:t>
            </w:r>
          </w:p>
        </w:tc>
      </w:tr>
      <w:tr w:rsidR="00485E35" w:rsidTr="00222864">
        <w:trPr>
          <w:trHeight w:val="52"/>
        </w:trPr>
        <w:tc>
          <w:tcPr>
            <w:tcW w:w="5949" w:type="dxa"/>
          </w:tcPr>
          <w:p w:rsidR="00485E35" w:rsidRDefault="00485E35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 xml:space="preserve">Follow-up, </w:t>
            </w:r>
            <w:r>
              <w:rPr>
                <w:rFonts w:ascii="Helvetica Neue Light" w:eastAsia="Helvetica Neue Light" w:hAnsi="Helvetica Neue Light" w:cs="Helvetica Neue Light"/>
                <w:i/>
                <w:iCs/>
                <w:sz w:val="22"/>
                <w:szCs w:val="22"/>
              </w:rPr>
              <w:t>months</w:t>
            </w:r>
          </w:p>
        </w:tc>
        <w:tc>
          <w:tcPr>
            <w:tcW w:w="2706" w:type="dxa"/>
          </w:tcPr>
          <w:p w:rsidR="00485E35" w:rsidRDefault="00485E35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  <w:t>114 (60-159)</w:t>
            </w:r>
          </w:p>
        </w:tc>
      </w:tr>
    </w:tbl>
    <w:p w:rsidR="00485E35" w:rsidRDefault="00485E35" w:rsidP="00485E35">
      <w:pPr>
        <w:spacing w:line="480" w:lineRule="auto"/>
        <w:jc w:val="both"/>
        <w:rPr>
          <w:rFonts w:ascii="Helvetica Neue Light" w:eastAsia="Helvetica Neue Light" w:hAnsi="Helvetica Neue Light" w:cs="Helvetica Neue Light"/>
        </w:rPr>
      </w:pPr>
    </w:p>
    <w:p w:rsidR="00485E35" w:rsidRDefault="00485E35" w:rsidP="00485E35">
      <w:pPr>
        <w:spacing w:line="480" w:lineRule="auto"/>
        <w:jc w:val="both"/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</w:rPr>
        <w:lastRenderedPageBreak/>
        <w:t xml:space="preserve">*available </w:t>
      </w:r>
      <w:r w:rsidRPr="002F5F65">
        <w:rPr>
          <w:rFonts w:ascii="Helvetica Neue Light" w:eastAsia="Helvetica Neue Light" w:hAnsi="Helvetica Neue Light" w:cs="Helvetica Neue Light"/>
          <w:lang w:val="en-US"/>
        </w:rPr>
        <w:t>for</w:t>
      </w:r>
      <w:r>
        <w:rPr>
          <w:rFonts w:ascii="Helvetica Neue Light" w:eastAsia="Helvetica Neue Light" w:hAnsi="Helvetica Neue Light" w:cs="Helvetica Neue Light"/>
        </w:rPr>
        <w:t xml:space="preserve"> 30 patients; **available </w:t>
      </w:r>
      <w:r w:rsidRPr="002F5F65">
        <w:rPr>
          <w:rFonts w:ascii="Helvetica Neue Light" w:eastAsia="Helvetica Neue Light" w:hAnsi="Helvetica Neue Light" w:cs="Helvetica Neue Light"/>
          <w:lang w:val="en-US"/>
        </w:rPr>
        <w:t>for</w:t>
      </w:r>
      <w:r>
        <w:rPr>
          <w:rFonts w:ascii="Helvetica Neue Light" w:eastAsia="Helvetica Neue Light" w:hAnsi="Helvetica Neue Light" w:cs="Helvetica Neue Light"/>
        </w:rPr>
        <w:t xml:space="preserve"> 24 patients, ***abdominal pain, increased frequency of bowel movements, and episodes of subacute bowel obstruction.</w:t>
      </w:r>
    </w:p>
    <w:p w:rsidR="003D7335" w:rsidRDefault="00616D33"/>
    <w:sectPr w:rsidR="003D73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35"/>
    <w:rsid w:val="002F37A0"/>
    <w:rsid w:val="00485E35"/>
    <w:rsid w:val="00616D33"/>
    <w:rsid w:val="008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E850"/>
  <w15:chartTrackingRefBased/>
  <w15:docId w15:val="{8395B22D-EC20-4D68-8D0C-2B558E14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Style39">
    <w:name w:val="_Style 39"/>
    <w:basedOn w:val="Taulanormal"/>
    <w:qFormat/>
    <w:rsid w:val="00485E35"/>
    <w:pPr>
      <w:spacing w:after="0" w:line="240" w:lineRule="auto"/>
    </w:pPr>
    <w:rPr>
      <w:rFonts w:ascii="Cambria" w:eastAsia="Cambria" w:hAnsi="Cambria" w:cs="Cambria"/>
      <w:sz w:val="20"/>
      <w:szCs w:val="20"/>
      <w:lang w:val="es-ES" w:eastAsia="es-ES_tradnl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Pelach Pueyo</dc:creator>
  <cp:keywords/>
  <dc:description/>
  <cp:lastModifiedBy>Anna Pelach Pueyo</cp:lastModifiedBy>
  <cp:revision>2</cp:revision>
  <dcterms:created xsi:type="dcterms:W3CDTF">2026-01-26T15:58:00Z</dcterms:created>
  <dcterms:modified xsi:type="dcterms:W3CDTF">2026-01-26T15:59:00Z</dcterms:modified>
</cp:coreProperties>
</file>