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0C143" w14:textId="77777777" w:rsidR="00D7446C" w:rsidRPr="003008AD" w:rsidRDefault="00D7446C" w:rsidP="00D7446C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</w:rPr>
      </w:pPr>
    </w:p>
    <w:p w14:paraId="6382EAEC" w14:textId="77777777" w:rsidR="00D7446C" w:rsidRPr="003008AD" w:rsidRDefault="00D7446C" w:rsidP="00D7446C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</w:rPr>
      </w:pPr>
      <w:r w:rsidRPr="003008AD">
        <w:rPr>
          <w:rFonts w:ascii="Times New Roman" w:eastAsia="Times New Roman" w:hAnsi="Times New Roman" w:cs="Times New Roman"/>
        </w:rPr>
        <w:t xml:space="preserve">Table 2. Novel and candidate gene findings identified through the </w:t>
      </w:r>
      <w:proofErr w:type="spellStart"/>
      <w:r w:rsidRPr="003008AD">
        <w:rPr>
          <w:rFonts w:ascii="Times New Roman" w:eastAsia="Times New Roman" w:hAnsi="Times New Roman" w:cs="Times New Roman"/>
        </w:rPr>
        <w:t>RareBoost</w:t>
      </w:r>
      <w:proofErr w:type="spellEnd"/>
      <w:r w:rsidRPr="003008AD">
        <w:rPr>
          <w:rFonts w:ascii="Times New Roman" w:eastAsia="Times New Roman" w:hAnsi="Times New Roman" w:cs="Times New Roman"/>
        </w:rPr>
        <w:t xml:space="preserve"> diagnostic </w:t>
      </w:r>
      <w:proofErr w:type="gramStart"/>
      <w:r w:rsidRPr="003008AD">
        <w:rPr>
          <w:rFonts w:ascii="Times New Roman" w:eastAsia="Times New Roman" w:hAnsi="Times New Roman" w:cs="Times New Roman"/>
        </w:rPr>
        <w:t>framework</w:t>
      </w:r>
      <w:proofErr w:type="gramEnd"/>
    </w:p>
    <w:tbl>
      <w:tblPr>
        <w:tblStyle w:val="a0"/>
        <w:tblW w:w="90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450"/>
        <w:gridCol w:w="255"/>
        <w:gridCol w:w="570"/>
        <w:gridCol w:w="2220"/>
        <w:gridCol w:w="1050"/>
        <w:gridCol w:w="555"/>
        <w:gridCol w:w="1110"/>
        <w:gridCol w:w="2385"/>
      </w:tblGrid>
      <w:tr w:rsidR="00D7446C" w:rsidRPr="003008AD" w14:paraId="11EBB4FD" w14:textId="77777777" w:rsidTr="001E74A4">
        <w:trPr>
          <w:trHeight w:val="525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7B59CB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Family ID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309678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Patient ID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092546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Sex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E7EAA9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Age of onset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223587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Clinical Presentation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6C57AE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Molecular Diagnosis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6C8DAC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Zyg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/ Mode of</w:t>
            </w:r>
          </w:p>
          <w:p w14:paraId="3883C2B2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Inheritance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D0FDE2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Gene Constraint Score (</w:t>
            </w: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gnomAD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v4.1.0)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A88B10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Publication</w:t>
            </w:r>
          </w:p>
        </w:tc>
      </w:tr>
      <w:tr w:rsidR="00D7446C" w:rsidRPr="003008AD" w14:paraId="28411C90" w14:textId="77777777" w:rsidTr="001E74A4">
        <w:trPr>
          <w:trHeight w:val="1125"/>
        </w:trPr>
        <w:tc>
          <w:tcPr>
            <w:tcW w:w="45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8B0F07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1</w:t>
            </w:r>
          </w:p>
        </w:tc>
        <w:tc>
          <w:tcPr>
            <w:tcW w:w="4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CC2D19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1</w:t>
            </w:r>
          </w:p>
        </w:tc>
        <w:tc>
          <w:tcPr>
            <w:tcW w:w="2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EB02B5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M</w:t>
            </w:r>
          </w:p>
        </w:tc>
        <w:tc>
          <w:tcPr>
            <w:tcW w:w="57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D39F71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Childhood onset</w:t>
            </w:r>
          </w:p>
        </w:tc>
        <w:tc>
          <w:tcPr>
            <w:tcW w:w="22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9862AF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Ataxia HP:0001251, Hearing impairment HP:0000365, Global developmental delay HP:0001263, Neurodevelopmental delay HP:0012758, Osteochondroma HP:0030431, Motor delay HP:0001270, Encephalopathy HP:0001298, Kyphoscoliosis HP:0002751, Nail dystrophy HP:0008404, Loss of ambulation HP:0002505, Positive Romberg sign HP:0002403, Muscle weakness HP:0001324, Hyperintensity of cerebral white matter on MRI HP:0030890, Polyneuropathy HP:0001271, Pigmentary retinopathy HP:0000580, Seizure HP:0001250</w:t>
            </w:r>
          </w:p>
        </w:tc>
        <w:tc>
          <w:tcPr>
            <w:tcW w:w="10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0E82A2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BECN2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(NM_001290693.1</w:t>
            </w:r>
            <w:proofErr w:type="gram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):c.</w:t>
            </w:r>
            <w:proofErr w:type="gram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1291_1292del (p.Lys431Valfs*?)</w:t>
            </w:r>
          </w:p>
        </w:tc>
        <w:tc>
          <w:tcPr>
            <w:tcW w:w="5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B63706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Hom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, AR</w:t>
            </w:r>
          </w:p>
        </w:tc>
        <w:tc>
          <w:tcPr>
            <w:tcW w:w="11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69C788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Missense: Z = 0.32; o/e = 0.96 (0.89–1.04)</w:t>
            </w:r>
          </w:p>
          <w:p w14:paraId="33188AE4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pLoF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: </w:t>
            </w: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pLI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= 0.48; o/e = 0 (0–1.53)</w:t>
            </w:r>
          </w:p>
        </w:tc>
        <w:tc>
          <w:tcPr>
            <w:tcW w:w="238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95288A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8"/>
                <w:szCs w:val="8"/>
                <w:vertAlign w:val="superscript"/>
              </w:rPr>
            </w:pP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BECN2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is essential for autophagy-lysosomal trafficking and axonal homeostasis. Loss of </w:t>
            </w: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BECN2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impairs the clearance of damaged organelles and disrupts </w:t>
            </w: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endolysosomal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turnover in neurons, making long peripheral axons particularly vulnerable to metabolic and structural stress. This defect in axonal maintenance provides a plausible mechanistic explanation for the patient’s neuropathy phenotype</w:t>
            </w:r>
            <w:r w:rsidRPr="003008AD">
              <w:rPr>
                <w:rFonts w:ascii="Times New Roman" w:hAnsi="Times New Roman" w:cs="Times New Roman"/>
                <w:sz w:val="8"/>
                <w:szCs w:val="8"/>
                <w:vertAlign w:val="superscript"/>
              </w:rPr>
              <w:t>52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.</w:t>
            </w:r>
          </w:p>
        </w:tc>
      </w:tr>
      <w:tr w:rsidR="00D7446C" w:rsidRPr="003008AD" w14:paraId="50E4BA39" w14:textId="77777777" w:rsidTr="001E74A4">
        <w:trPr>
          <w:trHeight w:val="315"/>
        </w:trPr>
        <w:tc>
          <w:tcPr>
            <w:tcW w:w="450" w:type="dxa"/>
            <w:vMerge w:val="restart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F17F66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2</w:t>
            </w:r>
          </w:p>
        </w:tc>
        <w:tc>
          <w:tcPr>
            <w:tcW w:w="4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B16A03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2.1</w:t>
            </w:r>
          </w:p>
        </w:tc>
        <w:tc>
          <w:tcPr>
            <w:tcW w:w="2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3CB586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M</w:t>
            </w:r>
          </w:p>
        </w:tc>
        <w:tc>
          <w:tcPr>
            <w:tcW w:w="57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0CDDF9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Childhood onset</w:t>
            </w:r>
          </w:p>
        </w:tc>
        <w:tc>
          <w:tcPr>
            <w:tcW w:w="222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AC82E3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Ataxia HP:0001251, Dysmetria HP:0001310, Dysarthria HP:0001260, Wide nasal bridge HP:0000431, Long philtrum HP:0000343, Hypotonia HP:0001252</w:t>
            </w:r>
          </w:p>
        </w:tc>
        <w:tc>
          <w:tcPr>
            <w:tcW w:w="105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25E161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  <w:vertAlign w:val="superscript"/>
              </w:rPr>
            </w:pP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CAMTA1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(NM_015215.</w:t>
            </w:r>
            <w:proofErr w:type="gram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4 )</w:t>
            </w:r>
            <w:proofErr w:type="gram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: c.218G&gt;T (p.Arg73Leu)</w:t>
            </w:r>
          </w:p>
        </w:tc>
        <w:tc>
          <w:tcPr>
            <w:tcW w:w="55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4438CE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Hom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, AR</w:t>
            </w:r>
          </w:p>
        </w:tc>
        <w:tc>
          <w:tcPr>
            <w:tcW w:w="111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4411DF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Missense: Z = 4.77; o/e = 0.72 (0.69–0.75)</w:t>
            </w:r>
          </w:p>
          <w:p w14:paraId="236E8C74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pLoF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: </w:t>
            </w: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pLI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= 1; o/e = 0.16 (0.12–0.23)</w:t>
            </w:r>
          </w:p>
        </w:tc>
        <w:tc>
          <w:tcPr>
            <w:tcW w:w="238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0EFBF4" w14:textId="5202E774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  <w:vertAlign w:val="superscript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The variants were inherited from heterozygous parents, and among the two unaffected siblings, one was wild-type and the other heterozygous. Although no biallelic </w:t>
            </w: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CAMTA1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cases have been previously reported, reduced penetrance and variable expressivity described in </w:t>
            </w:r>
            <w:r w:rsidR="009F0AA1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OMIM 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may explain the intrafamilial variability observed in this family.</w:t>
            </w:r>
          </w:p>
        </w:tc>
      </w:tr>
      <w:tr w:rsidR="00D7446C" w:rsidRPr="003008AD" w14:paraId="16E448D2" w14:textId="77777777" w:rsidTr="001E74A4">
        <w:trPr>
          <w:trHeight w:val="375"/>
        </w:trPr>
        <w:tc>
          <w:tcPr>
            <w:tcW w:w="450" w:type="dxa"/>
            <w:vMerge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8FCD6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989FAB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2.2</w:t>
            </w:r>
          </w:p>
        </w:tc>
        <w:tc>
          <w:tcPr>
            <w:tcW w:w="2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323BC2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F</w:t>
            </w:r>
          </w:p>
        </w:tc>
        <w:tc>
          <w:tcPr>
            <w:tcW w:w="5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B7D1B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B69C6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59929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197A2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2DE3F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4D9CD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446C" w:rsidRPr="003008AD" w14:paraId="0D11A9CA" w14:textId="77777777" w:rsidTr="001E74A4">
        <w:trPr>
          <w:trHeight w:val="1755"/>
        </w:trPr>
        <w:tc>
          <w:tcPr>
            <w:tcW w:w="45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CA4E5F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17</w:t>
            </w:r>
          </w:p>
        </w:tc>
        <w:tc>
          <w:tcPr>
            <w:tcW w:w="4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2D6130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17</w:t>
            </w:r>
          </w:p>
        </w:tc>
        <w:tc>
          <w:tcPr>
            <w:tcW w:w="2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F63DA3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M</w:t>
            </w:r>
          </w:p>
        </w:tc>
        <w:tc>
          <w:tcPr>
            <w:tcW w:w="57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A76FD4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Congenital onset</w:t>
            </w:r>
          </w:p>
        </w:tc>
        <w:tc>
          <w:tcPr>
            <w:tcW w:w="22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79FB26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Seizure HP:0001250, Neurodevelopmental delay HP:0012758, Microcephaly HP:0000252, Pectus carinatum HP:0000768, Hypotonia HP:0001252, Global developmental delay HP:0001263, Absent speech HP:0001344, Inability to walk HP:0002540, Feeding difficulties HP:0011968, Narrow forehead HP:0000341, Low anterior hairline HP:0000294, Deeply set eye HP:0000490, Thick eyebrow HP:0000574, Long eyelashes HP:0000527, Curly eyelashes HP:0007665, Coarse facial features HP:0000280, High palate HP:0000218, High, narrow palate HP:0002705, Protruding ear HP:0000411, Diffuse cerebral atrophy HP:0002506, Diffuse cerebellar atrophy HP:0100275, EEG abnormality HP:0002353, </w:t>
            </w: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Chorioretinal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atrophy HP:0000533, Retrognathia HP:0000278, Micrognathia HP:0000347</w:t>
            </w:r>
          </w:p>
        </w:tc>
        <w:tc>
          <w:tcPr>
            <w:tcW w:w="10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A4A032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FGF22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(NM_020637.2</w:t>
            </w:r>
            <w:proofErr w:type="gram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):c.</w:t>
            </w:r>
            <w:proofErr w:type="gram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17G&gt;A (p.Trp6*)</w:t>
            </w:r>
          </w:p>
        </w:tc>
        <w:tc>
          <w:tcPr>
            <w:tcW w:w="5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A26B44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Hom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, AR</w:t>
            </w:r>
          </w:p>
        </w:tc>
        <w:tc>
          <w:tcPr>
            <w:tcW w:w="11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F9E605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Missense: Z = –3.58; o/e = 1.68 (1.54–1.84)</w:t>
            </w:r>
          </w:p>
          <w:p w14:paraId="32FA313F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pLoF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: </w:t>
            </w: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pLI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= 0.09; o/e = 0.54 (0.28–1.15)</w:t>
            </w:r>
          </w:p>
        </w:tc>
        <w:tc>
          <w:tcPr>
            <w:tcW w:w="238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401926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  <w:vertAlign w:val="superscript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FGF22 acts as a critical organizing protein for the development of retinogeniculate synapses, and the proper formation of retinal nerve terminals in the </w:t>
            </w: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dLGN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relies on </w:t>
            </w: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FGF22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signaling in mice</w:t>
            </w:r>
            <w:r w:rsidRPr="003008AD">
              <w:rPr>
                <w:rFonts w:ascii="Times New Roman" w:hAnsi="Times New Roman" w:cs="Times New Roman"/>
                <w:sz w:val="8"/>
                <w:szCs w:val="8"/>
                <w:vertAlign w:val="superscript"/>
              </w:rPr>
              <w:t>54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. </w:t>
            </w:r>
            <w:proofErr w:type="gram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Also,  </w:t>
            </w: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FGF</w:t>
            </w:r>
            <w:proofErr w:type="gramEnd"/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22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has been shown to play a role in neurogenesis and </w:t>
            </w: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gliogenesis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during zebrafish brain development, while various </w:t>
            </w: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FGF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proteins contribute to neuronal differentiation in the human brain</w:t>
            </w:r>
            <w:r w:rsidRPr="003008AD">
              <w:rPr>
                <w:rFonts w:ascii="Times New Roman" w:hAnsi="Times New Roman" w:cs="Times New Roman"/>
                <w:sz w:val="8"/>
                <w:szCs w:val="8"/>
                <w:vertAlign w:val="superscript"/>
              </w:rPr>
              <w:t>55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.</w:t>
            </w:r>
          </w:p>
        </w:tc>
      </w:tr>
      <w:tr w:rsidR="00D7446C" w:rsidRPr="003008AD" w14:paraId="1E49741F" w14:textId="77777777" w:rsidTr="001E74A4">
        <w:trPr>
          <w:trHeight w:val="315"/>
        </w:trPr>
        <w:tc>
          <w:tcPr>
            <w:tcW w:w="450" w:type="dxa"/>
            <w:vMerge w:val="restart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AB5BD5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24</w:t>
            </w:r>
          </w:p>
        </w:tc>
        <w:tc>
          <w:tcPr>
            <w:tcW w:w="4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EEF616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24.1</w:t>
            </w:r>
          </w:p>
        </w:tc>
        <w:tc>
          <w:tcPr>
            <w:tcW w:w="2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637FA3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F</w:t>
            </w:r>
          </w:p>
        </w:tc>
        <w:tc>
          <w:tcPr>
            <w:tcW w:w="57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245B4A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Childhood onset</w:t>
            </w:r>
          </w:p>
        </w:tc>
        <w:tc>
          <w:tcPr>
            <w:tcW w:w="222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CF263C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Seizure HP:0001250, EEG abnormality HP:0002353, Periventricular leukomalacia HP:0006970</w:t>
            </w:r>
          </w:p>
        </w:tc>
        <w:tc>
          <w:tcPr>
            <w:tcW w:w="105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FAAB7B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ATP1B4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(NM_001142447.3</w:t>
            </w:r>
            <w:proofErr w:type="gram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):c.</w:t>
            </w:r>
            <w:proofErr w:type="gram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734C&gt;G (p.Pro245Arg)</w:t>
            </w:r>
          </w:p>
        </w:tc>
        <w:tc>
          <w:tcPr>
            <w:tcW w:w="55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9165DF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Het, AD</w:t>
            </w:r>
          </w:p>
        </w:tc>
        <w:tc>
          <w:tcPr>
            <w:tcW w:w="111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FE1433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Missense: Z = 0.22; o/e = 0.95 (0.82–1.09)</w:t>
            </w:r>
          </w:p>
          <w:p w14:paraId="2A59A97E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pLoF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: </w:t>
            </w: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pLI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= 0; o/e = 0.51 (0.30–0.92)</w:t>
            </w:r>
          </w:p>
          <w:p w14:paraId="4CC80CC2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(</w:t>
            </w: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gnomAD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v2.1.1, </w:t>
            </w: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gnomAD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v4.1.0 data is not available)</w:t>
            </w:r>
          </w:p>
        </w:tc>
        <w:tc>
          <w:tcPr>
            <w:tcW w:w="238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9E3AFB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Na⁺/K⁺-ATPase dysfunction can lead to neuronal hyperexcitability and seizures</w:t>
            </w:r>
            <w:r w:rsidRPr="003008AD">
              <w:rPr>
                <w:rFonts w:ascii="Times New Roman" w:hAnsi="Times New Roman" w:cs="Times New Roman"/>
                <w:sz w:val="8"/>
                <w:szCs w:val="8"/>
                <w:vertAlign w:val="superscript"/>
              </w:rPr>
              <w:t>56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. Since </w:t>
            </w: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ATP1B4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encodes a β-subunit important for pump stability and localization, the heterozygous familial variant shared by the proband, affected mother, and affected aunt may potentially contribute to the epilepsy phenotype, although a definitive causal link cannot be established.</w:t>
            </w:r>
          </w:p>
        </w:tc>
      </w:tr>
      <w:tr w:rsidR="00D7446C" w:rsidRPr="003008AD" w14:paraId="75A8019B" w14:textId="77777777" w:rsidTr="001E74A4">
        <w:trPr>
          <w:trHeight w:val="375"/>
        </w:trPr>
        <w:tc>
          <w:tcPr>
            <w:tcW w:w="450" w:type="dxa"/>
            <w:vMerge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880F0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772918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24.2</w:t>
            </w:r>
          </w:p>
        </w:tc>
        <w:tc>
          <w:tcPr>
            <w:tcW w:w="2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703027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F</w:t>
            </w:r>
          </w:p>
        </w:tc>
        <w:tc>
          <w:tcPr>
            <w:tcW w:w="5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3F5A6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3C4F6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7E6B5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AA9B0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C8933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82F36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446C" w:rsidRPr="003008AD" w14:paraId="07CA77E7" w14:textId="77777777" w:rsidTr="001E74A4">
        <w:trPr>
          <w:trHeight w:val="315"/>
        </w:trPr>
        <w:tc>
          <w:tcPr>
            <w:tcW w:w="450" w:type="dxa"/>
            <w:vMerge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29317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E1B5E3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24.3</w:t>
            </w:r>
          </w:p>
        </w:tc>
        <w:tc>
          <w:tcPr>
            <w:tcW w:w="2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0BD22F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F</w:t>
            </w:r>
          </w:p>
        </w:tc>
        <w:tc>
          <w:tcPr>
            <w:tcW w:w="5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B0D59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BD29F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BD595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D9B55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CDC6D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1258E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446C" w:rsidRPr="003008AD" w14:paraId="616997C4" w14:textId="77777777" w:rsidTr="001E74A4">
        <w:trPr>
          <w:trHeight w:val="390"/>
        </w:trPr>
        <w:tc>
          <w:tcPr>
            <w:tcW w:w="450" w:type="dxa"/>
            <w:vMerge w:val="restart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669F0C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48</w:t>
            </w:r>
          </w:p>
        </w:tc>
        <w:tc>
          <w:tcPr>
            <w:tcW w:w="4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F09029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48.1</w:t>
            </w:r>
          </w:p>
        </w:tc>
        <w:tc>
          <w:tcPr>
            <w:tcW w:w="2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D75805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M</w:t>
            </w:r>
          </w:p>
        </w:tc>
        <w:tc>
          <w:tcPr>
            <w:tcW w:w="57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58C3F0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Childhood onset</w:t>
            </w:r>
          </w:p>
        </w:tc>
        <w:tc>
          <w:tcPr>
            <w:tcW w:w="222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617513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Complex febrile seizure HP:0011172, EEG abnormality HP:0002353</w:t>
            </w:r>
          </w:p>
        </w:tc>
        <w:tc>
          <w:tcPr>
            <w:tcW w:w="105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D53E28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BSN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(NM_003458.4</w:t>
            </w:r>
            <w:proofErr w:type="gram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):c.</w:t>
            </w:r>
            <w:proofErr w:type="gram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3378C&gt;G (p.Tyr1126*)</w:t>
            </w:r>
          </w:p>
        </w:tc>
        <w:tc>
          <w:tcPr>
            <w:tcW w:w="55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BE5FB8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Het, AD</w:t>
            </w:r>
          </w:p>
        </w:tc>
        <w:tc>
          <w:tcPr>
            <w:tcW w:w="111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6AF1DA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Missense: Z = 3.33; o/e = 0.87 (0.85–0.90)</w:t>
            </w:r>
          </w:p>
          <w:p w14:paraId="16CD3A80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pLoF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: </w:t>
            </w: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pLI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= 1; o/e = 0.22 (0.17–0.27)</w:t>
            </w:r>
          </w:p>
        </w:tc>
        <w:tc>
          <w:tcPr>
            <w:tcW w:w="2385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49EF2E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BSN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variants have been reported in association with febrile seizures and related epilepsy phenotypes</w:t>
            </w:r>
            <w:r w:rsidRPr="003008AD">
              <w:rPr>
                <w:rFonts w:ascii="Times New Roman" w:hAnsi="Times New Roman" w:cs="Times New Roman"/>
                <w:sz w:val="8"/>
                <w:szCs w:val="8"/>
                <w:vertAlign w:val="superscript"/>
              </w:rPr>
              <w:t>57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. In our family, the variant is shared by the affected father and child, consistent with this reported pattern and suggesting </w:t>
            </w: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BSN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as a plausible contributor to their febrile seizure history.</w:t>
            </w:r>
          </w:p>
        </w:tc>
      </w:tr>
      <w:tr w:rsidR="00D7446C" w:rsidRPr="003008AD" w14:paraId="7917878B" w14:textId="77777777" w:rsidTr="001E74A4">
        <w:trPr>
          <w:trHeight w:val="420"/>
        </w:trPr>
        <w:tc>
          <w:tcPr>
            <w:tcW w:w="450" w:type="dxa"/>
            <w:vMerge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03529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344281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48.2</w:t>
            </w:r>
          </w:p>
        </w:tc>
        <w:tc>
          <w:tcPr>
            <w:tcW w:w="2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E83C2F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M</w:t>
            </w:r>
          </w:p>
        </w:tc>
        <w:tc>
          <w:tcPr>
            <w:tcW w:w="57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9B16F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8F1C6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01BE9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B9177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83136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5" w:type="dxa"/>
            <w:vMerge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74BA2F" w14:textId="77777777" w:rsidR="00D7446C" w:rsidRPr="003008AD" w:rsidRDefault="00D7446C" w:rsidP="001E74A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446C" w:rsidRPr="003008AD" w14:paraId="391BC59B" w14:textId="77777777" w:rsidTr="001E74A4">
        <w:trPr>
          <w:trHeight w:val="780"/>
        </w:trPr>
        <w:tc>
          <w:tcPr>
            <w:tcW w:w="45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B7E3F9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50</w:t>
            </w:r>
          </w:p>
        </w:tc>
        <w:tc>
          <w:tcPr>
            <w:tcW w:w="4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B18054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50</w:t>
            </w:r>
          </w:p>
        </w:tc>
        <w:tc>
          <w:tcPr>
            <w:tcW w:w="2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94EB2F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F</w:t>
            </w:r>
          </w:p>
        </w:tc>
        <w:tc>
          <w:tcPr>
            <w:tcW w:w="57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0F4DA7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Congenital onset</w:t>
            </w:r>
          </w:p>
        </w:tc>
        <w:tc>
          <w:tcPr>
            <w:tcW w:w="22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22E8DE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Developmental cataract HP:0000519, Glaucoma HP:0000501, Motor delay HP:0001270, Inability to walk HP:0002540</w:t>
            </w:r>
          </w:p>
        </w:tc>
        <w:tc>
          <w:tcPr>
            <w:tcW w:w="10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4C6764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LRP1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(NM_002332.3</w:t>
            </w:r>
            <w:proofErr w:type="gram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):c.</w:t>
            </w:r>
            <w:proofErr w:type="gram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9845A&gt;G (p.His3282Arg)</w:t>
            </w:r>
          </w:p>
        </w:tc>
        <w:tc>
          <w:tcPr>
            <w:tcW w:w="5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271989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Hom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, AR</w:t>
            </w:r>
          </w:p>
        </w:tc>
        <w:tc>
          <w:tcPr>
            <w:tcW w:w="11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0B44B5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Missense: Z = 12.04; o/e = 0.59 (0.58–0.61)</w:t>
            </w:r>
          </w:p>
          <w:p w14:paraId="3B57A67A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pLoF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: </w:t>
            </w: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pLI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= 1; o/e = 0.09 (0.07–0.12)</w:t>
            </w:r>
          </w:p>
        </w:tc>
        <w:tc>
          <w:tcPr>
            <w:tcW w:w="238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9A5E2E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A homozygous </w:t>
            </w: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LRP1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variant was identified, representing the second independent family with a phenotype overlapping the previously reported sibling pair, including developmental delay, ocular findings, and skeletal anomalies</w:t>
            </w:r>
            <w:r w:rsidRPr="003008AD">
              <w:rPr>
                <w:rFonts w:ascii="Times New Roman" w:hAnsi="Times New Roman" w:cs="Times New Roman"/>
                <w:sz w:val="8"/>
                <w:szCs w:val="8"/>
                <w:vertAlign w:val="superscript"/>
              </w:rPr>
              <w:t>58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. This recurrence supports emerging </w:t>
            </w: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LRP1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involvement in neurodevelopment, and the gene’s conserved neuronal functions make it a plausible candidate.</w:t>
            </w:r>
          </w:p>
        </w:tc>
      </w:tr>
      <w:tr w:rsidR="00D7446C" w:rsidRPr="003008AD" w14:paraId="28C5FFC7" w14:textId="77777777" w:rsidTr="001E74A4">
        <w:trPr>
          <w:trHeight w:val="915"/>
        </w:trPr>
        <w:tc>
          <w:tcPr>
            <w:tcW w:w="450" w:type="dxa"/>
            <w:tcBorders>
              <w:top w:val="single" w:sz="4" w:space="0" w:color="CCCCCC"/>
              <w:left w:val="single" w:sz="4" w:space="0" w:color="000000"/>
              <w:bottom w:val="single" w:sz="4" w:space="0" w:color="CCCCCC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789C4E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62</w:t>
            </w:r>
          </w:p>
        </w:tc>
        <w:tc>
          <w:tcPr>
            <w:tcW w:w="4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1143BD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62</w:t>
            </w:r>
          </w:p>
        </w:tc>
        <w:tc>
          <w:tcPr>
            <w:tcW w:w="2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60769C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M</w:t>
            </w:r>
          </w:p>
        </w:tc>
        <w:tc>
          <w:tcPr>
            <w:tcW w:w="57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B32D6A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Infantile onset</w:t>
            </w:r>
          </w:p>
        </w:tc>
        <w:tc>
          <w:tcPr>
            <w:tcW w:w="22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E2272F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Elevated circulating hepatic transaminase concentration HP:0002910, Hepatic failure HP:0001399, Elevated circulating alanine aminotransferase concentration HP:0031964, Hepatomegaly HP:0002240, Cafe-au-lait spot HP:0000957, </w:t>
            </w: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Microretrognathia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HP:0000308, Hepatic steatosis HP:0001397</w:t>
            </w:r>
          </w:p>
        </w:tc>
        <w:tc>
          <w:tcPr>
            <w:tcW w:w="10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05EA39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PHKG1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(NM_006213.5): c.446G&gt;A</w:t>
            </w:r>
          </w:p>
          <w:p w14:paraId="67F776BA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(</w:t>
            </w:r>
            <w:proofErr w:type="gram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p.Arg</w:t>
            </w:r>
            <w:proofErr w:type="gram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149Gln)</w:t>
            </w:r>
          </w:p>
        </w:tc>
        <w:tc>
          <w:tcPr>
            <w:tcW w:w="5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92BEAD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Hom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, AR</w:t>
            </w:r>
          </w:p>
        </w:tc>
        <w:tc>
          <w:tcPr>
            <w:tcW w:w="11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A9A50C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Missense: Z = 0.81; o/e = 0.9 (0.83–0.97)</w:t>
            </w:r>
          </w:p>
          <w:p w14:paraId="722DB205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pLoF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: </w:t>
            </w:r>
            <w:proofErr w:type="spellStart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>pLI</w:t>
            </w:r>
            <w:proofErr w:type="spellEnd"/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=0.1; o/e = 1.02 (0.81-1.31)</w:t>
            </w:r>
          </w:p>
        </w:tc>
        <w:tc>
          <w:tcPr>
            <w:tcW w:w="238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1362E6" w14:textId="77777777" w:rsidR="00D7446C" w:rsidRPr="003008AD" w:rsidRDefault="00D7446C" w:rsidP="001E74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PHKG1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is not yet associated with a defined syndrome in OMIM. However, the </w:t>
            </w: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PHKG1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protein is a component of the glycogen phosphorylase kinase complex, together with </w:t>
            </w: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PHKA1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(MIM: 300559), </w:t>
            </w: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PHKA2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(MIM: 306000), and </w:t>
            </w:r>
            <w:r w:rsidRPr="003008AD">
              <w:rPr>
                <w:rFonts w:ascii="Times New Roman" w:eastAsia="Times New Roman" w:hAnsi="Times New Roman" w:cs="Times New Roman"/>
                <w:i/>
                <w:iCs/>
                <w:sz w:val="8"/>
                <w:szCs w:val="8"/>
              </w:rPr>
              <w:t>PHKG2</w:t>
            </w:r>
            <w:r w:rsidRPr="003008AD">
              <w:rPr>
                <w:rFonts w:ascii="Times New Roman" w:eastAsia="Times New Roman" w:hAnsi="Times New Roman" w:cs="Times New Roman"/>
                <w:sz w:val="8"/>
                <w:szCs w:val="8"/>
              </w:rPr>
              <w:t xml:space="preserve"> (MIM: 613027), which is essential for glycogen breakdown. Although PHKG1 has been suggested in the literature as a potential candidate gene for glycogen storage disease, a definitive clinical association has not been established.</w:t>
            </w:r>
          </w:p>
        </w:tc>
      </w:tr>
    </w:tbl>
    <w:p w14:paraId="4EF23030" w14:textId="77777777" w:rsidR="00D7446C" w:rsidRPr="003008AD" w:rsidRDefault="00D7446C" w:rsidP="00D7446C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</w:rPr>
      </w:pPr>
      <w:r w:rsidRPr="003008AD">
        <w:rPr>
          <w:rFonts w:ascii="Times New Roman" w:eastAsia="Times New Roman" w:hAnsi="Times New Roman" w:cs="Times New Roman"/>
          <w:sz w:val="16"/>
          <w:szCs w:val="16"/>
        </w:rPr>
        <w:t xml:space="preserve">This table summarizes families with novel or candidate disease-associated genes identified through the </w:t>
      </w:r>
      <w:proofErr w:type="spellStart"/>
      <w:r w:rsidRPr="003008AD">
        <w:rPr>
          <w:rFonts w:ascii="Times New Roman" w:eastAsia="Times New Roman" w:hAnsi="Times New Roman" w:cs="Times New Roman"/>
          <w:sz w:val="16"/>
          <w:szCs w:val="16"/>
        </w:rPr>
        <w:t>RareBoost</w:t>
      </w:r>
      <w:proofErr w:type="spellEnd"/>
      <w:r w:rsidRPr="003008AD">
        <w:rPr>
          <w:rFonts w:ascii="Times New Roman" w:eastAsia="Times New Roman" w:hAnsi="Times New Roman" w:cs="Times New Roman"/>
          <w:sz w:val="16"/>
          <w:szCs w:val="16"/>
        </w:rPr>
        <w:t xml:space="preserve"> diagnostic framework. Clinical features are described using Human Phenotype Ontology (HPO) terms. Molecular findings include variant annotations, zygosity, and inferred modes of inheritance, with gene constraint metrics derived from </w:t>
      </w:r>
      <w:proofErr w:type="spellStart"/>
      <w:r w:rsidRPr="003008AD">
        <w:rPr>
          <w:rFonts w:ascii="Times New Roman" w:eastAsia="Times New Roman" w:hAnsi="Times New Roman" w:cs="Times New Roman"/>
          <w:sz w:val="16"/>
          <w:szCs w:val="16"/>
        </w:rPr>
        <w:t>gnomAD</w:t>
      </w:r>
      <w:proofErr w:type="spellEnd"/>
      <w:r w:rsidRPr="003008AD">
        <w:rPr>
          <w:rFonts w:ascii="Times New Roman" w:eastAsia="Times New Roman" w:hAnsi="Times New Roman" w:cs="Times New Roman"/>
          <w:sz w:val="16"/>
          <w:szCs w:val="16"/>
        </w:rPr>
        <w:t xml:space="preserve"> v4.1.0. Supporting evidence from segregation analysis, functional inference, or relevant literature is provided where available.</w:t>
      </w:r>
    </w:p>
    <w:p w14:paraId="479643DD" w14:textId="77777777" w:rsidR="00D81F82" w:rsidRDefault="00D81F82">
      <w:pPr>
        <w:spacing w:before="240" w:after="240" w:line="301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6FE68635" w14:textId="77777777" w:rsidR="00D81F82" w:rsidRDefault="00D81F82">
      <w:pPr>
        <w:spacing w:before="240" w:after="240" w:line="301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sectPr w:rsidR="00D81F82">
      <w:pgSz w:w="12240" w:h="15840"/>
      <w:pgMar w:top="117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A903DCE-855A-084B-9A9B-768834E0D332}"/>
    <w:embedItalic r:id="rId2" w:fontKey="{FD9B7BCE-21EA-EE4B-A715-80B0438191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9483730-2E48-9A4C-9C92-30EECE6C4F9A}"/>
    <w:embedBold r:id="rId4" w:fontKey="{39E4EC73-9D5D-8345-BC5C-38FFAF4D9BA2}"/>
    <w:embedItalic r:id="rId5" w:fontKey="{88F29E11-0542-ED44-A278-CA7B87E0B5B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830894A-7828-CE44-A598-42CEA3A9F7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341394A-7805-EC4B-A984-CCEB629740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F82"/>
    <w:rsid w:val="005B23C7"/>
    <w:rsid w:val="009F0AA1"/>
    <w:rsid w:val="00D7446C"/>
    <w:rsid w:val="00D8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D2D5651"/>
  <w15:docId w15:val="{C27B704C-AD6F-804F-847F-2E470FAAA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967</Words>
  <Characters>5513</Characters>
  <Application>Microsoft Office Word</Application>
  <DocSecurity>0</DocSecurity>
  <Lines>45</Lines>
  <Paragraphs>12</Paragraphs>
  <ScaleCrop>false</ScaleCrop>
  <Company/>
  <LinksUpToDate>false</LinksUpToDate>
  <CharactersWithSpaces>6468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Ayca Yigit</cp:lastModifiedBy>
  <cp:revision>2</cp:revision>
  <dcterms:created xsi:type="dcterms:W3CDTF">2026-01-26T12:34:00Z</dcterms:created>
  <dcterms:modified xsi:type="dcterms:W3CDTF">2026-01-26T12:34:00Z</dcterms:modified>
</cp:coreProperties>
</file>