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0B86" w14:textId="4ADF123F" w:rsidR="00CD5A7D" w:rsidRDefault="00CD5A7D" w:rsidP="00CD5A7D">
      <w:pPr>
        <w:rPr>
          <w:rStyle w:val="Strong"/>
          <w:b w:val="0"/>
        </w:rPr>
      </w:pPr>
      <w:r w:rsidRPr="00CD5A7D">
        <w:t>This Supplementary Information provides additional methodological and implementation details supporting the results presented in the main manuscript. It includes the formulation of the finite element method (FEM) simulations used for physics-based data generation, details of dataset construction and sampling strategies, and the architecture and training procedure of the conditional generative adversarial network (GAN). These materials are provided to ensure transparency and reproducibility, while the main text focuses on the physical motivation, conceptual framework, and validation of the proposed physics-guided inverse design approach.</w:t>
      </w:r>
    </w:p>
    <w:p w14:paraId="0FBBB830" w14:textId="35C7833C" w:rsidR="00A94CF7" w:rsidRPr="0079079E" w:rsidRDefault="00A94CF7" w:rsidP="0079079E">
      <w:pPr>
        <w:pStyle w:val="Heading1"/>
        <w:numPr>
          <w:ilvl w:val="0"/>
          <w:numId w:val="2"/>
        </w:numPr>
        <w:rPr>
          <w:rStyle w:val="Strong"/>
          <w:b/>
          <w:bCs w:val="0"/>
        </w:rPr>
      </w:pPr>
      <w:r w:rsidRPr="0079079E">
        <w:rPr>
          <w:rStyle w:val="Strong"/>
          <w:b/>
          <w:bCs w:val="0"/>
        </w:rPr>
        <w:t xml:space="preserve">FEM-Based Thermal Data Generation Using </w:t>
      </w:r>
      <w:proofErr w:type="spellStart"/>
      <w:r w:rsidRPr="0079079E">
        <w:rPr>
          <w:rStyle w:val="Strong"/>
          <w:b/>
          <w:bCs w:val="0"/>
        </w:rPr>
        <w:t>FEniCS</w:t>
      </w:r>
      <w:proofErr w:type="spellEnd"/>
    </w:p>
    <w:p w14:paraId="2F95C72E" w14:textId="77777777" w:rsidR="00A94CF7" w:rsidRDefault="00A94CF7" w:rsidP="00A94CF7">
      <w:r>
        <w:t xml:space="preserve">The training data used in this study were generated entirely through physics-based simulations using the finite element method (FEM). All thermal simulations were implemented in Python using the open-source </w:t>
      </w:r>
      <w:proofErr w:type="spellStart"/>
      <w:r>
        <w:t>FEniCS</w:t>
      </w:r>
      <w:proofErr w:type="spellEnd"/>
      <w:r>
        <w:t xml:space="preserve"> framework, which provides a flexible and reliable platform for solving partial differential equations using variational formulations.</w:t>
      </w:r>
    </w:p>
    <w:p w14:paraId="2006FCF7" w14:textId="3A094EC4" w:rsidR="00A94CF7" w:rsidRDefault="00A94CF7" w:rsidP="0079079E">
      <w:pPr>
        <w:pStyle w:val="Heading2"/>
        <w:numPr>
          <w:ilvl w:val="1"/>
          <w:numId w:val="2"/>
        </w:numPr>
        <w:rPr>
          <w:rStyle w:val="Strong"/>
          <w:b/>
          <w:bCs w:val="0"/>
        </w:rPr>
      </w:pPr>
      <w:r w:rsidRPr="0079079E">
        <w:rPr>
          <w:rStyle w:val="Strong"/>
          <w:b/>
          <w:bCs w:val="0"/>
        </w:rPr>
        <w:t>Governing Equation</w:t>
      </w:r>
    </w:p>
    <w:p w14:paraId="47234D9F" w14:textId="77777777" w:rsidR="00A94CF7" w:rsidRDefault="00A94CF7" w:rsidP="00A94CF7">
      <w:r>
        <w:t>The effective thermal conductivity of each microstructure was computed by solving the steady-state heat conduction equation in the absence of internal heat sources. The governing equation is given by</w:t>
      </w:r>
    </w:p>
    <w:p w14:paraId="3065A7F3" w14:textId="53DC3CAF" w:rsidR="00A94CF7" w:rsidRDefault="00A94CF7" w:rsidP="0079079E">
      <w:pPr>
        <w:ind w:firstLine="0"/>
        <w:jc w:val="right"/>
      </w:pPr>
      <m:oMath>
        <m:r>
          <m:rPr>
            <m:sty m:val="p"/>
          </m:rPr>
          <w:rPr>
            <w:rFonts w:ascii="Cambria Math" w:hAnsi="Cambria Math"/>
          </w:rPr>
          <m:t>∇</m:t>
        </m:r>
        <m:r>
          <w:rPr>
            <w:rFonts w:ascii="Cambria Math" w:hAnsi="Cambria Math"/>
          </w:rPr>
          <m:t>∙</m:t>
        </m:r>
        <m:d>
          <m:dPr>
            <m:ctrlPr>
              <w:rPr>
                <w:rFonts w:ascii="Cambria Math" w:hAnsi="Cambria Math"/>
                <w:i/>
              </w:rPr>
            </m:ctrlPr>
          </m:dPr>
          <m:e>
            <m:r>
              <w:rPr>
                <w:rFonts w:ascii="Cambria Math" w:hAnsi="Cambria Math"/>
              </w:rPr>
              <m:t>k</m:t>
            </m:r>
            <m:d>
              <m:dPr>
                <m:ctrlPr>
                  <w:rPr>
                    <w:rFonts w:ascii="Cambria Math" w:hAnsi="Cambria Math"/>
                    <w:i/>
                  </w:rPr>
                </m:ctrlPr>
              </m:dPr>
              <m:e>
                <m:r>
                  <m:rPr>
                    <m:sty m:val="b"/>
                  </m:rPr>
                  <w:rPr>
                    <w:rFonts w:ascii="Cambria Math" w:hAnsi="Cambria Math"/>
                  </w:rPr>
                  <m:t>x</m:t>
                </m:r>
              </m:e>
            </m:d>
            <m:r>
              <m:rPr>
                <m:sty m:val="p"/>
              </m:rPr>
              <w:rPr>
                <w:rFonts w:ascii="Cambria Math" w:hAnsi="Cambria Math"/>
              </w:rPr>
              <m:t>∇</m:t>
            </m:r>
            <m:r>
              <w:rPr>
                <w:rFonts w:ascii="Cambria Math" w:hAnsi="Cambria Math"/>
              </w:rPr>
              <m:t>T</m:t>
            </m:r>
            <m:d>
              <m:dPr>
                <m:ctrlPr>
                  <w:rPr>
                    <w:rFonts w:ascii="Cambria Math" w:hAnsi="Cambria Math"/>
                    <w:i/>
                  </w:rPr>
                </m:ctrlPr>
              </m:dPr>
              <m:e>
                <m:r>
                  <m:rPr>
                    <m:sty m:val="b"/>
                  </m:rPr>
                  <w:rPr>
                    <w:rFonts w:ascii="Cambria Math" w:hAnsi="Cambria Math"/>
                  </w:rPr>
                  <m:t>x</m:t>
                </m:r>
                <m:ctrlPr>
                  <w:rPr>
                    <w:rFonts w:ascii="Cambria Math" w:hAnsi="Cambria Math"/>
                    <w:b/>
                  </w:rPr>
                </m:ctrlPr>
              </m:e>
            </m:d>
          </m:e>
        </m:d>
        <m:r>
          <w:rPr>
            <w:rFonts w:ascii="Cambria Math" w:hAnsi="Cambria Math"/>
          </w:rPr>
          <m:t xml:space="preserve">=0 in </m:t>
        </m:r>
        <m:r>
          <m:rPr>
            <m:sty m:val="p"/>
          </m:rPr>
          <w:rPr>
            <w:rFonts w:ascii="Cambria Math" w:hAnsi="Cambria Math"/>
          </w:rPr>
          <m:t>Ω</m:t>
        </m:r>
      </m:oMath>
      <w:r w:rsidR="0079079E">
        <w:t xml:space="preserve">                                                     (1)</w:t>
      </w:r>
    </w:p>
    <w:p w14:paraId="46E8F14A" w14:textId="77777777" w:rsidR="00A94CF7" w:rsidRDefault="00A94CF7" w:rsidP="00A94CF7">
      <w:pPr>
        <w:ind w:firstLine="0"/>
      </w:pPr>
      <w:r>
        <w:t xml:space="preserve">where </w:t>
      </w:r>
      <m:oMath>
        <m:r>
          <w:rPr>
            <w:rFonts w:ascii="Cambria Math" w:hAnsi="Cambria Math"/>
          </w:rPr>
          <m:t>T(</m:t>
        </m:r>
        <m:r>
          <m:rPr>
            <m:sty m:val="b"/>
          </m:rPr>
          <w:rPr>
            <w:rFonts w:ascii="Cambria Math" w:hAnsi="Cambria Math"/>
          </w:rPr>
          <m:t>x</m:t>
        </m:r>
        <m:r>
          <w:rPr>
            <w:rFonts w:ascii="Cambria Math" w:hAnsi="Cambria Math"/>
          </w:rPr>
          <m:t>)</m:t>
        </m:r>
      </m:oMath>
      <w:r>
        <w:t xml:space="preserve">is the temperature field, </w:t>
      </w:r>
      <m:oMath>
        <m:r>
          <w:rPr>
            <w:rFonts w:ascii="Cambria Math" w:hAnsi="Cambria Math"/>
          </w:rPr>
          <m:t>k(</m:t>
        </m:r>
        <m:r>
          <m:rPr>
            <m:sty m:val="b"/>
          </m:rPr>
          <w:rPr>
            <w:rFonts w:ascii="Cambria Math" w:hAnsi="Cambria Math"/>
          </w:rPr>
          <m:t>x</m:t>
        </m:r>
        <m:r>
          <w:rPr>
            <w:rFonts w:ascii="Cambria Math" w:hAnsi="Cambria Math"/>
          </w:rPr>
          <m:t>)</m:t>
        </m:r>
      </m:oMath>
      <w:r>
        <w:t xml:space="preserve">is the spatially varying thermal conductivity, and </w:t>
      </w:r>
      <m:oMath>
        <m:r>
          <m:rPr>
            <m:sty m:val="p"/>
          </m:rPr>
          <w:rPr>
            <w:rFonts w:ascii="Cambria Math" w:hAnsi="Cambria Math"/>
          </w:rPr>
          <m:t>Ω</m:t>
        </m:r>
      </m:oMath>
      <w:r>
        <w:t>denotes the computational domain. The domain consists of a solid matrix containing elliptical pores, which are modeled as regions with negligible thermal conductivity relative to the solid phase.</w:t>
      </w:r>
    </w:p>
    <w:p w14:paraId="717D7FD1" w14:textId="4B516461" w:rsidR="00A94CF7" w:rsidRPr="0079079E" w:rsidRDefault="00A94CF7" w:rsidP="0079079E">
      <w:pPr>
        <w:pStyle w:val="Heading2"/>
        <w:numPr>
          <w:ilvl w:val="1"/>
          <w:numId w:val="2"/>
        </w:numPr>
        <w:rPr>
          <w:rStyle w:val="Strong"/>
          <w:b/>
          <w:bCs w:val="0"/>
        </w:rPr>
      </w:pPr>
      <w:r w:rsidRPr="0079079E">
        <w:rPr>
          <w:rStyle w:val="Strong"/>
          <w:b/>
          <w:bCs w:val="0"/>
        </w:rPr>
        <w:lastRenderedPageBreak/>
        <w:t>Boundary Conditions for Directional Conductivity</w:t>
      </w:r>
    </w:p>
    <w:p w14:paraId="769D7041" w14:textId="77777777" w:rsidR="00A94CF7" w:rsidRDefault="00A94CF7" w:rsidP="00A94CF7">
      <w:r>
        <w:t xml:space="preserve">To compute the effective thermal conductivity along a given direction, Dirichlet boundary conditions were imposed to enforce a unit temperature gradient across the domain. For the computation of the effective conductivity in the </w:t>
      </w:r>
      <m:oMath>
        <m:r>
          <w:rPr>
            <w:rFonts w:ascii="Cambria Math" w:hAnsi="Cambria Math"/>
          </w:rPr>
          <m:t>x</m:t>
        </m:r>
      </m:oMath>
      <w:r>
        <w:t>-direction, the following boundary conditions were applied:</w:t>
      </w:r>
    </w:p>
    <w:p w14:paraId="10E86D38" w14:textId="77777777" w:rsidR="00A94CF7" w:rsidRPr="00F81101" w:rsidRDefault="00A94CF7" w:rsidP="00A94CF7">
      <w:pPr>
        <w:ind w:firstLine="0"/>
        <w:rPr>
          <w:rFonts w:ascii="Cambria Math" w:hAnsi="Cambria Math"/>
        </w:rPr>
      </w:pPr>
      <m:oMathPara>
        <m:oMath>
          <m:r>
            <w:rPr>
              <w:rFonts w:ascii="Cambria Math" w:hAnsi="Cambria Math"/>
            </w:rPr>
            <m:t xml:space="preserve">T=1 on </m:t>
          </m:r>
          <m:sSub>
            <m:sSubPr>
              <m:ctrlPr>
                <w:rPr>
                  <w:rFonts w:ascii="Cambria Math" w:hAnsi="Cambria Math"/>
                  <w:i/>
                </w:rPr>
              </m:ctrlPr>
            </m:sSubPr>
            <m:e>
              <m:r>
                <m:rPr>
                  <m:sty m:val="p"/>
                </m:rPr>
                <w:rPr>
                  <w:rFonts w:ascii="Cambria Math" w:hAnsi="Cambria Math"/>
                </w:rPr>
                <m:t>Γ</m:t>
              </m:r>
            </m:e>
            <m:sub>
              <m:sSup>
                <m:sSupPr>
                  <m:ctrlPr>
                    <w:rPr>
                      <w:rFonts w:ascii="Cambria Math" w:hAnsi="Cambria Math"/>
                      <w:i/>
                    </w:rPr>
                  </m:ctrlPr>
                </m:sSupPr>
                <m:e>
                  <m:r>
                    <w:rPr>
                      <w:rFonts w:ascii="Cambria Math" w:hAnsi="Cambria Math"/>
                    </w:rPr>
                    <m:t>x</m:t>
                  </m:r>
                </m:e>
                <m:sup>
                  <m:r>
                    <w:rPr>
                      <w:rFonts w:ascii="Cambria Math" w:hAnsi="Cambria Math"/>
                    </w:rPr>
                    <m:t>-</m:t>
                  </m:r>
                </m:sup>
              </m:sSup>
            </m:sub>
          </m:sSub>
        </m:oMath>
      </m:oMathPara>
    </w:p>
    <w:p w14:paraId="6EAFE1DA" w14:textId="77777777" w:rsidR="0079079E" w:rsidRPr="0079079E" w:rsidRDefault="00A94CF7" w:rsidP="00A94CF7">
      <w:pPr>
        <w:ind w:firstLine="0"/>
        <w:rPr>
          <w:rFonts w:ascii="Cambria Math" w:hAnsi="Cambria Math"/>
        </w:rPr>
      </w:pPr>
      <m:oMathPara>
        <m:oMathParaPr>
          <m:jc m:val="center"/>
        </m:oMathParaPr>
        <m:oMath>
          <m:r>
            <w:rPr>
              <w:rFonts w:ascii="Cambria Math" w:hAnsi="Cambria Math"/>
            </w:rPr>
            <m:t xml:space="preserve">T=0 on </m:t>
          </m:r>
          <m:sSub>
            <m:sSubPr>
              <m:ctrlPr>
                <w:rPr>
                  <w:rFonts w:ascii="Cambria Math" w:hAnsi="Cambria Math"/>
                  <w:i/>
                </w:rPr>
              </m:ctrlPr>
            </m:sSubPr>
            <m:e>
              <m:r>
                <m:rPr>
                  <m:sty m:val="p"/>
                </m:rPr>
                <w:rPr>
                  <w:rFonts w:ascii="Cambria Math" w:hAnsi="Cambria Math"/>
                </w:rPr>
                <m:t>Γ</m:t>
              </m:r>
            </m:e>
            <m:sub>
              <m:sSup>
                <m:sSupPr>
                  <m:ctrlPr>
                    <w:rPr>
                      <w:rFonts w:ascii="Cambria Math" w:hAnsi="Cambria Math"/>
                      <w:i/>
                    </w:rPr>
                  </m:ctrlPr>
                </m:sSupPr>
                <m:e>
                  <m:r>
                    <w:rPr>
                      <w:rFonts w:ascii="Cambria Math" w:hAnsi="Cambria Math"/>
                    </w:rPr>
                    <m:t>x</m:t>
                  </m:r>
                </m:e>
                <m:sup>
                  <m:r>
                    <w:rPr>
                      <w:rFonts w:ascii="Cambria Math" w:hAnsi="Cambria Math"/>
                    </w:rPr>
                    <m:t>+</m:t>
                  </m:r>
                </m:sup>
              </m:sSup>
            </m:sub>
          </m:sSub>
        </m:oMath>
      </m:oMathPara>
    </w:p>
    <w:p w14:paraId="3FB2BDB5" w14:textId="188CE2E9" w:rsidR="00A94CF7" w:rsidRDefault="00000000" w:rsidP="00A94CF7">
      <w:pPr>
        <w:ind w:firstLine="0"/>
      </w:pPr>
      <m:oMathPara>
        <m:oMathParaPr>
          <m:jc m:val="right"/>
        </m:oMathParaPr>
        <m:oMath>
          <m:f>
            <m:fPr>
              <m:ctrlPr>
                <w:rPr>
                  <w:rFonts w:ascii="Cambria Math" w:hAnsi="Cambria Math"/>
                  <w:i/>
                </w:rPr>
              </m:ctrlPr>
            </m:fPr>
            <m:num>
              <m:r>
                <w:rPr>
                  <w:rFonts w:ascii="Cambria Math" w:hAnsi="Cambria Math"/>
                </w:rPr>
                <m:t>∂T</m:t>
              </m:r>
            </m:num>
            <m:den>
              <m:r>
                <w:rPr>
                  <w:rFonts w:ascii="Cambria Math" w:hAnsi="Cambria Math"/>
                </w:rPr>
                <m:t>∂n</m:t>
              </m:r>
            </m:den>
          </m:f>
          <m:r>
            <w:rPr>
              <w:rFonts w:ascii="Cambria Math" w:hAnsi="Cambria Math"/>
            </w:rPr>
            <m:t xml:space="preserve">= on </m:t>
          </m:r>
          <m:sSub>
            <m:sSubPr>
              <m:ctrlPr>
                <w:rPr>
                  <w:rFonts w:ascii="Cambria Math" w:hAnsi="Cambria Math"/>
                  <w:i/>
                </w:rPr>
              </m:ctrlPr>
            </m:sSubPr>
            <m:e>
              <m:r>
                <m:rPr>
                  <m:sty m:val="p"/>
                </m:rPr>
                <w:rPr>
                  <w:rFonts w:ascii="Cambria Math" w:hAnsi="Cambria Math"/>
                </w:rPr>
                <m:t>Γ</m:t>
              </m:r>
            </m:e>
            <m:sub>
              <m:sSup>
                <m:sSupPr>
                  <m:ctrlPr>
                    <w:rPr>
                      <w:rFonts w:ascii="Cambria Math" w:hAnsi="Cambria Math"/>
                      <w:i/>
                    </w:rPr>
                  </m:ctrlPr>
                </m:sSupPr>
                <m:e>
                  <m:r>
                    <w:rPr>
                      <w:rFonts w:ascii="Cambria Math" w:hAnsi="Cambria Math"/>
                    </w:rPr>
                    <m:t>y</m:t>
                  </m:r>
                </m:e>
                <m:sup>
                  <m:r>
                    <w:rPr>
                      <w:rFonts w:ascii="Cambria Math" w:hAnsi="Cambria Math"/>
                    </w:rPr>
                    <m:t>-</m:t>
                  </m:r>
                </m:sup>
              </m:sSup>
            </m:sub>
          </m:sSub>
          <m:r>
            <w:rPr>
              <w:rFonts w:ascii="Cambria Math" w:hAnsi="Cambria Math"/>
            </w:rPr>
            <m:t>⋃</m:t>
          </m:r>
          <m:sSub>
            <m:sSubPr>
              <m:ctrlPr>
                <w:rPr>
                  <w:rFonts w:ascii="Cambria Math" w:hAnsi="Cambria Math"/>
                  <w:i/>
                </w:rPr>
              </m:ctrlPr>
            </m:sSubPr>
            <m:e>
              <m:r>
                <m:rPr>
                  <m:sty m:val="p"/>
                </m:rPr>
                <w:rPr>
                  <w:rFonts w:ascii="Cambria Math" w:hAnsi="Cambria Math"/>
                </w:rPr>
                <m:t>Γ</m:t>
              </m:r>
            </m:e>
            <m:sub>
              <m:sSup>
                <m:sSupPr>
                  <m:ctrlPr>
                    <w:rPr>
                      <w:rFonts w:ascii="Cambria Math" w:hAnsi="Cambria Math"/>
                      <w:i/>
                    </w:rPr>
                  </m:ctrlPr>
                </m:sSupPr>
                <m:e>
                  <m:r>
                    <w:rPr>
                      <w:rFonts w:ascii="Cambria Math" w:hAnsi="Cambria Math"/>
                    </w:rPr>
                    <m:t>y</m:t>
                  </m:r>
                </m:e>
                <m:sup>
                  <m:r>
                    <w:rPr>
                      <w:rFonts w:ascii="Cambria Math" w:hAnsi="Cambria Math"/>
                    </w:rPr>
                    <m:t>+</m:t>
                  </m:r>
                </m:sup>
              </m:sSup>
            </m:sub>
          </m:sSub>
          <m:r>
            <m:rPr>
              <m:sty m:val="p"/>
            </m:rPr>
            <w:rPr>
              <w:rFonts w:ascii="Cambria Math" w:hAnsi="Cambria Math"/>
            </w:rPr>
            <m:t xml:space="preserve">                                                              (2)</m:t>
          </m:r>
          <m:r>
            <m:rPr>
              <m:sty m:val="p"/>
            </m:rPr>
            <w:rPr>
              <w:rFonts w:ascii="Cambria Math" w:hAnsi="Cambria Math"/>
            </w:rPr>
            <w:br/>
          </m:r>
        </m:oMath>
      </m:oMathPara>
      <w:r w:rsidR="00A94CF7">
        <w:t xml:space="preserve">where </w:t>
      </w:r>
      <m:oMath>
        <m:sSub>
          <m:sSubPr>
            <m:ctrlPr>
              <w:rPr>
                <w:rFonts w:ascii="Cambria Math" w:hAnsi="Cambria Math"/>
              </w:rPr>
            </m:ctrlPr>
          </m:sSubPr>
          <m:e>
            <m:r>
              <m:rPr>
                <m:sty m:val="p"/>
              </m:rPr>
              <w:rPr>
                <w:rFonts w:ascii="Cambria Math" w:hAnsi="Cambria Math"/>
              </w:rPr>
              <m:t>Γ</m:t>
            </m:r>
          </m:e>
          <m:sub>
            <m:sSup>
              <m:sSupPr>
                <m:ctrlPr>
                  <w:rPr>
                    <w:rFonts w:ascii="Cambria Math" w:hAnsi="Cambria Math"/>
                  </w:rPr>
                </m:ctrlPr>
              </m:sSupPr>
              <m:e>
                <m:r>
                  <w:rPr>
                    <w:rFonts w:ascii="Cambria Math" w:hAnsi="Cambria Math"/>
                  </w:rPr>
                  <m:t>x</m:t>
                </m:r>
              </m:e>
              <m:sup>
                <m:r>
                  <w:rPr>
                    <w:rFonts w:ascii="Cambria Math" w:hAnsi="Cambria Math"/>
                  </w:rPr>
                  <m:t>-</m:t>
                </m:r>
              </m:sup>
            </m:sSup>
          </m:sub>
        </m:sSub>
      </m:oMath>
      <w:r w:rsidR="00A94CF7">
        <w:t xml:space="preserve">and </w:t>
      </w:r>
      <m:oMath>
        <m:sSub>
          <m:sSubPr>
            <m:ctrlPr>
              <w:rPr>
                <w:rFonts w:ascii="Cambria Math" w:hAnsi="Cambria Math"/>
              </w:rPr>
            </m:ctrlPr>
          </m:sSubPr>
          <m:e>
            <m:r>
              <m:rPr>
                <m:sty m:val="p"/>
              </m:rPr>
              <w:rPr>
                <w:rFonts w:ascii="Cambria Math" w:hAnsi="Cambria Math"/>
              </w:rPr>
              <m:t>Γ</m:t>
            </m:r>
          </m:e>
          <m:sub>
            <m:sSup>
              <m:sSupPr>
                <m:ctrlPr>
                  <w:rPr>
                    <w:rFonts w:ascii="Cambria Math" w:hAnsi="Cambria Math"/>
                  </w:rPr>
                </m:ctrlPr>
              </m:sSupPr>
              <m:e>
                <m:r>
                  <w:rPr>
                    <w:rFonts w:ascii="Cambria Math" w:hAnsi="Cambria Math"/>
                  </w:rPr>
                  <m:t>x</m:t>
                </m:r>
              </m:e>
              <m:sup>
                <m:r>
                  <w:rPr>
                    <w:rFonts w:ascii="Cambria Math" w:hAnsi="Cambria Math"/>
                  </w:rPr>
                  <m:t>+</m:t>
                </m:r>
              </m:sup>
            </m:sSup>
          </m:sub>
        </m:sSub>
      </m:oMath>
      <w:r w:rsidR="00A94CF7">
        <w:t xml:space="preserve"> denote the left and right boundaries of the domain, respectively, and </w:t>
      </w:r>
      <m:oMath>
        <m:sSub>
          <m:sSubPr>
            <m:ctrlPr>
              <w:rPr>
                <w:rFonts w:ascii="Cambria Math" w:hAnsi="Cambria Math"/>
              </w:rPr>
            </m:ctrlPr>
          </m:sSubPr>
          <m:e>
            <m:r>
              <m:rPr>
                <m:sty m:val="p"/>
              </m:rPr>
              <w:rPr>
                <w:rFonts w:ascii="Cambria Math" w:hAnsi="Cambria Math"/>
              </w:rPr>
              <m:t>Γ</m:t>
            </m:r>
          </m:e>
          <m:sub>
            <m:sSup>
              <m:sSupPr>
                <m:ctrlPr>
                  <w:rPr>
                    <w:rFonts w:ascii="Cambria Math" w:hAnsi="Cambria Math"/>
                  </w:rPr>
                </m:ctrlPr>
              </m:sSupPr>
              <m:e>
                <m:r>
                  <w:rPr>
                    <w:rFonts w:ascii="Cambria Math" w:hAnsi="Cambria Math"/>
                  </w:rPr>
                  <m:t>y</m:t>
                </m:r>
              </m:e>
              <m:sup>
                <m:r>
                  <w:rPr>
                    <w:rFonts w:ascii="Cambria Math" w:hAnsi="Cambria Math"/>
                  </w:rPr>
                  <m:t>-</m:t>
                </m:r>
              </m:sup>
            </m:sSup>
          </m:sub>
        </m:sSub>
      </m:oMath>
      <w:r w:rsidR="00A94CF7">
        <w:t xml:space="preserve">and </w:t>
      </w:r>
      <m:oMath>
        <m:sSub>
          <m:sSubPr>
            <m:ctrlPr>
              <w:rPr>
                <w:rFonts w:ascii="Cambria Math" w:hAnsi="Cambria Math"/>
              </w:rPr>
            </m:ctrlPr>
          </m:sSubPr>
          <m:e>
            <m:r>
              <m:rPr>
                <m:sty m:val="p"/>
              </m:rPr>
              <w:rPr>
                <w:rFonts w:ascii="Cambria Math" w:hAnsi="Cambria Math"/>
              </w:rPr>
              <m:t>Γ</m:t>
            </m:r>
          </m:e>
          <m:sub>
            <m:sSup>
              <m:sSupPr>
                <m:ctrlPr>
                  <w:rPr>
                    <w:rFonts w:ascii="Cambria Math" w:hAnsi="Cambria Math"/>
                  </w:rPr>
                </m:ctrlPr>
              </m:sSupPr>
              <m:e>
                <m:r>
                  <w:rPr>
                    <w:rFonts w:ascii="Cambria Math" w:hAnsi="Cambria Math"/>
                  </w:rPr>
                  <m:t>y</m:t>
                </m:r>
              </m:e>
              <m:sup>
                <m:r>
                  <w:rPr>
                    <w:rFonts w:ascii="Cambria Math" w:hAnsi="Cambria Math"/>
                  </w:rPr>
                  <m:t>+</m:t>
                </m:r>
              </m:sup>
            </m:sSup>
          </m:sub>
        </m:sSub>
      </m:oMath>
      <w:r w:rsidR="00A94CF7">
        <w:t xml:space="preserve"> denote the bottom and top boundaries. The Neumann boundary conditions on the remaining boundaries ensure that heat flows predominantly along the </w:t>
      </w:r>
      <m:oMath>
        <m:r>
          <w:rPr>
            <w:rFonts w:ascii="Cambria Math" w:hAnsi="Cambria Math"/>
          </w:rPr>
          <m:t>x</m:t>
        </m:r>
      </m:oMath>
      <w:r w:rsidR="00A94CF7">
        <w:t>-direction.</w:t>
      </w:r>
    </w:p>
    <w:p w14:paraId="4724A3B7" w14:textId="77777777" w:rsidR="00A94CF7" w:rsidRDefault="00A94CF7" w:rsidP="00A94CF7">
      <w:r>
        <w:t xml:space="preserve">An analogous set of boundary conditions was applied to compute the effective thermal conductivity in the </w:t>
      </w:r>
      <m:oMath>
        <m:r>
          <w:rPr>
            <w:rFonts w:ascii="Cambria Math" w:hAnsi="Cambria Math"/>
          </w:rPr>
          <m:t>y</m:t>
        </m:r>
      </m:oMath>
      <w:r>
        <w:t xml:space="preserve">-direction by exchanging the roles of the </w:t>
      </w:r>
      <m:oMath>
        <m:r>
          <w:rPr>
            <w:rFonts w:ascii="Cambria Math" w:hAnsi="Cambria Math"/>
          </w:rPr>
          <m:t>x</m:t>
        </m:r>
      </m:oMath>
      <w:r>
        <w:t xml:space="preserve">- and </w:t>
      </w:r>
      <m:oMath>
        <m:r>
          <w:rPr>
            <w:rFonts w:ascii="Cambria Math" w:hAnsi="Cambria Math"/>
          </w:rPr>
          <m:t>y</m:t>
        </m:r>
      </m:oMath>
      <w:r>
        <w:t>-boundaries.</w:t>
      </w:r>
    </w:p>
    <w:p w14:paraId="47859CBF" w14:textId="21CFA90B" w:rsidR="0079079E" w:rsidRPr="0079079E" w:rsidRDefault="00A94CF7" w:rsidP="0079079E">
      <w:pPr>
        <w:pStyle w:val="Heading2"/>
        <w:numPr>
          <w:ilvl w:val="1"/>
          <w:numId w:val="2"/>
        </w:numPr>
      </w:pPr>
      <w:r w:rsidRPr="0079079E">
        <w:rPr>
          <w:rStyle w:val="Strong"/>
          <w:b/>
          <w:bCs w:val="0"/>
        </w:rPr>
        <w:t>Weak Formulation</w:t>
      </w:r>
    </w:p>
    <w:p w14:paraId="7B2AA293" w14:textId="77777777" w:rsidR="00A94CF7" w:rsidRDefault="00A94CF7" w:rsidP="00A94CF7">
      <w:r>
        <w:t xml:space="preserve">To solve the governing equation numerically, the strong form was converted into a weak (variational) form. Let </w:t>
      </w:r>
      <m:oMath>
        <m:r>
          <w:rPr>
            <w:rFonts w:ascii="Cambria Math" w:hAnsi="Cambria Math"/>
          </w:rPr>
          <m:t>V</m:t>
        </m:r>
      </m:oMath>
      <w:r>
        <w:t xml:space="preserve">denote the space of admissible trial and test functions satisfying the prescribed Dirichlet boundary conditions. Multiplying the governing equation by a test function </w:t>
      </w:r>
      <m:oMath>
        <m:r>
          <w:rPr>
            <w:rFonts w:ascii="Cambria Math" w:hAnsi="Cambria Math"/>
          </w:rPr>
          <m:t>v∈V</m:t>
        </m:r>
      </m:oMath>
      <w:r>
        <w:t>and integrating over the domain yields</w:t>
      </w:r>
    </w:p>
    <w:p w14:paraId="375D1228" w14:textId="77777777" w:rsidR="0079079E" w:rsidRDefault="00000000" w:rsidP="0079079E">
      <w:pPr>
        <w:jc w:val="right"/>
      </w:pPr>
      <m:oMath>
        <m:nary>
          <m:naryPr>
            <m:limLoc m:val="subSup"/>
            <m:grow m:val="1"/>
            <m:supHide m:val="1"/>
            <m:ctrlPr>
              <w:rPr>
                <w:rFonts w:ascii="Cambria Math" w:hAnsi="Cambria Math"/>
              </w:rPr>
            </m:ctrlPr>
          </m:naryPr>
          <m:sub>
            <m:r>
              <m:rPr>
                <m:sty m:val="p"/>
              </m:rPr>
              <w:rPr>
                <w:rFonts w:ascii="Cambria Math" w:hAnsi="Cambria Math"/>
              </w:rPr>
              <m:t>Ω</m:t>
            </m:r>
          </m:sub>
          <m:sup/>
          <m:e>
            <m:r>
              <w:rPr>
                <w:rFonts w:ascii="Cambria Math" w:hAnsi="Cambria Math"/>
              </w:rPr>
              <m:t>v</m:t>
            </m:r>
            <m:r>
              <m:rPr>
                <m:nor/>
              </m:rPr>
              <m:t> </m:t>
            </m:r>
            <m:r>
              <m:rPr>
                <m:sty m:val="p"/>
              </m:rPr>
              <w:rPr>
                <w:rFonts w:ascii="Cambria Math" w:hAnsi="Cambria Math"/>
              </w:rPr>
              <m:t>∇</m:t>
            </m:r>
            <m:r>
              <w:rPr>
                <w:rFonts w:ascii="Cambria Math" w:hAnsi="Cambria Math"/>
              </w:rPr>
              <m:t>⋅</m:t>
            </m:r>
          </m:e>
        </m:nary>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T</m:t>
            </m:r>
          </m:e>
        </m:d>
        <m:r>
          <m:rPr>
            <m:nor/>
          </m:rPr>
          <m:t> </m:t>
        </m:r>
        <m:r>
          <w:rPr>
            <w:rFonts w:ascii="Cambria Math" w:hAnsi="Cambria Math"/>
          </w:rPr>
          <m:t>d</m:t>
        </m:r>
        <m:r>
          <m:rPr>
            <m:sty m:val="p"/>
          </m:rPr>
          <w:rPr>
            <w:rFonts w:ascii="Cambria Math" w:hAnsi="Cambria Math"/>
          </w:rPr>
          <m:t>Ω</m:t>
        </m:r>
        <m:r>
          <w:rPr>
            <w:rFonts w:ascii="Cambria Math" w:hAnsi="Cambria Math"/>
          </w:rPr>
          <m:t>=0.</m:t>
        </m:r>
      </m:oMath>
      <w:r w:rsidR="0079079E">
        <w:t xml:space="preserve">                                            (3)</w:t>
      </w:r>
    </w:p>
    <w:p w14:paraId="2DABDB9D" w14:textId="2C64F022" w:rsidR="00A94CF7" w:rsidRDefault="00A94CF7" w:rsidP="0079079E">
      <w:r>
        <w:t>Applying integration by parts and incorporating the Neumann boundary conditions leads to the weak form:</w:t>
      </w:r>
    </w:p>
    <w:p w14:paraId="5274140C" w14:textId="6977F5AA" w:rsidR="0079079E" w:rsidRDefault="00000000" w:rsidP="0079079E">
      <w:pPr>
        <w:jc w:val="right"/>
      </w:pPr>
      <m:oMath>
        <m:nary>
          <m:naryPr>
            <m:limLoc m:val="subSup"/>
            <m:grow m:val="1"/>
            <m:supHide m:val="1"/>
            <m:ctrlPr>
              <w:rPr>
                <w:rFonts w:ascii="Cambria Math" w:hAnsi="Cambria Math"/>
              </w:rPr>
            </m:ctrlPr>
          </m:naryPr>
          <m:sub>
            <m:r>
              <m:rPr>
                <m:sty m:val="p"/>
              </m:rPr>
              <w:rPr>
                <w:rFonts w:ascii="Cambria Math" w:hAnsi="Cambria Math"/>
              </w:rPr>
              <m:t>Ω</m:t>
            </m:r>
          </m:sub>
          <m:sup/>
          <m:e>
            <m:r>
              <w:rPr>
                <w:rFonts w:ascii="Cambria Math" w:hAnsi="Cambria Math"/>
              </w:rPr>
              <m:t>k</m:t>
            </m:r>
            <m:r>
              <m:rPr>
                <m:nor/>
              </m:rPr>
              <m:t> </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nor/>
              </m:rPr>
              <m:t> </m:t>
            </m:r>
            <m:r>
              <w:rPr>
                <w:rFonts w:ascii="Cambria Math" w:hAnsi="Cambria Math"/>
              </w:rPr>
              <m:t>d</m:t>
            </m:r>
            <m:r>
              <m:rPr>
                <m:sty m:val="p"/>
              </m:rPr>
              <w:rPr>
                <w:rFonts w:ascii="Cambria Math" w:hAnsi="Cambria Math"/>
              </w:rPr>
              <m:t>Ω</m:t>
            </m:r>
            <m:r>
              <w:rPr>
                <w:rFonts w:ascii="Cambria Math" w:hAnsi="Cambria Math"/>
              </w:rPr>
              <m:t>=0</m:t>
            </m:r>
          </m:e>
        </m:nary>
        <m:r>
          <m:rPr>
            <m:sty m:val="p"/>
          </m:rPr>
          <w:rPr>
            <w:rFonts w:ascii="Cambria Math" w:hAnsi="Cambria Math"/>
          </w:rPr>
          <m:t xml:space="preserve">  ∀</m:t>
        </m:r>
        <m:r>
          <w:rPr>
            <w:rFonts w:ascii="Cambria Math" w:hAnsi="Cambria Math"/>
          </w:rPr>
          <m:t>v∈V</m:t>
        </m:r>
        <m:r>
          <m:rPr>
            <m:sty m:val="p"/>
          </m:rPr>
          <w:rPr>
            <w:rFonts w:ascii="Cambria Math" w:hAnsi="Cambria Math"/>
          </w:rPr>
          <m:t>.</m:t>
        </m:r>
      </m:oMath>
      <w:r w:rsidR="0079079E">
        <w:t xml:space="preserve">                                    (4)</w:t>
      </w:r>
    </w:p>
    <w:p w14:paraId="3514D367" w14:textId="4A31E926" w:rsidR="00A94CF7" w:rsidRDefault="00A94CF7" w:rsidP="0079079E">
      <w:r>
        <w:lastRenderedPageBreak/>
        <w:t>This variational problem was discretized using continuous Lagrange finite elements and solved using FEniCS’s built-in linear solvers.</w:t>
      </w:r>
    </w:p>
    <w:p w14:paraId="7AFEE730" w14:textId="1901F137" w:rsidR="00A94CF7" w:rsidRDefault="00A94CF7" w:rsidP="0079079E">
      <w:pPr>
        <w:pStyle w:val="Heading2"/>
        <w:numPr>
          <w:ilvl w:val="1"/>
          <w:numId w:val="2"/>
        </w:numPr>
        <w:rPr>
          <w:rStyle w:val="Heading2Char"/>
          <w:b/>
        </w:rPr>
      </w:pPr>
      <w:r w:rsidRPr="0015725F">
        <w:rPr>
          <w:rStyle w:val="Heading2Char"/>
          <w:b/>
        </w:rPr>
        <w:t>Mesh Generation and Geometry Representation</w:t>
      </w:r>
    </w:p>
    <w:p w14:paraId="1FF8154D" w14:textId="77777777" w:rsidR="00A94CF7" w:rsidRDefault="00A94CF7" w:rsidP="00A94CF7">
      <w:r>
        <w:t xml:space="preserve">The computational domain corresponds to a square region discretized into triangular finite elements. Microstructural geometry, including the location, size, and orientation of elliptical pores, was generated programmatically and meshed using </w:t>
      </w:r>
      <w:proofErr w:type="spellStart"/>
      <w:r>
        <w:t>Gmsh</w:t>
      </w:r>
      <w:proofErr w:type="spellEnd"/>
      <w:r>
        <w:t xml:space="preserve">. The resulting meshes were imported into </w:t>
      </w:r>
      <w:proofErr w:type="spellStart"/>
      <w:r>
        <w:t>FEniCS</w:t>
      </w:r>
      <w:proofErr w:type="spellEnd"/>
      <w:r>
        <w:t xml:space="preserve"> using </w:t>
      </w:r>
      <w:proofErr w:type="spellStart"/>
      <w:r>
        <w:t>meshio</w:t>
      </w:r>
      <w:proofErr w:type="spellEnd"/>
      <w:r>
        <w:t>, ensuring compatibility between geometry generation and FEM simulation.</w:t>
      </w:r>
    </w:p>
    <w:p w14:paraId="0B55DE01" w14:textId="77777777" w:rsidR="00A94CF7" w:rsidRDefault="00A94CF7" w:rsidP="00A94CF7">
      <w:r>
        <w:t>Pores were treated as regions of very low thermal conductivity to approximate voids while maintaining numerical stability. This approach avoids the need for remeshing at pore boundaries and ensures a continuous finite element formulation across the domain.</w:t>
      </w:r>
    </w:p>
    <w:p w14:paraId="78327439" w14:textId="31A0F1ED" w:rsidR="00A94CF7" w:rsidRDefault="00A94CF7" w:rsidP="0079079E">
      <w:pPr>
        <w:pStyle w:val="Heading2"/>
        <w:numPr>
          <w:ilvl w:val="1"/>
          <w:numId w:val="2"/>
        </w:numPr>
        <w:rPr>
          <w:rStyle w:val="Strong"/>
          <w:b/>
          <w:bCs w:val="0"/>
        </w:rPr>
      </w:pPr>
      <w:r w:rsidRPr="0079079E">
        <w:rPr>
          <w:rStyle w:val="Strong"/>
          <w:b/>
          <w:bCs w:val="0"/>
        </w:rPr>
        <w:t>Computation of Effective Thermal Conductivity</w:t>
      </w:r>
    </w:p>
    <w:p w14:paraId="42A1A0D3" w14:textId="77777777" w:rsidR="00A94CF7" w:rsidRDefault="00A94CF7" w:rsidP="00A94CF7">
      <w:r>
        <w:t xml:space="preserve">Once the temperature field </w:t>
      </w:r>
      <m:oMath>
        <m:r>
          <w:rPr>
            <w:rFonts w:ascii="Cambria Math" w:hAnsi="Cambria Math"/>
          </w:rPr>
          <m:t>T(</m:t>
        </m:r>
        <m:r>
          <m:rPr>
            <m:sty m:val="b"/>
          </m:rPr>
          <w:rPr>
            <w:rFonts w:ascii="Cambria Math" w:hAnsi="Cambria Math"/>
          </w:rPr>
          <m:t>x</m:t>
        </m:r>
        <m:r>
          <w:rPr>
            <w:rFonts w:ascii="Cambria Math" w:hAnsi="Cambria Math"/>
          </w:rPr>
          <m:t>)</m:t>
        </m:r>
      </m:oMath>
      <w:r>
        <w:t xml:space="preserve">was obtained, the effective thermal conductivity was computed by averaging the heat flux over the domain. For example, the effective conductivity in the </w:t>
      </w:r>
      <m:oMath>
        <m:r>
          <w:rPr>
            <w:rFonts w:ascii="Cambria Math" w:hAnsi="Cambria Math"/>
          </w:rPr>
          <m:t>x</m:t>
        </m:r>
      </m:oMath>
      <w:r>
        <w:t>-direction was calculated as</w:t>
      </w:r>
    </w:p>
    <w:p w14:paraId="4DA38AB4" w14:textId="65511F8E" w:rsidR="00A94CF7" w:rsidRDefault="00000000" w:rsidP="00A94CF7">
      <w:pPr>
        <w:ind w:firstLine="0"/>
      </w:pPr>
      <m:oMathPara>
        <m:oMathParaPr>
          <m:jc m:val="right"/>
        </m:oMathParaPr>
        <m:oMath>
          <m:sSubSup>
            <m:sSubSupPr>
              <m:ctrlPr>
                <w:rPr>
                  <w:rFonts w:ascii="Cambria Math" w:hAnsi="Cambria Math"/>
                  <w:i/>
                </w:rPr>
              </m:ctrlPr>
            </m:sSubSupPr>
            <m:e>
              <m:r>
                <w:rPr>
                  <w:rFonts w:ascii="Cambria Math" w:hAnsi="Cambria Math"/>
                </w:rPr>
                <m:t>k</m:t>
              </m:r>
            </m:e>
            <m:sub>
              <m:r>
                <w:rPr>
                  <w:rFonts w:ascii="Cambria Math" w:hAnsi="Cambria Math"/>
                </w:rPr>
                <m:t>x</m:t>
              </m:r>
            </m:sub>
            <m:sup>
              <m:r>
                <w:rPr>
                  <w:rFonts w:ascii="Cambria Math" w:hAnsi="Cambria Math"/>
                </w:rPr>
                <m:t>eff</m:t>
              </m:r>
            </m:sup>
          </m:sSubSup>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p"/>
                    </m:rPr>
                    <w:rPr>
                      <w:rFonts w:ascii="Cambria Math" w:hAnsi="Cambria Math"/>
                    </w:rPr>
                    <m:t>Ω</m:t>
                  </m:r>
                </m:e>
              </m:d>
            </m:den>
          </m:f>
          <m:nary>
            <m:naryPr>
              <m:limLoc m:val="subSup"/>
              <m:ctrlPr>
                <w:rPr>
                  <w:rFonts w:ascii="Cambria Math" w:hAnsi="Cambria Math"/>
                  <w:i/>
                </w:rPr>
              </m:ctrlPr>
            </m:naryPr>
            <m:sub>
              <m:r>
                <m:rPr>
                  <m:sty m:val="p"/>
                </m:rPr>
                <w:rPr>
                  <w:rFonts w:ascii="Cambria Math" w:hAnsi="Cambria Math"/>
                </w:rPr>
                <m:t>Ω</m:t>
              </m:r>
            </m:sub>
            <m:sup/>
            <m:e>
              <m:r>
                <w:rPr>
                  <w:rFonts w:ascii="Cambria Math" w:hAnsi="Cambria Math"/>
                </w:rPr>
                <m:t>k</m:t>
              </m:r>
              <m:d>
                <m:dPr>
                  <m:ctrlPr>
                    <w:rPr>
                      <w:rFonts w:ascii="Cambria Math" w:hAnsi="Cambria Math"/>
                      <w:i/>
                    </w:rPr>
                  </m:ctrlPr>
                </m:dPr>
                <m:e>
                  <m:r>
                    <m:rPr>
                      <m:sty m:val="b"/>
                    </m:rPr>
                    <w:rPr>
                      <w:rFonts w:ascii="Cambria Math" w:hAnsi="Cambria Math"/>
                    </w:rPr>
                    <m:t>x</m:t>
                  </m:r>
                </m:e>
              </m:d>
              <m:f>
                <m:fPr>
                  <m:ctrlPr>
                    <w:rPr>
                      <w:rFonts w:ascii="Cambria Math" w:hAnsi="Cambria Math"/>
                      <w:i/>
                    </w:rPr>
                  </m:ctrlPr>
                </m:fPr>
                <m:num>
                  <m:r>
                    <w:rPr>
                      <w:rFonts w:ascii="Cambria Math" w:hAnsi="Cambria Math"/>
                    </w:rPr>
                    <m:t>∂T</m:t>
                  </m:r>
                </m:num>
                <m:den>
                  <m:r>
                    <w:rPr>
                      <w:rFonts w:ascii="Cambria Math" w:hAnsi="Cambria Math"/>
                    </w:rPr>
                    <m:t>∂x</m:t>
                  </m:r>
                </m:den>
              </m:f>
              <m:r>
                <w:rPr>
                  <w:rFonts w:ascii="Cambria Math" w:hAnsi="Cambria Math"/>
                </w:rPr>
                <m:t>d</m:t>
              </m:r>
              <m:r>
                <m:rPr>
                  <m:sty m:val="p"/>
                </m:rPr>
                <w:rPr>
                  <w:rFonts w:ascii="Cambria Math" w:hAnsi="Cambria Math"/>
                </w:rPr>
                <m:t>Ω</m:t>
              </m:r>
            </m:e>
          </m:nary>
          <m:r>
            <m:rPr>
              <m:sty m:val="p"/>
            </m:rPr>
            <w:rPr>
              <w:rFonts w:ascii="Cambria Math" w:hAnsi="Cambria Math"/>
            </w:rPr>
            <m:t xml:space="preserve">                                            (5)</m:t>
          </m:r>
          <m:r>
            <m:rPr>
              <m:sty m:val="p"/>
            </m:rPr>
            <w:rPr>
              <w:rFonts w:ascii="Cambria Math" w:hAnsi="Cambria Math"/>
            </w:rPr>
            <w:br/>
          </m:r>
        </m:oMath>
      </m:oMathPara>
      <w:r w:rsidR="00A94CF7">
        <w:t xml:space="preserve">where the applied temperature difference is unity and the domain length is normalized. A similar expression was used to compute </w:t>
      </w:r>
      <m:oMath>
        <m:sSubSup>
          <m:sSubSupPr>
            <m:ctrlPr>
              <w:rPr>
                <w:rFonts w:ascii="Cambria Math" w:hAnsi="Cambria Math"/>
              </w:rPr>
            </m:ctrlPr>
          </m:sSubSupPr>
          <m:e>
            <m:r>
              <w:rPr>
                <w:rFonts w:ascii="Cambria Math" w:hAnsi="Cambria Math"/>
              </w:rPr>
              <m:t>k</m:t>
            </m:r>
          </m:e>
          <m:sub>
            <m:r>
              <w:rPr>
                <w:rFonts w:ascii="Cambria Math" w:hAnsi="Cambria Math"/>
              </w:rPr>
              <m:t>y</m:t>
            </m:r>
          </m:sub>
          <m:sup>
            <m:r>
              <m:rPr>
                <m:sty m:val="p"/>
              </m:rPr>
              <w:rPr>
                <w:rFonts w:ascii="Cambria Math" w:hAnsi="Cambria Math"/>
              </w:rPr>
              <m:t>eff</m:t>
            </m:r>
          </m:sup>
        </m:sSubSup>
      </m:oMath>
      <w:r w:rsidR="00A94CF7">
        <w:t xml:space="preserve"> for the </w:t>
      </w:r>
      <m:oMath>
        <m:r>
          <w:rPr>
            <w:rFonts w:ascii="Cambria Math" w:hAnsi="Cambria Math"/>
          </w:rPr>
          <m:t>y</m:t>
        </m:r>
      </m:oMath>
      <w:r w:rsidR="00A94CF7">
        <w:t>-direction.</w:t>
      </w:r>
    </w:p>
    <w:p w14:paraId="160D033E" w14:textId="77777777" w:rsidR="00A94CF7" w:rsidRDefault="00A94CF7" w:rsidP="00A94CF7">
      <w:r>
        <w:t xml:space="preserve">This procedure ensures that </w:t>
      </w:r>
      <w:proofErr w:type="gramStart"/>
      <w:r>
        <w:t>the effective</w:t>
      </w:r>
      <w:proofErr w:type="gramEnd"/>
      <w:r>
        <w:t xml:space="preserve"> thermal conductivities reflect the true microstructure-dependent heat transport behavior rather than relying on empirical homogenization assumptions.</w:t>
      </w:r>
    </w:p>
    <w:p w14:paraId="0C4231ED" w14:textId="79F58749" w:rsidR="00A94CF7" w:rsidRDefault="00A94CF7" w:rsidP="0079079E">
      <w:pPr>
        <w:pStyle w:val="Heading2"/>
        <w:numPr>
          <w:ilvl w:val="1"/>
          <w:numId w:val="2"/>
        </w:numPr>
        <w:rPr>
          <w:rStyle w:val="Strong"/>
          <w:b/>
          <w:bCs w:val="0"/>
        </w:rPr>
      </w:pPr>
      <w:r w:rsidRPr="0079079E">
        <w:rPr>
          <w:rStyle w:val="Strong"/>
          <w:b/>
          <w:bCs w:val="0"/>
        </w:rPr>
        <w:lastRenderedPageBreak/>
        <w:t>Dataset Generation Workflow</w:t>
      </w:r>
    </w:p>
    <w:p w14:paraId="628200C0" w14:textId="77777777" w:rsidR="00A94CF7" w:rsidRDefault="00A94CF7" w:rsidP="00A94CF7">
      <w:r>
        <w:t xml:space="preserve">For each generated microstructure, two independent FEM simulations were performed to compute </w:t>
      </w:r>
      <m:oMath>
        <m:sSub>
          <m:sSubPr>
            <m:ctrlPr>
              <w:rPr>
                <w:rFonts w:ascii="Cambria Math" w:hAnsi="Cambria Math"/>
              </w:rPr>
            </m:ctrlPr>
          </m:sSubPr>
          <m:e>
            <m:r>
              <w:rPr>
                <w:rFonts w:ascii="Cambria Math" w:hAnsi="Cambria Math"/>
              </w:rPr>
              <m:t>k</m:t>
            </m:r>
          </m:e>
          <m:sub>
            <m:r>
              <w:rPr>
                <w:rFonts w:ascii="Cambria Math" w:hAnsi="Cambria Math"/>
              </w:rPr>
              <m:t>x</m:t>
            </m:r>
          </m:sub>
        </m:sSub>
      </m:oMath>
      <w:r>
        <w:t xml:space="preserve">and </w:t>
      </w:r>
      <m:oMath>
        <m:sSub>
          <m:sSubPr>
            <m:ctrlPr>
              <w:rPr>
                <w:rFonts w:ascii="Cambria Math" w:hAnsi="Cambria Math"/>
              </w:rPr>
            </m:ctrlPr>
          </m:sSubPr>
          <m:e>
            <m:r>
              <w:rPr>
                <w:rFonts w:ascii="Cambria Math" w:hAnsi="Cambria Math"/>
              </w:rPr>
              <m:t>k</m:t>
            </m:r>
          </m:e>
          <m:sub>
            <m:r>
              <w:rPr>
                <w:rFonts w:ascii="Cambria Math" w:hAnsi="Cambria Math"/>
              </w:rPr>
              <m:t>y</m:t>
            </m:r>
          </m:sub>
        </m:sSub>
      </m:oMath>
      <w:r>
        <w:t xml:space="preserve">. The resulting conductivity pair </w:t>
      </w:r>
      <m:oMath>
        <m:d>
          <m:dPr>
            <m:sepChr m:val=","/>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x</m:t>
                </m:r>
              </m:sub>
            </m:sSub>
          </m:e>
          <m:e>
            <m:sSub>
              <m:sSubPr>
                <m:ctrlPr>
                  <w:rPr>
                    <w:rFonts w:ascii="Cambria Math" w:hAnsi="Cambria Math"/>
                  </w:rPr>
                </m:ctrlPr>
              </m:sSubPr>
              <m:e>
                <m:r>
                  <w:rPr>
                    <w:rFonts w:ascii="Cambria Math" w:hAnsi="Cambria Math"/>
                  </w:rPr>
                  <m:t>k</m:t>
                </m:r>
              </m:e>
              <m:sub>
                <m:r>
                  <w:rPr>
                    <w:rFonts w:ascii="Cambria Math" w:hAnsi="Cambria Math"/>
                  </w:rPr>
                  <m:t>y</m:t>
                </m:r>
              </m:sub>
            </m:sSub>
          </m:e>
        </m:d>
      </m:oMath>
      <w:r>
        <w:t>was then associated with the corresponding microstructure image and used as a label for GAN training. This workflow was repeated to generate large datasets for each pore-count configuration, providing a physics-consistent foundation for inverse design.</w:t>
      </w:r>
    </w:p>
    <w:p w14:paraId="3063B3AC" w14:textId="1A5AA20B" w:rsidR="00A94CF7" w:rsidRDefault="00A94CF7" w:rsidP="0079079E">
      <w:pPr>
        <w:pStyle w:val="Heading2"/>
        <w:numPr>
          <w:ilvl w:val="1"/>
          <w:numId w:val="2"/>
        </w:numPr>
      </w:pPr>
      <w:r w:rsidRPr="00DE5159">
        <w:t>Numerical Verification and Mesh Convergence</w:t>
      </w:r>
    </w:p>
    <w:p w14:paraId="7BF092DD" w14:textId="29F9EA43" w:rsidR="00A94CF7" w:rsidRPr="00DE5159" w:rsidRDefault="00A94CF7" w:rsidP="00A94CF7">
      <w:r w:rsidRPr="00DE5159">
        <w:t xml:space="preserve">To ensure numerical accuracy, mesh convergence studies were performed on representative microstructures with varying pore sizes and anisotropy levels. The effective thermal conductivities were computed using progressively refined meshes until relative changes in </w:t>
      </w:r>
      <m:oMath>
        <m:sSubSup>
          <m:sSubSupPr>
            <m:ctrlPr>
              <w:rPr>
                <w:rFonts w:ascii="Cambria Math" w:hAnsi="Cambria Math"/>
              </w:rPr>
            </m:ctrlPr>
          </m:sSubSupPr>
          <m:e>
            <m:r>
              <w:rPr>
                <w:rFonts w:ascii="Cambria Math" w:hAnsi="Cambria Math"/>
              </w:rPr>
              <m:t>k</m:t>
            </m:r>
          </m:e>
          <m:sub>
            <m:r>
              <w:rPr>
                <w:rFonts w:ascii="Cambria Math" w:hAnsi="Cambria Math"/>
              </w:rPr>
              <m:t>x</m:t>
            </m:r>
          </m:sub>
          <m:sup>
            <m:r>
              <m:rPr>
                <m:sty m:val="p"/>
              </m:rPr>
              <w:rPr>
                <w:rFonts w:ascii="Cambria Math" w:hAnsi="Cambria Math"/>
              </w:rPr>
              <m:t>eff</m:t>
            </m:r>
          </m:sup>
        </m:sSubSup>
      </m:oMath>
      <w:r w:rsidR="0079079E">
        <w:t xml:space="preserve"> </w:t>
      </w:r>
      <w:r w:rsidRPr="00DE5159">
        <w:t xml:space="preserve">and </w:t>
      </w:r>
      <m:oMath>
        <m:sSubSup>
          <m:sSubSupPr>
            <m:ctrlPr>
              <w:rPr>
                <w:rFonts w:ascii="Cambria Math" w:hAnsi="Cambria Math"/>
              </w:rPr>
            </m:ctrlPr>
          </m:sSubSupPr>
          <m:e>
            <m:r>
              <w:rPr>
                <w:rFonts w:ascii="Cambria Math" w:hAnsi="Cambria Math"/>
              </w:rPr>
              <m:t>k</m:t>
            </m:r>
          </m:e>
          <m:sub>
            <m:r>
              <w:rPr>
                <w:rFonts w:ascii="Cambria Math" w:hAnsi="Cambria Math"/>
              </w:rPr>
              <m:t>y</m:t>
            </m:r>
          </m:sub>
          <m:sup>
            <m:r>
              <m:rPr>
                <m:sty m:val="p"/>
              </m:rPr>
              <w:rPr>
                <w:rFonts w:ascii="Cambria Math" w:hAnsi="Cambria Math"/>
              </w:rPr>
              <m:t>eff</m:t>
            </m:r>
          </m:sup>
        </m:sSubSup>
      </m:oMath>
      <w:r w:rsidR="0079079E">
        <w:t xml:space="preserve"> </w:t>
      </w:r>
      <w:r w:rsidRPr="00DE5159">
        <w:t>fell below 1%.</w:t>
      </w:r>
    </w:p>
    <w:p w14:paraId="573F3021" w14:textId="77777777" w:rsidR="00A94CF7" w:rsidRPr="00DE5159" w:rsidRDefault="00A94CF7" w:rsidP="00A94CF7">
      <w:r w:rsidRPr="00DE5159">
        <w:t>All simulations used mesh resolutions that satisfied this convergence criterion. This verification ensures that the reported conductivity values reflect true microstructural effects rather than numerical artifacts.</w:t>
      </w:r>
    </w:p>
    <w:p w14:paraId="0DA3B0BD" w14:textId="37829B11" w:rsidR="00A94CF7" w:rsidRDefault="00A94CF7" w:rsidP="0079079E">
      <w:pPr>
        <w:pStyle w:val="Heading2"/>
        <w:numPr>
          <w:ilvl w:val="1"/>
          <w:numId w:val="2"/>
        </w:numPr>
      </w:pPr>
      <w:r w:rsidRPr="00DE5159">
        <w:t>FEM Data Generation Workflow (Pseudo-Code)</w:t>
      </w:r>
    </w:p>
    <w:p w14:paraId="5BC00C9D" w14:textId="77777777" w:rsidR="00A94CF7" w:rsidRPr="00DE5159" w:rsidRDefault="00A94CF7" w:rsidP="00A94CF7">
      <w:r w:rsidRPr="00DE5159">
        <w:t>The FEM data generation process can be summarized as follows:</w:t>
      </w:r>
    </w:p>
    <w:p w14:paraId="71B0C796" w14:textId="77777777" w:rsidR="00A94CF7" w:rsidRDefault="00A94CF7" w:rsidP="00A94CF7">
      <w:pPr>
        <w:ind w:firstLine="0"/>
        <w:jc w:val="center"/>
      </w:pPr>
      <w:r>
        <w:rPr>
          <w:noProof/>
        </w:rPr>
        <w:lastRenderedPageBreak/>
        <mc:AlternateContent>
          <mc:Choice Requires="wps">
            <w:drawing>
              <wp:inline distT="0" distB="0" distL="0" distR="0" wp14:anchorId="467FD8E0" wp14:editId="31AFEC95">
                <wp:extent cx="3680460" cy="1404620"/>
                <wp:effectExtent l="0" t="0" r="1524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404620"/>
                        </a:xfrm>
                        <a:prstGeom prst="rect">
                          <a:avLst/>
                        </a:prstGeom>
                        <a:solidFill>
                          <a:srgbClr val="FFFFFF"/>
                        </a:solidFill>
                        <a:ln w="9525">
                          <a:solidFill>
                            <a:srgbClr val="000000"/>
                          </a:solidFill>
                          <a:miter lim="800000"/>
                          <a:headEnd/>
                          <a:tailEnd/>
                        </a:ln>
                      </wps:spPr>
                      <wps:txbx>
                        <w:txbxContent>
                          <w:p w14:paraId="7DD54931"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for each </w:t>
                            </w:r>
                            <w:proofErr w:type="spellStart"/>
                            <w:r w:rsidRPr="00364E2D">
                              <w:rPr>
                                <w:rFonts w:ascii="Arial" w:hAnsi="Arial" w:cs="Arial"/>
                              </w:rPr>
                              <w:t>pore_count</w:t>
                            </w:r>
                            <w:proofErr w:type="spellEnd"/>
                            <w:r w:rsidRPr="00364E2D">
                              <w:rPr>
                                <w:rFonts w:ascii="Arial" w:hAnsi="Arial" w:cs="Arial"/>
                              </w:rPr>
                              <w:t xml:space="preserve"> in {1, 2, 4, 8}:</w:t>
                            </w:r>
                          </w:p>
                          <w:p w14:paraId="7A65D2CF"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for each microstructure sample:</w:t>
                            </w:r>
                          </w:p>
                          <w:p w14:paraId="2F5552B3"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generate elliptical pore geometry</w:t>
                            </w:r>
                          </w:p>
                          <w:p w14:paraId="77526E7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generate FEM mesh</w:t>
                            </w:r>
                          </w:p>
                          <w:p w14:paraId="306502CE"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assign spatially varying conductivity k(x)</w:t>
                            </w:r>
                          </w:p>
                          <w:p w14:paraId="2E297393"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0743A6F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 x-direction conductivity</w:t>
                            </w:r>
                          </w:p>
                          <w:p w14:paraId="49694665"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apply x-direction boundary conditions</w:t>
                            </w:r>
                          </w:p>
                          <w:p w14:paraId="66BE636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solve weak form for temperature </w:t>
                            </w:r>
                            <w:proofErr w:type="spellStart"/>
                            <w:r w:rsidRPr="00364E2D">
                              <w:rPr>
                                <w:rFonts w:ascii="Arial" w:hAnsi="Arial" w:cs="Arial"/>
                              </w:rPr>
                              <w:t>T_x</w:t>
                            </w:r>
                            <w:proofErr w:type="spellEnd"/>
                          </w:p>
                          <w:p w14:paraId="30F8A15E"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compute </w:t>
                            </w:r>
                            <w:proofErr w:type="spellStart"/>
                            <w:r w:rsidRPr="00364E2D">
                              <w:rPr>
                                <w:rFonts w:ascii="Arial" w:hAnsi="Arial" w:cs="Arial"/>
                              </w:rPr>
                              <w:t>kx_eff</w:t>
                            </w:r>
                            <w:proofErr w:type="spellEnd"/>
                          </w:p>
                          <w:p w14:paraId="4D534E0B"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0FE5CCFF"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 y-direction conductivity</w:t>
                            </w:r>
                          </w:p>
                          <w:p w14:paraId="7DF613AC"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apply y-direction boundary conditions</w:t>
                            </w:r>
                          </w:p>
                          <w:p w14:paraId="645DA0CC"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solve weak form for temperature </w:t>
                            </w:r>
                            <w:proofErr w:type="spellStart"/>
                            <w:r w:rsidRPr="00364E2D">
                              <w:rPr>
                                <w:rFonts w:ascii="Arial" w:hAnsi="Arial" w:cs="Arial"/>
                              </w:rPr>
                              <w:t>T_y</w:t>
                            </w:r>
                            <w:proofErr w:type="spellEnd"/>
                          </w:p>
                          <w:p w14:paraId="76EEA0ED"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compute </w:t>
                            </w:r>
                            <w:proofErr w:type="spellStart"/>
                            <w:r w:rsidRPr="00364E2D">
                              <w:rPr>
                                <w:rFonts w:ascii="Arial" w:hAnsi="Arial" w:cs="Arial"/>
                              </w:rPr>
                              <w:t>ky_eff</w:t>
                            </w:r>
                            <w:proofErr w:type="spellEnd"/>
                          </w:p>
                          <w:p w14:paraId="3BA096BD"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1AC3A734"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store (image, </w:t>
                            </w:r>
                            <w:proofErr w:type="spellStart"/>
                            <w:r w:rsidRPr="00364E2D">
                              <w:rPr>
                                <w:rFonts w:ascii="Arial" w:hAnsi="Arial" w:cs="Arial"/>
                              </w:rPr>
                              <w:t>kx_eff</w:t>
                            </w:r>
                            <w:proofErr w:type="spellEnd"/>
                            <w:r w:rsidRPr="00364E2D">
                              <w:rPr>
                                <w:rFonts w:ascii="Arial" w:hAnsi="Arial" w:cs="Arial"/>
                              </w:rPr>
                              <w:t xml:space="preserve">, </w:t>
                            </w:r>
                            <w:proofErr w:type="spellStart"/>
                            <w:r w:rsidRPr="00364E2D">
                              <w:rPr>
                                <w:rFonts w:ascii="Arial" w:hAnsi="Arial" w:cs="Arial"/>
                              </w:rPr>
                              <w:t>ky_eff</w:t>
                            </w:r>
                            <w:proofErr w:type="spellEnd"/>
                            <w:r w:rsidRPr="00364E2D">
                              <w:rPr>
                                <w:rFonts w:ascii="Arial" w:hAnsi="Arial" w:cs="Arial"/>
                              </w:rPr>
                              <w:t>)</w:t>
                            </w:r>
                          </w:p>
                        </w:txbxContent>
                      </wps:txbx>
                      <wps:bodyPr rot="0" vert="horz" wrap="square" lIns="91440" tIns="45720" rIns="91440" bIns="45720" anchor="t" anchorCtr="0">
                        <a:spAutoFit/>
                      </wps:bodyPr>
                    </wps:wsp>
                  </a:graphicData>
                </a:graphic>
              </wp:inline>
            </w:drawing>
          </mc:Choice>
          <mc:Fallback>
            <w:pict>
              <v:shapetype w14:anchorId="467FD8E0" id="_x0000_t202" coordsize="21600,21600" o:spt="202" path="m,l,21600r21600,l21600,xe">
                <v:stroke joinstyle="miter"/>
                <v:path gradientshapeok="t" o:connecttype="rect"/>
              </v:shapetype>
              <v:shape id="Text Box 2" o:spid="_x0000_s1026" type="#_x0000_t202" style="width:289.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5hEAIAACAEAAAOAAAAZHJzL2Uyb0RvYy54bWysk82O0zAQx+9IvIPlO01a2tKNmq6WLkVI&#10;y4e08ACO4zQWjseM3SbL0zN2ut1qgQsiB2ucGf8985vx+nroDDsq9BpsyaeTnDNlJdTa7kv+7evu&#10;1YozH4SthQGrSv6gPL/evHyx7l2hZtCCqRUyErG+6F3J2xBckWVetqoTfgJOWXI2gJ0ItMV9VqPo&#10;Sb0z2SzPl1kPWDsEqbynv7ejk2+SftMoGT43jVeBmZJTbiGtmNYqrtlmLYo9CtdqeUpD/EMWndCW&#10;Lj1L3Yog2AH1b1KdlggemjCR0GXQNFqqVANVM82fVXPfCqdSLQTHuzMm//9k5afjvfuCLAxvYaAG&#10;piK8uwP53TML21bYvbpBhL5VoqaLpxFZ1jtfnI5G1L7wUaTqP0JNTRaHAEloaLCLVKhORurUgIcz&#10;dDUEJunn6+Uqny/JJck3nZM9S23JRPF43KEP7xV0LBolR+pqkhfHOx9iOqJ4DIm3eTC63mlj0gb3&#10;1dYgOwqagF36UgXPwoxlfcmvFrPFSOCvEnn6/iTR6UCjbHRX8tU5SBSR2ztbp0ELQpvRppSNPYGM&#10;7EaKYagGCoxAK6gfCCnCOLL0xMhoAX9y1tO4ltz/OAhUnJkPltpyNZ3P43ynzXzxhhgyvPRUlx5h&#10;JUmVPHA2mtuQ3kQC5m6ofTudwD5lcsqVxjDxPj2ZOOeX+xT19LA3vwAAAP//AwBQSwMEFAAGAAgA&#10;AAAhAKhFj6bcAAAABQEAAA8AAABkcnMvZG93bnJldi54bWxMj8FOwzAQRO9I/IO1SNyo00gtEOJU&#10;iKpnSkFC3Db2No4ar0Pspilfj+ECl5VGM5p5W64m14mRhtB6VjCfZSCItTctNwreXjc3dyBCRDbY&#10;eSYFZwqwqi4vSiyMP/ELjbvYiFTCoUAFNsa+kDJoSw7DzPfEydv7wWFMcmikGfCUyl0n8yxbSoct&#10;pwWLPT1Z0ofd0SkI6+1nr/fb+mDN+et5PS70++ZDqeur6fEBRKQp/oXhBz+hQ5WYan9kE0SnID0S&#10;f2/yFrf3SxC1gjyf5yCrUv6nr74BAAD//wMAUEsBAi0AFAAGAAgAAAAhALaDOJL+AAAA4QEAABMA&#10;AAAAAAAAAAAAAAAAAAAAAFtDb250ZW50X1R5cGVzXS54bWxQSwECLQAUAAYACAAAACEAOP0h/9YA&#10;AACUAQAACwAAAAAAAAAAAAAAAAAvAQAAX3JlbHMvLnJlbHNQSwECLQAUAAYACAAAACEAtK4eYRAC&#10;AAAgBAAADgAAAAAAAAAAAAAAAAAuAgAAZHJzL2Uyb0RvYy54bWxQSwECLQAUAAYACAAAACEAqEWP&#10;ptwAAAAFAQAADwAAAAAAAAAAAAAAAABqBAAAZHJzL2Rvd25yZXYueG1sUEsFBgAAAAAEAAQA8wAA&#10;AHMFAAAAAA==&#10;">
                <v:textbox style="mso-fit-shape-to-text:t">
                  <w:txbxContent>
                    <w:p w14:paraId="7DD54931"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for each </w:t>
                      </w:r>
                      <w:proofErr w:type="spellStart"/>
                      <w:r w:rsidRPr="00364E2D">
                        <w:rPr>
                          <w:rFonts w:ascii="Arial" w:hAnsi="Arial" w:cs="Arial"/>
                        </w:rPr>
                        <w:t>pore_count</w:t>
                      </w:r>
                      <w:proofErr w:type="spellEnd"/>
                      <w:r w:rsidRPr="00364E2D">
                        <w:rPr>
                          <w:rFonts w:ascii="Arial" w:hAnsi="Arial" w:cs="Arial"/>
                        </w:rPr>
                        <w:t xml:space="preserve"> in {1, 2, 4, 8}:</w:t>
                      </w:r>
                    </w:p>
                    <w:p w14:paraId="7A65D2CF"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for each microstructure sample:</w:t>
                      </w:r>
                    </w:p>
                    <w:p w14:paraId="2F5552B3"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generate elliptical pore geometry</w:t>
                      </w:r>
                    </w:p>
                    <w:p w14:paraId="77526E7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generate FEM mesh</w:t>
                      </w:r>
                    </w:p>
                    <w:p w14:paraId="306502CE"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assign spatially varying conductivity k(x)</w:t>
                      </w:r>
                    </w:p>
                    <w:p w14:paraId="2E297393"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0743A6F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 x-direction conductivity</w:t>
                      </w:r>
                    </w:p>
                    <w:p w14:paraId="49694665"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apply x-direction boundary conditions</w:t>
                      </w:r>
                    </w:p>
                    <w:p w14:paraId="66BE6369"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solve weak form for temperature </w:t>
                      </w:r>
                      <w:proofErr w:type="spellStart"/>
                      <w:r w:rsidRPr="00364E2D">
                        <w:rPr>
                          <w:rFonts w:ascii="Arial" w:hAnsi="Arial" w:cs="Arial"/>
                        </w:rPr>
                        <w:t>T_x</w:t>
                      </w:r>
                      <w:proofErr w:type="spellEnd"/>
                    </w:p>
                    <w:p w14:paraId="30F8A15E"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compute </w:t>
                      </w:r>
                      <w:proofErr w:type="spellStart"/>
                      <w:r w:rsidRPr="00364E2D">
                        <w:rPr>
                          <w:rFonts w:ascii="Arial" w:hAnsi="Arial" w:cs="Arial"/>
                        </w:rPr>
                        <w:t>kx_eff</w:t>
                      </w:r>
                      <w:proofErr w:type="spellEnd"/>
                    </w:p>
                    <w:p w14:paraId="4D534E0B"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0FE5CCFF"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 y-direction conductivity</w:t>
                      </w:r>
                    </w:p>
                    <w:p w14:paraId="7DF613AC"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apply y-direction boundary conditions</w:t>
                      </w:r>
                    </w:p>
                    <w:p w14:paraId="645DA0CC"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solve weak form for temperature </w:t>
                      </w:r>
                      <w:proofErr w:type="spellStart"/>
                      <w:r w:rsidRPr="00364E2D">
                        <w:rPr>
                          <w:rFonts w:ascii="Arial" w:hAnsi="Arial" w:cs="Arial"/>
                        </w:rPr>
                        <w:t>T_y</w:t>
                      </w:r>
                      <w:proofErr w:type="spellEnd"/>
                    </w:p>
                    <w:p w14:paraId="76EEA0ED"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compute </w:t>
                      </w:r>
                      <w:proofErr w:type="spellStart"/>
                      <w:r w:rsidRPr="00364E2D">
                        <w:rPr>
                          <w:rFonts w:ascii="Arial" w:hAnsi="Arial" w:cs="Arial"/>
                        </w:rPr>
                        <w:t>ky_eff</w:t>
                      </w:r>
                      <w:proofErr w:type="spellEnd"/>
                    </w:p>
                    <w:p w14:paraId="3BA096BD"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w:t>
                      </w:r>
                    </w:p>
                    <w:p w14:paraId="1AC3A734" w14:textId="77777777" w:rsidR="00A94CF7" w:rsidRPr="00364E2D" w:rsidRDefault="00A94CF7" w:rsidP="00A94CF7">
                      <w:pPr>
                        <w:spacing w:line="240" w:lineRule="auto"/>
                        <w:ind w:firstLine="0"/>
                        <w:rPr>
                          <w:rFonts w:ascii="Arial" w:hAnsi="Arial" w:cs="Arial"/>
                        </w:rPr>
                      </w:pPr>
                      <w:r w:rsidRPr="00364E2D">
                        <w:rPr>
                          <w:rFonts w:ascii="Arial" w:hAnsi="Arial" w:cs="Arial"/>
                        </w:rPr>
                        <w:t xml:space="preserve">        store (image, </w:t>
                      </w:r>
                      <w:proofErr w:type="spellStart"/>
                      <w:r w:rsidRPr="00364E2D">
                        <w:rPr>
                          <w:rFonts w:ascii="Arial" w:hAnsi="Arial" w:cs="Arial"/>
                        </w:rPr>
                        <w:t>kx_eff</w:t>
                      </w:r>
                      <w:proofErr w:type="spellEnd"/>
                      <w:r w:rsidRPr="00364E2D">
                        <w:rPr>
                          <w:rFonts w:ascii="Arial" w:hAnsi="Arial" w:cs="Arial"/>
                        </w:rPr>
                        <w:t xml:space="preserve">, </w:t>
                      </w:r>
                      <w:proofErr w:type="spellStart"/>
                      <w:r w:rsidRPr="00364E2D">
                        <w:rPr>
                          <w:rFonts w:ascii="Arial" w:hAnsi="Arial" w:cs="Arial"/>
                        </w:rPr>
                        <w:t>ky_eff</w:t>
                      </w:r>
                      <w:proofErr w:type="spellEnd"/>
                      <w:r w:rsidRPr="00364E2D">
                        <w:rPr>
                          <w:rFonts w:ascii="Arial" w:hAnsi="Arial" w:cs="Arial"/>
                        </w:rPr>
                        <w:t>)</w:t>
                      </w:r>
                    </w:p>
                  </w:txbxContent>
                </v:textbox>
                <w10:anchorlock/>
              </v:shape>
            </w:pict>
          </mc:Fallback>
        </mc:AlternateContent>
      </w:r>
    </w:p>
    <w:p w14:paraId="25E5BC8E" w14:textId="77777777" w:rsidR="00A94CF7" w:rsidRDefault="00A94CF7" w:rsidP="00A94CF7">
      <w:pPr>
        <w:ind w:firstLine="0"/>
      </w:pPr>
      <w:r w:rsidRPr="00667387">
        <w:t>This workflow was repeated to generate large datasets for each pore-count configuration, producing a physics-consistent foundation for GAN training.</w:t>
      </w:r>
    </w:p>
    <w:p w14:paraId="797F5F2F" w14:textId="77777777" w:rsidR="00A94CF7" w:rsidRPr="00667387" w:rsidRDefault="00A94CF7" w:rsidP="00A94CF7">
      <w:pPr>
        <w:ind w:firstLine="0"/>
      </w:pPr>
    </w:p>
    <w:p w14:paraId="267398D8" w14:textId="6DADD35D" w:rsidR="00A94CF7" w:rsidRDefault="00A94CF7" w:rsidP="0079079E">
      <w:pPr>
        <w:pStyle w:val="Heading1"/>
        <w:numPr>
          <w:ilvl w:val="0"/>
          <w:numId w:val="2"/>
        </w:numPr>
      </w:pPr>
      <w:r w:rsidRPr="00A802D5">
        <w:t>Architecture of RCWGAN-GP</w:t>
      </w:r>
    </w:p>
    <w:p w14:paraId="6B6D900E" w14:textId="5799D27B" w:rsidR="0079079E" w:rsidRDefault="00A94CF7" w:rsidP="0079079E">
      <w:pPr>
        <w:pStyle w:val="Heading2"/>
        <w:numPr>
          <w:ilvl w:val="1"/>
          <w:numId w:val="2"/>
        </w:numPr>
      </w:pPr>
      <w:r>
        <w:t>R</w:t>
      </w:r>
      <w:r w:rsidRPr="00A802D5">
        <w:t>egression-based, conditional, Wasserstein GAN with gradient penalty (RCWGAN-GP)</w:t>
      </w:r>
      <w:r w:rsidR="0079079E">
        <w:t xml:space="preserve"> </w:t>
      </w:r>
    </w:p>
    <w:p w14:paraId="1D5B0035" w14:textId="3C4B193C" w:rsidR="00A94CF7" w:rsidRPr="00A802D5" w:rsidRDefault="00A94CF7" w:rsidP="0079079E">
      <w:r w:rsidRPr="00A802D5">
        <w:t>The conditional generative adversarial network (CGAN) consists of a discriminator and a generator and trains them to play a minimax game described by the following objective function:</w:t>
      </w:r>
    </w:p>
    <w:p w14:paraId="4723A794" w14:textId="1B957D66" w:rsidR="00A94CF7" w:rsidRPr="00A802D5" w:rsidRDefault="00000000" w:rsidP="00A94CF7">
      <w:pPr>
        <w:jc w:val="left"/>
      </w:pPr>
      <m:oMathPara>
        <m:oMathParaPr>
          <m:jc m:val="right"/>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G</m:t>
                  </m:r>
                </m:lim>
              </m:limLow>
            </m:fName>
            <m:e>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D</m:t>
                      </m:r>
                    </m:lim>
                  </m:limLow>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m:rPr>
                              <m:sty m:val="bi"/>
                            </m:rPr>
                            <w:rPr>
                              <w:rFonts w:ascii="Cambria Math" w:hAnsi="Cambria Math"/>
                            </w:rPr>
                            <m:t>x</m:t>
                          </m:r>
                          <m:r>
                            <w:rPr>
                              <w:rFonts w:ascii="Cambria Math" w:hAnsi="Cambria Math"/>
                            </w:rPr>
                            <m:t>|y~</m:t>
                          </m:r>
                          <m:sSub>
                            <m:sSubPr>
                              <m:ctrlPr>
                                <w:rPr>
                                  <w:rFonts w:ascii="Cambria Math" w:hAnsi="Cambria Math"/>
                                  <w:i/>
                                </w:rPr>
                              </m:ctrlPr>
                            </m:sSubPr>
                            <m:e>
                              <m:r>
                                <w:rPr>
                                  <w:rFonts w:ascii="Cambria Math" w:hAnsi="Cambria Math"/>
                                </w:rPr>
                                <m:t>P</m:t>
                              </m:r>
                            </m:e>
                            <m:sub>
                              <m:r>
                                <w:rPr>
                                  <w:rFonts w:ascii="Cambria Math" w:hAnsi="Cambria Math"/>
                                </w:rPr>
                                <m:t>r</m:t>
                              </m:r>
                            </m:sub>
                          </m:sSub>
                        </m:sub>
                      </m:sSub>
                      <m:d>
                        <m:dPr>
                          <m:begChr m:val="["/>
                          <m:endChr m:val="]"/>
                          <m:ctrlPr>
                            <w:rPr>
                              <w:rFonts w:ascii="Cambria Math" w:hAnsi="Cambria Math"/>
                              <w:i/>
                            </w:rPr>
                          </m:ctrlPr>
                        </m:dPr>
                        <m:e>
                          <m:r>
                            <w:rPr>
                              <w:rFonts w:ascii="Cambria Math" w:hAnsi="Cambria Math"/>
                            </w:rPr>
                            <m:t>D</m:t>
                          </m:r>
                          <m:d>
                            <m:dPr>
                              <m:ctrlPr>
                                <w:rPr>
                                  <w:rFonts w:ascii="Cambria Math" w:hAnsi="Cambria Math"/>
                                  <w:i/>
                                </w:rPr>
                              </m:ctrlPr>
                            </m:dPr>
                            <m:e>
                              <m:r>
                                <m:rPr>
                                  <m:sty m:val="bi"/>
                                </m:rPr>
                                <w:rPr>
                                  <w:rFonts w:ascii="Cambria Math" w:hAnsi="Cambria Math"/>
                                </w:rPr>
                                <m:t>x</m:t>
                              </m:r>
                              <m:r>
                                <w:rPr>
                                  <w:rFonts w:ascii="Cambria Math" w:hAnsi="Cambria Math"/>
                                </w:rPr>
                                <m:t>,y</m:t>
                              </m:r>
                            </m:e>
                          </m:d>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z</m:t>
                              </m:r>
                            </m:sub>
                          </m:sSub>
                        </m:sub>
                      </m:sSub>
                      <m:d>
                        <m:dPr>
                          <m:begChr m:val="["/>
                          <m:endChr m:val="]"/>
                          <m:ctrlPr>
                            <w:rPr>
                              <w:rFonts w:ascii="Cambria Math" w:hAnsi="Cambria Math"/>
                              <w:i/>
                            </w:rPr>
                          </m:ctrlPr>
                        </m:dPr>
                        <m:e>
                          <m:r>
                            <w:rPr>
                              <w:rFonts w:ascii="Cambria Math" w:hAnsi="Cambria Math"/>
                            </w:rPr>
                            <m:t>D</m:t>
                          </m:r>
                          <m:d>
                            <m:dPr>
                              <m:ctrlPr>
                                <w:rPr>
                                  <w:rFonts w:ascii="Cambria Math" w:hAnsi="Cambria Math"/>
                                  <w:i/>
                                </w:rPr>
                              </m:ctrlPr>
                            </m:dPr>
                            <m:e>
                              <m:r>
                                <w:rPr>
                                  <w:rFonts w:ascii="Cambria Math" w:hAnsi="Cambria Math"/>
                                </w:rPr>
                                <m:t>G</m:t>
                              </m:r>
                              <m:d>
                                <m:dPr>
                                  <m:ctrlPr>
                                    <w:rPr>
                                      <w:rFonts w:ascii="Cambria Math" w:hAnsi="Cambria Math"/>
                                      <w:i/>
                                    </w:rPr>
                                  </m:ctrlPr>
                                </m:dPr>
                                <m:e>
                                  <m:r>
                                    <m:rPr>
                                      <m:sty m:val="bi"/>
                                    </m:rPr>
                                    <w:rPr>
                                      <w:rFonts w:ascii="Cambria Math" w:hAnsi="Cambria Math"/>
                                    </w:rPr>
                                    <m:t>z</m:t>
                                  </m:r>
                                  <m:r>
                                    <w:rPr>
                                      <w:rFonts w:ascii="Cambria Math" w:hAnsi="Cambria Math"/>
                                    </w:rPr>
                                    <m:t>,y</m:t>
                                  </m:r>
                                </m:e>
                              </m:d>
                              <m:r>
                                <w:rPr>
                                  <w:rFonts w:ascii="Cambria Math" w:hAnsi="Cambria Math"/>
                                </w:rPr>
                                <m:t>,y</m:t>
                              </m:r>
                            </m:e>
                          </m:d>
                        </m:e>
                      </m:d>
                    </m:e>
                  </m:d>
                  <m:r>
                    <w:rPr>
                      <w:rFonts w:ascii="Cambria Math" w:hAnsi="Cambria Math"/>
                    </w:rPr>
                    <m:t xml:space="preserve">                             (</m:t>
                  </m:r>
                  <m:r>
                    <w:rPr>
                      <w:rFonts w:ascii="Cambria Math" w:hAnsi="Cambria Math"/>
                    </w:rPr>
                    <m:t>6</m:t>
                  </m:r>
                  <m:r>
                    <w:rPr>
                      <w:rFonts w:ascii="Cambria Math" w:hAnsi="Cambria Math"/>
                    </w:rPr>
                    <m:t>)</m:t>
                  </m:r>
                </m:e>
              </m:func>
            </m:e>
          </m:func>
        </m:oMath>
      </m:oMathPara>
    </w:p>
    <w:p w14:paraId="3DE0A6B1" w14:textId="77777777" w:rsidR="00A94CF7" w:rsidRPr="00A802D5" w:rsidRDefault="00A94CF7" w:rsidP="0079079E">
      <w:pPr>
        <w:ind w:firstLine="0"/>
      </w:pPr>
      <w:r w:rsidRPr="00A802D5">
        <w:t xml:space="preserve">where </w:t>
      </w:r>
      <m:oMath>
        <m:r>
          <m:rPr>
            <m:sty m:val="bi"/>
          </m:rPr>
          <w:rPr>
            <w:rFonts w:ascii="Cambria Math" w:hAnsi="Cambria Math"/>
          </w:rPr>
          <m:t>x</m:t>
        </m:r>
      </m:oMath>
      <w:r w:rsidRPr="00A802D5">
        <w:rPr>
          <w:b/>
          <w:bCs/>
        </w:rPr>
        <w:t xml:space="preserve"> </w:t>
      </w:r>
      <w:r w:rsidRPr="00A802D5">
        <w:t xml:space="preserve">represents a microstructure image, </w:t>
      </w:r>
      <m:oMath>
        <m:r>
          <w:rPr>
            <w:rFonts w:ascii="Cambria Math" w:hAnsi="Cambria Math"/>
          </w:rPr>
          <m:t>y</m:t>
        </m:r>
      </m:oMath>
      <w:r w:rsidRPr="00A802D5">
        <w:t xml:space="preserve"> is the processing parameter or condition,  </w:t>
      </w:r>
      <m:oMath>
        <m:r>
          <m:rPr>
            <m:sty m:val="bi"/>
          </m:rPr>
          <w:rPr>
            <w:rFonts w:ascii="Cambria Math" w:hAnsi="Cambria Math"/>
          </w:rPr>
          <m:t>x</m:t>
        </m:r>
        <m:r>
          <w:rPr>
            <w:rFonts w:ascii="Cambria Math" w:hAnsi="Cambria Math"/>
          </w:rPr>
          <m:t>|y~</m:t>
        </m:r>
        <m:sSub>
          <m:sSubPr>
            <m:ctrlPr>
              <w:rPr>
                <w:rFonts w:ascii="Cambria Math" w:hAnsi="Cambria Math"/>
                <w:i/>
              </w:rPr>
            </m:ctrlPr>
          </m:sSubPr>
          <m:e>
            <m:r>
              <w:rPr>
                <w:rFonts w:ascii="Cambria Math" w:hAnsi="Cambria Math"/>
              </w:rPr>
              <m:t>P</m:t>
            </m:r>
          </m:e>
          <m:sub>
            <m:r>
              <w:rPr>
                <w:rFonts w:ascii="Cambria Math" w:hAnsi="Cambria Math"/>
              </w:rPr>
              <m:t>r</m:t>
            </m:r>
          </m:sub>
        </m:sSub>
      </m:oMath>
      <w:r w:rsidRPr="00A802D5">
        <w:t xml:space="preserve"> means the conditional distribution of </w:t>
      </w:r>
      <m:oMath>
        <m:r>
          <m:rPr>
            <m:sty m:val="bi"/>
          </m:rPr>
          <w:rPr>
            <w:rFonts w:ascii="Cambria Math" w:hAnsi="Cambria Math"/>
          </w:rPr>
          <m:t>x</m:t>
        </m:r>
        <m:r>
          <w:rPr>
            <w:rFonts w:ascii="Cambria Math" w:hAnsi="Cambria Math"/>
          </w:rPr>
          <m:t>|y</m:t>
        </m:r>
      </m:oMath>
      <w:r w:rsidRPr="00A802D5">
        <w:t xml:space="preserve"> is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Pr="00A802D5">
        <w:t xml:space="preserve">, resembled by the collected experimental data, </w:t>
      </w:r>
      <m:oMath>
        <m:r>
          <m:rPr>
            <m:sty m:val="bi"/>
          </m:rPr>
          <w:rPr>
            <w:rFonts w:ascii="Cambria Math" w:hAnsi="Cambria Math"/>
          </w:rPr>
          <m:t>z</m:t>
        </m:r>
      </m:oMath>
      <w:r w:rsidRPr="00A802D5">
        <w:t xml:space="preserve"> is a random seed drawn from a multivariant Gaussian distribution, </w:t>
      </w:r>
      <m:oMath>
        <m:r>
          <w:rPr>
            <w:rFonts w:ascii="Cambria Math" w:hAnsi="Cambria Math"/>
          </w:rPr>
          <m:t>D</m:t>
        </m:r>
        <m:d>
          <m:dPr>
            <m:ctrlPr>
              <w:rPr>
                <w:rFonts w:ascii="Cambria Math" w:hAnsi="Cambria Math"/>
                <w:i/>
              </w:rPr>
            </m:ctrlPr>
          </m:dPr>
          <m:e>
            <m:r>
              <m:rPr>
                <m:sty m:val="bi"/>
              </m:rPr>
              <w:rPr>
                <w:rFonts w:ascii="Cambria Math" w:hAnsi="Cambria Math"/>
              </w:rPr>
              <m:t>x</m:t>
            </m:r>
            <m:r>
              <w:rPr>
                <w:rFonts w:ascii="Cambria Math" w:hAnsi="Cambria Math"/>
              </w:rPr>
              <m:t>,y</m:t>
            </m:r>
          </m:e>
        </m:d>
      </m:oMath>
      <w:r w:rsidRPr="00A802D5">
        <w:t xml:space="preserve"> is the validity score </w:t>
      </w:r>
      <w:r w:rsidRPr="00A802D5">
        <w:lastRenderedPageBreak/>
        <w:t xml:space="preserve">produced by the discriminator using </w:t>
      </w:r>
      <m:oMath>
        <m:r>
          <m:rPr>
            <m:sty m:val="bi"/>
          </m:rPr>
          <w:rPr>
            <w:rFonts w:ascii="Cambria Math" w:hAnsi="Cambria Math"/>
          </w:rPr>
          <m:t>x</m:t>
        </m:r>
      </m:oMath>
      <w:r w:rsidRPr="00A802D5">
        <w:rPr>
          <w:b/>
          <w:bCs/>
        </w:rPr>
        <w:t xml:space="preserve"> </w:t>
      </w:r>
      <w:r w:rsidRPr="00A802D5">
        <w:t>and</w:t>
      </w:r>
      <w:r w:rsidRPr="00A802D5">
        <w:rPr>
          <w:b/>
          <w:bCs/>
        </w:rPr>
        <w:t xml:space="preserve"> </w:t>
      </w:r>
      <m:oMath>
        <m:r>
          <w:rPr>
            <w:rFonts w:ascii="Cambria Math" w:hAnsi="Cambria Math"/>
          </w:rPr>
          <m:t>y</m:t>
        </m:r>
      </m:oMath>
      <w:r w:rsidRPr="00A802D5">
        <w:t xml:space="preserve"> as inputs, </w:t>
      </w:r>
      <m:oMath>
        <m:r>
          <w:rPr>
            <w:rFonts w:ascii="Cambria Math" w:hAnsi="Cambria Math"/>
          </w:rPr>
          <m:t>G</m:t>
        </m:r>
        <m:d>
          <m:dPr>
            <m:ctrlPr>
              <w:rPr>
                <w:rFonts w:ascii="Cambria Math" w:hAnsi="Cambria Math"/>
                <w:i/>
              </w:rPr>
            </m:ctrlPr>
          </m:dPr>
          <m:e>
            <m:r>
              <m:rPr>
                <m:sty m:val="bi"/>
              </m:rPr>
              <w:rPr>
                <w:rFonts w:ascii="Cambria Math" w:hAnsi="Cambria Math"/>
              </w:rPr>
              <m:t>z</m:t>
            </m:r>
            <m:r>
              <w:rPr>
                <w:rFonts w:ascii="Cambria Math" w:hAnsi="Cambria Math"/>
              </w:rPr>
              <m:t>,y</m:t>
            </m:r>
          </m:e>
        </m:d>
      </m:oMath>
      <w:r w:rsidRPr="00A802D5">
        <w:t xml:space="preserve"> is a generated microstructure image produced by the generator from the random seed and the condition.</w:t>
      </w:r>
    </w:p>
    <w:p w14:paraId="6E67AA8A" w14:textId="77777777" w:rsidR="00A94CF7" w:rsidRPr="00A802D5" w:rsidRDefault="00A94CF7" w:rsidP="0079079E">
      <w:r w:rsidRPr="00A802D5">
        <w:t xml:space="preserve">Once the CGAN is well-trained, the generated microstructural images </w:t>
      </w:r>
      <m:oMath>
        <m:acc>
          <m:accPr>
            <m:ctrlPr>
              <w:rPr>
                <w:rFonts w:ascii="Cambria Math" w:hAnsi="Cambria Math"/>
                <w:i/>
              </w:rPr>
            </m:ctrlPr>
          </m:accPr>
          <m:e>
            <m:r>
              <w:rPr>
                <w:rFonts w:ascii="Cambria Math" w:hAnsi="Cambria Math"/>
              </w:rPr>
              <m:t>x</m:t>
            </m:r>
          </m:e>
        </m:acc>
        <m:r>
          <w:rPr>
            <w:rFonts w:ascii="Cambria Math" w:hAnsi="Cambria Math"/>
          </w:rPr>
          <m:t>|y</m:t>
        </m:r>
      </m:oMath>
      <w:r w:rsidRPr="00A802D5">
        <w:t xml:space="preserve"> follows a distribution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Pr="00A802D5">
        <w:t xml:space="preserve"> that is close to the real distribution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Pr="00A802D5">
        <w:t xml:space="preserve">. Suppose a microstructure feature (e.g. porosity) can be quantified from a microstructure image using a pre-defined measurement </w:t>
      </w:r>
      <m:oMath>
        <m:r>
          <w:rPr>
            <w:rFonts w:ascii="Cambria Math" w:hAnsi="Cambria Math"/>
          </w:rPr>
          <m:t>f(∙)</m:t>
        </m:r>
      </m:oMath>
      <w:r w:rsidRPr="00A802D5">
        <w:t xml:space="preserve">. </w:t>
      </w:r>
    </w:p>
    <w:p w14:paraId="1A0672F6" w14:textId="2486CBFE" w:rsidR="00A94CF7" w:rsidRPr="00A802D5" w:rsidRDefault="00A94CF7" w:rsidP="00A94CF7">
      <w:pPr>
        <w:jc w:val="left"/>
      </w:pPr>
      <m:oMathPara>
        <m:oMathParaPr>
          <m:jc m:val="right"/>
        </m:oMathParaPr>
        <m:oMath>
          <m:r>
            <w:rPr>
              <w:rFonts w:ascii="Cambria Math" w:hAnsi="Cambria Math"/>
            </w:rPr>
            <m:t>MF= f</m:t>
          </m:r>
          <m:d>
            <m:dPr>
              <m:ctrlPr>
                <w:rPr>
                  <w:rFonts w:ascii="Cambria Math" w:hAnsi="Cambria Math"/>
                  <w:i/>
                </w:rPr>
              </m:ctrlPr>
            </m:dPr>
            <m:e>
              <m:r>
                <m:rPr>
                  <m:sty m:val="bi"/>
                </m:rPr>
                <w:rPr>
                  <w:rFonts w:ascii="Cambria Math" w:hAnsi="Cambria Math"/>
                </w:rPr>
                <m:t>x</m:t>
              </m:r>
            </m:e>
          </m:d>
          <m:r>
            <w:rPr>
              <w:rFonts w:ascii="Cambria Math" w:hAnsi="Cambria Math"/>
            </w:rPr>
            <m:t xml:space="preserve">                                                                      </m:t>
          </m:r>
          <m:d>
            <m:dPr>
              <m:ctrlPr>
                <w:rPr>
                  <w:rFonts w:ascii="Cambria Math" w:hAnsi="Cambria Math"/>
                  <w:i/>
                </w:rPr>
              </m:ctrlPr>
            </m:dPr>
            <m:e>
              <m:r>
                <w:rPr>
                  <w:rFonts w:ascii="Cambria Math" w:hAnsi="Cambria Math"/>
                </w:rPr>
                <m:t>7</m:t>
              </m:r>
            </m:e>
          </m:d>
        </m:oMath>
      </m:oMathPara>
    </w:p>
    <w:p w14:paraId="0475008B" w14:textId="77777777" w:rsidR="00A94CF7" w:rsidRPr="00A802D5" w:rsidRDefault="00A94CF7" w:rsidP="00A94CF7">
      <w:pPr>
        <w:ind w:firstLine="0"/>
        <w:jc w:val="left"/>
      </w:pPr>
      <w:r w:rsidRPr="00A802D5">
        <w:t xml:space="preserve">MF is the microstructure feature. </w:t>
      </w:r>
    </w:p>
    <w:p w14:paraId="17A27851" w14:textId="77777777" w:rsidR="00A94CF7" w:rsidRPr="00A802D5" w:rsidRDefault="00A94CF7" w:rsidP="00A94CF7">
      <w:pPr>
        <w:jc w:val="left"/>
      </w:pPr>
      <w:r w:rsidRPr="00A802D5">
        <w:t xml:space="preserve">The relationship between the microstructure feature and the processing parameter </w:t>
      </w:r>
      <m:oMath>
        <m:r>
          <w:rPr>
            <w:rFonts w:ascii="Cambria Math" w:hAnsi="Cambria Math"/>
          </w:rPr>
          <m:t>y</m:t>
        </m:r>
      </m:oMath>
      <w:r w:rsidRPr="00A802D5">
        <w:t xml:space="preserve"> can be written as:</w:t>
      </w:r>
    </w:p>
    <w:p w14:paraId="4EEE6828" w14:textId="3006A5F8" w:rsidR="00A94CF7" w:rsidRPr="00A802D5" w:rsidRDefault="00A94CF7" w:rsidP="00A94CF7">
      <w:pPr>
        <w:jc w:val="left"/>
      </w:pPr>
      <m:oMathPara>
        <m:oMathParaPr>
          <m:jc m:val="right"/>
        </m:oMathParaPr>
        <m:oMath>
          <m:r>
            <w:rPr>
              <w:rFonts w:ascii="Cambria Math" w:hAnsi="Cambria Math"/>
            </w:rPr>
            <m:t>MF</m:t>
          </m:r>
          <m:d>
            <m:dPr>
              <m:ctrlPr>
                <w:rPr>
                  <w:rFonts w:ascii="Cambria Math" w:hAnsi="Cambria Math"/>
                  <w:i/>
                </w:rPr>
              </m:ctrlPr>
            </m:dPr>
            <m:e>
              <m:r>
                <w:rPr>
                  <w:rFonts w:ascii="Cambria Math" w:hAnsi="Cambria Math"/>
                </w:rPr>
                <m:t>y</m:t>
              </m:r>
            </m:e>
          </m:d>
          <m:r>
            <w:rPr>
              <w:rFonts w:ascii="Cambria Math" w:hAnsi="Cambria Math"/>
            </w:rPr>
            <m:t>=</m:t>
          </m:r>
          <m:sSub>
            <m:sSubPr>
              <m:ctrlPr>
                <w:rPr>
                  <w:rFonts w:ascii="Cambria Math" w:hAnsi="Cambria Math"/>
                  <w:i/>
                </w:rPr>
              </m:ctrlPr>
            </m:sSubPr>
            <m:e>
              <m:r>
                <w:rPr>
                  <w:rFonts w:ascii="Cambria Math" w:hAnsi="Cambria Math"/>
                </w:rPr>
                <m:t>E</m:t>
              </m:r>
            </m:e>
            <m:sub>
              <m:r>
                <m:rPr>
                  <m:sty m:val="bi"/>
                </m:rPr>
                <w:rPr>
                  <w:rFonts w:ascii="Cambria Math" w:hAnsi="Cambria Math"/>
                </w:rPr>
                <m:t>x</m:t>
              </m:r>
              <m:r>
                <w:rPr>
                  <w:rFonts w:ascii="Cambria Math" w:hAnsi="Cambria Math"/>
                </w:rPr>
                <m:t>|y~</m:t>
              </m:r>
              <m:sSub>
                <m:sSubPr>
                  <m:ctrlPr>
                    <w:rPr>
                      <w:rFonts w:ascii="Cambria Math" w:hAnsi="Cambria Math"/>
                      <w:i/>
                    </w:rPr>
                  </m:ctrlPr>
                </m:sSubPr>
                <m:e>
                  <m:r>
                    <w:rPr>
                      <w:rFonts w:ascii="Cambria Math" w:hAnsi="Cambria Math"/>
                    </w:rPr>
                    <m:t>P</m:t>
                  </m:r>
                </m:e>
                <m:sub>
                  <m:r>
                    <w:rPr>
                      <w:rFonts w:ascii="Cambria Math" w:hAnsi="Cambria Math"/>
                    </w:rPr>
                    <m:t>r</m:t>
                  </m:r>
                </m:sub>
              </m:sSub>
            </m:sub>
          </m:sSub>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m:rPr>
                      <m:sty m:val="bi"/>
                    </m:rPr>
                    <w:rPr>
                      <w:rFonts w:ascii="Cambria Math" w:hAnsi="Cambria Math"/>
                    </w:rPr>
                    <m:t>x</m:t>
                  </m:r>
                </m:e>
                <m:e>
                  <m:r>
                    <w:rPr>
                      <w:rFonts w:ascii="Cambria Math" w:hAnsi="Cambria Math"/>
                    </w:rPr>
                    <m:t>y</m:t>
                  </m:r>
                </m:e>
              </m:d>
            </m:e>
          </m:d>
          <m:r>
            <w:rPr>
              <w:rFonts w:ascii="Cambria Math" w:hAnsi="Cambria Math"/>
            </w:rPr>
            <m:t xml:space="preserve">                                                  (</m:t>
          </m:r>
          <m:r>
            <w:rPr>
              <w:rFonts w:ascii="Cambria Math" w:hAnsi="Cambria Math"/>
            </w:rPr>
            <m:t>8</m:t>
          </m:r>
          <m:r>
            <w:rPr>
              <w:rFonts w:ascii="Cambria Math" w:hAnsi="Cambria Math"/>
            </w:rPr>
            <m:t>)</m:t>
          </m:r>
        </m:oMath>
      </m:oMathPara>
    </w:p>
    <w:p w14:paraId="2B1EB13B" w14:textId="77777777" w:rsidR="00A94CF7" w:rsidRPr="00A802D5" w:rsidRDefault="00A94CF7" w:rsidP="00A94CF7">
      <w:pPr>
        <w:ind w:firstLine="0"/>
        <w:jc w:val="left"/>
      </w:pPr>
      <w:r w:rsidRPr="00A802D5">
        <w:t xml:space="preserve">Since the real microstructure distribution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Pr="00A802D5">
        <w:t xml:space="preserve"> can be well approximated using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Pr="00A802D5">
        <w:t>, the relationship between the microstructure feature and the processing parameter can also be approximated as:</w:t>
      </w:r>
    </w:p>
    <w:p w14:paraId="5381F116" w14:textId="203B0D7B" w:rsidR="00A94CF7" w:rsidRPr="00A802D5" w:rsidRDefault="00A94CF7" w:rsidP="00A94CF7">
      <w:pPr>
        <w:jc w:val="left"/>
      </w:pPr>
      <m:oMathPara>
        <m:oMathParaPr>
          <m:jc m:val="right"/>
        </m:oMathParaPr>
        <m:oMath>
          <m:r>
            <w:rPr>
              <w:rFonts w:ascii="Cambria Math" w:hAnsi="Cambria Math"/>
            </w:rPr>
            <m:t>MF(y)≈</m:t>
          </m:r>
          <m:sSub>
            <m:sSubPr>
              <m:ctrlPr>
                <w:rPr>
                  <w:rFonts w:ascii="Cambria Math" w:hAnsi="Cambria Math"/>
                  <w:i/>
                </w:rPr>
              </m:ctrlPr>
            </m:sSubPr>
            <m:e>
              <m:r>
                <w:rPr>
                  <w:rFonts w:ascii="Cambria Math" w:hAnsi="Cambria Math"/>
                </w:rPr>
                <m:t>E</m:t>
              </m:r>
            </m:e>
            <m:sub>
              <m:acc>
                <m:accPr>
                  <m:ctrlPr>
                    <w:rPr>
                      <w:rFonts w:ascii="Cambria Math" w:hAnsi="Cambria Math"/>
                      <w:b/>
                      <w:bCs/>
                      <w:i/>
                    </w:rPr>
                  </m:ctrlPr>
                </m:accPr>
                <m:e>
                  <m:r>
                    <m:rPr>
                      <m:sty m:val="bi"/>
                    </m:rPr>
                    <w:rPr>
                      <w:rFonts w:ascii="Cambria Math" w:hAnsi="Cambria Math"/>
                    </w:rPr>
                    <m:t>x</m:t>
                  </m:r>
                </m:e>
              </m:acc>
              <m:r>
                <w:rPr>
                  <w:rFonts w:ascii="Cambria Math" w:hAnsi="Cambria Math"/>
                </w:rPr>
                <m:t>|y~</m:t>
              </m:r>
              <m:sSub>
                <m:sSubPr>
                  <m:ctrlPr>
                    <w:rPr>
                      <w:rFonts w:ascii="Cambria Math" w:hAnsi="Cambria Math"/>
                      <w:i/>
                    </w:rPr>
                  </m:ctrlPr>
                </m:sSubPr>
                <m:e>
                  <m:r>
                    <w:rPr>
                      <w:rFonts w:ascii="Cambria Math" w:hAnsi="Cambria Math"/>
                    </w:rPr>
                    <m:t>P</m:t>
                  </m:r>
                </m:e>
                <m:sub>
                  <m:r>
                    <w:rPr>
                      <w:rFonts w:ascii="Cambria Math" w:hAnsi="Cambria Math"/>
                    </w:rPr>
                    <m:t>g</m:t>
                  </m:r>
                </m:sub>
              </m:sSub>
            </m:sub>
          </m:sSub>
          <m:d>
            <m:dPr>
              <m:begChr m:val="["/>
              <m:endChr m:val="]"/>
              <m:ctrlPr>
                <w:rPr>
                  <w:rFonts w:ascii="Cambria Math" w:hAnsi="Cambria Math"/>
                  <w:i/>
                </w:rPr>
              </m:ctrlPr>
            </m:dPr>
            <m:e>
              <m:r>
                <w:rPr>
                  <w:rFonts w:ascii="Cambria Math" w:hAnsi="Cambria Math"/>
                </w:rPr>
                <m:t>f</m:t>
              </m:r>
              <m:d>
                <m:dPr>
                  <m:ctrlPr>
                    <w:rPr>
                      <w:rFonts w:ascii="Cambria Math" w:hAnsi="Cambria Math"/>
                      <w:i/>
                    </w:rPr>
                  </m:ctrlPr>
                </m:dPr>
                <m:e>
                  <m:acc>
                    <m:accPr>
                      <m:ctrlPr>
                        <w:rPr>
                          <w:rFonts w:ascii="Cambria Math" w:hAnsi="Cambria Math"/>
                          <w:b/>
                          <w:bCs/>
                          <w:i/>
                        </w:rPr>
                      </m:ctrlPr>
                    </m:accPr>
                    <m:e>
                      <m:r>
                        <m:rPr>
                          <m:sty m:val="bi"/>
                        </m:rPr>
                        <w:rPr>
                          <w:rFonts w:ascii="Cambria Math" w:hAnsi="Cambria Math"/>
                        </w:rPr>
                        <m:t>x</m:t>
                      </m:r>
                    </m:e>
                  </m:acc>
                </m:e>
                <m:e>
                  <m:r>
                    <w:rPr>
                      <w:rFonts w:ascii="Cambria Math" w:hAnsi="Cambria Math"/>
                    </w:rPr>
                    <m:t>y</m:t>
                  </m:r>
                </m:e>
              </m:d>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z</m:t>
                  </m:r>
                </m:sub>
              </m:sSub>
            </m:sub>
          </m:sSub>
          <m:r>
            <w:rPr>
              <w:rFonts w:ascii="Cambria Math" w:hAnsi="Cambria Math"/>
            </w:rPr>
            <m:t>(f</m:t>
          </m:r>
          <m:d>
            <m:dPr>
              <m:ctrlPr>
                <w:rPr>
                  <w:rFonts w:ascii="Cambria Math" w:hAnsi="Cambria Math"/>
                  <w:i/>
                </w:rPr>
              </m:ctrlPr>
            </m:dPr>
            <m:e>
              <m:r>
                <w:rPr>
                  <w:rFonts w:ascii="Cambria Math" w:hAnsi="Cambria Math"/>
                </w:rPr>
                <m:t>G</m:t>
              </m:r>
              <m:d>
                <m:dPr>
                  <m:ctrlPr>
                    <w:rPr>
                      <w:rFonts w:ascii="Cambria Math" w:hAnsi="Cambria Math"/>
                      <w:i/>
                    </w:rPr>
                  </m:ctrlPr>
                </m:dPr>
                <m:e>
                  <m:r>
                    <m:rPr>
                      <m:sty m:val="bi"/>
                    </m:rPr>
                    <w:rPr>
                      <w:rFonts w:ascii="Cambria Math" w:hAnsi="Cambria Math"/>
                    </w:rPr>
                    <m:t>z</m:t>
                  </m:r>
                  <m:r>
                    <w:rPr>
                      <w:rFonts w:ascii="Cambria Math" w:hAnsi="Cambria Math"/>
                    </w:rPr>
                    <m:t>,y</m:t>
                  </m:r>
                </m:e>
              </m:d>
            </m:e>
          </m:d>
          <m:r>
            <w:rPr>
              <w:rFonts w:ascii="Cambria Math" w:hAnsi="Cambria Math"/>
            </w:rPr>
            <m:t xml:space="preserve">                               (</m:t>
          </m:r>
          <m:r>
            <w:rPr>
              <w:rFonts w:ascii="Cambria Math" w:hAnsi="Cambria Math"/>
            </w:rPr>
            <m:t>9</m:t>
          </m:r>
          <m:r>
            <w:rPr>
              <w:rFonts w:ascii="Cambria Math" w:hAnsi="Cambria Math"/>
            </w:rPr>
            <m:t>)</m:t>
          </m:r>
        </m:oMath>
      </m:oMathPara>
    </w:p>
    <w:p w14:paraId="3B0AABDD" w14:textId="77777777" w:rsidR="00A94CF7" w:rsidRPr="00A802D5" w:rsidRDefault="00A94CF7" w:rsidP="00A94CF7">
      <w:pPr>
        <w:ind w:firstLine="0"/>
        <w:jc w:val="left"/>
      </w:pPr>
      <w:r w:rsidRPr="00A802D5">
        <w:t>Or empirically:</w:t>
      </w:r>
    </w:p>
    <w:p w14:paraId="23701315" w14:textId="688400E4" w:rsidR="00A94CF7" w:rsidRPr="00A802D5" w:rsidRDefault="00A94CF7" w:rsidP="00A94CF7">
      <w:pPr>
        <w:jc w:val="left"/>
      </w:pPr>
      <m:oMathPara>
        <m:oMathParaPr>
          <m:jc m:val="right"/>
        </m:oMathParaPr>
        <m:oMath>
          <m:r>
            <w:rPr>
              <w:rFonts w:ascii="Cambria Math" w:hAnsi="Cambria Math"/>
            </w:rPr>
            <m:t>MF</m:t>
          </m:r>
          <m:d>
            <m:dPr>
              <m:ctrlPr>
                <w:rPr>
                  <w:rFonts w:ascii="Cambria Math" w:hAnsi="Cambria Math"/>
                  <w:i/>
                </w:rPr>
              </m:ctrlPr>
            </m:dPr>
            <m:e>
              <m:r>
                <w:rPr>
                  <w:rFonts w:ascii="Cambria Math" w:hAnsi="Cambria Math"/>
                </w:rPr>
                <m:t>y</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f(G</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z</m:t>
                      </m:r>
                    </m:e>
                    <m:sub>
                      <m:r>
                        <w:rPr>
                          <w:rFonts w:ascii="Cambria Math" w:hAnsi="Cambria Math"/>
                        </w:rPr>
                        <m:t>i</m:t>
                      </m:r>
                    </m:sub>
                  </m:sSub>
                  <m:r>
                    <w:rPr>
                      <w:rFonts w:ascii="Cambria Math" w:hAnsi="Cambria Math"/>
                    </w:rPr>
                    <m:t>,y</m:t>
                  </m:r>
                </m:e>
              </m:d>
              <m:r>
                <w:rPr>
                  <w:rFonts w:ascii="Cambria Math" w:hAnsi="Cambria Math"/>
                </w:rPr>
                <m:t xml:space="preserve">) </m:t>
              </m:r>
            </m:e>
          </m:nary>
          <m:r>
            <w:rPr>
              <w:rFonts w:ascii="Cambria Math" w:hAnsi="Cambria Math"/>
            </w:rPr>
            <m:t xml:space="preserve">                                                      (</m:t>
          </m:r>
          <m:r>
            <w:rPr>
              <w:rFonts w:ascii="Cambria Math" w:hAnsi="Cambria Math"/>
            </w:rPr>
            <m:t>10</m:t>
          </m:r>
          <m:r>
            <w:rPr>
              <w:rFonts w:ascii="Cambria Math" w:hAnsi="Cambria Math"/>
            </w:rPr>
            <m:t>)</m:t>
          </m:r>
        </m:oMath>
      </m:oMathPara>
    </w:p>
    <w:p w14:paraId="1D98BF48" w14:textId="77777777" w:rsidR="00A94CF7" w:rsidRPr="00A802D5" w:rsidRDefault="00A94CF7" w:rsidP="0079079E">
      <w:r w:rsidRPr="00A802D5">
        <w:t>This means that for an arbitrary processing parameter y, the microstructure feature can be calculated by sampling N random seeds, using the generator to produce N microstructural images, and measuring them. Thus, we can call CGAN regression-based CGAN (RCGAN) if we predict the microstructure from an arbitrary condition.</w:t>
      </w:r>
    </w:p>
    <w:p w14:paraId="07EEFEE8" w14:textId="4122B289" w:rsidR="00A94CF7" w:rsidRPr="00A802D5" w:rsidRDefault="00A94CF7" w:rsidP="0079079E">
      <w:r w:rsidRPr="00A802D5">
        <w:t xml:space="preserve">We can improve the performance of RCGAN with the Wasserstein loss function. The improved algorithm is known as regression-based, conditional Wasserstein GAN (RCWGAN). </w:t>
      </w:r>
      <w:r>
        <w:t>Significant</w:t>
      </w:r>
      <w:r w:rsidRPr="00A802D5">
        <w:t xml:space="preserve"> improvement was found for RCWGAN in microstructure predictions as shown in our </w:t>
      </w:r>
      <w:r w:rsidRPr="00A802D5">
        <w:lastRenderedPageBreak/>
        <w:t xml:space="preserve">previous study </w:t>
      </w:r>
      <w:r w:rsidRPr="00A802D5">
        <w:rPr>
          <w:vertAlign w:val="superscript"/>
        </w:rPr>
        <w:t>[18]</w:t>
      </w:r>
      <w:r w:rsidRPr="00A802D5">
        <w:t>. The microstructural features of grains and pores can be observed in the synthesized SEM micrographs. However, the grain boundaries and 3D configuration of the grains were still unclear. The regenerated microstructures had larger apparent average particle size than the real SEM. These defects might originate from the weight-clipping technique used in the RCWGAN. Finally, we replaced weight clipping with gradient penalty and developed an RCWGAN-GP algorithm for our simulation and prediction.</w:t>
      </w:r>
    </w:p>
    <w:p w14:paraId="76B5C446" w14:textId="33AE14FA" w:rsidR="00A94CF7" w:rsidRDefault="00A94CF7" w:rsidP="0079079E">
      <w:pPr>
        <w:pStyle w:val="Heading2"/>
        <w:numPr>
          <w:ilvl w:val="1"/>
          <w:numId w:val="2"/>
        </w:numPr>
      </w:pPr>
      <w:r w:rsidRPr="00A802D5">
        <w:t>Architecture of RCWGAN-GP, RCWGAN-GP-W</w:t>
      </w:r>
    </w:p>
    <w:p w14:paraId="3637A1E6" w14:textId="77777777" w:rsidR="00A94CF7" w:rsidRPr="00A802D5" w:rsidRDefault="00A94CF7" w:rsidP="0079079E">
      <w:r>
        <w:t xml:space="preserve">Residual blocks are the foundation of our generator and discriminator. These blocks take in an input, pass it through convolutional, normalization, and </w:t>
      </w:r>
      <w:proofErr w:type="spellStart"/>
      <w:r>
        <w:t>LeakyReLU</w:t>
      </w:r>
      <w:proofErr w:type="spellEnd"/>
      <w:r>
        <w:t xml:space="preserve"> layers. The </w:t>
      </w:r>
      <w:proofErr w:type="spellStart"/>
      <w:r w:rsidRPr="00A802D5">
        <w:t>LeakyReLU</w:t>
      </w:r>
      <w:proofErr w:type="spellEnd"/>
      <w:r>
        <w:t xml:space="preserve"> function is </w:t>
      </w:r>
      <w:r w:rsidRPr="00A802D5">
        <w:t>defined as:</w:t>
      </w:r>
    </w:p>
    <w:p w14:paraId="0F4AC0C3" w14:textId="50916182" w:rsidR="00A94CF7" w:rsidRDefault="00A94CF7" w:rsidP="0079079E">
      <w:pPr>
        <w:pStyle w:val="Legend"/>
        <w:spacing w:line="480" w:lineRule="auto"/>
        <w:jc w:val="right"/>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r>
                  <w:rPr>
                    <w:rFonts w:ascii="Cambria Math" w:hAnsi="Cambria Math"/>
                  </w:rPr>
                  <m:t>αx,x</m:t>
                </m:r>
              </m:e>
            </m:d>
          </m:e>
        </m:func>
      </m:oMath>
      <w:r w:rsidRPr="00A802D5">
        <w:tab/>
      </w:r>
      <w:r w:rsidRPr="00A802D5">
        <w:tab/>
      </w:r>
      <w:r w:rsidRPr="00A802D5">
        <w:tab/>
      </w:r>
      <w:r w:rsidRPr="00A802D5">
        <w:tab/>
      </w:r>
      <w:r w:rsidRPr="00A802D5">
        <w:tab/>
        <w:t>(</w:t>
      </w:r>
      <w:r w:rsidR="0079079E">
        <w:t>11</w:t>
      </w:r>
      <w:r w:rsidRPr="00A802D5">
        <w:t>)</w:t>
      </w:r>
    </w:p>
    <w:p w14:paraId="41D1A1E7" w14:textId="77777777" w:rsidR="00A94CF7" w:rsidRPr="00A802D5" w:rsidRDefault="00A94CF7" w:rsidP="0079079E">
      <w:pPr>
        <w:ind w:firstLine="0"/>
      </w:pPr>
      <w:r>
        <w:t xml:space="preserve">where </w:t>
      </w:r>
      <m:oMath>
        <m:r>
          <w:rPr>
            <w:rFonts w:ascii="Cambria Math" w:hAnsi="Cambria Math"/>
          </w:rPr>
          <m:t>α</m:t>
        </m:r>
      </m:oMath>
      <w:r>
        <w:t xml:space="preserve"> was set to be 0.2.</w:t>
      </w:r>
    </w:p>
    <w:p w14:paraId="223CE313" w14:textId="5777C55A" w:rsidR="00A94CF7" w:rsidRDefault="00A94CF7" w:rsidP="0079079E">
      <w:r>
        <w:t xml:space="preserve">Finally, residual blocks add the input to the processed layers and return the combined output. This preserves the input and preserves information in a large network. The architecture of the residual block can be seen in </w:t>
      </w:r>
      <w:r>
        <w:rPr>
          <w:b/>
          <w:bCs/>
        </w:rPr>
        <w:t xml:space="preserve">Figure </w:t>
      </w:r>
      <w:r w:rsidR="0079079E">
        <w:rPr>
          <w:b/>
          <w:bCs/>
        </w:rPr>
        <w:t>S1</w:t>
      </w:r>
      <w:r>
        <w:t>.</w:t>
      </w:r>
    </w:p>
    <w:p w14:paraId="14E026AC" w14:textId="77777777" w:rsidR="00A94CF7" w:rsidRDefault="00A94CF7" w:rsidP="00A94CF7">
      <w:pPr>
        <w:pStyle w:val="Legend"/>
        <w:spacing w:line="480" w:lineRule="auto"/>
        <w:ind w:firstLine="0"/>
        <w:jc w:val="center"/>
      </w:pPr>
      <w:r w:rsidRPr="003B2F3F">
        <w:rPr>
          <w:noProof/>
        </w:rPr>
        <w:drawing>
          <wp:inline distT="0" distB="0" distL="0" distR="0" wp14:anchorId="4513D67D" wp14:editId="25184264">
            <wp:extent cx="5943600" cy="2773045"/>
            <wp:effectExtent l="0" t="0" r="0" b="8255"/>
            <wp:docPr id="684049635"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49635" name="Picture 1" descr="A diagram of a computer&#10;&#10;AI-generated content may be incorrect."/>
                    <pic:cNvPicPr/>
                  </pic:nvPicPr>
                  <pic:blipFill>
                    <a:blip r:embed="rId7"/>
                    <a:stretch>
                      <a:fillRect/>
                    </a:stretch>
                  </pic:blipFill>
                  <pic:spPr>
                    <a:xfrm>
                      <a:off x="0" y="0"/>
                      <a:ext cx="5943600" cy="2773045"/>
                    </a:xfrm>
                    <a:prstGeom prst="rect">
                      <a:avLst/>
                    </a:prstGeom>
                  </pic:spPr>
                </pic:pic>
              </a:graphicData>
            </a:graphic>
          </wp:inline>
        </w:drawing>
      </w:r>
    </w:p>
    <w:p w14:paraId="763854FF" w14:textId="028F1162" w:rsidR="00A94CF7" w:rsidRPr="00A802D5" w:rsidRDefault="00A94CF7" w:rsidP="00A94CF7">
      <w:pPr>
        <w:pStyle w:val="Legend"/>
        <w:spacing w:line="480" w:lineRule="auto"/>
        <w:ind w:firstLine="0"/>
        <w:jc w:val="left"/>
        <w:rPr>
          <w:i/>
          <w:iCs/>
        </w:rPr>
      </w:pPr>
      <w:r w:rsidRPr="00A802D5">
        <w:rPr>
          <w:b/>
          <w:i/>
          <w:iCs/>
        </w:rPr>
        <w:lastRenderedPageBreak/>
        <w:t xml:space="preserve">Figure </w:t>
      </w:r>
      <w:r w:rsidR="0079079E">
        <w:rPr>
          <w:b/>
          <w:i/>
          <w:iCs/>
        </w:rPr>
        <w:t>S1</w:t>
      </w:r>
      <w:r w:rsidRPr="00A802D5">
        <w:rPr>
          <w:b/>
          <w:i/>
          <w:iCs/>
        </w:rPr>
        <w:t>.</w:t>
      </w:r>
      <w:r w:rsidRPr="00A802D5">
        <w:rPr>
          <w:i/>
          <w:iCs/>
        </w:rPr>
        <w:t xml:space="preserve"> </w:t>
      </w:r>
      <w:r>
        <w:rPr>
          <w:i/>
          <w:iCs/>
        </w:rPr>
        <w:t>The architecture of a residual block in an RCWGAN-GP. The input is reinforced by being added to the output. This prevents “memory loss” in large networks.</w:t>
      </w:r>
    </w:p>
    <w:p w14:paraId="6A21A389" w14:textId="77777777" w:rsidR="00A94CF7" w:rsidRDefault="00A94CF7" w:rsidP="00A94CF7">
      <w:pPr>
        <w:pStyle w:val="Legend"/>
        <w:spacing w:line="480" w:lineRule="auto"/>
        <w:ind w:firstLine="0"/>
        <w:jc w:val="left"/>
      </w:pPr>
    </w:p>
    <w:p w14:paraId="278BA400" w14:textId="26F418E5" w:rsidR="00A94CF7" w:rsidRDefault="00A94CF7" w:rsidP="0079079E">
      <w:r>
        <w:t xml:space="preserve">The architecture of the generator in our RCWGAN-GP algorithm is shown in </w:t>
      </w:r>
      <w:r w:rsidRPr="0079079E">
        <w:rPr>
          <w:b/>
          <w:bCs/>
          <w:i/>
          <w:iCs/>
        </w:rPr>
        <w:t xml:space="preserve">Figure </w:t>
      </w:r>
      <w:r w:rsidR="0079079E" w:rsidRPr="0079079E">
        <w:rPr>
          <w:b/>
          <w:bCs/>
          <w:i/>
          <w:iCs/>
        </w:rPr>
        <w:t>S2</w:t>
      </w:r>
      <w:r>
        <w:t xml:space="preserve">. </w:t>
      </w:r>
      <w:r w:rsidRPr="00A802D5">
        <w:t>The generator</w:t>
      </w:r>
      <w:r>
        <w:t xml:space="preserve"> first processes</w:t>
      </w:r>
      <w:r w:rsidRPr="00A802D5">
        <w:t xml:space="preserve"> </w:t>
      </w:r>
      <w:r>
        <w:t>three</w:t>
      </w:r>
      <w:r w:rsidRPr="00A802D5">
        <w:t xml:space="preserve"> inputs</w:t>
      </w:r>
      <w:r>
        <w:t xml:space="preserve"> </w:t>
      </w:r>
      <w:r w:rsidRPr="0030186B">
        <w:rPr>
          <w:b/>
          <w:bCs/>
        </w:rPr>
        <w:t>(</w:t>
      </w:r>
      <w:r w:rsidRPr="0079079E">
        <w:rPr>
          <w:b/>
          <w:bCs/>
          <w:i/>
          <w:iCs/>
        </w:rPr>
        <w:t xml:space="preserve">Figure </w:t>
      </w:r>
      <w:r w:rsidR="0079079E" w:rsidRPr="0079079E">
        <w:rPr>
          <w:b/>
          <w:bCs/>
          <w:i/>
          <w:iCs/>
        </w:rPr>
        <w:t>S2</w:t>
      </w:r>
      <w:r w:rsidRPr="0079079E">
        <w:rPr>
          <w:b/>
          <w:bCs/>
          <w:i/>
          <w:iCs/>
        </w:rPr>
        <w:t>a</w:t>
      </w:r>
      <w:r w:rsidRPr="0030186B">
        <w:rPr>
          <w:b/>
          <w:bCs/>
        </w:rPr>
        <w:t>).</w:t>
      </w:r>
      <w:r w:rsidRPr="00A802D5">
        <w:t xml:space="preserve"> One was a random vector used as a seed for image generation. The other</w:t>
      </w:r>
      <w:r>
        <w:t xml:space="preserve"> two</w:t>
      </w:r>
      <w:r w:rsidRPr="00A802D5">
        <w:t xml:space="preserve"> </w:t>
      </w:r>
      <w:r>
        <w:t xml:space="preserve">were </w:t>
      </w:r>
      <w:r w:rsidRPr="00A802D5">
        <w:t>directional</w:t>
      </w:r>
      <w:r>
        <w:t xml:space="preserve"> thermal conductivities.</w:t>
      </w:r>
      <w:r w:rsidRPr="00A802D5">
        <w:t xml:space="preserve"> In the generator, the seed was expanded by a dense layer and then reshaped into </w:t>
      </w:r>
      <w:r>
        <w:t>1</w:t>
      </w:r>
      <w:r w:rsidRPr="00A802D5">
        <w:t xml:space="preserve"> × </w:t>
      </w:r>
      <w:r>
        <w:t>512</w:t>
      </w:r>
      <w:r w:rsidRPr="00A802D5">
        <w:t xml:space="preserve">. </w:t>
      </w:r>
      <w:r>
        <w:t>Each conductivity input was also expanded into 1</w:t>
      </w:r>
      <w:r w:rsidRPr="00A802D5">
        <w:t xml:space="preserve"> × </w:t>
      </w:r>
      <w:r>
        <w:t>512 layers.</w:t>
      </w:r>
      <w:r w:rsidRPr="00A802D5">
        <w:t xml:space="preserve"> Then they were concatenated together and reshaped to </w:t>
      </w:r>
      <w:r>
        <w:t>1024</w:t>
      </w:r>
      <w:r w:rsidRPr="00A802D5">
        <w:t xml:space="preserve"> × </w:t>
      </w:r>
      <w:r>
        <w:t>8</w:t>
      </w:r>
      <w:r w:rsidRPr="00A802D5">
        <w:t xml:space="preserve"> × 8</w:t>
      </w:r>
      <w:r>
        <w:t xml:space="preserve">. The simple sequential component of the generator is shown in </w:t>
      </w:r>
      <w:r w:rsidRPr="0079079E">
        <w:rPr>
          <w:b/>
          <w:bCs/>
          <w:i/>
          <w:iCs/>
        </w:rPr>
        <w:t xml:space="preserve">Figure </w:t>
      </w:r>
      <w:r w:rsidR="0079079E" w:rsidRPr="0079079E">
        <w:rPr>
          <w:b/>
          <w:bCs/>
          <w:i/>
          <w:iCs/>
        </w:rPr>
        <w:t>S2</w:t>
      </w:r>
      <w:r w:rsidRPr="0079079E">
        <w:rPr>
          <w:b/>
          <w:bCs/>
          <w:i/>
          <w:iCs/>
        </w:rPr>
        <w:t>b</w:t>
      </w:r>
      <w:r>
        <w:t xml:space="preserve">, consisting of a convolutional, normalization, and </w:t>
      </w:r>
      <w:proofErr w:type="spellStart"/>
      <w:r>
        <w:t>LeakyReLU</w:t>
      </w:r>
      <w:proofErr w:type="spellEnd"/>
      <w:r>
        <w:t xml:space="preserve"> layer, followed by 4 residual blocks. The first Conv2D layer in each sequential component resizes the image (</w:t>
      </w:r>
      <w:r w:rsidRPr="0079079E">
        <w:rPr>
          <w:i/>
          <w:iCs/>
        </w:rPr>
        <w:t>e.g.</w:t>
      </w:r>
      <w:r w:rsidR="0079079E">
        <w:t>,</w:t>
      </w:r>
      <w:r>
        <w:t xml:space="preserve"> 1024 </w:t>
      </w:r>
      <w:r w:rsidRPr="00A802D5">
        <w:t>×</w:t>
      </w:r>
      <w:r>
        <w:t xml:space="preserve"> 8 </w:t>
      </w:r>
      <w:r w:rsidRPr="00A802D5">
        <w:t>×</w:t>
      </w:r>
      <w:r>
        <w:t xml:space="preserve"> 8 to 512 </w:t>
      </w:r>
      <w:r w:rsidRPr="00A802D5">
        <w:t>×</w:t>
      </w:r>
      <w:r>
        <w:t xml:space="preserve"> 16 </w:t>
      </w:r>
      <w:r w:rsidRPr="00A802D5">
        <w:t>×</w:t>
      </w:r>
      <w:r>
        <w:t xml:space="preserve"> 16). The full generator architecture (</w:t>
      </w:r>
      <w:r w:rsidRPr="0079079E">
        <w:rPr>
          <w:b/>
          <w:bCs/>
          <w:i/>
          <w:iCs/>
        </w:rPr>
        <w:t xml:space="preserve">Figure </w:t>
      </w:r>
      <w:r w:rsidR="0079079E" w:rsidRPr="0079079E">
        <w:rPr>
          <w:b/>
          <w:bCs/>
          <w:i/>
          <w:iCs/>
        </w:rPr>
        <w:t>S2</w:t>
      </w:r>
      <w:r w:rsidRPr="0079079E">
        <w:rPr>
          <w:b/>
          <w:bCs/>
          <w:i/>
          <w:iCs/>
        </w:rPr>
        <w:t>c</w:t>
      </w:r>
      <w:r>
        <w:t xml:space="preserve">) consists of 4 sequential components, resizing the image to 64 </w:t>
      </w:r>
      <w:r w:rsidRPr="00A802D5">
        <w:t>×</w:t>
      </w:r>
      <w:r>
        <w:t xml:space="preserve"> 128 </w:t>
      </w:r>
      <w:r w:rsidRPr="00A802D5">
        <w:t>×</w:t>
      </w:r>
      <w:r>
        <w:t xml:space="preserve"> 128, a partial sequential component (32 </w:t>
      </w:r>
      <w:r w:rsidRPr="00A802D5">
        <w:t>×</w:t>
      </w:r>
      <w:r>
        <w:t xml:space="preserve"> 128 </w:t>
      </w:r>
      <w:r w:rsidRPr="00A802D5">
        <w:t>×</w:t>
      </w:r>
      <w:r>
        <w:t xml:space="preserve">128), and a final convolutional layer and a hyperbolic tangent to resize and normalize the image to 1 </w:t>
      </w:r>
      <w:r w:rsidRPr="00A802D5">
        <w:t>×</w:t>
      </w:r>
      <w:r>
        <w:t xml:space="preserve"> 128 </w:t>
      </w:r>
      <w:r w:rsidRPr="00A802D5">
        <w:t>×</w:t>
      </w:r>
      <w:r>
        <w:t xml:space="preserve"> 128 between 0 and 1, as desired.</w:t>
      </w:r>
    </w:p>
    <w:p w14:paraId="331F56B0" w14:textId="77777777" w:rsidR="00A94CF7" w:rsidRDefault="00A94CF7" w:rsidP="00A94CF7">
      <w:pPr>
        <w:pStyle w:val="Legend"/>
        <w:spacing w:line="480" w:lineRule="auto"/>
        <w:ind w:firstLine="0"/>
        <w:jc w:val="left"/>
      </w:pPr>
      <w:r w:rsidRPr="003B2F3F">
        <w:rPr>
          <w:noProof/>
        </w:rPr>
        <w:lastRenderedPageBreak/>
        <w:drawing>
          <wp:inline distT="0" distB="0" distL="0" distR="0" wp14:anchorId="2EB7CD06" wp14:editId="5C4118B9">
            <wp:extent cx="5943600" cy="3209925"/>
            <wp:effectExtent l="0" t="0" r="0" b="9525"/>
            <wp:docPr id="211395922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59226" name="Picture 1" descr="A diagram of a diagram&#10;&#10;AI-generated content may be incorrect."/>
                    <pic:cNvPicPr/>
                  </pic:nvPicPr>
                  <pic:blipFill>
                    <a:blip r:embed="rId8"/>
                    <a:stretch>
                      <a:fillRect/>
                    </a:stretch>
                  </pic:blipFill>
                  <pic:spPr>
                    <a:xfrm>
                      <a:off x="0" y="0"/>
                      <a:ext cx="5943600" cy="3209925"/>
                    </a:xfrm>
                    <a:prstGeom prst="rect">
                      <a:avLst/>
                    </a:prstGeom>
                  </pic:spPr>
                </pic:pic>
              </a:graphicData>
            </a:graphic>
          </wp:inline>
        </w:drawing>
      </w:r>
    </w:p>
    <w:p w14:paraId="544D6ABD" w14:textId="26D61DD6" w:rsidR="00A94CF7" w:rsidRPr="00A802D5" w:rsidRDefault="00A94CF7" w:rsidP="00A94CF7">
      <w:pPr>
        <w:pStyle w:val="Legend"/>
        <w:spacing w:line="480" w:lineRule="auto"/>
        <w:ind w:firstLine="0"/>
        <w:jc w:val="left"/>
        <w:rPr>
          <w:i/>
          <w:iCs/>
        </w:rPr>
      </w:pPr>
      <w:r w:rsidRPr="00A802D5">
        <w:rPr>
          <w:b/>
          <w:i/>
          <w:iCs/>
        </w:rPr>
        <w:t xml:space="preserve">Figure </w:t>
      </w:r>
      <w:r w:rsidR="0079079E">
        <w:rPr>
          <w:b/>
          <w:i/>
          <w:iCs/>
        </w:rPr>
        <w:t>S2</w:t>
      </w:r>
      <w:r w:rsidRPr="00A802D5">
        <w:rPr>
          <w:b/>
          <w:i/>
          <w:iCs/>
        </w:rPr>
        <w:t>.</w:t>
      </w:r>
      <w:r w:rsidRPr="00A802D5">
        <w:rPr>
          <w:i/>
          <w:iCs/>
        </w:rPr>
        <w:t xml:space="preserve"> </w:t>
      </w:r>
      <w:r>
        <w:rPr>
          <w:i/>
          <w:iCs/>
        </w:rPr>
        <w:t xml:space="preserve">The generator model architecture consists of input processing (a), resizing sequential blocks (b), put together into the full model (c). The processed input is slowly expanded with convolutional layers until it is a 128 </w:t>
      </w:r>
      <w:r w:rsidRPr="005D4693">
        <w:rPr>
          <w:i/>
          <w:iCs/>
        </w:rPr>
        <w:t>×</w:t>
      </w:r>
      <w:r>
        <w:rPr>
          <w:i/>
          <w:iCs/>
        </w:rPr>
        <w:t xml:space="preserve"> 128 image.</w:t>
      </w:r>
    </w:p>
    <w:p w14:paraId="3904B578" w14:textId="77777777" w:rsidR="00A94CF7" w:rsidRDefault="00A94CF7" w:rsidP="00A94CF7">
      <w:pPr>
        <w:pStyle w:val="Legend"/>
        <w:spacing w:line="480" w:lineRule="auto"/>
        <w:jc w:val="left"/>
      </w:pPr>
    </w:p>
    <w:p w14:paraId="04B28A26" w14:textId="4AE88CA0" w:rsidR="00A94CF7" w:rsidRPr="0028765C" w:rsidRDefault="00A94CF7" w:rsidP="0079079E">
      <w:r>
        <w:t>The architecture of our discriminator (</w:t>
      </w:r>
      <w:r w:rsidRPr="0079079E">
        <w:rPr>
          <w:b/>
          <w:bCs/>
          <w:i/>
          <w:iCs/>
        </w:rPr>
        <w:t xml:space="preserve">Figure </w:t>
      </w:r>
      <w:r w:rsidR="0079079E">
        <w:rPr>
          <w:b/>
          <w:bCs/>
          <w:i/>
          <w:iCs/>
        </w:rPr>
        <w:t>S</w:t>
      </w:r>
      <w:r w:rsidR="0079079E" w:rsidRPr="0079079E">
        <w:rPr>
          <w:b/>
          <w:bCs/>
          <w:i/>
          <w:iCs/>
        </w:rPr>
        <w:t>3</w:t>
      </w:r>
      <w:r>
        <w:t xml:space="preserve">) is very similar to that of the generator. The initial input processing takes in the image (1 </w:t>
      </w:r>
      <w:r w:rsidRPr="00A802D5">
        <w:t>×</w:t>
      </w:r>
      <w:r>
        <w:t xml:space="preserve"> 128 </w:t>
      </w:r>
      <w:r w:rsidRPr="00A802D5">
        <w:t>×</w:t>
      </w:r>
      <w:r>
        <w:t xml:space="preserve"> 128), and the two target thermal conductivities (</w:t>
      </w:r>
      <w:r w:rsidRPr="0079079E">
        <w:rPr>
          <w:b/>
          <w:bCs/>
          <w:i/>
          <w:iCs/>
        </w:rPr>
        <w:t xml:space="preserve">Figure </w:t>
      </w:r>
      <w:r w:rsidR="0079079E">
        <w:rPr>
          <w:b/>
          <w:bCs/>
          <w:i/>
          <w:iCs/>
        </w:rPr>
        <w:t>S</w:t>
      </w:r>
      <w:r w:rsidR="0079079E" w:rsidRPr="0079079E">
        <w:rPr>
          <w:b/>
          <w:bCs/>
          <w:i/>
          <w:iCs/>
        </w:rPr>
        <w:t>3</w:t>
      </w:r>
      <w:r w:rsidRPr="0079079E">
        <w:rPr>
          <w:b/>
          <w:bCs/>
          <w:i/>
          <w:iCs/>
        </w:rPr>
        <w:t>a</w:t>
      </w:r>
      <w:r>
        <w:t xml:space="preserve">). The image is doubled, giving a tensor of size 2 </w:t>
      </w:r>
      <w:r w:rsidRPr="00A802D5">
        <w:t>×</w:t>
      </w:r>
      <w:r>
        <w:t xml:space="preserve"> 128 </w:t>
      </w:r>
      <w:r w:rsidRPr="00A802D5">
        <w:t>×</w:t>
      </w:r>
      <w:r>
        <w:t xml:space="preserve"> 128. The two target thermal conductivities are expanded in a sequence of convolutional and </w:t>
      </w:r>
      <w:proofErr w:type="spellStart"/>
      <w:r>
        <w:t>LeakyReLU</w:t>
      </w:r>
      <w:proofErr w:type="spellEnd"/>
      <w:r>
        <w:t xml:space="preserve"> layers, followed by a hyperbolic tangent, resizing their shapes to 1 </w:t>
      </w:r>
      <w:r w:rsidRPr="00A802D5">
        <w:t>×</w:t>
      </w:r>
      <w:r>
        <w:t xml:space="preserve"> 128 </w:t>
      </w:r>
      <w:r w:rsidRPr="00A802D5">
        <w:t>×</w:t>
      </w:r>
      <w:r>
        <w:t xml:space="preserve"> 128 each. Then, the image and two conductivities are concatenated to form a tensor of size 4 </w:t>
      </w:r>
      <w:r w:rsidRPr="00A802D5">
        <w:t>×</w:t>
      </w:r>
      <w:r>
        <w:t xml:space="preserve"> 128 </w:t>
      </w:r>
      <w:r w:rsidRPr="00A802D5">
        <w:t>×</w:t>
      </w:r>
      <w:r>
        <w:t xml:space="preserve"> 128. The simple sequential block in the discriminator is </w:t>
      </w:r>
      <w:proofErr w:type="gramStart"/>
      <w:r>
        <w:t>similar to</w:t>
      </w:r>
      <w:proofErr w:type="gramEnd"/>
      <w:r>
        <w:t xml:space="preserve"> that of the generator (</w:t>
      </w:r>
      <w:r w:rsidRPr="0079079E">
        <w:rPr>
          <w:b/>
          <w:bCs/>
          <w:i/>
          <w:iCs/>
        </w:rPr>
        <w:t xml:space="preserve">Figure </w:t>
      </w:r>
      <w:r w:rsidR="0079079E">
        <w:rPr>
          <w:b/>
          <w:bCs/>
          <w:i/>
          <w:iCs/>
        </w:rPr>
        <w:t>S</w:t>
      </w:r>
      <w:r w:rsidR="0079079E" w:rsidRPr="0079079E">
        <w:rPr>
          <w:b/>
          <w:bCs/>
          <w:i/>
          <w:iCs/>
        </w:rPr>
        <w:t>3</w:t>
      </w:r>
      <w:r w:rsidRPr="0079079E">
        <w:rPr>
          <w:b/>
          <w:bCs/>
          <w:i/>
          <w:iCs/>
        </w:rPr>
        <w:t>b</w:t>
      </w:r>
      <w:r>
        <w:t xml:space="preserve">), but through downsizing the image rather than expanding it through convolutional layers (e.g. 4 </w:t>
      </w:r>
      <w:r w:rsidRPr="00A802D5">
        <w:t>×</w:t>
      </w:r>
      <w:r>
        <w:t xml:space="preserve"> 128 </w:t>
      </w:r>
      <w:r w:rsidRPr="00A802D5">
        <w:t>×</w:t>
      </w:r>
      <w:r>
        <w:t xml:space="preserve"> 128 to 32 </w:t>
      </w:r>
      <w:r w:rsidRPr="00A802D5">
        <w:t>×</w:t>
      </w:r>
      <w:r>
        <w:t xml:space="preserve"> 64 </w:t>
      </w:r>
      <w:r w:rsidRPr="00A802D5">
        <w:t>×</w:t>
      </w:r>
      <w:r>
        <w:t xml:space="preserve"> 64). The full discriminator structure is shown in </w:t>
      </w:r>
      <w:r w:rsidRPr="0079079E">
        <w:rPr>
          <w:b/>
          <w:bCs/>
          <w:i/>
          <w:iCs/>
        </w:rPr>
        <w:t xml:space="preserve">Figure </w:t>
      </w:r>
      <w:r w:rsidR="0079079E" w:rsidRPr="0079079E">
        <w:rPr>
          <w:b/>
          <w:bCs/>
          <w:i/>
          <w:iCs/>
        </w:rPr>
        <w:t>S3</w:t>
      </w:r>
      <w:r w:rsidRPr="0079079E">
        <w:rPr>
          <w:b/>
          <w:bCs/>
          <w:i/>
          <w:iCs/>
        </w:rPr>
        <w:t>c</w:t>
      </w:r>
      <w:r>
        <w:t xml:space="preserve">. The sequential blocks reduce the size to 256 </w:t>
      </w:r>
      <w:r w:rsidRPr="00A802D5">
        <w:t>×</w:t>
      </w:r>
      <w:r>
        <w:t xml:space="preserve"> 8 </w:t>
      </w:r>
      <w:r w:rsidRPr="00A802D5">
        <w:t>×</w:t>
      </w:r>
      <w:r>
        <w:t xml:space="preserve"> 8. The final convolutional layer compresses this into a 1 </w:t>
      </w:r>
      <w:r w:rsidRPr="00A802D5">
        <w:t>×</w:t>
      </w:r>
      <w:r>
        <w:t xml:space="preserve"> 1 tensor.</w:t>
      </w:r>
    </w:p>
    <w:p w14:paraId="506A8734" w14:textId="77777777" w:rsidR="00A94CF7" w:rsidRPr="00A802D5" w:rsidRDefault="00A94CF7" w:rsidP="00A94CF7">
      <w:pPr>
        <w:pStyle w:val="Legend"/>
        <w:spacing w:line="480" w:lineRule="auto"/>
        <w:ind w:firstLine="0"/>
        <w:jc w:val="center"/>
      </w:pPr>
      <w:r w:rsidRPr="007779E7">
        <w:rPr>
          <w:noProof/>
        </w:rPr>
        <w:lastRenderedPageBreak/>
        <w:drawing>
          <wp:inline distT="0" distB="0" distL="0" distR="0" wp14:anchorId="485E5E3A" wp14:editId="6751BBEC">
            <wp:extent cx="4345229" cy="3486396"/>
            <wp:effectExtent l="0" t="0" r="0" b="0"/>
            <wp:docPr id="294482803" name="Picture 1" descr="A diagram of a discriminator inpu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82803" name="Picture 1" descr="A diagram of a discriminator input process&#10;&#10;AI-generated content may be incorrect."/>
                    <pic:cNvPicPr/>
                  </pic:nvPicPr>
                  <pic:blipFill>
                    <a:blip r:embed="rId9"/>
                    <a:stretch>
                      <a:fillRect/>
                    </a:stretch>
                  </pic:blipFill>
                  <pic:spPr>
                    <a:xfrm>
                      <a:off x="0" y="0"/>
                      <a:ext cx="4350411" cy="3490554"/>
                    </a:xfrm>
                    <a:prstGeom prst="rect">
                      <a:avLst/>
                    </a:prstGeom>
                  </pic:spPr>
                </pic:pic>
              </a:graphicData>
            </a:graphic>
          </wp:inline>
        </w:drawing>
      </w:r>
    </w:p>
    <w:p w14:paraId="21D1C6F6" w14:textId="0D83B734" w:rsidR="00A94CF7" w:rsidRDefault="00A94CF7" w:rsidP="00A94CF7">
      <w:pPr>
        <w:pStyle w:val="Legend"/>
        <w:spacing w:line="480" w:lineRule="auto"/>
        <w:ind w:firstLine="0"/>
        <w:jc w:val="left"/>
        <w:rPr>
          <w:i/>
          <w:iCs/>
        </w:rPr>
      </w:pPr>
      <w:r w:rsidRPr="00A802D5">
        <w:rPr>
          <w:b/>
          <w:i/>
          <w:iCs/>
        </w:rPr>
        <w:t xml:space="preserve">Figure </w:t>
      </w:r>
      <w:r w:rsidR="0079079E">
        <w:rPr>
          <w:b/>
          <w:i/>
          <w:iCs/>
        </w:rPr>
        <w:t>S3</w:t>
      </w:r>
      <w:r w:rsidRPr="00A802D5">
        <w:rPr>
          <w:b/>
          <w:i/>
          <w:iCs/>
        </w:rPr>
        <w:t>.</w:t>
      </w:r>
      <w:r w:rsidRPr="00A802D5">
        <w:rPr>
          <w:i/>
          <w:iCs/>
        </w:rPr>
        <w:t xml:space="preserve"> </w:t>
      </w:r>
      <w:r>
        <w:rPr>
          <w:i/>
          <w:iCs/>
        </w:rPr>
        <w:t xml:space="preserve">The discriminator model architecture consists of input processing (a) and downsizing sequential blocks (b), put together into the full model (c). The processed input is slowly reduced with convolutional layers until it is a 1 </w:t>
      </w:r>
      <w:r w:rsidRPr="008E4CE6">
        <w:rPr>
          <w:i/>
          <w:iCs/>
        </w:rPr>
        <w:t>×</w:t>
      </w:r>
      <w:r>
        <w:rPr>
          <w:i/>
          <w:iCs/>
        </w:rPr>
        <w:t xml:space="preserve"> 1 output.</w:t>
      </w:r>
    </w:p>
    <w:p w14:paraId="07CA8285" w14:textId="77777777" w:rsidR="00A94CF7" w:rsidRPr="00A802D5" w:rsidRDefault="00A94CF7" w:rsidP="00A94CF7">
      <w:pPr>
        <w:pStyle w:val="Legend"/>
        <w:spacing w:line="480" w:lineRule="auto"/>
        <w:ind w:firstLine="0"/>
        <w:jc w:val="left"/>
        <w:rPr>
          <w:i/>
          <w:iCs/>
        </w:rPr>
      </w:pPr>
    </w:p>
    <w:p w14:paraId="7EFDCFCD" w14:textId="5219E253" w:rsidR="00A94CF7" w:rsidRDefault="00A94CF7" w:rsidP="0079079E">
      <w:r w:rsidRPr="00A802D5">
        <w:t xml:space="preserve">In total, the generator and discriminator in </w:t>
      </w:r>
      <w:r>
        <w:t>R</w:t>
      </w:r>
      <w:r w:rsidRPr="00A802D5">
        <w:t>CWGAN-GP owned 2,842,785 parameters and 3,323,369 parameters, respectively.</w:t>
      </w:r>
      <w:bookmarkStart w:id="0" w:name="_Hlk193296191"/>
      <w:r w:rsidRPr="00A802D5">
        <w:t xml:space="preserve"> </w:t>
      </w:r>
    </w:p>
    <w:bookmarkEnd w:id="0"/>
    <w:p w14:paraId="6A19E11C" w14:textId="77777777" w:rsidR="00A94CF7" w:rsidRPr="00A802D5" w:rsidRDefault="00A94CF7" w:rsidP="00A94CF7">
      <w:pPr>
        <w:pStyle w:val="Legend"/>
        <w:spacing w:line="480" w:lineRule="auto"/>
        <w:jc w:val="left"/>
      </w:pPr>
    </w:p>
    <w:p w14:paraId="7DDDCFE7" w14:textId="77777777" w:rsidR="00A94CF7" w:rsidRPr="00A802D5" w:rsidRDefault="00A94CF7" w:rsidP="00A94CF7">
      <w:pPr>
        <w:pStyle w:val="Heading2"/>
      </w:pPr>
      <w:r w:rsidRPr="00A802D5">
        <w:t xml:space="preserve">4.3 </w:t>
      </w:r>
      <w:r>
        <w:t>Microstructure Evaluation</w:t>
      </w:r>
    </w:p>
    <w:p w14:paraId="417DBDDD" w14:textId="77777777" w:rsidR="00A94CF7" w:rsidRDefault="00A94CF7" w:rsidP="0079079E">
      <w:r>
        <w:t xml:space="preserve">Each GAN was trained over a course of 1000 epochs. After each epoch, the model was saved and microstructures based on randomized conductivities were generated. These were evaluated through the training data simulation process using </w:t>
      </w:r>
      <w:proofErr w:type="spellStart"/>
      <w:r>
        <w:t>FEniCS</w:t>
      </w:r>
      <w:proofErr w:type="spellEnd"/>
      <w:r>
        <w:t>.  A score is given based on the average error (in the x and y direction) for the model. At the end of the training, the model that performed the best was used for further image analysis.</w:t>
      </w:r>
    </w:p>
    <w:p w14:paraId="0FE9A553" w14:textId="77777777" w:rsidR="00A94CF7" w:rsidRDefault="00A94CF7" w:rsidP="0079079E">
      <w:r>
        <w:lastRenderedPageBreak/>
        <w:t xml:space="preserve">The Python library </w:t>
      </w:r>
      <w:proofErr w:type="spellStart"/>
      <w:r>
        <w:t>skimage</w:t>
      </w:r>
      <w:proofErr w:type="spellEnd"/>
      <w:r>
        <w:t xml:space="preserve"> was used to identify regions (holes) in the microstructure. More specifically, the library offered functions that returned the number of holes, the dimensions of the hole, and the orientation of the holes. To calculate the ellipticity of a hole, we used this formula: </w:t>
      </w:r>
      <m:oMath>
        <m:r>
          <w:rPr>
            <w:rFonts w:ascii="Cambria Math" w:hAnsi="Cambria Math"/>
          </w:rPr>
          <m:t>E=</m:t>
        </m:r>
        <m:f>
          <m:fPr>
            <m:ctrlPr>
              <w:rPr>
                <w:rFonts w:ascii="Cambria Math" w:hAnsi="Cambria Math"/>
                <w:i/>
              </w:rPr>
            </m:ctrlPr>
          </m:fPr>
          <m:num>
            <m:r>
              <w:rPr>
                <w:rFonts w:ascii="Cambria Math" w:hAnsi="Cambria Math"/>
              </w:rPr>
              <m:t>1</m:t>
            </m:r>
          </m:num>
          <m:den>
            <m:r>
              <w:rPr>
                <w:rFonts w:ascii="Cambria Math" w:hAnsi="Cambria Math"/>
              </w:rPr>
              <m:t>A</m:t>
            </m:r>
          </m:den>
        </m:f>
        <m:r>
          <w:rPr>
            <w:rFonts w:ascii="Cambria Math" w:hAnsi="Cambria Math"/>
          </w:rPr>
          <m:t>(π)(</m:t>
        </m:r>
        <m:f>
          <m:fPr>
            <m:ctrlPr>
              <w:rPr>
                <w:rFonts w:ascii="Cambria Math" w:hAnsi="Cambria Math"/>
                <w:i/>
              </w:rPr>
            </m:ctrlPr>
          </m:fPr>
          <m:num>
            <m:r>
              <w:rPr>
                <w:rFonts w:ascii="Cambria Math" w:hAnsi="Cambria Math"/>
              </w:rPr>
              <m:t>a</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oMath>
      <w:r>
        <w:t xml:space="preserve"> , where E denotes the ellipticity, a and b are the major and minor axis respectively, and A represents the area of black pixels in the hole. The ellipticity of an image was the average of the ellipticities of the holes inside it.</w:t>
      </w:r>
    </w:p>
    <w:p w14:paraId="1178130F" w14:textId="77777777" w:rsidR="00A94CF7" w:rsidRDefault="00A94CF7" w:rsidP="0079079E">
      <w:r>
        <w:t>For determine the orientations of holes inside an image, we used the cv2 library in Python to find the best-fit elliptical contours around each hole, which also returns the angle of the contour. Then, we can calculate statistical measures for the list of angles for each picture, including mean and standard deviation.</w:t>
      </w:r>
    </w:p>
    <w:p w14:paraId="00F9E15A" w14:textId="77777777" w:rsidR="00821CC1" w:rsidRDefault="00821CC1"/>
    <w:sectPr w:rsidR="00821CC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34EA" w14:textId="77777777" w:rsidR="003F727D" w:rsidRDefault="003F727D" w:rsidP="00A94CF7">
      <w:pPr>
        <w:spacing w:line="240" w:lineRule="auto"/>
      </w:pPr>
      <w:r>
        <w:separator/>
      </w:r>
    </w:p>
  </w:endnote>
  <w:endnote w:type="continuationSeparator" w:id="0">
    <w:p w14:paraId="20ECC3BA" w14:textId="77777777" w:rsidR="003F727D" w:rsidRDefault="003F727D" w:rsidP="00A94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635616"/>
      <w:docPartObj>
        <w:docPartGallery w:val="Page Numbers (Bottom of Page)"/>
        <w:docPartUnique/>
      </w:docPartObj>
    </w:sdtPr>
    <w:sdtEndPr>
      <w:rPr>
        <w:noProof/>
      </w:rPr>
    </w:sdtEndPr>
    <w:sdtContent>
      <w:p w14:paraId="20F89673" w14:textId="20F1FC6C" w:rsidR="0079079E" w:rsidRDefault="007907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6D6CA" w14:textId="77777777" w:rsidR="0079079E" w:rsidRDefault="0079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F537" w14:textId="77777777" w:rsidR="003F727D" w:rsidRDefault="003F727D" w:rsidP="00A94CF7">
      <w:pPr>
        <w:spacing w:line="240" w:lineRule="auto"/>
      </w:pPr>
      <w:r>
        <w:separator/>
      </w:r>
    </w:p>
  </w:footnote>
  <w:footnote w:type="continuationSeparator" w:id="0">
    <w:p w14:paraId="3883571A" w14:textId="77777777" w:rsidR="003F727D" w:rsidRDefault="003F727D" w:rsidP="00A94C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F2E"/>
    <w:multiLevelType w:val="multilevel"/>
    <w:tmpl w:val="BA1C7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9705B9"/>
    <w:multiLevelType w:val="hybridMultilevel"/>
    <w:tmpl w:val="18B2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53151"/>
    <w:multiLevelType w:val="hybridMultilevel"/>
    <w:tmpl w:val="29C4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889030">
    <w:abstractNumId w:val="2"/>
  </w:num>
  <w:num w:numId="2" w16cid:durableId="1340237228">
    <w:abstractNumId w:val="0"/>
  </w:num>
  <w:num w:numId="3" w16cid:durableId="158938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F7"/>
    <w:rsid w:val="003F727D"/>
    <w:rsid w:val="0079079E"/>
    <w:rsid w:val="00821CC1"/>
    <w:rsid w:val="009F76F9"/>
    <w:rsid w:val="00A94CF7"/>
    <w:rsid w:val="00AC7419"/>
    <w:rsid w:val="00CD5A7D"/>
    <w:rsid w:val="00D9327F"/>
    <w:rsid w:val="00F2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D382"/>
  <w15:chartTrackingRefBased/>
  <w15:docId w15:val="{43CB551A-BADB-4E18-9C8B-145961A2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F7"/>
    <w:pPr>
      <w:spacing w:after="0" w:line="480" w:lineRule="auto"/>
      <w:ind w:firstLine="720"/>
      <w:jc w:val="both"/>
    </w:pPr>
    <w:rPr>
      <w:rFonts w:ascii="Times New Roman" w:hAnsi="Times New Roman"/>
      <w:szCs w:val="22"/>
    </w:rPr>
  </w:style>
  <w:style w:type="paragraph" w:styleId="Heading1">
    <w:name w:val="heading 1"/>
    <w:basedOn w:val="Normal"/>
    <w:next w:val="Normal"/>
    <w:link w:val="Heading1Char"/>
    <w:uiPriority w:val="9"/>
    <w:qFormat/>
    <w:rsid w:val="0079079E"/>
    <w:pPr>
      <w:keepNext/>
      <w:keepLines/>
      <w:spacing w:before="240"/>
      <w:ind w:firstLine="0"/>
      <w:jc w:val="left"/>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9079E"/>
    <w:pPr>
      <w:keepNext/>
      <w:keepLines/>
      <w:spacing w:before="120"/>
      <w:ind w:firstLine="0"/>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94CF7"/>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CF7"/>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A94CF7"/>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A94CF7"/>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A94CF7"/>
    <w:pPr>
      <w:keepNext/>
      <w:keepLines/>
      <w:spacing w:before="40" w:line="278" w:lineRule="auto"/>
      <w:ind w:firstLine="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A94CF7"/>
    <w:pPr>
      <w:keepNext/>
      <w:keepLines/>
      <w:spacing w:line="278" w:lineRule="auto"/>
      <w:ind w:firstLine="0"/>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A94CF7"/>
    <w:pPr>
      <w:keepNext/>
      <w:keepLines/>
      <w:spacing w:line="278" w:lineRule="auto"/>
      <w:ind w:firstLine="0"/>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9E"/>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9079E"/>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A9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CF7"/>
    <w:rPr>
      <w:rFonts w:eastAsiaTheme="majorEastAsia" w:cstheme="majorBidi"/>
      <w:color w:val="272727" w:themeColor="text1" w:themeTint="D8"/>
    </w:rPr>
  </w:style>
  <w:style w:type="paragraph" w:styleId="Title">
    <w:name w:val="Title"/>
    <w:basedOn w:val="Normal"/>
    <w:next w:val="Normal"/>
    <w:link w:val="TitleChar"/>
    <w:uiPriority w:val="10"/>
    <w:qFormat/>
    <w:rsid w:val="00A94CF7"/>
    <w:pPr>
      <w:spacing w:after="8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CF7"/>
    <w:pPr>
      <w:numPr>
        <w:ilvl w:val="1"/>
      </w:numPr>
      <w:spacing w:after="160" w:line="278" w:lineRule="auto"/>
      <w:ind w:firstLine="72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CF7"/>
    <w:pPr>
      <w:spacing w:before="160" w:after="160" w:line="278" w:lineRule="auto"/>
      <w:ind w:firstLine="0"/>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A94CF7"/>
    <w:rPr>
      <w:i/>
      <w:iCs/>
      <w:color w:val="404040" w:themeColor="text1" w:themeTint="BF"/>
    </w:rPr>
  </w:style>
  <w:style w:type="paragraph" w:styleId="ListParagraph">
    <w:name w:val="List Paragraph"/>
    <w:basedOn w:val="Normal"/>
    <w:uiPriority w:val="34"/>
    <w:qFormat/>
    <w:rsid w:val="00A94CF7"/>
    <w:pPr>
      <w:spacing w:after="160" w:line="278" w:lineRule="auto"/>
      <w:ind w:left="720" w:firstLine="0"/>
      <w:contextualSpacing/>
      <w:jc w:val="left"/>
    </w:pPr>
    <w:rPr>
      <w:rFonts w:asciiTheme="minorHAnsi" w:hAnsiTheme="minorHAnsi"/>
      <w:szCs w:val="24"/>
    </w:rPr>
  </w:style>
  <w:style w:type="character" w:styleId="IntenseEmphasis">
    <w:name w:val="Intense Emphasis"/>
    <w:basedOn w:val="DefaultParagraphFont"/>
    <w:uiPriority w:val="21"/>
    <w:qFormat/>
    <w:rsid w:val="00A94CF7"/>
    <w:rPr>
      <w:i/>
      <w:iCs/>
      <w:color w:val="0F4761" w:themeColor="accent1" w:themeShade="BF"/>
    </w:rPr>
  </w:style>
  <w:style w:type="paragraph" w:styleId="IntenseQuote">
    <w:name w:val="Intense Quote"/>
    <w:basedOn w:val="Normal"/>
    <w:next w:val="Normal"/>
    <w:link w:val="IntenseQuoteChar"/>
    <w:uiPriority w:val="30"/>
    <w:qFormat/>
    <w:rsid w:val="00A94CF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A94CF7"/>
    <w:rPr>
      <w:i/>
      <w:iCs/>
      <w:color w:val="0F4761" w:themeColor="accent1" w:themeShade="BF"/>
    </w:rPr>
  </w:style>
  <w:style w:type="character" w:styleId="IntenseReference">
    <w:name w:val="Intense Reference"/>
    <w:basedOn w:val="DefaultParagraphFont"/>
    <w:uiPriority w:val="32"/>
    <w:qFormat/>
    <w:rsid w:val="00A94CF7"/>
    <w:rPr>
      <w:b/>
      <w:bCs/>
      <w:smallCaps/>
      <w:color w:val="0F4761" w:themeColor="accent1" w:themeShade="BF"/>
      <w:spacing w:val="5"/>
    </w:rPr>
  </w:style>
  <w:style w:type="paragraph" w:styleId="EndnoteText">
    <w:name w:val="endnote text"/>
    <w:basedOn w:val="Normal"/>
    <w:link w:val="EndnoteTextChar"/>
    <w:uiPriority w:val="99"/>
    <w:semiHidden/>
    <w:unhideWhenUsed/>
    <w:rsid w:val="00A94CF7"/>
    <w:pPr>
      <w:spacing w:line="240" w:lineRule="auto"/>
    </w:pPr>
    <w:rPr>
      <w:sz w:val="20"/>
      <w:szCs w:val="20"/>
    </w:rPr>
  </w:style>
  <w:style w:type="character" w:customStyle="1" w:styleId="EndnoteTextChar">
    <w:name w:val="Endnote Text Char"/>
    <w:basedOn w:val="DefaultParagraphFont"/>
    <w:link w:val="EndnoteText"/>
    <w:uiPriority w:val="99"/>
    <w:semiHidden/>
    <w:rsid w:val="00A94CF7"/>
    <w:rPr>
      <w:rFonts w:ascii="Times New Roman" w:hAnsi="Times New Roman"/>
      <w:sz w:val="20"/>
      <w:szCs w:val="20"/>
    </w:rPr>
  </w:style>
  <w:style w:type="character" w:styleId="EndnoteReference">
    <w:name w:val="endnote reference"/>
    <w:basedOn w:val="DefaultParagraphFont"/>
    <w:uiPriority w:val="99"/>
    <w:semiHidden/>
    <w:unhideWhenUsed/>
    <w:rsid w:val="00A94CF7"/>
    <w:rPr>
      <w:vertAlign w:val="superscript"/>
    </w:rPr>
  </w:style>
  <w:style w:type="paragraph" w:customStyle="1" w:styleId="Legend">
    <w:name w:val="Legend"/>
    <w:basedOn w:val="Normal"/>
    <w:rsid w:val="00A94CF7"/>
    <w:pPr>
      <w:spacing w:line="360" w:lineRule="auto"/>
    </w:pPr>
    <w:rPr>
      <w:rFonts w:eastAsia="MS Mincho" w:cs="Times New Roman"/>
      <w:kern w:val="0"/>
      <w:szCs w:val="24"/>
      <w:lang w:eastAsia="ja-JP"/>
      <w14:ligatures w14:val="none"/>
    </w:rPr>
  </w:style>
  <w:style w:type="character" w:styleId="Strong">
    <w:name w:val="Strong"/>
    <w:basedOn w:val="DefaultParagraphFont"/>
    <w:uiPriority w:val="22"/>
    <w:qFormat/>
    <w:rsid w:val="00A94CF7"/>
    <w:rPr>
      <w:b/>
      <w:bCs/>
    </w:rPr>
  </w:style>
  <w:style w:type="paragraph" w:styleId="Header">
    <w:name w:val="header"/>
    <w:basedOn w:val="Normal"/>
    <w:link w:val="HeaderChar"/>
    <w:uiPriority w:val="99"/>
    <w:unhideWhenUsed/>
    <w:rsid w:val="0079079E"/>
    <w:pPr>
      <w:tabs>
        <w:tab w:val="center" w:pos="4680"/>
        <w:tab w:val="right" w:pos="9360"/>
      </w:tabs>
      <w:spacing w:line="240" w:lineRule="auto"/>
    </w:pPr>
  </w:style>
  <w:style w:type="character" w:customStyle="1" w:styleId="HeaderChar">
    <w:name w:val="Header Char"/>
    <w:basedOn w:val="DefaultParagraphFont"/>
    <w:link w:val="Header"/>
    <w:uiPriority w:val="99"/>
    <w:rsid w:val="0079079E"/>
    <w:rPr>
      <w:rFonts w:ascii="Times New Roman" w:hAnsi="Times New Roman"/>
      <w:szCs w:val="22"/>
    </w:rPr>
  </w:style>
  <w:style w:type="paragraph" w:styleId="Footer">
    <w:name w:val="footer"/>
    <w:basedOn w:val="Normal"/>
    <w:link w:val="FooterChar"/>
    <w:uiPriority w:val="99"/>
    <w:unhideWhenUsed/>
    <w:rsid w:val="0079079E"/>
    <w:pPr>
      <w:tabs>
        <w:tab w:val="center" w:pos="4680"/>
        <w:tab w:val="right" w:pos="9360"/>
      </w:tabs>
      <w:spacing w:line="240" w:lineRule="auto"/>
    </w:pPr>
  </w:style>
  <w:style w:type="character" w:customStyle="1" w:styleId="FooterChar">
    <w:name w:val="Footer Char"/>
    <w:basedOn w:val="DefaultParagraphFont"/>
    <w:link w:val="Footer"/>
    <w:uiPriority w:val="99"/>
    <w:rsid w:val="0079079E"/>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2028</Words>
  <Characters>11627</Characters>
  <Application>Microsoft Office Word</Application>
  <DocSecurity>0</DocSecurity>
  <Lines>200</Lines>
  <Paragraphs>76</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Peng</dc:creator>
  <cp:keywords/>
  <dc:description/>
  <cp:lastModifiedBy>Fei Peng</cp:lastModifiedBy>
  <cp:revision>5</cp:revision>
  <dcterms:created xsi:type="dcterms:W3CDTF">2026-01-12T00:54:00Z</dcterms:created>
  <dcterms:modified xsi:type="dcterms:W3CDTF">2026-01-12T05:00:00Z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3bc255c7-28fa-44aa-a915-829608b05a90</vt:lpwstr>
  </property>
</Properties>
</file>