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2512C" w14:textId="77777777" w:rsidR="00FF086B" w:rsidRPr="0064035A" w:rsidRDefault="00FF086B" w:rsidP="00FF086B">
      <w:pPr>
        <w:spacing w:line="480" w:lineRule="auto"/>
        <w:jc w:val="both"/>
        <w:rPr>
          <w:rFonts w:ascii="Arial" w:hAnsi="Arial" w:cs="Arial"/>
        </w:rPr>
      </w:pPr>
      <w:r w:rsidRPr="0064035A">
        <w:rPr>
          <w:rFonts w:ascii="Arial" w:hAnsi="Arial" w:cs="Arial"/>
          <w:b/>
          <w:bCs/>
        </w:rPr>
        <w:t>SUPPLEMENTAL</w:t>
      </w:r>
      <w:r>
        <w:rPr>
          <w:rFonts w:ascii="Arial" w:hAnsi="Arial" w:cs="Arial"/>
          <w:b/>
          <w:bCs/>
        </w:rPr>
        <w:t xml:space="preserve"> FIGURES AND</w:t>
      </w:r>
      <w:r w:rsidRPr="0064035A">
        <w:rPr>
          <w:rFonts w:ascii="Arial" w:hAnsi="Arial" w:cs="Arial"/>
          <w:b/>
          <w:bCs/>
        </w:rPr>
        <w:t xml:space="preserve"> LEGENDS</w:t>
      </w:r>
    </w:p>
    <w:p w14:paraId="6070D6F4" w14:textId="77777777" w:rsidR="00FF086B" w:rsidRPr="0064035A" w:rsidRDefault="00FF086B" w:rsidP="00FF086B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62F5AE6" wp14:editId="61BEDB61">
            <wp:extent cx="5935980" cy="4229100"/>
            <wp:effectExtent l="0" t="0" r="7620" b="0"/>
            <wp:docPr id="11883265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343E7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Figure S</w:t>
      </w:r>
      <w:r w:rsidRPr="0064035A">
        <w:rPr>
          <w:rFonts w:ascii="Arial" w:eastAsia="Calibri" w:hAnsi="Arial" w:cs="Arial"/>
          <w:b/>
          <w:bCs/>
        </w:rPr>
        <w:t>1: Representative computed tomography scans</w:t>
      </w:r>
      <w:r>
        <w:rPr>
          <w:rFonts w:ascii="Arial" w:eastAsia="Calibri" w:hAnsi="Arial" w:cs="Arial"/>
          <w:b/>
          <w:bCs/>
        </w:rPr>
        <w:t>.</w:t>
      </w:r>
    </w:p>
    <w:p w14:paraId="0680D907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 w:rsidRPr="0064035A">
        <w:rPr>
          <w:rFonts w:ascii="Arial" w:eastAsia="Calibri" w:hAnsi="Arial" w:cs="Arial"/>
        </w:rPr>
        <w:t xml:space="preserve">CT scans of </w:t>
      </w:r>
      <w:r>
        <w:rPr>
          <w:rFonts w:ascii="Arial" w:eastAsia="Calibri" w:hAnsi="Arial" w:cs="Arial"/>
        </w:rPr>
        <w:t xml:space="preserve">the </w:t>
      </w:r>
      <w:r w:rsidRPr="00FE3D43">
        <w:rPr>
          <w:rFonts w:ascii="Arial" w:eastAsia="Calibri" w:hAnsi="Arial" w:cs="Arial"/>
          <w:b/>
          <w:bCs/>
        </w:rPr>
        <w:t xml:space="preserve">(A) </w:t>
      </w:r>
      <w:r>
        <w:rPr>
          <w:rFonts w:ascii="Arial" w:eastAsia="Calibri" w:hAnsi="Arial" w:cs="Arial"/>
        </w:rPr>
        <w:t>control</w:t>
      </w:r>
      <w:r w:rsidRPr="0064035A">
        <w:rPr>
          <w:rFonts w:ascii="Arial" w:eastAsia="Calibri" w:hAnsi="Arial" w:cs="Arial"/>
        </w:rPr>
        <w:t xml:space="preserve"> (</w:t>
      </w:r>
      <w:r>
        <w:rPr>
          <w:rFonts w:ascii="Arial" w:eastAsia="Calibri" w:hAnsi="Arial" w:cs="Arial"/>
        </w:rPr>
        <w:t>C2, C3, and C4</w:t>
      </w:r>
      <w:r w:rsidRPr="0064035A">
        <w:rPr>
          <w:rFonts w:ascii="Arial" w:eastAsia="Calibri" w:hAnsi="Arial" w:cs="Arial"/>
        </w:rPr>
        <w:t>)</w:t>
      </w:r>
      <w:r>
        <w:rPr>
          <w:rFonts w:ascii="Arial" w:eastAsia="Calibri" w:hAnsi="Arial" w:cs="Arial"/>
        </w:rPr>
        <w:t xml:space="preserve">, </w:t>
      </w:r>
      <w:r w:rsidRPr="00FE3D43">
        <w:rPr>
          <w:rFonts w:ascii="Arial" w:eastAsia="Calibri" w:hAnsi="Arial" w:cs="Arial"/>
          <w:b/>
          <w:bCs/>
        </w:rPr>
        <w:t>(B)</w:t>
      </w:r>
      <w:r>
        <w:rPr>
          <w:rFonts w:ascii="Arial" w:eastAsia="Calibri" w:hAnsi="Arial" w:cs="Arial"/>
        </w:rPr>
        <w:t xml:space="preserve"> antibiotic (A1, A2, and A4),</w:t>
      </w:r>
      <w:r w:rsidRPr="0064035A">
        <w:rPr>
          <w:rFonts w:ascii="Arial" w:eastAsia="Calibri" w:hAnsi="Arial" w:cs="Arial"/>
        </w:rPr>
        <w:t xml:space="preserve"> and</w:t>
      </w:r>
      <w:r>
        <w:rPr>
          <w:rFonts w:ascii="Arial" w:eastAsia="Calibri" w:hAnsi="Arial" w:cs="Arial"/>
        </w:rPr>
        <w:t xml:space="preserve"> </w:t>
      </w:r>
      <w:r w:rsidRPr="00FE3D43">
        <w:rPr>
          <w:rFonts w:ascii="Arial" w:eastAsia="Calibri" w:hAnsi="Arial" w:cs="Arial"/>
          <w:b/>
          <w:bCs/>
        </w:rPr>
        <w:t>(C)</w:t>
      </w:r>
      <w:r>
        <w:rPr>
          <w:rFonts w:ascii="Arial" w:eastAsia="Calibri" w:hAnsi="Arial" w:cs="Arial"/>
        </w:rPr>
        <w:t xml:space="preserve"> Inflectra</w:t>
      </w:r>
      <w:r w:rsidRPr="0064035A">
        <w:rPr>
          <w:rFonts w:ascii="Arial" w:eastAsia="Calibri" w:hAnsi="Arial" w:cs="Arial"/>
        </w:rPr>
        <w:t xml:space="preserve"> (</w:t>
      </w:r>
      <w:r>
        <w:rPr>
          <w:rFonts w:ascii="Arial" w:eastAsia="Calibri" w:hAnsi="Arial" w:cs="Arial"/>
        </w:rPr>
        <w:t>I2,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I3, and I4</w:t>
      </w:r>
      <w:r w:rsidRPr="0064035A">
        <w:rPr>
          <w:rFonts w:ascii="Arial" w:eastAsia="Calibri" w:hAnsi="Arial" w:cs="Arial"/>
        </w:rPr>
        <w:t>)</w:t>
      </w:r>
      <w:r>
        <w:rPr>
          <w:rFonts w:ascii="Arial" w:eastAsia="Calibri" w:hAnsi="Arial" w:cs="Arial"/>
        </w:rPr>
        <w:t xml:space="preserve"> groups at</w:t>
      </w:r>
      <w:r w:rsidRPr="0064035A">
        <w:rPr>
          <w:rFonts w:ascii="Arial" w:eastAsia="Calibri" w:hAnsi="Arial" w:cs="Arial"/>
        </w:rPr>
        <w:t xml:space="preserve"> 0</w:t>
      </w:r>
      <w:r>
        <w:rPr>
          <w:rFonts w:ascii="Arial" w:eastAsia="Calibri" w:hAnsi="Arial" w:cs="Arial"/>
        </w:rPr>
        <w:t xml:space="preserve">, </w:t>
      </w:r>
      <w:r w:rsidRPr="0064035A">
        <w:rPr>
          <w:rFonts w:ascii="Arial" w:eastAsia="Calibri" w:hAnsi="Arial" w:cs="Arial"/>
        </w:rPr>
        <w:t>13</w:t>
      </w:r>
      <w:r>
        <w:rPr>
          <w:rFonts w:ascii="Arial" w:eastAsia="Calibri" w:hAnsi="Arial" w:cs="Arial"/>
        </w:rPr>
        <w:t xml:space="preserve">, 40, and </w:t>
      </w:r>
      <w:r w:rsidRPr="0064035A">
        <w:rPr>
          <w:rFonts w:ascii="Arial" w:eastAsia="Calibri" w:hAnsi="Arial" w:cs="Arial"/>
        </w:rPr>
        <w:t>180</w:t>
      </w:r>
      <w:r>
        <w:rPr>
          <w:rFonts w:ascii="Arial" w:eastAsia="Calibri" w:hAnsi="Arial" w:cs="Arial"/>
        </w:rPr>
        <w:t xml:space="preserve"> </w:t>
      </w:r>
      <w:r w:rsidRPr="0064035A">
        <w:rPr>
          <w:rFonts w:ascii="Arial" w:eastAsia="Calibri" w:hAnsi="Arial" w:cs="Arial"/>
        </w:rPr>
        <w:t xml:space="preserve">DPI. The yellow arrowheads note </w:t>
      </w:r>
      <w:r>
        <w:rPr>
          <w:rFonts w:ascii="Arial" w:eastAsia="Calibri" w:hAnsi="Arial" w:cs="Arial"/>
        </w:rPr>
        <w:t>inflammation</w:t>
      </w:r>
      <w:r w:rsidRPr="0064035A">
        <w:rPr>
          <w:rFonts w:ascii="Arial" w:eastAsia="Calibri" w:hAnsi="Arial" w:cs="Arial"/>
        </w:rPr>
        <w:t>.</w:t>
      </w:r>
      <w:r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  <w:b/>
          <w:bCs/>
        </w:rPr>
        <w:t>(D)</w:t>
      </w:r>
      <w:r>
        <w:rPr>
          <w:rFonts w:ascii="Arial" w:eastAsia="Calibri" w:hAnsi="Arial" w:cs="Arial"/>
        </w:rPr>
        <w:t xml:space="preserve"> Individual CT severity scores of I1, I2, I3, and I4 (top) and A1, A2, A3, and A4 (bottom).</w:t>
      </w:r>
    </w:p>
    <w:p w14:paraId="1812886F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noProof/>
        </w:rPr>
        <w:lastRenderedPageBreak/>
        <w:drawing>
          <wp:inline distT="0" distB="0" distL="0" distR="0" wp14:anchorId="71F3106C" wp14:editId="14C9E690">
            <wp:extent cx="5935980" cy="3886200"/>
            <wp:effectExtent l="0" t="0" r="7620" b="0"/>
            <wp:docPr id="213140278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8C838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Figure S</w:t>
      </w:r>
      <w:r w:rsidRPr="0064035A">
        <w:rPr>
          <w:rFonts w:ascii="Arial" w:eastAsia="Calibri" w:hAnsi="Arial" w:cs="Arial"/>
          <w:b/>
          <w:bCs/>
        </w:rPr>
        <w:t xml:space="preserve">2: Gross </w:t>
      </w:r>
      <w:r>
        <w:rPr>
          <w:rFonts w:ascii="Arial" w:eastAsia="Calibri" w:hAnsi="Arial" w:cs="Arial"/>
          <w:b/>
          <w:bCs/>
        </w:rPr>
        <w:t>pathology</w:t>
      </w:r>
      <w:r w:rsidRPr="0064035A">
        <w:rPr>
          <w:rFonts w:ascii="Arial" w:eastAsia="Calibri" w:hAnsi="Arial" w:cs="Arial"/>
          <w:b/>
          <w:bCs/>
        </w:rPr>
        <w:t>.</w:t>
      </w:r>
    </w:p>
    <w:p w14:paraId="5DF5C12B" w14:textId="77777777" w:rsidR="00FF086B" w:rsidRPr="008B376A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G</w:t>
      </w:r>
      <w:r w:rsidRPr="0064035A">
        <w:rPr>
          <w:rFonts w:ascii="Arial" w:eastAsia="Calibri" w:hAnsi="Arial" w:cs="Arial"/>
        </w:rPr>
        <w:t xml:space="preserve">ross pathology of lungs from </w:t>
      </w:r>
      <w:r w:rsidRPr="0064035A">
        <w:rPr>
          <w:rFonts w:ascii="Arial" w:eastAsia="Calibri" w:hAnsi="Arial" w:cs="Arial"/>
          <w:b/>
          <w:bCs/>
        </w:rPr>
        <w:t>(A)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C1-C4,</w:t>
      </w:r>
      <w:r w:rsidRPr="0064035A">
        <w:rPr>
          <w:rFonts w:ascii="Arial" w:eastAsia="Calibri" w:hAnsi="Arial" w:cs="Arial"/>
        </w:rPr>
        <w:t xml:space="preserve"> </w:t>
      </w:r>
      <w:r w:rsidRPr="0064035A">
        <w:rPr>
          <w:rFonts w:ascii="Arial" w:eastAsia="Calibri" w:hAnsi="Arial" w:cs="Arial"/>
          <w:b/>
          <w:bCs/>
        </w:rPr>
        <w:t>(B)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A1-A4</w:t>
      </w:r>
      <w:r w:rsidRPr="0064035A">
        <w:rPr>
          <w:rFonts w:ascii="Arial" w:eastAsia="Calibri" w:hAnsi="Arial" w:cs="Arial"/>
        </w:rPr>
        <w:t>,</w:t>
      </w:r>
      <w:r>
        <w:rPr>
          <w:rFonts w:ascii="Arial" w:eastAsia="Calibri" w:hAnsi="Arial" w:cs="Arial"/>
        </w:rPr>
        <w:t xml:space="preserve"> and </w:t>
      </w:r>
      <w:r>
        <w:rPr>
          <w:rFonts w:ascii="Arial" w:eastAsia="Calibri" w:hAnsi="Arial" w:cs="Arial"/>
          <w:b/>
          <w:bCs/>
        </w:rPr>
        <w:t>(C)</w:t>
      </w:r>
      <w:r>
        <w:rPr>
          <w:rFonts w:ascii="Arial" w:eastAsia="Calibri" w:hAnsi="Arial" w:cs="Arial"/>
        </w:rPr>
        <w:t xml:space="preserve"> I1-I4.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 xml:space="preserve">White boxes indicate areas of pulmonary consolidation. </w:t>
      </w:r>
    </w:p>
    <w:p w14:paraId="38006AA2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  <w:noProof/>
        </w:rPr>
      </w:pPr>
    </w:p>
    <w:p w14:paraId="0307A4CB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noProof/>
        </w:rPr>
        <w:lastRenderedPageBreak/>
        <w:drawing>
          <wp:inline distT="0" distB="0" distL="0" distR="0" wp14:anchorId="209EE85F" wp14:editId="0B4557FC">
            <wp:extent cx="3223260" cy="8061960"/>
            <wp:effectExtent l="0" t="0" r="0" b="0"/>
            <wp:docPr id="17644172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260" cy="806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9AE5A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lastRenderedPageBreak/>
        <w:t>Figure S</w:t>
      </w:r>
      <w:r w:rsidRPr="0064035A">
        <w:rPr>
          <w:rFonts w:ascii="Arial" w:eastAsia="Calibri" w:hAnsi="Arial" w:cs="Arial"/>
          <w:b/>
          <w:bCs/>
        </w:rPr>
        <w:t xml:space="preserve">3: </w:t>
      </w:r>
      <w:r>
        <w:rPr>
          <w:rFonts w:ascii="Arial" w:eastAsia="Calibri" w:hAnsi="Arial" w:cs="Arial"/>
          <w:b/>
          <w:bCs/>
        </w:rPr>
        <w:t>supplemental H&amp;E stains</w:t>
      </w:r>
      <w:r w:rsidRPr="0064035A">
        <w:rPr>
          <w:rFonts w:ascii="Arial" w:eastAsia="Calibri" w:hAnsi="Arial" w:cs="Arial"/>
          <w:b/>
          <w:bCs/>
        </w:rPr>
        <w:t>.</w:t>
      </w:r>
    </w:p>
    <w:p w14:paraId="40B28BCA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 w:rsidRPr="0064035A">
        <w:rPr>
          <w:rFonts w:ascii="Arial" w:eastAsia="Calibri" w:hAnsi="Arial" w:cs="Arial"/>
        </w:rPr>
        <w:t xml:space="preserve">Representative H&amp;E stains </w:t>
      </w:r>
      <w:r>
        <w:rPr>
          <w:rFonts w:ascii="Arial" w:eastAsia="Calibri" w:hAnsi="Arial" w:cs="Arial"/>
        </w:rPr>
        <w:t>at the indicated</w:t>
      </w:r>
      <w:r w:rsidRPr="0064035A">
        <w:rPr>
          <w:rFonts w:ascii="Arial" w:eastAsia="Calibri" w:hAnsi="Arial" w:cs="Arial"/>
        </w:rPr>
        <w:t xml:space="preserve"> magnification that were acquired for the left </w:t>
      </w:r>
      <w:r>
        <w:rPr>
          <w:rFonts w:ascii="Arial" w:eastAsia="Calibri" w:hAnsi="Arial" w:cs="Arial"/>
        </w:rPr>
        <w:t xml:space="preserve">caudal and </w:t>
      </w:r>
      <w:r w:rsidRPr="0064035A">
        <w:rPr>
          <w:rFonts w:ascii="Arial" w:eastAsia="Calibri" w:hAnsi="Arial" w:cs="Arial"/>
        </w:rPr>
        <w:t xml:space="preserve">right </w:t>
      </w:r>
      <w:r>
        <w:rPr>
          <w:rFonts w:ascii="Arial" w:eastAsia="Calibri" w:hAnsi="Arial" w:cs="Arial"/>
        </w:rPr>
        <w:t>caudal lobes of animals C2-C4, A1, A2, A4, I2-I4.</w:t>
      </w:r>
    </w:p>
    <w:p w14:paraId="1CA98DBD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  <w:noProof/>
        </w:rPr>
        <w:drawing>
          <wp:inline distT="0" distB="0" distL="0" distR="0" wp14:anchorId="7E4D1F5B" wp14:editId="3FC74D18">
            <wp:extent cx="5905500" cy="4945380"/>
            <wp:effectExtent l="0" t="0" r="0" b="7620"/>
            <wp:docPr id="171219613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494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F5ED5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Figure S4: Immune cell influx in left lung.</w:t>
      </w:r>
    </w:p>
    <w:p w14:paraId="75D5DCAE" w14:textId="77777777" w:rsidR="00FF086B" w:rsidRPr="00921A78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 w:rsidRPr="004431FE">
        <w:rPr>
          <w:rFonts w:ascii="Arial" w:eastAsia="Calibri" w:hAnsi="Arial" w:cs="Arial"/>
        </w:rPr>
        <w:t>BAL</w:t>
      </w:r>
      <w:r>
        <w:rPr>
          <w:rFonts w:ascii="Arial" w:eastAsia="Calibri" w:hAnsi="Arial" w:cs="Arial"/>
        </w:rPr>
        <w:t>F</w:t>
      </w:r>
      <w:r w:rsidRPr="004431FE">
        <w:rPr>
          <w:rFonts w:ascii="Arial" w:eastAsia="Calibri" w:hAnsi="Arial" w:cs="Arial"/>
        </w:rPr>
        <w:t xml:space="preserve"> samples were collected from the left lungs at </w:t>
      </w:r>
      <w:r>
        <w:rPr>
          <w:rFonts w:ascii="Arial" w:eastAsia="Calibri" w:hAnsi="Arial" w:cs="Arial"/>
        </w:rPr>
        <w:t>the indicated</w:t>
      </w:r>
      <w:r w:rsidRPr="004431FE">
        <w:rPr>
          <w:rFonts w:ascii="Arial" w:eastAsia="Calibri" w:hAnsi="Arial" w:cs="Arial"/>
        </w:rPr>
        <w:t xml:space="preserve"> DPI and flow cytometry data were acquired. The relative frequency within live cells of </w:t>
      </w:r>
      <w:r w:rsidRPr="004431FE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A</w:t>
      </w:r>
      <w:r w:rsidRPr="004431FE">
        <w:rPr>
          <w:rFonts w:ascii="Arial" w:eastAsia="Calibri" w:hAnsi="Arial" w:cs="Arial"/>
          <w:b/>
          <w:bCs/>
        </w:rPr>
        <w:t>)</w:t>
      </w:r>
      <w:r w:rsidRPr="004431FE">
        <w:rPr>
          <w:rFonts w:ascii="Arial" w:eastAsia="Calibri" w:hAnsi="Arial" w:cs="Arial"/>
        </w:rPr>
        <w:t xml:space="preserve"> alveolar macrophages</w:t>
      </w:r>
      <w:r>
        <w:rPr>
          <w:rFonts w:ascii="Arial" w:eastAsia="Calibri" w:hAnsi="Arial" w:cs="Arial"/>
        </w:rPr>
        <w:t>;</w:t>
      </w:r>
      <w:r w:rsidRPr="004431FE">
        <w:rPr>
          <w:rFonts w:ascii="Arial" w:eastAsia="Calibri" w:hAnsi="Arial" w:cs="Arial"/>
        </w:rPr>
        <w:t xml:space="preserve"> </w:t>
      </w:r>
      <w:r w:rsidRPr="004431FE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B</w:t>
      </w:r>
      <w:r w:rsidRPr="004431FE">
        <w:rPr>
          <w:rFonts w:ascii="Arial" w:eastAsia="Calibri" w:hAnsi="Arial" w:cs="Arial"/>
          <w:b/>
          <w:bCs/>
        </w:rPr>
        <w:t>)</w:t>
      </w:r>
      <w:r w:rsidRPr="004431FE">
        <w:rPr>
          <w:rFonts w:ascii="Arial" w:eastAsia="Calibri" w:hAnsi="Arial" w:cs="Arial"/>
        </w:rPr>
        <w:t xml:space="preserve"> CD4+ T-cells, </w:t>
      </w:r>
      <w:r w:rsidRPr="004431FE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C</w:t>
      </w:r>
      <w:r w:rsidRPr="004431FE">
        <w:rPr>
          <w:rFonts w:ascii="Arial" w:eastAsia="Calibri" w:hAnsi="Arial" w:cs="Arial"/>
          <w:b/>
          <w:bCs/>
        </w:rPr>
        <w:t>)</w:t>
      </w:r>
      <w:r w:rsidRPr="004431FE">
        <w:rPr>
          <w:rFonts w:ascii="Arial" w:eastAsia="Calibri" w:hAnsi="Arial" w:cs="Arial"/>
        </w:rPr>
        <w:t xml:space="preserve"> CD8+ T cells, </w:t>
      </w:r>
      <w:r w:rsidRPr="004431FE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D</w:t>
      </w:r>
      <w:r w:rsidRPr="004431FE">
        <w:rPr>
          <w:rFonts w:ascii="Arial" w:eastAsia="Calibri" w:hAnsi="Arial" w:cs="Arial"/>
          <w:b/>
          <w:bCs/>
        </w:rPr>
        <w:t xml:space="preserve">) </w:t>
      </w:r>
      <w:r w:rsidRPr="004431FE">
        <w:rPr>
          <w:rFonts w:ascii="Arial" w:eastAsia="Calibri" w:hAnsi="Arial" w:cs="Arial"/>
        </w:rPr>
        <w:t>MAH-specific IFN</w:t>
      </w:r>
      <w:r w:rsidRPr="004431FE">
        <w:rPr>
          <w:rFonts w:ascii="Arial" w:eastAsia="Symbol" w:hAnsi="Arial" w:cs="Arial"/>
        </w:rPr>
        <w:t>γ+</w:t>
      </w:r>
      <w:r>
        <w:rPr>
          <w:rFonts w:ascii="Arial" w:eastAsia="Symbol" w:hAnsi="Arial" w:cs="Arial"/>
        </w:rPr>
        <w:t xml:space="preserve"> </w:t>
      </w:r>
      <w:r w:rsidRPr="004431FE">
        <w:rPr>
          <w:rFonts w:ascii="Arial" w:eastAsia="Calibri" w:hAnsi="Arial" w:cs="Arial"/>
        </w:rPr>
        <w:t>TNF</w:t>
      </w:r>
      <w:r w:rsidRPr="004431FE">
        <w:rPr>
          <w:rFonts w:ascii="Arial" w:eastAsia="Symbol" w:hAnsi="Arial" w:cs="Arial"/>
        </w:rPr>
        <w:t>+</w:t>
      </w:r>
      <w:r w:rsidRPr="004431FE">
        <w:rPr>
          <w:rFonts w:ascii="Arial" w:eastAsia="Calibri" w:hAnsi="Arial" w:cs="Arial"/>
        </w:rPr>
        <w:t xml:space="preserve"> CD4 T-cells</w:t>
      </w:r>
      <w:r>
        <w:rPr>
          <w:rFonts w:ascii="Arial" w:eastAsia="Calibri" w:hAnsi="Arial" w:cs="Arial"/>
        </w:rPr>
        <w:t>,</w:t>
      </w:r>
      <w:r w:rsidRPr="00961EEB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and</w:t>
      </w:r>
      <w:r w:rsidRPr="004431FE">
        <w:rPr>
          <w:rFonts w:ascii="Arial" w:eastAsia="Calibri" w:hAnsi="Arial" w:cs="Arial"/>
        </w:rPr>
        <w:t xml:space="preserve"> </w:t>
      </w:r>
      <w:r w:rsidRPr="004431FE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E</w:t>
      </w:r>
      <w:r w:rsidRPr="004431FE">
        <w:rPr>
          <w:rFonts w:ascii="Arial" w:eastAsia="Calibri" w:hAnsi="Arial" w:cs="Arial"/>
          <w:b/>
          <w:bCs/>
        </w:rPr>
        <w:t>)</w:t>
      </w:r>
      <w:r w:rsidRPr="004431FE">
        <w:rPr>
          <w:rFonts w:ascii="Arial" w:eastAsia="Calibri" w:hAnsi="Arial" w:cs="Arial"/>
        </w:rPr>
        <w:t xml:space="preserve"> MAH-specific IFN</w:t>
      </w:r>
      <w:r w:rsidRPr="004431FE">
        <w:rPr>
          <w:rFonts w:ascii="Arial" w:eastAsia="Symbol" w:hAnsi="Arial" w:cs="Arial"/>
        </w:rPr>
        <w:t xml:space="preserve">γ+ </w:t>
      </w:r>
      <w:r w:rsidRPr="004431FE">
        <w:rPr>
          <w:rFonts w:ascii="Arial" w:eastAsia="Calibri" w:hAnsi="Arial" w:cs="Arial"/>
        </w:rPr>
        <w:t>TNF</w:t>
      </w:r>
      <w:r w:rsidRPr="004431FE">
        <w:rPr>
          <w:rFonts w:ascii="Arial" w:eastAsia="Symbol" w:hAnsi="Arial" w:cs="Arial"/>
        </w:rPr>
        <w:t>+</w:t>
      </w:r>
      <w:r w:rsidRPr="004431FE">
        <w:rPr>
          <w:rFonts w:ascii="Arial" w:eastAsia="Calibri" w:hAnsi="Arial" w:cs="Arial"/>
        </w:rPr>
        <w:t xml:space="preserve"> CD</w:t>
      </w:r>
      <w:r>
        <w:rPr>
          <w:rFonts w:ascii="Arial" w:eastAsia="Calibri" w:hAnsi="Arial" w:cs="Arial"/>
        </w:rPr>
        <w:t>8</w:t>
      </w:r>
      <w:r w:rsidRPr="004431FE">
        <w:rPr>
          <w:rFonts w:ascii="Arial" w:eastAsia="Calibri" w:hAnsi="Arial" w:cs="Arial"/>
        </w:rPr>
        <w:t xml:space="preserve"> T-cells.</w:t>
      </w:r>
      <w:r>
        <w:rPr>
          <w:rFonts w:ascii="Arial" w:eastAsia="Calibri" w:hAnsi="Arial" w:cs="Arial"/>
        </w:rPr>
        <w:t xml:space="preserve"> </w:t>
      </w:r>
      <w:r w:rsidRPr="004431FE">
        <w:rPr>
          <w:rFonts w:ascii="Arial" w:eastAsia="Calibri" w:hAnsi="Arial" w:cs="Arial"/>
        </w:rPr>
        <w:t>The MAH-specific CD4 and CD8 T-cell response</w:t>
      </w:r>
      <w:r>
        <w:rPr>
          <w:rFonts w:ascii="Arial" w:eastAsia="Calibri" w:hAnsi="Arial" w:cs="Arial"/>
        </w:rPr>
        <w:t xml:space="preserve"> </w:t>
      </w:r>
      <w:r w:rsidRPr="004431FE">
        <w:rPr>
          <w:rFonts w:ascii="Arial" w:eastAsia="Calibri" w:hAnsi="Arial" w:cs="Arial"/>
        </w:rPr>
        <w:t xml:space="preserve">was determined by intracellular cytokine staining following stimulation with 1 </w:t>
      </w:r>
      <w:r w:rsidRPr="004431FE">
        <w:rPr>
          <w:rFonts w:ascii="Arial" w:eastAsia="Symbol" w:hAnsi="Arial" w:cs="Arial"/>
        </w:rPr>
        <w:t>m</w:t>
      </w:r>
      <w:r w:rsidRPr="004431FE">
        <w:rPr>
          <w:rFonts w:ascii="Arial" w:eastAsia="Calibri" w:hAnsi="Arial" w:cs="Arial"/>
        </w:rPr>
        <w:t xml:space="preserve">g/mL MAH </w:t>
      </w:r>
      <w:r w:rsidRPr="004431FE">
        <w:rPr>
          <w:rFonts w:ascii="Arial" w:eastAsia="Calibri" w:hAnsi="Arial" w:cs="Arial"/>
        </w:rPr>
        <w:lastRenderedPageBreak/>
        <w:t xml:space="preserve">lysate. </w:t>
      </w:r>
      <w:r>
        <w:rPr>
          <w:rFonts w:ascii="Arial" w:eastAsia="Calibri" w:hAnsi="Arial" w:cs="Arial"/>
        </w:rPr>
        <w:t xml:space="preserve">The </w:t>
      </w:r>
      <w:r w:rsidRPr="0064035A">
        <w:rPr>
          <w:rFonts w:ascii="Arial" w:eastAsia="Calibri" w:hAnsi="Arial" w:cs="Arial"/>
        </w:rPr>
        <w:t xml:space="preserve">MAH-specific IgG </w:t>
      </w:r>
      <w:r>
        <w:rPr>
          <w:rFonts w:ascii="Arial" w:eastAsia="Calibri" w:hAnsi="Arial" w:cs="Arial"/>
        </w:rPr>
        <w:t>e</w:t>
      </w:r>
      <w:r w:rsidRPr="0064035A">
        <w:rPr>
          <w:rFonts w:ascii="Arial" w:eastAsia="Calibri" w:hAnsi="Arial" w:cs="Arial"/>
        </w:rPr>
        <w:t>nd</w:t>
      </w:r>
      <w:r>
        <w:rPr>
          <w:rFonts w:ascii="Arial" w:eastAsia="Calibri" w:hAnsi="Arial" w:cs="Arial"/>
        </w:rPr>
        <w:t>-</w:t>
      </w:r>
      <w:r w:rsidRPr="0064035A">
        <w:rPr>
          <w:rFonts w:ascii="Arial" w:eastAsia="Calibri" w:hAnsi="Arial" w:cs="Arial"/>
        </w:rPr>
        <w:t>point titer average</w:t>
      </w:r>
      <w:r>
        <w:rPr>
          <w:rFonts w:ascii="Arial" w:eastAsia="Calibri" w:hAnsi="Arial" w:cs="Arial"/>
        </w:rPr>
        <w:t xml:space="preserve">s </w:t>
      </w:r>
      <w:r w:rsidRPr="0064035A">
        <w:rPr>
          <w:rFonts w:ascii="Arial" w:eastAsia="Calibri" w:hAnsi="Arial" w:cs="Arial"/>
        </w:rPr>
        <w:t xml:space="preserve">in the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F</w:t>
      </w:r>
      <w:r w:rsidRPr="0064035A">
        <w:rPr>
          <w:rFonts w:ascii="Arial" w:eastAsia="Calibri" w:hAnsi="Arial" w:cs="Arial"/>
          <w:b/>
          <w:bCs/>
        </w:rPr>
        <w:t xml:space="preserve">) </w:t>
      </w:r>
      <w:r w:rsidRPr="0064035A">
        <w:rPr>
          <w:rFonts w:ascii="Arial" w:eastAsia="Calibri" w:hAnsi="Arial" w:cs="Arial"/>
        </w:rPr>
        <w:t xml:space="preserve">plasma and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G</w:t>
      </w:r>
      <w:r w:rsidRPr="0064035A">
        <w:rPr>
          <w:rFonts w:ascii="Arial" w:eastAsia="Calibri" w:hAnsi="Arial" w:cs="Arial"/>
          <w:b/>
          <w:bCs/>
        </w:rPr>
        <w:t xml:space="preserve">) </w:t>
      </w:r>
      <w:r w:rsidRPr="0064035A">
        <w:rPr>
          <w:rFonts w:ascii="Arial" w:eastAsia="Calibri" w:hAnsi="Arial" w:cs="Arial"/>
        </w:rPr>
        <w:t>right BAL</w:t>
      </w:r>
      <w:r>
        <w:rPr>
          <w:rFonts w:ascii="Arial" w:eastAsia="Calibri" w:hAnsi="Arial" w:cs="Arial"/>
        </w:rPr>
        <w:t>F</w:t>
      </w:r>
      <w:r w:rsidRPr="0064035A">
        <w:rPr>
          <w:rFonts w:ascii="Arial" w:eastAsia="Calibri" w:hAnsi="Arial" w:cs="Arial"/>
        </w:rPr>
        <w:t>.</w:t>
      </w:r>
      <w:r w:rsidRPr="0014527F">
        <w:rPr>
          <w:rFonts w:ascii="Arial" w:eastAsia="Calibri" w:hAnsi="Arial" w:cs="Arial"/>
        </w:rPr>
        <w:t xml:space="preserve"> </w:t>
      </w:r>
      <w:r w:rsidRPr="004431FE">
        <w:rPr>
          <w:rFonts w:ascii="Arial" w:eastAsia="Calibri" w:hAnsi="Arial" w:cs="Arial"/>
        </w:rPr>
        <w:t>The dashed line</w:t>
      </w:r>
      <w:r>
        <w:rPr>
          <w:rFonts w:ascii="Arial" w:eastAsia="Calibri" w:hAnsi="Arial" w:cs="Arial"/>
        </w:rPr>
        <w:t>s</w:t>
      </w:r>
      <w:r w:rsidRPr="004431FE">
        <w:rPr>
          <w:rFonts w:ascii="Arial" w:eastAsia="Calibri" w:hAnsi="Arial" w:cs="Arial"/>
        </w:rPr>
        <w:t xml:space="preserve"> represent the limit of detection.</w:t>
      </w:r>
      <w:r>
        <w:rPr>
          <w:rFonts w:ascii="Arial" w:eastAsia="Calibri" w:hAnsi="Arial" w:cs="Arial"/>
        </w:rPr>
        <w:t xml:space="preserve"> In all panels, the average and standard error of the mean for all animals in the group is shown. A</w:t>
      </w:r>
      <w:r w:rsidRPr="004431FE">
        <w:rPr>
          <w:rFonts w:ascii="Arial" w:eastAsia="Calibri" w:hAnsi="Arial" w:cs="Arial"/>
        </w:rPr>
        <w:t xml:space="preserve"> 2-way ANOVA analysis was performed to compare timepoints within the </w:t>
      </w:r>
      <w:r>
        <w:rPr>
          <w:rFonts w:ascii="Arial" w:eastAsia="Calibri" w:hAnsi="Arial" w:cs="Arial"/>
        </w:rPr>
        <w:t>experimental</w:t>
      </w:r>
      <w:r w:rsidRPr="004431FE">
        <w:rPr>
          <w:rFonts w:ascii="Arial" w:eastAsia="Calibri" w:hAnsi="Arial" w:cs="Arial"/>
        </w:rPr>
        <w:t xml:space="preserve"> groups to their respective </w:t>
      </w:r>
      <w:r>
        <w:rPr>
          <w:rFonts w:ascii="Arial" w:eastAsia="Calibri" w:hAnsi="Arial" w:cs="Arial"/>
        </w:rPr>
        <w:t xml:space="preserve">0 DPI </w:t>
      </w:r>
      <w:r w:rsidRPr="004431FE">
        <w:rPr>
          <w:rFonts w:ascii="Arial" w:eastAsia="Calibri" w:hAnsi="Arial" w:cs="Arial"/>
        </w:rPr>
        <w:t>baseline (</w:t>
      </w:r>
      <w:r>
        <w:rPr>
          <w:rFonts w:ascii="Arial" w:eastAsia="Calibri" w:hAnsi="Arial" w:cs="Arial"/>
        </w:rPr>
        <w:t>black, pink, or teal stars</w:t>
      </w:r>
      <w:r w:rsidRPr="004431FE">
        <w:rPr>
          <w:rFonts w:ascii="Arial" w:eastAsia="Calibri" w:hAnsi="Arial" w:cs="Arial"/>
        </w:rPr>
        <w:t xml:space="preserve">), or to compare </w:t>
      </w:r>
      <w:r>
        <w:rPr>
          <w:rFonts w:ascii="Arial" w:eastAsia="Calibri" w:hAnsi="Arial" w:cs="Arial"/>
        </w:rPr>
        <w:t>between groups at</w:t>
      </w:r>
      <w:r w:rsidRPr="004431FE">
        <w:rPr>
          <w:rFonts w:ascii="Arial" w:eastAsia="Calibri" w:hAnsi="Arial" w:cs="Arial"/>
        </w:rPr>
        <w:t xml:space="preserve"> each timepoint (</w:t>
      </w:r>
      <w:r>
        <w:rPr>
          <w:rFonts w:ascii="Arial" w:eastAsia="Calibri" w:hAnsi="Arial" w:cs="Arial"/>
        </w:rPr>
        <w:t>red, orange, and blue ampersands</w:t>
      </w:r>
      <w:r w:rsidRPr="004431FE">
        <w:rPr>
          <w:rFonts w:ascii="Arial" w:eastAsia="Calibri" w:hAnsi="Arial" w:cs="Arial"/>
        </w:rPr>
        <w:t>). *p &lt; 0.05, **p &lt; 0.01, ***p &lt; 0.001, ****p &lt; 0.0001.</w:t>
      </w:r>
      <w:r>
        <w:rPr>
          <w:rFonts w:ascii="Arial" w:eastAsia="Calibri" w:hAnsi="Arial" w:cs="Arial"/>
        </w:rPr>
        <w:t xml:space="preserve"> </w:t>
      </w:r>
    </w:p>
    <w:p w14:paraId="287FEE1B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noProof/>
        </w:rPr>
        <w:drawing>
          <wp:inline distT="0" distB="0" distL="0" distR="0" wp14:anchorId="2415C220" wp14:editId="38FC3D45">
            <wp:extent cx="5943600" cy="2407920"/>
            <wp:effectExtent l="0" t="0" r="0" b="0"/>
            <wp:docPr id="85693903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0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E550E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Figure S5</w:t>
      </w:r>
      <w:r w:rsidRPr="0064035A">
        <w:rPr>
          <w:rFonts w:ascii="Arial" w:eastAsia="Calibri" w:hAnsi="Arial" w:cs="Arial"/>
          <w:b/>
          <w:bCs/>
        </w:rPr>
        <w:t>: Microbiome profiling of the BAL</w:t>
      </w:r>
      <w:r>
        <w:rPr>
          <w:rFonts w:ascii="Arial" w:eastAsia="Calibri" w:hAnsi="Arial" w:cs="Arial"/>
          <w:b/>
          <w:bCs/>
        </w:rPr>
        <w:t>F</w:t>
      </w:r>
      <w:r w:rsidRPr="0064035A">
        <w:rPr>
          <w:rFonts w:ascii="Arial" w:eastAsia="Calibri" w:hAnsi="Arial" w:cs="Arial"/>
          <w:b/>
          <w:bCs/>
        </w:rPr>
        <w:t>.</w:t>
      </w:r>
    </w:p>
    <w:p w14:paraId="4271CC5B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 w:rsidRPr="0064035A">
        <w:rPr>
          <w:rFonts w:ascii="Arial" w:eastAsia="Calibri" w:hAnsi="Arial" w:cs="Arial"/>
          <w:b/>
          <w:bCs/>
        </w:rPr>
        <w:t xml:space="preserve">(A) </w:t>
      </w:r>
      <w:r w:rsidRPr="0064035A">
        <w:rPr>
          <w:rFonts w:ascii="Arial" w:eastAsia="Calibri" w:hAnsi="Arial" w:cs="Arial"/>
        </w:rPr>
        <w:t>The weighted principal coordinate analysis (PCoA) plot of the left and right BAL</w:t>
      </w:r>
      <w:r>
        <w:rPr>
          <w:rFonts w:ascii="Arial" w:eastAsia="Calibri" w:hAnsi="Arial" w:cs="Arial"/>
        </w:rPr>
        <w:t>F</w:t>
      </w:r>
      <w:r w:rsidRPr="0064035A">
        <w:rPr>
          <w:rFonts w:ascii="Arial" w:eastAsia="Calibri" w:hAnsi="Arial" w:cs="Arial"/>
        </w:rPr>
        <w:t>, fecal, nasal, and oral swabs at the indicated DPI.</w:t>
      </w:r>
      <w:r>
        <w:rPr>
          <w:rFonts w:ascii="Arial" w:eastAsia="Calibri" w:hAnsi="Arial" w:cs="Arial"/>
        </w:rPr>
        <w:t xml:space="preserve">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B</w:t>
      </w:r>
      <w:r w:rsidRPr="0064035A">
        <w:rPr>
          <w:rFonts w:ascii="Arial" w:eastAsia="Calibri" w:hAnsi="Arial" w:cs="Arial"/>
          <w:b/>
          <w:bCs/>
        </w:rPr>
        <w:t>)</w:t>
      </w:r>
      <w:r>
        <w:rPr>
          <w:rFonts w:ascii="Arial" w:eastAsia="Calibri" w:hAnsi="Arial" w:cs="Arial"/>
          <w:b/>
          <w:bCs/>
        </w:rPr>
        <w:t xml:space="preserve"> </w:t>
      </w:r>
      <w:r>
        <w:rPr>
          <w:rFonts w:ascii="Arial" w:eastAsia="Calibri" w:hAnsi="Arial" w:cs="Arial"/>
        </w:rPr>
        <w:t>Bar plots of the d</w:t>
      </w:r>
      <w:r w:rsidRPr="0064035A">
        <w:rPr>
          <w:rFonts w:ascii="Arial" w:eastAsia="Calibri" w:hAnsi="Arial" w:cs="Arial"/>
        </w:rPr>
        <w:t>ominant phyla in the</w:t>
      </w:r>
      <w:r>
        <w:rPr>
          <w:rFonts w:ascii="Arial" w:eastAsia="Calibri" w:hAnsi="Arial" w:cs="Arial"/>
        </w:rPr>
        <w:t xml:space="preserve"> left BALF of each experimental group.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  <w:b/>
          <w:bCs/>
        </w:rPr>
        <w:t xml:space="preserve">(C) </w:t>
      </w:r>
      <w:r>
        <w:rPr>
          <w:rFonts w:ascii="Arial" w:eastAsia="Calibri" w:hAnsi="Arial" w:cs="Arial"/>
        </w:rPr>
        <w:t>Total bacterial</w:t>
      </w:r>
      <w:r w:rsidRPr="004431FE">
        <w:rPr>
          <w:rFonts w:ascii="Arial" w:eastAsia="Calibri" w:hAnsi="Arial" w:cs="Arial"/>
        </w:rPr>
        <w:t xml:space="preserve"> load was measured in the</w:t>
      </w:r>
      <w:r>
        <w:rPr>
          <w:rFonts w:ascii="Arial" w:eastAsia="Calibri" w:hAnsi="Arial" w:cs="Arial"/>
        </w:rPr>
        <w:t xml:space="preserve"> right</w:t>
      </w:r>
      <w:r w:rsidRPr="004431FE">
        <w:rPr>
          <w:rFonts w:ascii="Arial" w:eastAsia="Calibri" w:hAnsi="Arial" w:cs="Arial"/>
        </w:rPr>
        <w:t xml:space="preserve"> BAL</w:t>
      </w:r>
      <w:r>
        <w:rPr>
          <w:rFonts w:ascii="Arial" w:eastAsia="Calibri" w:hAnsi="Arial" w:cs="Arial"/>
        </w:rPr>
        <w:t>F</w:t>
      </w:r>
      <w:r w:rsidRPr="004431FE">
        <w:rPr>
          <w:rFonts w:ascii="Arial" w:eastAsia="Calibri" w:hAnsi="Arial" w:cs="Arial"/>
        </w:rPr>
        <w:t xml:space="preserve"> via quantitative real-time PCR specific for the </w:t>
      </w:r>
      <w:r>
        <w:rPr>
          <w:rFonts w:ascii="Arial" w:eastAsia="Calibri" w:hAnsi="Arial" w:cs="Arial"/>
        </w:rPr>
        <w:t>16S rRNA gene</w:t>
      </w:r>
      <w:r w:rsidRPr="004431FE">
        <w:rPr>
          <w:rFonts w:ascii="Arial" w:eastAsia="Calibri" w:hAnsi="Arial" w:cs="Arial"/>
        </w:rPr>
        <w:t xml:space="preserve"> sequence</w:t>
      </w:r>
      <w:r>
        <w:rPr>
          <w:rFonts w:ascii="Arial" w:eastAsia="Calibri" w:hAnsi="Arial" w:cs="Arial"/>
        </w:rPr>
        <w:t xml:space="preserve">.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D</w:t>
      </w:r>
      <w:r w:rsidRPr="0064035A">
        <w:rPr>
          <w:rFonts w:ascii="Arial" w:eastAsia="Calibri" w:hAnsi="Arial" w:cs="Arial"/>
          <w:b/>
          <w:bCs/>
        </w:rPr>
        <w:t>)</w:t>
      </w:r>
      <w:r w:rsidRPr="0064035A">
        <w:rPr>
          <w:rFonts w:ascii="Arial" w:eastAsia="Calibri" w:hAnsi="Arial" w:cs="Arial"/>
        </w:rPr>
        <w:t xml:space="preserve"> Amplicon sequence variants (ASVs) </w:t>
      </w:r>
      <w:r>
        <w:rPr>
          <w:rFonts w:ascii="Arial" w:eastAsia="Calibri" w:hAnsi="Arial" w:cs="Arial"/>
        </w:rPr>
        <w:t>in the</w:t>
      </w:r>
      <w:r w:rsidRPr="0064035A">
        <w:rPr>
          <w:rFonts w:ascii="Arial" w:eastAsia="Calibri" w:hAnsi="Arial" w:cs="Arial"/>
        </w:rPr>
        <w:t xml:space="preserve"> right and left BAL</w:t>
      </w:r>
      <w:r>
        <w:rPr>
          <w:rFonts w:ascii="Arial" w:eastAsia="Calibri" w:hAnsi="Arial" w:cs="Arial"/>
        </w:rPr>
        <w:t xml:space="preserve">F. </w:t>
      </w:r>
      <w:r>
        <w:rPr>
          <w:rFonts w:ascii="Arial" w:hAnsi="Arial" w:cs="Arial"/>
        </w:rPr>
        <w:t>Two-way ANOVA statistical tests were performed to evaluate within group changes compared to 0 DPI (denoted by asterisks) and between group changes at each timepoint (denoted by ampersands).</w:t>
      </w:r>
      <w:r w:rsidRPr="004431FE">
        <w:rPr>
          <w:rFonts w:ascii="Arial" w:eastAsia="Calibri" w:hAnsi="Arial" w:cs="Arial"/>
        </w:rPr>
        <w:t xml:space="preserve"> *p &lt; 0.05, **p &lt; 0.01, ***p &lt; 0.001, ****p &lt; 0.0001.</w:t>
      </w:r>
      <w:r w:rsidRPr="0064035A">
        <w:rPr>
          <w:rFonts w:ascii="Arial" w:eastAsia="Calibri" w:hAnsi="Arial" w:cs="Arial"/>
          <w:b/>
          <w:bCs/>
        </w:rPr>
        <w:t xml:space="preserve"> </w:t>
      </w:r>
    </w:p>
    <w:p w14:paraId="22B9A9D5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noProof/>
        </w:rPr>
        <w:lastRenderedPageBreak/>
        <w:drawing>
          <wp:inline distT="0" distB="0" distL="0" distR="0" wp14:anchorId="2F190F26" wp14:editId="6F66FBF2">
            <wp:extent cx="5935980" cy="3048000"/>
            <wp:effectExtent l="0" t="0" r="7620" b="0"/>
            <wp:docPr id="74526340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52400" w14:textId="77777777" w:rsidR="00FF086B" w:rsidRPr="0064035A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Figure S6</w:t>
      </w:r>
      <w:r w:rsidRPr="0064035A">
        <w:rPr>
          <w:rFonts w:ascii="Arial" w:eastAsia="Calibri" w:hAnsi="Arial" w:cs="Arial"/>
          <w:b/>
          <w:bCs/>
        </w:rPr>
        <w:t>: Microbiome profiling of the nasal, oral, and fecal swabs.</w:t>
      </w:r>
    </w:p>
    <w:p w14:paraId="0B32E2C1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 w:rsidRPr="0064035A">
        <w:rPr>
          <w:rFonts w:ascii="Arial" w:eastAsia="Calibri" w:hAnsi="Arial" w:cs="Arial"/>
        </w:rPr>
        <w:t xml:space="preserve">Amplicon sequence variants (ASVs) and dominant phyla in the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A</w:t>
      </w:r>
      <w:r w:rsidRPr="0064035A">
        <w:rPr>
          <w:rFonts w:ascii="Arial" w:eastAsia="Calibri" w:hAnsi="Arial" w:cs="Arial"/>
          <w:b/>
          <w:bCs/>
        </w:rPr>
        <w:t>)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nasal</w:t>
      </w:r>
      <w:r w:rsidRPr="0064035A">
        <w:rPr>
          <w:rFonts w:ascii="Arial" w:eastAsia="Calibri" w:hAnsi="Arial" w:cs="Arial"/>
        </w:rPr>
        <w:t xml:space="preserve">,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B</w:t>
      </w:r>
      <w:r w:rsidRPr="0064035A">
        <w:rPr>
          <w:rFonts w:ascii="Arial" w:eastAsia="Calibri" w:hAnsi="Arial" w:cs="Arial"/>
          <w:b/>
          <w:bCs/>
        </w:rPr>
        <w:t>)</w:t>
      </w:r>
      <w:r w:rsidRPr="0064035A"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</w:rPr>
        <w:t>oral</w:t>
      </w:r>
      <w:r w:rsidRPr="0064035A">
        <w:rPr>
          <w:rFonts w:ascii="Arial" w:eastAsia="Calibri" w:hAnsi="Arial" w:cs="Arial"/>
        </w:rPr>
        <w:t xml:space="preserve">, </w:t>
      </w:r>
      <w:r w:rsidRPr="0064035A">
        <w:rPr>
          <w:rFonts w:ascii="Arial" w:eastAsia="Calibri" w:hAnsi="Arial" w:cs="Arial"/>
          <w:b/>
          <w:bCs/>
        </w:rPr>
        <w:t>(</w:t>
      </w:r>
      <w:r>
        <w:rPr>
          <w:rFonts w:ascii="Arial" w:eastAsia="Calibri" w:hAnsi="Arial" w:cs="Arial"/>
          <w:b/>
          <w:bCs/>
        </w:rPr>
        <w:t>C</w:t>
      </w:r>
      <w:r w:rsidRPr="0064035A">
        <w:rPr>
          <w:rFonts w:ascii="Arial" w:eastAsia="Calibri" w:hAnsi="Arial" w:cs="Arial"/>
          <w:b/>
          <w:bCs/>
        </w:rPr>
        <w:t>)</w:t>
      </w:r>
      <w:r w:rsidRPr="0064035A">
        <w:rPr>
          <w:rFonts w:ascii="Arial" w:eastAsia="Calibri" w:hAnsi="Arial" w:cs="Arial"/>
        </w:rPr>
        <w:t xml:space="preserve"> and </w:t>
      </w:r>
      <w:r>
        <w:rPr>
          <w:rFonts w:ascii="Arial" w:eastAsia="Calibri" w:hAnsi="Arial" w:cs="Arial"/>
        </w:rPr>
        <w:t>fecal</w:t>
      </w:r>
      <w:r w:rsidRPr="0064035A">
        <w:rPr>
          <w:rFonts w:ascii="Arial" w:eastAsia="Calibri" w:hAnsi="Arial" w:cs="Arial"/>
        </w:rPr>
        <w:t xml:space="preserve"> swabs.</w:t>
      </w:r>
    </w:p>
    <w:p w14:paraId="3A31B5EB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  <w:noProof/>
        </w:rPr>
        <w:drawing>
          <wp:inline distT="0" distB="0" distL="0" distR="0" wp14:anchorId="5CDC5644" wp14:editId="0BE66984">
            <wp:extent cx="5943600" cy="3604260"/>
            <wp:effectExtent l="0" t="0" r="0" b="0"/>
            <wp:docPr id="50449401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CCDDE" w14:textId="77777777" w:rsidR="00FF086B" w:rsidRPr="004431FE" w:rsidRDefault="00FF086B" w:rsidP="00FF086B">
      <w:pPr>
        <w:spacing w:line="480" w:lineRule="auto"/>
        <w:jc w:val="both"/>
        <w:rPr>
          <w:rFonts w:ascii="Arial" w:eastAsia="Calibri" w:hAnsi="Arial" w:cs="Arial"/>
          <w:b/>
          <w:bCs/>
        </w:rPr>
      </w:pPr>
      <w:r w:rsidRPr="004431FE">
        <w:rPr>
          <w:rFonts w:ascii="Arial" w:eastAsia="Calibri" w:hAnsi="Arial" w:cs="Arial"/>
          <w:b/>
          <w:bCs/>
        </w:rPr>
        <w:t xml:space="preserve">Figure </w:t>
      </w:r>
      <w:r>
        <w:rPr>
          <w:rFonts w:ascii="Arial" w:eastAsia="Calibri" w:hAnsi="Arial" w:cs="Arial"/>
          <w:b/>
          <w:bCs/>
        </w:rPr>
        <w:t>S7</w:t>
      </w:r>
      <w:r w:rsidRPr="004431FE">
        <w:rPr>
          <w:rFonts w:ascii="Arial" w:eastAsia="Calibri" w:hAnsi="Arial" w:cs="Arial"/>
          <w:b/>
          <w:bCs/>
        </w:rPr>
        <w:t>:</w:t>
      </w:r>
      <w:r>
        <w:rPr>
          <w:rFonts w:ascii="Arial" w:eastAsia="Calibri" w:hAnsi="Arial" w:cs="Arial"/>
        </w:rPr>
        <w:t xml:space="preserve"> </w:t>
      </w:r>
      <w:r>
        <w:rPr>
          <w:rFonts w:ascii="Arial" w:eastAsia="Calibri" w:hAnsi="Arial" w:cs="Arial"/>
          <w:b/>
          <w:bCs/>
        </w:rPr>
        <w:t>Additional lung proteomic comparisons.</w:t>
      </w:r>
    </w:p>
    <w:p w14:paraId="0C127ACB" w14:textId="77777777" w:rsidR="00FF086B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>
        <w:rPr>
          <w:rFonts w:ascii="Arial" w:hAnsi="Arial" w:cs="Arial"/>
        </w:rPr>
        <w:lastRenderedPageBreak/>
        <w:t>Differentially</w:t>
      </w:r>
      <w:r w:rsidRPr="00AE44EB">
        <w:rPr>
          <w:rFonts w:ascii="Arial" w:hAnsi="Arial" w:cs="Arial"/>
        </w:rPr>
        <w:t xml:space="preserve"> abundant </w:t>
      </w:r>
      <w:r>
        <w:rPr>
          <w:rFonts w:ascii="Arial" w:hAnsi="Arial" w:cs="Arial"/>
        </w:rPr>
        <w:t>proteins</w:t>
      </w:r>
      <w:r w:rsidRPr="00AE44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Gene Ontology (GO) </w:t>
      </w:r>
      <w:r w:rsidRPr="00AE44EB">
        <w:rPr>
          <w:rFonts w:ascii="Arial" w:hAnsi="Arial" w:cs="Arial"/>
        </w:rPr>
        <w:t>enrichment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b</w:t>
      </w:r>
      <w:r w:rsidRPr="00AE44EB">
        <w:rPr>
          <w:rFonts w:ascii="Arial" w:hAnsi="Arial" w:cs="Arial"/>
        </w:rPr>
        <w:t>ar plot</w:t>
      </w:r>
      <w:r>
        <w:rPr>
          <w:rFonts w:ascii="Arial" w:hAnsi="Arial" w:cs="Arial"/>
        </w:rPr>
        <w:t>s</w:t>
      </w:r>
      <w:r w:rsidRPr="00AE44EB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 xml:space="preserve">the left lower lung tissue of </w:t>
      </w:r>
      <w:r>
        <w:rPr>
          <w:rFonts w:ascii="Arial" w:hAnsi="Arial" w:cs="Arial"/>
          <w:b/>
          <w:bCs/>
        </w:rPr>
        <w:t>(A)</w:t>
      </w:r>
      <w:r>
        <w:rPr>
          <w:rFonts w:ascii="Arial" w:hAnsi="Arial" w:cs="Arial"/>
        </w:rPr>
        <w:t xml:space="preserve"> animal C2 compared to the right middle lobe that was near an infection site of animal I1 and </w:t>
      </w:r>
      <w:r>
        <w:rPr>
          <w:rFonts w:ascii="Arial" w:hAnsi="Arial" w:cs="Arial"/>
          <w:b/>
          <w:bCs/>
        </w:rPr>
        <w:t>(C)</w:t>
      </w:r>
      <w:r>
        <w:rPr>
          <w:rFonts w:ascii="Arial" w:hAnsi="Arial" w:cs="Arial"/>
        </w:rPr>
        <w:t xml:space="preserve"> animal C2 compared to the right middle lobe that was clear in A3</w:t>
      </w:r>
      <w:r w:rsidRPr="00AE44EB">
        <w:rPr>
          <w:rFonts w:ascii="Arial" w:hAnsi="Arial" w:cs="Arial"/>
        </w:rPr>
        <w:t>.</w:t>
      </w:r>
    </w:p>
    <w:p w14:paraId="3BFD799D" w14:textId="77777777" w:rsidR="00FF086B" w:rsidRPr="0026388D" w:rsidRDefault="00FF086B" w:rsidP="00FF086B">
      <w:pPr>
        <w:spacing w:line="480" w:lineRule="auto"/>
        <w:jc w:val="both"/>
        <w:rPr>
          <w:rFonts w:ascii="Arial" w:eastAsia="Calibri" w:hAnsi="Arial" w:cs="Arial"/>
        </w:rPr>
      </w:pPr>
      <w:r>
        <w:rPr>
          <w:rFonts w:ascii="Arial" w:hAnsi="Arial" w:cs="Arial"/>
          <w:b/>
          <w:bCs/>
        </w:rPr>
        <w:br w:type="page"/>
      </w:r>
    </w:p>
    <w:p w14:paraId="2F806E2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86B"/>
    <w:rsid w:val="00195413"/>
    <w:rsid w:val="003D0186"/>
    <w:rsid w:val="007278E4"/>
    <w:rsid w:val="00A3738C"/>
    <w:rsid w:val="00A96262"/>
    <w:rsid w:val="00BC6C35"/>
    <w:rsid w:val="00CB270D"/>
    <w:rsid w:val="00CF7583"/>
    <w:rsid w:val="00DE6AE2"/>
    <w:rsid w:val="00FF0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BACBD"/>
  <w15:chartTrackingRefBased/>
  <w15:docId w15:val="{2603B5EE-1053-4FA1-9D7C-F55B0216C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86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8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08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086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086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086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086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086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086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086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08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08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08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08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08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0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0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0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0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08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F0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086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F0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086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F0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086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F08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08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08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8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421</Words>
  <Characters>2520</Characters>
  <Application>Microsoft Office Word</Application>
  <DocSecurity>0</DocSecurity>
  <Lines>46</Lines>
  <Paragraphs>15</Paragraphs>
  <ScaleCrop>false</ScaleCrop>
  <Company>Springer Nature</Company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2026-02-04T14:18:00Z</dcterms:created>
  <dcterms:modified xsi:type="dcterms:W3CDTF">2026-02-04T14:18:00Z</dcterms:modified>
</cp:coreProperties>
</file>