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518" w:rsidRPr="00DD4B0B" w:rsidRDefault="00F63518" w:rsidP="00F63518">
      <w:pPr>
        <w:overflowPunct/>
        <w:autoSpaceDE/>
        <w:autoSpaceDN/>
        <w:adjustRightInd/>
        <w:spacing w:before="100" w:beforeAutospacing="1" w:after="100" w:afterAutospacing="1"/>
        <w:textAlignment w:val="auto"/>
        <w:rPr>
          <w:sz w:val="28"/>
          <w:szCs w:val="28"/>
          <w:lang w:eastAsia="en-IN"/>
        </w:rPr>
      </w:pPr>
      <w:bookmarkStart w:id="0" w:name="_Hlk219865748"/>
      <w:r w:rsidRPr="00DD4B0B">
        <w:rPr>
          <w:b/>
          <w:bCs/>
          <w:sz w:val="28"/>
          <w:szCs w:val="28"/>
          <w:lang w:eastAsia="en-IN"/>
        </w:rPr>
        <w:t>Beyond Taste: Unpacking Consumer Perceptions of Plant-Based Cheese Alternatives in Uruguay Through Sensory, Information, and Expectation Analysis</w:t>
      </w:r>
    </w:p>
    <w:p w:rsidR="00F63518" w:rsidRDefault="00F63518" w:rsidP="00F63518">
      <w:pPr>
        <w:pStyle w:val="paragraph"/>
        <w:spacing w:before="0" w:beforeAutospacing="0" w:after="0" w:afterAutospacing="0" w:line="480" w:lineRule="auto"/>
        <w:jc w:val="both"/>
        <w:textAlignment w:val="baseline"/>
        <w:rPr>
          <w:rStyle w:val="normaltextrun"/>
          <w:b/>
          <w:bCs/>
          <w:color w:val="000000" w:themeColor="text1"/>
          <w:lang w:val="en-US"/>
        </w:rPr>
      </w:pPr>
    </w:p>
    <w:p w:rsidR="00F63518" w:rsidRPr="00B1256E" w:rsidRDefault="00F63518" w:rsidP="00F63518">
      <w:pPr>
        <w:pStyle w:val="paragraph"/>
        <w:spacing w:before="0" w:beforeAutospacing="0" w:after="0" w:afterAutospacing="0"/>
        <w:textAlignment w:val="baseline"/>
        <w:rPr>
          <w:rFonts w:ascii="Segoe UI" w:hAnsi="Segoe UI" w:cs="Segoe UI"/>
          <w:color w:val="000000" w:themeColor="text1"/>
          <w:sz w:val="18"/>
          <w:szCs w:val="18"/>
        </w:rPr>
      </w:pPr>
      <w:r w:rsidRPr="00B1256E">
        <w:rPr>
          <w:rStyle w:val="normaltextrun"/>
          <w:color w:val="000000" w:themeColor="text1"/>
          <w:lang w:val="en-US"/>
        </w:rPr>
        <w:t>Cinu Varghese</w:t>
      </w:r>
      <w:r w:rsidRPr="00B1256E">
        <w:rPr>
          <w:rStyle w:val="normaltextrun"/>
          <w:color w:val="000000" w:themeColor="text1"/>
          <w:sz w:val="15"/>
          <w:szCs w:val="15"/>
          <w:vertAlign w:val="superscript"/>
          <w:lang w:val="es-ES"/>
        </w:rPr>
        <w:t xml:space="preserve"> 2</w:t>
      </w:r>
      <w:r>
        <w:rPr>
          <w:rStyle w:val="normaltextrun"/>
          <w:color w:val="000000" w:themeColor="text1"/>
          <w:sz w:val="15"/>
          <w:szCs w:val="15"/>
          <w:vertAlign w:val="superscript"/>
          <w:lang w:val="es-ES"/>
        </w:rPr>
        <w:t>*</w:t>
      </w:r>
      <w:r w:rsidRPr="00B1256E">
        <w:rPr>
          <w:rStyle w:val="normaltextrun"/>
          <w:color w:val="000000" w:themeColor="text1"/>
          <w:lang w:val="es-ES"/>
        </w:rPr>
        <w:t>, Celina Sosa</w:t>
      </w:r>
      <w:r w:rsidRPr="00B1256E">
        <w:rPr>
          <w:rStyle w:val="normaltextrun"/>
          <w:color w:val="000000" w:themeColor="text1"/>
          <w:sz w:val="15"/>
          <w:szCs w:val="15"/>
          <w:vertAlign w:val="superscript"/>
          <w:lang w:val="es-ES"/>
        </w:rPr>
        <w:t xml:space="preserve"> 1</w:t>
      </w:r>
      <w:r w:rsidRPr="00B1256E">
        <w:rPr>
          <w:rStyle w:val="normaltextrun"/>
          <w:color w:val="000000" w:themeColor="text1"/>
          <w:lang w:val="es-ES"/>
        </w:rPr>
        <w:t>, Julieta Maique</w:t>
      </w:r>
      <w:r w:rsidRPr="00B1256E">
        <w:rPr>
          <w:rStyle w:val="normaltextrun"/>
          <w:color w:val="000000" w:themeColor="text1"/>
          <w:sz w:val="15"/>
          <w:szCs w:val="15"/>
          <w:vertAlign w:val="superscript"/>
          <w:lang w:val="es-ES"/>
        </w:rPr>
        <w:t xml:space="preserve"> 1</w:t>
      </w:r>
      <w:r w:rsidRPr="00B1256E">
        <w:rPr>
          <w:rStyle w:val="normaltextrun"/>
          <w:color w:val="000000" w:themeColor="text1"/>
          <w:lang w:val="es-ES"/>
        </w:rPr>
        <w:t>, Ana Curutchet</w:t>
      </w:r>
      <w:r w:rsidRPr="00B1256E">
        <w:rPr>
          <w:rStyle w:val="normaltextrun"/>
          <w:color w:val="000000" w:themeColor="text1"/>
          <w:sz w:val="15"/>
          <w:szCs w:val="15"/>
          <w:vertAlign w:val="superscript"/>
          <w:lang w:val="es-ES"/>
        </w:rPr>
        <w:t>1,2</w:t>
      </w:r>
      <w:r w:rsidRPr="00B1256E">
        <w:rPr>
          <w:rStyle w:val="normaltextrun"/>
          <w:color w:val="000000" w:themeColor="text1"/>
          <w:lang w:val="es-ES"/>
        </w:rPr>
        <w:t>, Patricia Arcia</w:t>
      </w:r>
      <w:r w:rsidRPr="00B1256E">
        <w:rPr>
          <w:rStyle w:val="normaltextrun"/>
          <w:color w:val="000000" w:themeColor="text1"/>
          <w:sz w:val="15"/>
          <w:szCs w:val="15"/>
          <w:vertAlign w:val="superscript"/>
          <w:lang w:val="es-ES"/>
        </w:rPr>
        <w:t>1,2</w:t>
      </w:r>
    </w:p>
    <w:p w:rsidR="00F63518" w:rsidRPr="00B1256E" w:rsidRDefault="00F63518" w:rsidP="00F63518">
      <w:pPr>
        <w:pStyle w:val="paragraph"/>
        <w:spacing w:before="0" w:beforeAutospacing="0" w:after="0" w:afterAutospacing="0"/>
        <w:textAlignment w:val="baseline"/>
        <w:rPr>
          <w:rFonts w:ascii="Segoe UI" w:hAnsi="Segoe UI" w:cs="Segoe UI"/>
          <w:color w:val="000000" w:themeColor="text1"/>
          <w:sz w:val="18"/>
          <w:szCs w:val="18"/>
        </w:rPr>
      </w:pPr>
      <w:r w:rsidRPr="00B1256E">
        <w:rPr>
          <w:rStyle w:val="normaltextrun"/>
          <w:rFonts w:ascii="Calibri" w:hAnsi="Calibri" w:cs="Calibri"/>
          <w:color w:val="000000" w:themeColor="text1"/>
          <w:lang w:val="en-US"/>
        </w:rPr>
        <w:t> </w:t>
      </w:r>
      <w:r w:rsidRPr="00B1256E">
        <w:rPr>
          <w:rStyle w:val="normaltextrun"/>
          <w:rFonts w:ascii="Calibri" w:hAnsi="Calibri" w:cs="Calibri"/>
          <w:color w:val="000000" w:themeColor="text1"/>
        </w:rPr>
        <w:t> </w:t>
      </w:r>
      <w:r w:rsidRPr="00B1256E">
        <w:rPr>
          <w:rStyle w:val="normaltextrun"/>
          <w:rFonts w:ascii="Calibri" w:hAnsi="Calibri" w:cs="Calibri"/>
          <w:color w:val="000000" w:themeColor="text1"/>
          <w:lang w:val="es-ES"/>
        </w:rPr>
        <w:t> </w:t>
      </w:r>
      <w:r w:rsidRPr="00B1256E">
        <w:rPr>
          <w:rStyle w:val="eop"/>
          <w:rFonts w:ascii="Calibri" w:hAnsi="Calibri" w:cs="Calibri"/>
          <w:color w:val="000000" w:themeColor="text1"/>
        </w:rPr>
        <w:t> </w:t>
      </w:r>
    </w:p>
    <w:p w:rsidR="00F63518" w:rsidRPr="00B1256E" w:rsidRDefault="00F63518" w:rsidP="00F63518">
      <w:pPr>
        <w:pStyle w:val="paragraph"/>
        <w:spacing w:before="0" w:beforeAutospacing="0" w:after="0" w:afterAutospacing="0"/>
        <w:jc w:val="both"/>
        <w:textAlignment w:val="baseline"/>
        <w:rPr>
          <w:rFonts w:ascii="Segoe UI" w:hAnsi="Segoe UI" w:cs="Segoe UI"/>
          <w:color w:val="000000" w:themeColor="text1"/>
          <w:sz w:val="18"/>
          <w:szCs w:val="18"/>
        </w:rPr>
      </w:pPr>
      <w:r w:rsidRPr="00B1256E">
        <w:rPr>
          <w:rStyle w:val="normaltextrun"/>
          <w:color w:val="000000" w:themeColor="text1"/>
          <w:sz w:val="19"/>
          <w:szCs w:val="19"/>
          <w:vertAlign w:val="superscript"/>
          <w:lang w:val="en-US"/>
        </w:rPr>
        <w:t>1</w:t>
      </w:r>
      <w:r w:rsidRPr="00B1256E">
        <w:rPr>
          <w:rStyle w:val="normaltextrun"/>
          <w:color w:val="000000" w:themeColor="text1"/>
          <w:lang w:val="en-US"/>
        </w:rPr>
        <w:t xml:space="preserve"> Department of Engineering, Universidad Católica del Uruguay, Montevideo</w:t>
      </w:r>
      <w:r>
        <w:rPr>
          <w:rStyle w:val="normaltextrun"/>
          <w:color w:val="000000" w:themeColor="text1"/>
          <w:lang w:val="en-US"/>
        </w:rPr>
        <w:t xml:space="preserve"> 11600</w:t>
      </w:r>
      <w:r w:rsidRPr="00B1256E">
        <w:rPr>
          <w:rStyle w:val="normaltextrun"/>
          <w:color w:val="000000" w:themeColor="text1"/>
          <w:lang w:val="en-US"/>
        </w:rPr>
        <w:t>, Uruguay</w:t>
      </w:r>
      <w:r w:rsidRPr="00B1256E">
        <w:rPr>
          <w:rStyle w:val="normaltextrun"/>
          <w:color w:val="000000" w:themeColor="text1"/>
          <w:lang w:val="es-ES"/>
        </w:rPr>
        <w:t> </w:t>
      </w:r>
      <w:r w:rsidRPr="00B1256E">
        <w:rPr>
          <w:rStyle w:val="eop"/>
          <w:color w:val="000000" w:themeColor="text1"/>
        </w:rPr>
        <w:t> </w:t>
      </w:r>
    </w:p>
    <w:p w:rsidR="00F63518" w:rsidRDefault="00F63518" w:rsidP="00F63518">
      <w:pPr>
        <w:pStyle w:val="paragraph"/>
        <w:spacing w:before="0" w:beforeAutospacing="0" w:after="0" w:afterAutospacing="0"/>
        <w:jc w:val="both"/>
        <w:textAlignment w:val="baseline"/>
        <w:rPr>
          <w:rStyle w:val="eop"/>
          <w:color w:val="000000" w:themeColor="text1"/>
        </w:rPr>
      </w:pPr>
      <w:r w:rsidRPr="00B1256E">
        <w:rPr>
          <w:rStyle w:val="normaltextrun"/>
          <w:color w:val="000000" w:themeColor="text1"/>
          <w:sz w:val="19"/>
          <w:szCs w:val="19"/>
          <w:vertAlign w:val="superscript"/>
          <w:lang w:val="en-US"/>
        </w:rPr>
        <w:t>2</w:t>
      </w:r>
      <w:r w:rsidRPr="00B1256E">
        <w:rPr>
          <w:rStyle w:val="normaltextrun"/>
          <w:color w:val="000000" w:themeColor="text1"/>
          <w:lang w:val="en-US"/>
        </w:rPr>
        <w:t xml:space="preserve"> </w:t>
      </w:r>
      <w:r>
        <w:rPr>
          <w:rStyle w:val="normaltextrun"/>
          <w:color w:val="000000" w:themeColor="text1"/>
          <w:lang w:val="en-US"/>
        </w:rPr>
        <w:t>Latitud - Laboratorio</w:t>
      </w:r>
      <w:r w:rsidRPr="00B1256E">
        <w:rPr>
          <w:rStyle w:val="normaltextrun"/>
          <w:color w:val="000000" w:themeColor="text1"/>
          <w:lang w:val="en-US"/>
        </w:rPr>
        <w:t xml:space="preserve"> Tecnológico del Uruguay (LATU Foundation), Montevideo 11500, Uruguay</w:t>
      </w:r>
      <w:r w:rsidRPr="00B1256E">
        <w:rPr>
          <w:rStyle w:val="eop"/>
          <w:color w:val="000000" w:themeColor="text1"/>
        </w:rPr>
        <w:t> </w:t>
      </w:r>
    </w:p>
    <w:p w:rsidR="00F63518" w:rsidRPr="00B1256E" w:rsidRDefault="00F63518" w:rsidP="00F63518">
      <w:pPr>
        <w:pStyle w:val="paragraph"/>
        <w:spacing w:before="0" w:beforeAutospacing="0" w:after="0" w:afterAutospacing="0"/>
        <w:jc w:val="both"/>
        <w:textAlignment w:val="baseline"/>
        <w:rPr>
          <w:rStyle w:val="eop"/>
          <w:color w:val="000000" w:themeColor="text1"/>
        </w:rPr>
      </w:pPr>
    </w:p>
    <w:p w:rsidR="00F63518" w:rsidRDefault="00F63518" w:rsidP="00F63518">
      <w:pPr>
        <w:pStyle w:val="paragraph"/>
        <w:spacing w:before="0" w:beforeAutospacing="0" w:after="0" w:afterAutospacing="0"/>
        <w:jc w:val="both"/>
        <w:textAlignment w:val="baseline"/>
        <w:rPr>
          <w:rStyle w:val="eop"/>
          <w:color w:val="000000" w:themeColor="text1"/>
        </w:rPr>
      </w:pPr>
      <w:r w:rsidRPr="00B1256E">
        <w:rPr>
          <w:rStyle w:val="eop"/>
          <w:color w:val="000000" w:themeColor="text1"/>
          <w:vertAlign w:val="superscript"/>
        </w:rPr>
        <w:t>*</w:t>
      </w:r>
      <w:r w:rsidRPr="00B1256E">
        <w:rPr>
          <w:rStyle w:val="eop"/>
          <w:color w:val="000000" w:themeColor="text1"/>
        </w:rPr>
        <w:t xml:space="preserve"> Corresponding author: </w:t>
      </w:r>
      <w:r>
        <w:rPr>
          <w:rStyle w:val="eop"/>
          <w:color w:val="000000" w:themeColor="text1"/>
        </w:rPr>
        <w:t xml:space="preserve">Cinu Varghese, </w:t>
      </w:r>
      <w:hyperlink r:id="rId5" w:history="1">
        <w:r w:rsidRPr="003D11B5">
          <w:rPr>
            <w:rStyle w:val="Hyperlink"/>
            <w:rFonts w:eastAsiaTheme="majorEastAsia"/>
          </w:rPr>
          <w:t>getcinuvarghese@gmail.com</w:t>
        </w:r>
      </w:hyperlink>
      <w:r>
        <w:t xml:space="preserve"> , </w:t>
      </w:r>
      <w:r>
        <w:rPr>
          <w:rStyle w:val="eop"/>
          <w:color w:val="000000" w:themeColor="text1"/>
        </w:rPr>
        <w:t xml:space="preserve">                                                                 ORCID: </w:t>
      </w:r>
      <w:r w:rsidRPr="00C9187B">
        <w:rPr>
          <w:rStyle w:val="eop"/>
          <w:color w:val="000000" w:themeColor="text1"/>
        </w:rPr>
        <w:t>0000-0002-0119-3735</w:t>
      </w:r>
    </w:p>
    <w:p w:rsidR="00F63518" w:rsidRDefault="00F63518" w:rsidP="00F63518">
      <w:pPr>
        <w:pStyle w:val="paragraph"/>
        <w:spacing w:before="0" w:beforeAutospacing="0" w:after="0" w:afterAutospacing="0"/>
        <w:jc w:val="both"/>
        <w:textAlignment w:val="baseline"/>
      </w:pPr>
    </w:p>
    <w:p w:rsidR="00F63518" w:rsidRDefault="00F63518" w:rsidP="00F63518">
      <w:pPr>
        <w:pStyle w:val="paragraph"/>
        <w:spacing w:before="0" w:beforeAutospacing="0" w:after="0" w:afterAutospacing="0" w:line="480" w:lineRule="auto"/>
        <w:jc w:val="both"/>
        <w:textAlignment w:val="baseline"/>
        <w:rPr>
          <w:rStyle w:val="normaltextrun"/>
          <w:b/>
          <w:bCs/>
          <w:color w:val="000000" w:themeColor="text1"/>
          <w:lang w:val="en-US"/>
        </w:rPr>
      </w:pPr>
    </w:p>
    <w:p w:rsidR="00F63518" w:rsidRDefault="00F63518" w:rsidP="008A6941">
      <w:pPr>
        <w:spacing w:before="240" w:after="240" w:line="360" w:lineRule="auto"/>
        <w:jc w:val="both"/>
        <w:rPr>
          <w:b/>
          <w:color w:val="000000" w:themeColor="text1"/>
          <w:sz w:val="28"/>
          <w:szCs w:val="28"/>
          <w:lang w:val="en-IN" w:eastAsia="en-IN"/>
        </w:rPr>
      </w:pPr>
    </w:p>
    <w:p w:rsidR="00F63518" w:rsidRDefault="00F63518" w:rsidP="008A6941">
      <w:pPr>
        <w:spacing w:before="240" w:after="240" w:line="360" w:lineRule="auto"/>
        <w:jc w:val="both"/>
        <w:rPr>
          <w:b/>
          <w:color w:val="000000" w:themeColor="text1"/>
          <w:sz w:val="28"/>
          <w:szCs w:val="28"/>
          <w:lang w:val="en-IN" w:eastAsia="en-IN"/>
        </w:rPr>
      </w:pPr>
    </w:p>
    <w:p w:rsidR="00F63518" w:rsidRDefault="00F63518" w:rsidP="008A6941">
      <w:pPr>
        <w:spacing w:before="240" w:after="240" w:line="360" w:lineRule="auto"/>
        <w:jc w:val="both"/>
        <w:rPr>
          <w:b/>
          <w:color w:val="000000" w:themeColor="text1"/>
          <w:sz w:val="28"/>
          <w:szCs w:val="28"/>
          <w:lang w:val="en-IN" w:eastAsia="en-IN"/>
        </w:rPr>
      </w:pPr>
    </w:p>
    <w:p w:rsidR="00F63518" w:rsidRDefault="00F63518" w:rsidP="008A6941">
      <w:pPr>
        <w:spacing w:before="240" w:after="240" w:line="360" w:lineRule="auto"/>
        <w:jc w:val="both"/>
        <w:rPr>
          <w:b/>
          <w:color w:val="000000" w:themeColor="text1"/>
          <w:sz w:val="28"/>
          <w:szCs w:val="28"/>
          <w:lang w:val="en-IN" w:eastAsia="en-IN"/>
        </w:rPr>
      </w:pPr>
    </w:p>
    <w:p w:rsidR="00F63518" w:rsidRDefault="00F63518" w:rsidP="008A6941">
      <w:pPr>
        <w:spacing w:before="240" w:after="240" w:line="360" w:lineRule="auto"/>
        <w:jc w:val="both"/>
        <w:rPr>
          <w:b/>
          <w:color w:val="000000" w:themeColor="text1"/>
          <w:sz w:val="28"/>
          <w:szCs w:val="28"/>
          <w:lang w:val="en-IN" w:eastAsia="en-IN"/>
        </w:rPr>
      </w:pPr>
    </w:p>
    <w:p w:rsidR="00F63518" w:rsidRDefault="00F63518" w:rsidP="008A6941">
      <w:pPr>
        <w:spacing w:before="240" w:after="240" w:line="360" w:lineRule="auto"/>
        <w:jc w:val="both"/>
        <w:rPr>
          <w:b/>
          <w:color w:val="000000" w:themeColor="text1"/>
          <w:sz w:val="28"/>
          <w:szCs w:val="28"/>
          <w:lang w:val="en-IN" w:eastAsia="en-IN"/>
        </w:rPr>
      </w:pPr>
    </w:p>
    <w:p w:rsidR="00F63518" w:rsidRDefault="00F63518" w:rsidP="008A6941">
      <w:pPr>
        <w:spacing w:before="240" w:after="240" w:line="360" w:lineRule="auto"/>
        <w:jc w:val="both"/>
        <w:rPr>
          <w:b/>
          <w:color w:val="000000" w:themeColor="text1"/>
          <w:sz w:val="28"/>
          <w:szCs w:val="28"/>
          <w:lang w:val="en-IN" w:eastAsia="en-IN"/>
        </w:rPr>
      </w:pPr>
    </w:p>
    <w:p w:rsidR="00F63518" w:rsidRDefault="00F63518" w:rsidP="008A6941">
      <w:pPr>
        <w:spacing w:before="240" w:after="240" w:line="360" w:lineRule="auto"/>
        <w:jc w:val="both"/>
        <w:rPr>
          <w:b/>
          <w:color w:val="000000" w:themeColor="text1"/>
          <w:sz w:val="28"/>
          <w:szCs w:val="28"/>
          <w:lang w:val="en-IN" w:eastAsia="en-IN"/>
        </w:rPr>
      </w:pPr>
    </w:p>
    <w:p w:rsidR="00F63518" w:rsidRDefault="00F63518" w:rsidP="008A6941">
      <w:pPr>
        <w:spacing w:before="240" w:after="240" w:line="360" w:lineRule="auto"/>
        <w:jc w:val="both"/>
        <w:rPr>
          <w:b/>
          <w:color w:val="000000" w:themeColor="text1"/>
          <w:sz w:val="28"/>
          <w:szCs w:val="28"/>
          <w:lang w:val="en-IN" w:eastAsia="en-IN"/>
        </w:rPr>
      </w:pPr>
    </w:p>
    <w:p w:rsidR="00F63518" w:rsidRDefault="00F63518" w:rsidP="008A6941">
      <w:pPr>
        <w:spacing w:before="240" w:after="240" w:line="360" w:lineRule="auto"/>
        <w:jc w:val="both"/>
        <w:rPr>
          <w:b/>
          <w:color w:val="000000" w:themeColor="text1"/>
          <w:sz w:val="28"/>
          <w:szCs w:val="28"/>
          <w:lang w:val="en-IN" w:eastAsia="en-IN"/>
        </w:rPr>
      </w:pPr>
    </w:p>
    <w:p w:rsidR="00F63518" w:rsidRDefault="00F63518" w:rsidP="008A6941">
      <w:pPr>
        <w:spacing w:before="240" w:after="240" w:line="360" w:lineRule="auto"/>
        <w:jc w:val="both"/>
        <w:rPr>
          <w:b/>
          <w:color w:val="000000" w:themeColor="text1"/>
          <w:sz w:val="28"/>
          <w:szCs w:val="28"/>
          <w:lang w:val="en-IN" w:eastAsia="en-IN"/>
        </w:rPr>
      </w:pPr>
    </w:p>
    <w:p w:rsidR="00F63518" w:rsidRDefault="00F63518" w:rsidP="008A6941">
      <w:pPr>
        <w:spacing w:before="240" w:after="240" w:line="360" w:lineRule="auto"/>
        <w:jc w:val="both"/>
        <w:rPr>
          <w:b/>
          <w:color w:val="000000" w:themeColor="text1"/>
          <w:sz w:val="28"/>
          <w:szCs w:val="28"/>
          <w:lang w:val="en-IN" w:eastAsia="en-IN"/>
        </w:rPr>
      </w:pPr>
    </w:p>
    <w:p w:rsidR="008A6941" w:rsidRPr="007F243A" w:rsidRDefault="008A6941" w:rsidP="008A6941">
      <w:pPr>
        <w:spacing w:before="240" w:after="240" w:line="360" w:lineRule="auto"/>
        <w:jc w:val="both"/>
        <w:rPr>
          <w:color w:val="000000" w:themeColor="text1"/>
          <w:sz w:val="28"/>
          <w:szCs w:val="28"/>
          <w:lang w:val="en-IN" w:eastAsia="en-IN"/>
        </w:rPr>
      </w:pPr>
      <w:r w:rsidRPr="007F243A">
        <w:rPr>
          <w:b/>
          <w:color w:val="000000" w:themeColor="text1"/>
          <w:sz w:val="28"/>
          <w:szCs w:val="28"/>
          <w:lang w:val="en-IN" w:eastAsia="en-IN"/>
        </w:rPr>
        <w:lastRenderedPageBreak/>
        <w:t>Materials and Methods</w:t>
      </w:r>
    </w:p>
    <w:p w:rsidR="008A6941" w:rsidRPr="007F243A" w:rsidRDefault="008A6941" w:rsidP="008A6941">
      <w:pPr>
        <w:spacing w:before="240" w:after="240" w:line="360" w:lineRule="auto"/>
        <w:jc w:val="both"/>
        <w:rPr>
          <w:b/>
          <w:bCs/>
          <w:iCs/>
          <w:color w:val="000000" w:themeColor="text1"/>
          <w:sz w:val="24"/>
          <w:szCs w:val="24"/>
          <w:lang w:val="en-IN" w:eastAsia="en-IN"/>
        </w:rPr>
      </w:pPr>
      <w:r w:rsidRPr="00E61357">
        <w:rPr>
          <w:i/>
          <w:color w:val="000000" w:themeColor="text1"/>
          <w:sz w:val="24"/>
          <w:szCs w:val="24"/>
          <w:lang w:val="en-IN" w:eastAsia="en-IN"/>
        </w:rPr>
        <w:t xml:space="preserve"> </w:t>
      </w:r>
      <w:r w:rsidRPr="007F243A">
        <w:rPr>
          <w:b/>
          <w:bCs/>
          <w:iCs/>
          <w:color w:val="000000" w:themeColor="text1"/>
          <w:sz w:val="24"/>
          <w:szCs w:val="24"/>
          <w:lang w:val="en-IN" w:eastAsia="en-IN"/>
        </w:rPr>
        <w:t>Experimental Design</w:t>
      </w:r>
    </w:p>
    <w:tbl>
      <w:tblPr>
        <w:tblStyle w:val="TableGrid"/>
        <w:tblpPr w:leftFromText="180" w:rightFromText="180" w:vertAnchor="text" w:horzAnchor="margin" w:tblpY="6790"/>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1998"/>
        <w:gridCol w:w="1517"/>
        <w:gridCol w:w="1885"/>
        <w:gridCol w:w="1843"/>
      </w:tblGrid>
      <w:tr w:rsidR="00FD7020" w:rsidRPr="008E2DA9" w:rsidTr="00FD7020">
        <w:trPr>
          <w:trHeight w:val="142"/>
        </w:trPr>
        <w:tc>
          <w:tcPr>
            <w:tcW w:w="1971" w:type="dxa"/>
            <w:tcBorders>
              <w:top w:val="single" w:sz="4" w:space="0" w:color="auto"/>
              <w:bottom w:val="single" w:sz="4" w:space="0" w:color="auto"/>
            </w:tcBorders>
          </w:tcPr>
          <w:p w:rsidR="00FD7020" w:rsidRPr="008E2DA9" w:rsidRDefault="00FD7020" w:rsidP="00FD7020">
            <w:pPr>
              <w:pStyle w:val="NoSpacing"/>
              <w:spacing w:line="360" w:lineRule="auto"/>
              <w:rPr>
                <w:b/>
                <w:bCs/>
                <w:color w:val="000000" w:themeColor="text1"/>
              </w:rPr>
            </w:pPr>
          </w:p>
        </w:tc>
        <w:tc>
          <w:tcPr>
            <w:tcW w:w="1998" w:type="dxa"/>
            <w:tcBorders>
              <w:top w:val="single" w:sz="4" w:space="0" w:color="auto"/>
              <w:bottom w:val="single" w:sz="4" w:space="0" w:color="auto"/>
            </w:tcBorders>
          </w:tcPr>
          <w:p w:rsidR="00FD7020" w:rsidRPr="008E2DA9" w:rsidRDefault="00FD7020" w:rsidP="00FD7020">
            <w:pPr>
              <w:pStyle w:val="NoSpacing"/>
              <w:spacing w:line="360" w:lineRule="auto"/>
              <w:jc w:val="center"/>
              <w:rPr>
                <w:b/>
                <w:color w:val="000000" w:themeColor="text1"/>
              </w:rPr>
            </w:pPr>
            <w:r w:rsidRPr="008E2DA9">
              <w:rPr>
                <w:b/>
                <w:color w:val="000000" w:themeColor="text1"/>
              </w:rPr>
              <w:t>PB1</w:t>
            </w:r>
          </w:p>
        </w:tc>
        <w:tc>
          <w:tcPr>
            <w:tcW w:w="1517" w:type="dxa"/>
            <w:tcBorders>
              <w:top w:val="single" w:sz="4" w:space="0" w:color="auto"/>
              <w:bottom w:val="single" w:sz="4" w:space="0" w:color="auto"/>
            </w:tcBorders>
          </w:tcPr>
          <w:p w:rsidR="00FD7020" w:rsidRPr="008E2DA9" w:rsidRDefault="00FD7020" w:rsidP="00FD7020">
            <w:pPr>
              <w:pStyle w:val="NoSpacing"/>
              <w:spacing w:line="360" w:lineRule="auto"/>
              <w:jc w:val="center"/>
              <w:rPr>
                <w:b/>
                <w:color w:val="000000" w:themeColor="text1"/>
              </w:rPr>
            </w:pPr>
            <w:r w:rsidRPr="008E2DA9">
              <w:rPr>
                <w:b/>
                <w:color w:val="000000" w:themeColor="text1"/>
              </w:rPr>
              <w:t>PB2</w:t>
            </w:r>
          </w:p>
        </w:tc>
        <w:tc>
          <w:tcPr>
            <w:tcW w:w="1885" w:type="dxa"/>
            <w:tcBorders>
              <w:top w:val="single" w:sz="4" w:space="0" w:color="auto"/>
              <w:bottom w:val="single" w:sz="4" w:space="0" w:color="auto"/>
            </w:tcBorders>
          </w:tcPr>
          <w:p w:rsidR="00FD7020" w:rsidRPr="008E2DA9" w:rsidRDefault="00FD7020" w:rsidP="00FD7020">
            <w:pPr>
              <w:pStyle w:val="NoSpacing"/>
              <w:spacing w:line="360" w:lineRule="auto"/>
              <w:jc w:val="center"/>
              <w:rPr>
                <w:b/>
                <w:color w:val="000000" w:themeColor="text1"/>
              </w:rPr>
            </w:pPr>
            <w:r w:rsidRPr="008E2DA9">
              <w:rPr>
                <w:b/>
                <w:color w:val="000000" w:themeColor="text1"/>
              </w:rPr>
              <w:t>PB3</w:t>
            </w:r>
          </w:p>
        </w:tc>
        <w:tc>
          <w:tcPr>
            <w:tcW w:w="1843" w:type="dxa"/>
            <w:tcBorders>
              <w:top w:val="single" w:sz="4" w:space="0" w:color="auto"/>
              <w:bottom w:val="single" w:sz="4" w:space="0" w:color="auto"/>
            </w:tcBorders>
          </w:tcPr>
          <w:p w:rsidR="00FD7020" w:rsidRPr="008E2DA9" w:rsidRDefault="00FD7020" w:rsidP="00FD7020">
            <w:pPr>
              <w:pStyle w:val="NoSpacing"/>
              <w:spacing w:line="360" w:lineRule="auto"/>
              <w:jc w:val="center"/>
              <w:rPr>
                <w:b/>
                <w:color w:val="000000" w:themeColor="text1"/>
              </w:rPr>
            </w:pPr>
            <w:r w:rsidRPr="008E2DA9">
              <w:rPr>
                <w:b/>
                <w:color w:val="000000" w:themeColor="text1"/>
              </w:rPr>
              <w:t>DB</w:t>
            </w:r>
          </w:p>
        </w:tc>
      </w:tr>
      <w:tr w:rsidR="00FD7020" w:rsidRPr="008E2DA9" w:rsidTr="00FD7020">
        <w:trPr>
          <w:trHeight w:val="142"/>
        </w:trPr>
        <w:tc>
          <w:tcPr>
            <w:tcW w:w="1971" w:type="dxa"/>
            <w:tcBorders>
              <w:top w:val="single" w:sz="4" w:space="0" w:color="auto"/>
              <w:bottom w:val="single" w:sz="4" w:space="0" w:color="auto"/>
            </w:tcBorders>
          </w:tcPr>
          <w:p w:rsidR="00FD7020" w:rsidRPr="008E2DA9" w:rsidRDefault="00FD7020" w:rsidP="00FD7020">
            <w:pPr>
              <w:pStyle w:val="NoSpacing"/>
            </w:pPr>
            <w:r w:rsidRPr="008E2DA9">
              <w:t>Ingredients</w:t>
            </w:r>
          </w:p>
        </w:tc>
        <w:tc>
          <w:tcPr>
            <w:tcW w:w="1998" w:type="dxa"/>
            <w:tcBorders>
              <w:top w:val="single" w:sz="4" w:space="0" w:color="auto"/>
              <w:bottom w:val="single" w:sz="4" w:space="0" w:color="auto"/>
            </w:tcBorders>
          </w:tcPr>
          <w:p w:rsidR="00FD7020" w:rsidRPr="008E2DA9" w:rsidRDefault="00FD7020" w:rsidP="00FD7020">
            <w:pPr>
              <w:pStyle w:val="NoSpacing"/>
            </w:pPr>
            <w:r w:rsidRPr="008E2DA9">
              <w:t>Water, coconut oil, cashews, psyllium, salt, lactic cultures (vegetable-based)</w:t>
            </w:r>
          </w:p>
        </w:tc>
        <w:tc>
          <w:tcPr>
            <w:tcW w:w="1517" w:type="dxa"/>
            <w:tcBorders>
              <w:top w:val="single" w:sz="4" w:space="0" w:color="auto"/>
              <w:bottom w:val="single" w:sz="4" w:space="0" w:color="auto"/>
            </w:tcBorders>
          </w:tcPr>
          <w:p w:rsidR="00FD7020" w:rsidRPr="008E2DA9" w:rsidRDefault="00FD7020" w:rsidP="00FD7020">
            <w:pPr>
              <w:pStyle w:val="NoSpacing"/>
            </w:pPr>
            <w:r w:rsidRPr="008E2DA9">
              <w:t>Filtered water, vegetable oil (butiá), premix (starch, modified starches, xanthan gum), salt, natural flavoring.</w:t>
            </w:r>
          </w:p>
        </w:tc>
        <w:tc>
          <w:tcPr>
            <w:tcW w:w="1885" w:type="dxa"/>
            <w:tcBorders>
              <w:top w:val="single" w:sz="4" w:space="0" w:color="auto"/>
              <w:bottom w:val="single" w:sz="4" w:space="0" w:color="auto"/>
            </w:tcBorders>
          </w:tcPr>
          <w:p w:rsidR="00FD7020" w:rsidRPr="008E2DA9" w:rsidRDefault="00FD7020" w:rsidP="00FD7020">
            <w:pPr>
              <w:pStyle w:val="NoSpacing"/>
            </w:pPr>
            <w:r w:rsidRPr="008E2DA9">
              <w:t>Water, vegetable oil (coconut oil and rape oil), modified potato starch, salt, coloring: INS 270, natural flavoring</w:t>
            </w:r>
          </w:p>
        </w:tc>
        <w:tc>
          <w:tcPr>
            <w:tcW w:w="1843" w:type="dxa"/>
            <w:tcBorders>
              <w:top w:val="single" w:sz="4" w:space="0" w:color="auto"/>
              <w:bottom w:val="single" w:sz="4" w:space="0" w:color="auto"/>
            </w:tcBorders>
          </w:tcPr>
          <w:p w:rsidR="00FD7020" w:rsidRPr="008E2DA9" w:rsidRDefault="00FD7020" w:rsidP="00FD7020">
            <w:pPr>
              <w:pStyle w:val="NoSpacing"/>
            </w:pPr>
            <w:r w:rsidRPr="008E2DA9">
              <w:t>Pasteurized milk, lactic cultures, salt (sodium chloride), calcium chloride (INS 509), and coagulant enzymes.</w:t>
            </w:r>
          </w:p>
        </w:tc>
      </w:tr>
      <w:tr w:rsidR="00FD7020" w:rsidRPr="008E2DA9" w:rsidTr="00FD7020">
        <w:trPr>
          <w:trHeight w:val="142"/>
        </w:trPr>
        <w:tc>
          <w:tcPr>
            <w:tcW w:w="9214" w:type="dxa"/>
            <w:gridSpan w:val="5"/>
            <w:tcBorders>
              <w:top w:val="single" w:sz="4" w:space="0" w:color="auto"/>
              <w:bottom w:val="single" w:sz="4" w:space="0" w:color="auto"/>
            </w:tcBorders>
          </w:tcPr>
          <w:p w:rsidR="00FD7020" w:rsidRPr="008E2DA9" w:rsidRDefault="00FD7020" w:rsidP="00FD7020">
            <w:pPr>
              <w:pStyle w:val="NoSpacing"/>
              <w:rPr>
                <w:b/>
                <w:bCs/>
              </w:rPr>
            </w:pPr>
            <w:r w:rsidRPr="008E2DA9">
              <w:rPr>
                <w:b/>
                <w:bCs/>
              </w:rPr>
              <w:t xml:space="preserve">Nutritional information </w:t>
            </w:r>
          </w:p>
        </w:tc>
      </w:tr>
      <w:tr w:rsidR="00FD7020" w:rsidRPr="008E2DA9" w:rsidTr="00FD7020">
        <w:tc>
          <w:tcPr>
            <w:tcW w:w="1971" w:type="dxa"/>
            <w:tcBorders>
              <w:top w:val="single" w:sz="4" w:space="0" w:color="auto"/>
            </w:tcBorders>
          </w:tcPr>
          <w:p w:rsidR="00FD7020" w:rsidRPr="008E2DA9" w:rsidRDefault="00FD7020" w:rsidP="00FD7020">
            <w:pPr>
              <w:pStyle w:val="NoSpacing"/>
            </w:pPr>
            <w:r w:rsidRPr="008E2DA9">
              <w:t>Portion (g)</w:t>
            </w:r>
          </w:p>
        </w:tc>
        <w:tc>
          <w:tcPr>
            <w:tcW w:w="1998" w:type="dxa"/>
            <w:tcBorders>
              <w:top w:val="single" w:sz="4" w:space="0" w:color="auto"/>
            </w:tcBorders>
          </w:tcPr>
          <w:p w:rsidR="00FD7020" w:rsidRPr="008E2DA9" w:rsidRDefault="00FD7020" w:rsidP="00FD7020">
            <w:pPr>
              <w:pStyle w:val="NoSpacing"/>
              <w:jc w:val="center"/>
            </w:pPr>
            <w:r w:rsidRPr="008E2DA9">
              <w:t>30</w:t>
            </w:r>
          </w:p>
        </w:tc>
        <w:tc>
          <w:tcPr>
            <w:tcW w:w="1517" w:type="dxa"/>
            <w:tcBorders>
              <w:top w:val="single" w:sz="4" w:space="0" w:color="auto"/>
            </w:tcBorders>
          </w:tcPr>
          <w:p w:rsidR="00FD7020" w:rsidRPr="008E2DA9" w:rsidRDefault="00FD7020" w:rsidP="00FD7020">
            <w:pPr>
              <w:pStyle w:val="NoSpacing"/>
              <w:jc w:val="center"/>
            </w:pPr>
            <w:r w:rsidRPr="008E2DA9">
              <w:t>30</w:t>
            </w:r>
          </w:p>
        </w:tc>
        <w:tc>
          <w:tcPr>
            <w:tcW w:w="1885" w:type="dxa"/>
            <w:tcBorders>
              <w:top w:val="single" w:sz="4" w:space="0" w:color="auto"/>
            </w:tcBorders>
          </w:tcPr>
          <w:p w:rsidR="00FD7020" w:rsidRPr="008E2DA9" w:rsidRDefault="00FD7020" w:rsidP="00FD7020">
            <w:pPr>
              <w:pStyle w:val="NoSpacing"/>
              <w:jc w:val="center"/>
            </w:pPr>
            <w:r w:rsidRPr="008E2DA9">
              <w:t>30</w:t>
            </w:r>
          </w:p>
        </w:tc>
        <w:tc>
          <w:tcPr>
            <w:tcW w:w="1843" w:type="dxa"/>
            <w:tcBorders>
              <w:top w:val="single" w:sz="4" w:space="0" w:color="auto"/>
            </w:tcBorders>
          </w:tcPr>
          <w:p w:rsidR="00FD7020" w:rsidRPr="008E2DA9" w:rsidRDefault="00FD7020" w:rsidP="00FD7020">
            <w:pPr>
              <w:pStyle w:val="NoSpacing"/>
              <w:jc w:val="center"/>
            </w:pPr>
            <w:r w:rsidRPr="008E2DA9">
              <w:t>30</w:t>
            </w:r>
          </w:p>
        </w:tc>
      </w:tr>
      <w:tr w:rsidR="00FD7020" w:rsidRPr="008E2DA9" w:rsidTr="00FD7020">
        <w:tc>
          <w:tcPr>
            <w:tcW w:w="1971" w:type="dxa"/>
          </w:tcPr>
          <w:p w:rsidR="00FD7020" w:rsidRPr="008E2DA9" w:rsidRDefault="00FD7020" w:rsidP="00FD7020">
            <w:pPr>
              <w:pStyle w:val="NoSpacing"/>
            </w:pPr>
            <w:r w:rsidRPr="008E2DA9">
              <w:t>Energy (kcal)</w:t>
            </w:r>
          </w:p>
        </w:tc>
        <w:tc>
          <w:tcPr>
            <w:tcW w:w="1998" w:type="dxa"/>
          </w:tcPr>
          <w:p w:rsidR="00FD7020" w:rsidRPr="008E2DA9" w:rsidRDefault="00FD7020" w:rsidP="00FD7020">
            <w:pPr>
              <w:pStyle w:val="NoSpacing"/>
              <w:jc w:val="center"/>
            </w:pPr>
            <w:r w:rsidRPr="008E2DA9">
              <w:t>52</w:t>
            </w:r>
          </w:p>
        </w:tc>
        <w:tc>
          <w:tcPr>
            <w:tcW w:w="1517" w:type="dxa"/>
          </w:tcPr>
          <w:p w:rsidR="00FD7020" w:rsidRPr="008E2DA9" w:rsidRDefault="00FD7020" w:rsidP="00FD7020">
            <w:pPr>
              <w:pStyle w:val="NoSpacing"/>
              <w:jc w:val="center"/>
            </w:pPr>
            <w:r w:rsidRPr="008E2DA9">
              <w:t>95</w:t>
            </w:r>
          </w:p>
        </w:tc>
        <w:tc>
          <w:tcPr>
            <w:tcW w:w="1885" w:type="dxa"/>
          </w:tcPr>
          <w:p w:rsidR="00FD7020" w:rsidRPr="008E2DA9" w:rsidRDefault="00FD7020" w:rsidP="00FD7020">
            <w:pPr>
              <w:pStyle w:val="NoSpacing"/>
              <w:jc w:val="center"/>
            </w:pPr>
            <w:r w:rsidRPr="008E2DA9">
              <w:t>83</w:t>
            </w:r>
          </w:p>
        </w:tc>
        <w:tc>
          <w:tcPr>
            <w:tcW w:w="1843" w:type="dxa"/>
          </w:tcPr>
          <w:p w:rsidR="00FD7020" w:rsidRPr="008E2DA9" w:rsidRDefault="00FD7020" w:rsidP="00FD7020">
            <w:pPr>
              <w:pStyle w:val="NoSpacing"/>
              <w:jc w:val="center"/>
            </w:pPr>
            <w:r w:rsidRPr="008E2DA9">
              <w:t>94</w:t>
            </w:r>
          </w:p>
        </w:tc>
      </w:tr>
      <w:tr w:rsidR="00FD7020" w:rsidRPr="008E2DA9" w:rsidTr="00FD7020">
        <w:tc>
          <w:tcPr>
            <w:tcW w:w="1971" w:type="dxa"/>
          </w:tcPr>
          <w:p w:rsidR="00FD7020" w:rsidRPr="008E2DA9" w:rsidRDefault="00FD7020" w:rsidP="00FD7020">
            <w:pPr>
              <w:pStyle w:val="NoSpacing"/>
            </w:pPr>
            <w:r w:rsidRPr="008E2DA9">
              <w:t>Carbohydrate (g)</w:t>
            </w:r>
          </w:p>
        </w:tc>
        <w:tc>
          <w:tcPr>
            <w:tcW w:w="1998" w:type="dxa"/>
          </w:tcPr>
          <w:p w:rsidR="00FD7020" w:rsidRPr="008E2DA9" w:rsidRDefault="00FD7020" w:rsidP="00FD7020">
            <w:pPr>
              <w:pStyle w:val="NoSpacing"/>
              <w:jc w:val="center"/>
            </w:pPr>
            <w:r w:rsidRPr="008E2DA9">
              <w:t>1.2</w:t>
            </w:r>
          </w:p>
        </w:tc>
        <w:tc>
          <w:tcPr>
            <w:tcW w:w="1517" w:type="dxa"/>
          </w:tcPr>
          <w:p w:rsidR="00FD7020" w:rsidRPr="008E2DA9" w:rsidRDefault="00FD7020" w:rsidP="00FD7020">
            <w:pPr>
              <w:pStyle w:val="NoSpacing"/>
              <w:jc w:val="center"/>
            </w:pPr>
            <w:r w:rsidRPr="008E2DA9">
              <w:t>14.8</w:t>
            </w:r>
          </w:p>
        </w:tc>
        <w:tc>
          <w:tcPr>
            <w:tcW w:w="1885" w:type="dxa"/>
          </w:tcPr>
          <w:p w:rsidR="00FD7020" w:rsidRPr="008E2DA9" w:rsidRDefault="00FD7020" w:rsidP="00FD7020">
            <w:pPr>
              <w:pStyle w:val="NoSpacing"/>
              <w:jc w:val="center"/>
            </w:pPr>
            <w:r w:rsidRPr="008E2DA9">
              <w:t>5.1</w:t>
            </w:r>
          </w:p>
        </w:tc>
        <w:tc>
          <w:tcPr>
            <w:tcW w:w="1843" w:type="dxa"/>
          </w:tcPr>
          <w:p w:rsidR="00FD7020" w:rsidRPr="008E2DA9" w:rsidRDefault="00FD7020" w:rsidP="00FD7020">
            <w:pPr>
              <w:pStyle w:val="NoSpacing"/>
              <w:jc w:val="center"/>
            </w:pPr>
            <w:r w:rsidRPr="008E2DA9">
              <w:t>-</w:t>
            </w:r>
          </w:p>
        </w:tc>
      </w:tr>
      <w:tr w:rsidR="00FD7020" w:rsidRPr="008E2DA9" w:rsidTr="00FD7020">
        <w:tc>
          <w:tcPr>
            <w:tcW w:w="1971" w:type="dxa"/>
          </w:tcPr>
          <w:p w:rsidR="00FD7020" w:rsidRPr="008E2DA9" w:rsidRDefault="00FD7020" w:rsidP="00FD7020">
            <w:pPr>
              <w:pStyle w:val="NoSpacing"/>
            </w:pPr>
            <w:r w:rsidRPr="008E2DA9">
              <w:t>Proteins (g)</w:t>
            </w:r>
          </w:p>
        </w:tc>
        <w:tc>
          <w:tcPr>
            <w:tcW w:w="1998" w:type="dxa"/>
          </w:tcPr>
          <w:p w:rsidR="00FD7020" w:rsidRPr="008E2DA9" w:rsidRDefault="00FD7020" w:rsidP="00FD7020">
            <w:pPr>
              <w:pStyle w:val="NoSpacing"/>
              <w:jc w:val="center"/>
            </w:pPr>
            <w:r w:rsidRPr="008E2DA9">
              <w:t>3</w:t>
            </w:r>
          </w:p>
        </w:tc>
        <w:tc>
          <w:tcPr>
            <w:tcW w:w="1517" w:type="dxa"/>
          </w:tcPr>
          <w:p w:rsidR="00FD7020" w:rsidRPr="008E2DA9" w:rsidRDefault="00FD7020" w:rsidP="00FD7020">
            <w:pPr>
              <w:pStyle w:val="NoSpacing"/>
              <w:jc w:val="center"/>
            </w:pPr>
            <w:r w:rsidRPr="008E2DA9">
              <w:t>0.1</w:t>
            </w:r>
          </w:p>
        </w:tc>
        <w:tc>
          <w:tcPr>
            <w:tcW w:w="1885" w:type="dxa"/>
          </w:tcPr>
          <w:p w:rsidR="00FD7020" w:rsidRPr="008E2DA9" w:rsidRDefault="00FD7020" w:rsidP="00FD7020">
            <w:pPr>
              <w:pStyle w:val="NoSpacing"/>
              <w:jc w:val="center"/>
            </w:pPr>
            <w:r w:rsidRPr="008E2DA9">
              <w:t>-</w:t>
            </w:r>
          </w:p>
        </w:tc>
        <w:tc>
          <w:tcPr>
            <w:tcW w:w="1843" w:type="dxa"/>
          </w:tcPr>
          <w:p w:rsidR="00FD7020" w:rsidRPr="008E2DA9" w:rsidRDefault="00FD7020" w:rsidP="00FD7020">
            <w:pPr>
              <w:pStyle w:val="NoSpacing"/>
              <w:jc w:val="center"/>
            </w:pPr>
            <w:r w:rsidRPr="008E2DA9">
              <w:t>7.3</w:t>
            </w:r>
          </w:p>
        </w:tc>
      </w:tr>
      <w:tr w:rsidR="00FD7020" w:rsidRPr="008E2DA9" w:rsidTr="00FD7020">
        <w:tc>
          <w:tcPr>
            <w:tcW w:w="1971" w:type="dxa"/>
          </w:tcPr>
          <w:p w:rsidR="00FD7020" w:rsidRPr="008E2DA9" w:rsidRDefault="00FD7020" w:rsidP="00FD7020">
            <w:pPr>
              <w:pStyle w:val="NoSpacing"/>
            </w:pPr>
            <w:r w:rsidRPr="008E2DA9">
              <w:t>Total fats</w:t>
            </w:r>
          </w:p>
        </w:tc>
        <w:tc>
          <w:tcPr>
            <w:tcW w:w="1998" w:type="dxa"/>
          </w:tcPr>
          <w:p w:rsidR="00FD7020" w:rsidRPr="008E2DA9" w:rsidRDefault="00FD7020" w:rsidP="00FD7020">
            <w:pPr>
              <w:pStyle w:val="NoSpacing"/>
              <w:jc w:val="center"/>
            </w:pPr>
            <w:r w:rsidRPr="008E2DA9">
              <w:t>9.33</w:t>
            </w:r>
          </w:p>
        </w:tc>
        <w:tc>
          <w:tcPr>
            <w:tcW w:w="1517" w:type="dxa"/>
          </w:tcPr>
          <w:p w:rsidR="00FD7020" w:rsidRPr="008E2DA9" w:rsidRDefault="00FD7020" w:rsidP="00FD7020">
            <w:pPr>
              <w:pStyle w:val="NoSpacing"/>
              <w:jc w:val="center"/>
            </w:pPr>
            <w:r w:rsidRPr="008E2DA9">
              <w:t>8</w:t>
            </w:r>
          </w:p>
        </w:tc>
        <w:tc>
          <w:tcPr>
            <w:tcW w:w="1885" w:type="dxa"/>
          </w:tcPr>
          <w:p w:rsidR="00FD7020" w:rsidRPr="008E2DA9" w:rsidRDefault="00FD7020" w:rsidP="00FD7020">
            <w:pPr>
              <w:pStyle w:val="NoSpacing"/>
              <w:jc w:val="center"/>
            </w:pPr>
            <w:r w:rsidRPr="008E2DA9">
              <w:t>6.9</w:t>
            </w:r>
          </w:p>
        </w:tc>
        <w:tc>
          <w:tcPr>
            <w:tcW w:w="1843" w:type="dxa"/>
          </w:tcPr>
          <w:p w:rsidR="00FD7020" w:rsidRPr="008E2DA9" w:rsidRDefault="00FD7020" w:rsidP="00FD7020">
            <w:pPr>
              <w:pStyle w:val="NoSpacing"/>
              <w:jc w:val="center"/>
            </w:pPr>
            <w:r w:rsidRPr="008E2DA9">
              <w:t>7.2</w:t>
            </w:r>
          </w:p>
        </w:tc>
      </w:tr>
      <w:tr w:rsidR="00FD7020" w:rsidRPr="008E2DA9" w:rsidTr="00FD7020">
        <w:tc>
          <w:tcPr>
            <w:tcW w:w="1971" w:type="dxa"/>
          </w:tcPr>
          <w:p w:rsidR="00FD7020" w:rsidRPr="008E2DA9" w:rsidRDefault="00FD7020" w:rsidP="00FD7020">
            <w:pPr>
              <w:pStyle w:val="NoSpacing"/>
            </w:pPr>
            <w:r w:rsidRPr="008E2DA9">
              <w:t>Saturated fats</w:t>
            </w:r>
          </w:p>
        </w:tc>
        <w:tc>
          <w:tcPr>
            <w:tcW w:w="1998" w:type="dxa"/>
          </w:tcPr>
          <w:p w:rsidR="00FD7020" w:rsidRPr="008E2DA9" w:rsidRDefault="00FD7020" w:rsidP="00FD7020">
            <w:pPr>
              <w:pStyle w:val="NoSpacing"/>
              <w:jc w:val="center"/>
            </w:pPr>
            <w:r w:rsidRPr="008E2DA9">
              <w:t>4.3</w:t>
            </w:r>
          </w:p>
        </w:tc>
        <w:tc>
          <w:tcPr>
            <w:tcW w:w="1517" w:type="dxa"/>
          </w:tcPr>
          <w:p w:rsidR="00FD7020" w:rsidRPr="008E2DA9" w:rsidRDefault="00FD7020" w:rsidP="00FD7020">
            <w:pPr>
              <w:pStyle w:val="NoSpacing"/>
              <w:jc w:val="center"/>
            </w:pPr>
            <w:r w:rsidRPr="008E2DA9">
              <w:t>6.6</w:t>
            </w:r>
          </w:p>
        </w:tc>
        <w:tc>
          <w:tcPr>
            <w:tcW w:w="1885" w:type="dxa"/>
          </w:tcPr>
          <w:p w:rsidR="00FD7020" w:rsidRPr="008E2DA9" w:rsidRDefault="00FD7020" w:rsidP="00FD7020">
            <w:pPr>
              <w:pStyle w:val="NoSpacing"/>
              <w:jc w:val="center"/>
            </w:pPr>
            <w:r w:rsidRPr="008E2DA9">
              <w:t>4.2</w:t>
            </w:r>
          </w:p>
        </w:tc>
        <w:tc>
          <w:tcPr>
            <w:tcW w:w="1843" w:type="dxa"/>
          </w:tcPr>
          <w:p w:rsidR="00FD7020" w:rsidRPr="008E2DA9" w:rsidRDefault="00FD7020" w:rsidP="00FD7020">
            <w:pPr>
              <w:pStyle w:val="NoSpacing"/>
              <w:jc w:val="center"/>
            </w:pPr>
            <w:r w:rsidRPr="008E2DA9">
              <w:t>4.4</w:t>
            </w:r>
          </w:p>
        </w:tc>
      </w:tr>
      <w:tr w:rsidR="00FD7020" w:rsidRPr="008E2DA9" w:rsidTr="00FD7020">
        <w:tc>
          <w:tcPr>
            <w:tcW w:w="1971" w:type="dxa"/>
          </w:tcPr>
          <w:p w:rsidR="00FD7020" w:rsidRPr="008E2DA9" w:rsidRDefault="00FD7020" w:rsidP="00FD7020">
            <w:pPr>
              <w:pStyle w:val="NoSpacing"/>
            </w:pPr>
            <w:r w:rsidRPr="008E2DA9">
              <w:t>Trans fat (g)</w:t>
            </w:r>
          </w:p>
        </w:tc>
        <w:tc>
          <w:tcPr>
            <w:tcW w:w="1998" w:type="dxa"/>
          </w:tcPr>
          <w:p w:rsidR="00FD7020" w:rsidRPr="008E2DA9" w:rsidRDefault="00FD7020" w:rsidP="00FD7020">
            <w:pPr>
              <w:pStyle w:val="NoSpacing"/>
              <w:jc w:val="center"/>
            </w:pPr>
          </w:p>
        </w:tc>
        <w:tc>
          <w:tcPr>
            <w:tcW w:w="1517" w:type="dxa"/>
          </w:tcPr>
          <w:p w:rsidR="00FD7020" w:rsidRPr="008E2DA9" w:rsidRDefault="00FD7020" w:rsidP="00FD7020">
            <w:pPr>
              <w:pStyle w:val="NoSpacing"/>
              <w:jc w:val="center"/>
            </w:pPr>
            <w:r w:rsidRPr="008E2DA9">
              <w:t>-</w:t>
            </w:r>
          </w:p>
        </w:tc>
        <w:tc>
          <w:tcPr>
            <w:tcW w:w="1885" w:type="dxa"/>
          </w:tcPr>
          <w:p w:rsidR="00FD7020" w:rsidRPr="008E2DA9" w:rsidRDefault="00FD7020" w:rsidP="00FD7020">
            <w:pPr>
              <w:pStyle w:val="NoSpacing"/>
              <w:jc w:val="center"/>
            </w:pPr>
            <w:r w:rsidRPr="008E2DA9">
              <w:t>-</w:t>
            </w:r>
          </w:p>
        </w:tc>
        <w:tc>
          <w:tcPr>
            <w:tcW w:w="1843" w:type="dxa"/>
          </w:tcPr>
          <w:p w:rsidR="00FD7020" w:rsidRPr="008E2DA9" w:rsidRDefault="00FD7020" w:rsidP="00FD7020">
            <w:pPr>
              <w:pStyle w:val="NoSpacing"/>
              <w:jc w:val="center"/>
            </w:pPr>
            <w:r w:rsidRPr="008E2DA9">
              <w:t>0.4</w:t>
            </w:r>
          </w:p>
        </w:tc>
      </w:tr>
      <w:tr w:rsidR="00FD7020" w:rsidRPr="008E2DA9" w:rsidTr="00FD7020">
        <w:tc>
          <w:tcPr>
            <w:tcW w:w="1971" w:type="dxa"/>
          </w:tcPr>
          <w:p w:rsidR="00FD7020" w:rsidRPr="008E2DA9" w:rsidRDefault="00FD7020" w:rsidP="00FD7020">
            <w:pPr>
              <w:pStyle w:val="NoSpacing"/>
            </w:pPr>
            <w:r w:rsidRPr="008E2DA9">
              <w:t>Fiber</w:t>
            </w:r>
          </w:p>
        </w:tc>
        <w:tc>
          <w:tcPr>
            <w:tcW w:w="1998" w:type="dxa"/>
          </w:tcPr>
          <w:p w:rsidR="00FD7020" w:rsidRPr="008E2DA9" w:rsidRDefault="00FD7020" w:rsidP="00FD7020">
            <w:pPr>
              <w:pStyle w:val="NoSpacing"/>
              <w:jc w:val="center"/>
            </w:pPr>
          </w:p>
        </w:tc>
        <w:tc>
          <w:tcPr>
            <w:tcW w:w="1517" w:type="dxa"/>
          </w:tcPr>
          <w:p w:rsidR="00FD7020" w:rsidRPr="008E2DA9" w:rsidRDefault="00FD7020" w:rsidP="00FD7020">
            <w:pPr>
              <w:pStyle w:val="NoSpacing"/>
              <w:jc w:val="center"/>
            </w:pPr>
            <w:r w:rsidRPr="008E2DA9">
              <w:t>0.2</w:t>
            </w:r>
          </w:p>
        </w:tc>
        <w:tc>
          <w:tcPr>
            <w:tcW w:w="1885" w:type="dxa"/>
          </w:tcPr>
          <w:p w:rsidR="00FD7020" w:rsidRPr="008E2DA9" w:rsidRDefault="00FD7020" w:rsidP="00FD7020">
            <w:pPr>
              <w:pStyle w:val="NoSpacing"/>
              <w:jc w:val="center"/>
            </w:pPr>
            <w:r w:rsidRPr="008E2DA9">
              <w:t>-</w:t>
            </w:r>
          </w:p>
        </w:tc>
        <w:tc>
          <w:tcPr>
            <w:tcW w:w="1843" w:type="dxa"/>
          </w:tcPr>
          <w:p w:rsidR="00FD7020" w:rsidRPr="008E2DA9" w:rsidRDefault="00FD7020" w:rsidP="00FD7020">
            <w:pPr>
              <w:pStyle w:val="NoSpacing"/>
              <w:jc w:val="center"/>
            </w:pPr>
            <w:r w:rsidRPr="008E2DA9">
              <w:t>-</w:t>
            </w:r>
          </w:p>
        </w:tc>
      </w:tr>
      <w:tr w:rsidR="00FD7020" w:rsidRPr="008E2DA9" w:rsidTr="00FD7020">
        <w:tc>
          <w:tcPr>
            <w:tcW w:w="1971" w:type="dxa"/>
          </w:tcPr>
          <w:p w:rsidR="00FD7020" w:rsidRPr="008E2DA9" w:rsidRDefault="00FD7020" w:rsidP="00FD7020">
            <w:pPr>
              <w:pStyle w:val="NoSpacing"/>
            </w:pPr>
            <w:r w:rsidRPr="008E2DA9">
              <w:t>Sodium(mg)</w:t>
            </w:r>
          </w:p>
        </w:tc>
        <w:tc>
          <w:tcPr>
            <w:tcW w:w="1998" w:type="dxa"/>
          </w:tcPr>
          <w:p w:rsidR="00FD7020" w:rsidRPr="008E2DA9" w:rsidRDefault="00FD7020" w:rsidP="00FD7020">
            <w:pPr>
              <w:pStyle w:val="NoSpacing"/>
              <w:jc w:val="center"/>
            </w:pPr>
            <w:r w:rsidRPr="008E2DA9">
              <w:t>150</w:t>
            </w:r>
          </w:p>
        </w:tc>
        <w:tc>
          <w:tcPr>
            <w:tcW w:w="1517" w:type="dxa"/>
          </w:tcPr>
          <w:p w:rsidR="00FD7020" w:rsidRPr="008E2DA9" w:rsidRDefault="00FD7020" w:rsidP="00FD7020">
            <w:pPr>
              <w:pStyle w:val="NoSpacing"/>
              <w:jc w:val="center"/>
            </w:pPr>
            <w:r w:rsidRPr="008E2DA9">
              <w:t>118</w:t>
            </w:r>
          </w:p>
        </w:tc>
        <w:tc>
          <w:tcPr>
            <w:tcW w:w="1885" w:type="dxa"/>
          </w:tcPr>
          <w:p w:rsidR="00FD7020" w:rsidRPr="008E2DA9" w:rsidRDefault="00FD7020" w:rsidP="00FD7020">
            <w:pPr>
              <w:pStyle w:val="NoSpacing"/>
              <w:jc w:val="center"/>
            </w:pPr>
            <w:r w:rsidRPr="008E2DA9">
              <w:t>144</w:t>
            </w:r>
          </w:p>
        </w:tc>
        <w:tc>
          <w:tcPr>
            <w:tcW w:w="1843" w:type="dxa"/>
          </w:tcPr>
          <w:p w:rsidR="00FD7020" w:rsidRPr="008E2DA9" w:rsidRDefault="00FD7020" w:rsidP="00FD7020">
            <w:pPr>
              <w:pStyle w:val="NoSpacing"/>
              <w:jc w:val="center"/>
            </w:pPr>
            <w:r w:rsidRPr="008E2DA9">
              <w:t>176</w:t>
            </w:r>
          </w:p>
        </w:tc>
      </w:tr>
      <w:tr w:rsidR="00FD7020" w:rsidRPr="008E2DA9" w:rsidTr="00FD7020">
        <w:tc>
          <w:tcPr>
            <w:tcW w:w="1971" w:type="dxa"/>
            <w:tcBorders>
              <w:bottom w:val="single" w:sz="4" w:space="0" w:color="auto"/>
            </w:tcBorders>
          </w:tcPr>
          <w:p w:rsidR="00FD7020" w:rsidRPr="008E2DA9" w:rsidRDefault="00FD7020" w:rsidP="00FD7020">
            <w:pPr>
              <w:pStyle w:val="NoSpacing"/>
            </w:pPr>
            <w:r w:rsidRPr="008E2DA9">
              <w:t>Country of origin</w:t>
            </w:r>
          </w:p>
        </w:tc>
        <w:tc>
          <w:tcPr>
            <w:tcW w:w="1998" w:type="dxa"/>
            <w:tcBorders>
              <w:bottom w:val="single" w:sz="4" w:space="0" w:color="auto"/>
            </w:tcBorders>
          </w:tcPr>
          <w:p w:rsidR="00FD7020" w:rsidRPr="008E2DA9" w:rsidRDefault="00FD7020" w:rsidP="00FD7020">
            <w:pPr>
              <w:pStyle w:val="NoSpacing"/>
              <w:jc w:val="center"/>
            </w:pPr>
            <w:r w:rsidRPr="008E2DA9">
              <w:t>Uruguay</w:t>
            </w:r>
          </w:p>
        </w:tc>
        <w:tc>
          <w:tcPr>
            <w:tcW w:w="1517" w:type="dxa"/>
            <w:tcBorders>
              <w:bottom w:val="single" w:sz="4" w:space="0" w:color="auto"/>
            </w:tcBorders>
          </w:tcPr>
          <w:p w:rsidR="00FD7020" w:rsidRPr="008E2DA9" w:rsidRDefault="00FD7020" w:rsidP="00FD7020">
            <w:pPr>
              <w:pStyle w:val="NoSpacing"/>
              <w:jc w:val="center"/>
            </w:pPr>
            <w:r w:rsidRPr="008E2DA9">
              <w:t>Uruguay</w:t>
            </w:r>
          </w:p>
        </w:tc>
        <w:tc>
          <w:tcPr>
            <w:tcW w:w="1885" w:type="dxa"/>
            <w:tcBorders>
              <w:bottom w:val="single" w:sz="4" w:space="0" w:color="auto"/>
            </w:tcBorders>
          </w:tcPr>
          <w:p w:rsidR="00FD7020" w:rsidRPr="008E2DA9" w:rsidRDefault="00FD7020" w:rsidP="00FD7020">
            <w:pPr>
              <w:pStyle w:val="NoSpacing"/>
              <w:jc w:val="center"/>
            </w:pPr>
            <w:r w:rsidRPr="008E2DA9">
              <w:t>Denmark</w:t>
            </w:r>
          </w:p>
        </w:tc>
        <w:tc>
          <w:tcPr>
            <w:tcW w:w="1843" w:type="dxa"/>
            <w:tcBorders>
              <w:bottom w:val="single" w:sz="4" w:space="0" w:color="auto"/>
            </w:tcBorders>
          </w:tcPr>
          <w:p w:rsidR="00FD7020" w:rsidRPr="008E2DA9" w:rsidRDefault="00FD7020" w:rsidP="00FD7020">
            <w:pPr>
              <w:pStyle w:val="NoSpacing"/>
              <w:jc w:val="center"/>
            </w:pPr>
            <w:r w:rsidRPr="008E2DA9">
              <w:t>Uruguay</w:t>
            </w:r>
          </w:p>
        </w:tc>
      </w:tr>
    </w:tbl>
    <w:p w:rsidR="008E2DA9" w:rsidRDefault="00C32783" w:rsidP="00FD7020">
      <w:pPr>
        <w:spacing w:after="240" w:line="480" w:lineRule="auto"/>
        <w:jc w:val="both"/>
        <w:rPr>
          <w:sz w:val="24"/>
          <w:szCs w:val="24"/>
        </w:rPr>
      </w:pPr>
      <w:r w:rsidRPr="00183925">
        <w:rPr>
          <w:sz w:val="24"/>
          <w:szCs w:val="24"/>
        </w:rPr>
        <w:t>The experimental design comprised three sessions: blind, informed, and expectation.</w:t>
      </w:r>
      <w:r w:rsidR="008A6941" w:rsidRPr="00183925">
        <w:rPr>
          <w:sz w:val="24"/>
          <w:szCs w:val="24"/>
        </w:rPr>
        <w:t xml:space="preserve"> </w:t>
      </w:r>
      <w:r w:rsidR="00092C90" w:rsidRPr="00183925">
        <w:rPr>
          <w:sz w:val="24"/>
          <w:szCs w:val="24"/>
        </w:rPr>
        <w:t>In the blind session (n = 110), the participants</w:t>
      </w:r>
      <w:r w:rsidR="00092C90">
        <w:rPr>
          <w:sz w:val="24"/>
          <w:szCs w:val="24"/>
        </w:rPr>
        <w:t xml:space="preserve"> tasted the samples </w:t>
      </w:r>
      <w:r w:rsidR="00092C90" w:rsidRPr="00183925">
        <w:rPr>
          <w:sz w:val="24"/>
          <w:szCs w:val="24"/>
        </w:rPr>
        <w:t>in a randomized order</w:t>
      </w:r>
      <w:r w:rsidR="00092C90">
        <w:rPr>
          <w:sz w:val="24"/>
          <w:szCs w:val="24"/>
        </w:rPr>
        <w:t>.</w:t>
      </w:r>
      <w:r w:rsidR="008E2DA9">
        <w:rPr>
          <w:sz w:val="24"/>
          <w:szCs w:val="24"/>
        </w:rPr>
        <w:t xml:space="preserve"> </w:t>
      </w:r>
      <w:r w:rsidR="00092C90" w:rsidRPr="00D85DF7">
        <w:rPr>
          <w:sz w:val="24"/>
          <w:szCs w:val="24"/>
          <w:lang w:eastAsia="en-IN"/>
        </w:rPr>
        <w:t>In the informed session</w:t>
      </w:r>
      <w:r w:rsidR="00092C90">
        <w:rPr>
          <w:sz w:val="24"/>
          <w:szCs w:val="24"/>
          <w:lang w:eastAsia="en-IN"/>
        </w:rPr>
        <w:t xml:space="preserve">, the same </w:t>
      </w:r>
      <w:r w:rsidR="00092C90" w:rsidRPr="00D85DF7">
        <w:rPr>
          <w:sz w:val="24"/>
          <w:szCs w:val="24"/>
          <w:lang w:eastAsia="en-IN"/>
        </w:rPr>
        <w:t xml:space="preserve">participants </w:t>
      </w:r>
      <w:r w:rsidR="00092C90" w:rsidRPr="00183925">
        <w:rPr>
          <w:sz w:val="24"/>
          <w:szCs w:val="24"/>
        </w:rPr>
        <w:t xml:space="preserve">(n = 110) </w:t>
      </w:r>
      <w:r w:rsidR="00092C90" w:rsidRPr="00D85DF7">
        <w:rPr>
          <w:sz w:val="24"/>
          <w:szCs w:val="24"/>
          <w:lang w:eastAsia="en-IN"/>
        </w:rPr>
        <w:t xml:space="preserve">received product information </w:t>
      </w:r>
      <w:r w:rsidR="00092C90" w:rsidRPr="00183925">
        <w:rPr>
          <w:color w:val="000000" w:themeColor="text1"/>
          <w:sz w:val="24"/>
          <w:szCs w:val="24"/>
          <w:shd w:val="clear" w:color="auto" w:fill="FFFFFF"/>
        </w:rPr>
        <w:t xml:space="preserve">(packaging labels and nutritional </w:t>
      </w:r>
      <w:r w:rsidR="00092C90">
        <w:rPr>
          <w:color w:val="000000" w:themeColor="text1"/>
          <w:sz w:val="24"/>
          <w:szCs w:val="24"/>
          <w:shd w:val="clear" w:color="auto" w:fill="FFFFFF"/>
        </w:rPr>
        <w:t xml:space="preserve">information; </w:t>
      </w:r>
      <w:r w:rsidR="00092C90">
        <w:rPr>
          <w:sz w:val="24"/>
          <w:szCs w:val="24"/>
        </w:rPr>
        <w:t>Suppl</w:t>
      </w:r>
      <w:r w:rsidR="00092C90" w:rsidRPr="00183925">
        <w:rPr>
          <w:sz w:val="24"/>
          <w:szCs w:val="24"/>
        </w:rPr>
        <w:t>e</w:t>
      </w:r>
      <w:r w:rsidR="00092C90">
        <w:rPr>
          <w:sz w:val="24"/>
          <w:szCs w:val="24"/>
        </w:rPr>
        <w:t>me</w:t>
      </w:r>
      <w:r w:rsidR="00092C90" w:rsidRPr="00183925">
        <w:rPr>
          <w:sz w:val="24"/>
          <w:szCs w:val="24"/>
        </w:rPr>
        <w:t>ntary Materials 2, Fig. S1</w:t>
      </w:r>
      <w:r w:rsidR="00092C90" w:rsidRPr="00183925">
        <w:rPr>
          <w:color w:val="000000" w:themeColor="text1"/>
          <w:sz w:val="24"/>
          <w:szCs w:val="24"/>
          <w:shd w:val="clear" w:color="auto" w:fill="FFFFFF"/>
        </w:rPr>
        <w:t>)</w:t>
      </w:r>
      <w:r w:rsidR="00092C90">
        <w:rPr>
          <w:color w:val="000000" w:themeColor="text1"/>
          <w:sz w:val="24"/>
          <w:szCs w:val="24"/>
          <w:shd w:val="clear" w:color="auto" w:fill="FFFFFF"/>
        </w:rPr>
        <w:t xml:space="preserve"> </w:t>
      </w:r>
      <w:r w:rsidR="00092C90" w:rsidRPr="00D85DF7">
        <w:rPr>
          <w:sz w:val="24"/>
          <w:szCs w:val="24"/>
          <w:lang w:eastAsia="en-IN"/>
        </w:rPr>
        <w:t>concurrently with the tasting of the samples.</w:t>
      </w:r>
      <w:r w:rsidR="00183925" w:rsidRPr="00183925">
        <w:rPr>
          <w:sz w:val="24"/>
          <w:szCs w:val="24"/>
          <w:lang w:eastAsia="en-IN"/>
        </w:rPr>
        <w:t xml:space="preserve"> </w:t>
      </w:r>
      <w:r w:rsidR="00D729CA" w:rsidRPr="00333598">
        <w:rPr>
          <w:sz w:val="24"/>
          <w:szCs w:val="24"/>
          <w:lang w:eastAsia="en-IN"/>
        </w:rPr>
        <w:t xml:space="preserve">The blind and informed sessions were completed by the same participants on separate </w:t>
      </w:r>
      <w:r w:rsidR="00D729CA">
        <w:rPr>
          <w:sz w:val="24"/>
          <w:szCs w:val="24"/>
          <w:lang w:eastAsia="en-IN"/>
        </w:rPr>
        <w:t>days</w:t>
      </w:r>
      <w:r w:rsidR="00D729CA" w:rsidRPr="00333598">
        <w:rPr>
          <w:sz w:val="24"/>
          <w:szCs w:val="24"/>
          <w:lang w:eastAsia="en-IN"/>
        </w:rPr>
        <w:t>, with a minimum of 24 hours between sessions to minimize carry-over effects.</w:t>
      </w:r>
      <w:r w:rsidR="00D729CA">
        <w:rPr>
          <w:sz w:val="24"/>
          <w:szCs w:val="24"/>
          <w:lang w:eastAsia="en-IN"/>
        </w:rPr>
        <w:t xml:space="preserve"> </w:t>
      </w:r>
      <w:r w:rsidR="00092C90" w:rsidRPr="00D85DF7">
        <w:rPr>
          <w:sz w:val="24"/>
          <w:szCs w:val="24"/>
          <w:lang w:eastAsia="en-IN"/>
        </w:rPr>
        <w:t xml:space="preserve">The expected session (n = 236) was conducted as a survey using </w:t>
      </w:r>
      <w:r w:rsidR="00092C90" w:rsidRPr="00183925">
        <w:rPr>
          <w:color w:val="000000" w:themeColor="text1"/>
          <w:sz w:val="24"/>
          <w:szCs w:val="24"/>
          <w:lang w:val="en-IN" w:eastAsia="en-IN"/>
        </w:rPr>
        <w:t>Qualtrics</w:t>
      </w:r>
      <w:r w:rsidR="00092C90" w:rsidRPr="00183925">
        <w:rPr>
          <w:color w:val="000000" w:themeColor="text1"/>
          <w:sz w:val="24"/>
          <w:szCs w:val="24"/>
          <w:vertAlign w:val="superscript"/>
          <w:lang w:val="en-IN" w:eastAsia="en-IN"/>
        </w:rPr>
        <w:t>TM</w:t>
      </w:r>
      <w:r w:rsidR="00092C90" w:rsidRPr="00183925">
        <w:rPr>
          <w:color w:val="000000" w:themeColor="text1"/>
          <w:sz w:val="24"/>
          <w:szCs w:val="24"/>
          <w:lang w:val="en-IN" w:eastAsia="en-IN"/>
        </w:rPr>
        <w:t xml:space="preserve"> software (2023, Provo, UT, USA)</w:t>
      </w:r>
      <w:r w:rsidR="00092C90" w:rsidRPr="00D85DF7">
        <w:rPr>
          <w:sz w:val="24"/>
          <w:szCs w:val="24"/>
          <w:lang w:eastAsia="en-IN"/>
        </w:rPr>
        <w:t>, in which participants evaluated products based solely on the product information without tasting.</w:t>
      </w:r>
      <w:r w:rsidR="002E37AC" w:rsidRPr="00183925">
        <w:rPr>
          <w:sz w:val="24"/>
          <w:szCs w:val="24"/>
        </w:rPr>
        <w:t xml:space="preserve"> </w:t>
      </w:r>
      <w:r w:rsidR="00EC71C1" w:rsidRPr="00333598">
        <w:rPr>
          <w:sz w:val="24"/>
          <w:szCs w:val="24"/>
          <w:lang w:eastAsia="en-IN"/>
        </w:rPr>
        <w:t>A separate group of participants</w:t>
      </w:r>
      <w:r w:rsidR="006975CF">
        <w:rPr>
          <w:sz w:val="24"/>
          <w:szCs w:val="24"/>
          <w:lang w:eastAsia="en-IN"/>
        </w:rPr>
        <w:t xml:space="preserve"> </w:t>
      </w:r>
      <w:r w:rsidR="00EC71C1" w:rsidRPr="00333598">
        <w:rPr>
          <w:sz w:val="24"/>
          <w:szCs w:val="24"/>
          <w:lang w:eastAsia="en-IN"/>
        </w:rPr>
        <w:t xml:space="preserve">was recruited for the expectation session. </w:t>
      </w:r>
      <w:r w:rsidR="00092C90" w:rsidRPr="00183925">
        <w:rPr>
          <w:sz w:val="24"/>
          <w:szCs w:val="24"/>
        </w:rPr>
        <w:t xml:space="preserve">The ingredient composition and nutritional information of the cheeses are presented in Table </w:t>
      </w:r>
      <w:r w:rsidR="00092C90">
        <w:rPr>
          <w:sz w:val="24"/>
          <w:szCs w:val="24"/>
        </w:rPr>
        <w:t>S</w:t>
      </w:r>
      <w:r w:rsidR="00092C90" w:rsidRPr="00183925">
        <w:rPr>
          <w:sz w:val="24"/>
          <w:szCs w:val="24"/>
        </w:rPr>
        <w:t>1.</w:t>
      </w:r>
      <w:r w:rsidR="002E37AC" w:rsidRPr="00183925">
        <w:rPr>
          <w:sz w:val="24"/>
          <w:szCs w:val="24"/>
        </w:rPr>
        <w:t xml:space="preserve">  </w:t>
      </w:r>
    </w:p>
    <w:p w:rsidR="00FD7020" w:rsidRPr="008E2DA9" w:rsidRDefault="00FD7020" w:rsidP="00FD7020">
      <w:pPr>
        <w:spacing w:before="240" w:after="240" w:line="480" w:lineRule="auto"/>
        <w:jc w:val="both"/>
        <w:rPr>
          <w:sz w:val="24"/>
          <w:szCs w:val="24"/>
        </w:rPr>
      </w:pPr>
      <w:r w:rsidRPr="00D85D94">
        <w:rPr>
          <w:b/>
          <w:bCs/>
          <w:color w:val="000000" w:themeColor="text1"/>
          <w:sz w:val="24"/>
          <w:szCs w:val="24"/>
        </w:rPr>
        <w:t xml:space="preserve">Table </w:t>
      </w:r>
      <w:r>
        <w:rPr>
          <w:b/>
          <w:bCs/>
          <w:color w:val="000000" w:themeColor="text1"/>
          <w:sz w:val="24"/>
          <w:szCs w:val="24"/>
        </w:rPr>
        <w:t>S</w:t>
      </w:r>
      <w:r w:rsidRPr="00D85D94">
        <w:rPr>
          <w:b/>
          <w:bCs/>
          <w:color w:val="000000" w:themeColor="text1"/>
          <w:sz w:val="24"/>
          <w:szCs w:val="24"/>
        </w:rPr>
        <w:t>1</w:t>
      </w:r>
      <w:r>
        <w:rPr>
          <w:color w:val="000000" w:themeColor="text1"/>
          <w:sz w:val="24"/>
          <w:szCs w:val="24"/>
        </w:rPr>
        <w:t xml:space="preserve"> The ingredient composition and nutritional information of the selected samples</w:t>
      </w:r>
    </w:p>
    <w:p w:rsidR="00FD7020" w:rsidRDefault="00FD7020" w:rsidP="00FD7020">
      <w:pPr>
        <w:spacing w:after="240" w:line="480" w:lineRule="auto"/>
        <w:jc w:val="both"/>
        <w:rPr>
          <w:sz w:val="24"/>
          <w:szCs w:val="24"/>
        </w:rPr>
      </w:pPr>
    </w:p>
    <w:p w:rsidR="008A6941" w:rsidRPr="007F243A" w:rsidRDefault="008A6941" w:rsidP="008A6941">
      <w:pPr>
        <w:spacing w:line="360" w:lineRule="auto"/>
        <w:jc w:val="both"/>
        <w:rPr>
          <w:b/>
          <w:bCs/>
          <w:iCs/>
          <w:color w:val="000000" w:themeColor="text1"/>
          <w:sz w:val="24"/>
          <w:szCs w:val="24"/>
          <w:lang w:val="en-IN" w:eastAsia="en-IN"/>
        </w:rPr>
      </w:pPr>
      <w:r w:rsidRPr="007F243A">
        <w:rPr>
          <w:b/>
          <w:bCs/>
          <w:iCs/>
          <w:color w:val="000000" w:themeColor="text1"/>
          <w:sz w:val="24"/>
          <w:szCs w:val="24"/>
          <w:lang w:val="en-IN" w:eastAsia="en-IN"/>
        </w:rPr>
        <w:lastRenderedPageBreak/>
        <w:t xml:space="preserve">Participants </w:t>
      </w:r>
    </w:p>
    <w:p w:rsidR="002E37AC" w:rsidRDefault="00092C90" w:rsidP="002E37AC">
      <w:pPr>
        <w:spacing w:before="240" w:after="240" w:line="480" w:lineRule="auto"/>
        <w:ind w:firstLine="720"/>
        <w:jc w:val="both"/>
        <w:rPr>
          <w:color w:val="000000" w:themeColor="text1"/>
          <w:sz w:val="24"/>
          <w:szCs w:val="24"/>
          <w:lang w:val="en-IN" w:eastAsia="en-IN"/>
        </w:rPr>
      </w:pPr>
      <w:r w:rsidRPr="00D85DF7">
        <w:rPr>
          <w:sz w:val="24"/>
          <w:szCs w:val="24"/>
          <w:lang w:eastAsia="en-IN"/>
        </w:rPr>
        <w:t>A total of 336 participants were evaluated in the three study sessions</w:t>
      </w:r>
      <w:r>
        <w:rPr>
          <w:color w:val="000000" w:themeColor="text1"/>
          <w:sz w:val="24"/>
          <w:szCs w:val="24"/>
          <w:lang w:val="en-IN" w:eastAsia="en-IN"/>
        </w:rPr>
        <w:t>.</w:t>
      </w:r>
      <w:r w:rsidR="00EF40DC">
        <w:rPr>
          <w:color w:val="000000" w:themeColor="text1"/>
          <w:sz w:val="24"/>
          <w:szCs w:val="24"/>
          <w:lang w:val="en-IN" w:eastAsia="en-IN"/>
        </w:rPr>
        <w:t xml:space="preserve"> </w:t>
      </w:r>
      <w:r w:rsidR="00806F35" w:rsidRPr="00333598">
        <w:rPr>
          <w:sz w:val="24"/>
          <w:szCs w:val="24"/>
          <w:lang w:eastAsia="en-IN"/>
        </w:rPr>
        <w:t>Participants who self-reported as healthy adults and confirmed no known allergies or dietary restrictions (e.g., celiac disease, diabetes, or veganism) via a screening questionnaire were considered for the blind and informed sessions</w:t>
      </w:r>
      <w:r w:rsidR="008A6941" w:rsidRPr="00B1256E">
        <w:rPr>
          <w:color w:val="000000" w:themeColor="text1"/>
          <w:sz w:val="24"/>
          <w:szCs w:val="24"/>
          <w:lang w:val="en-IN" w:eastAsia="en-IN"/>
        </w:rPr>
        <w:t xml:space="preserve"> The gender distribution of the population was similar to that of the census (INE, 2023). </w:t>
      </w:r>
      <w:r w:rsidR="00C32783" w:rsidRPr="004E72F9">
        <w:rPr>
          <w:color w:val="000000" w:themeColor="text1"/>
          <w:sz w:val="24"/>
          <w:szCs w:val="24"/>
          <w:lang w:val="en-IN" w:eastAsia="en-IN"/>
        </w:rPr>
        <w:t xml:space="preserve">There were 30% </w:t>
      </w:r>
      <w:r w:rsidR="00C32783">
        <w:rPr>
          <w:color w:val="000000" w:themeColor="text1"/>
          <w:sz w:val="24"/>
          <w:szCs w:val="24"/>
          <w:lang w:val="en-IN" w:eastAsia="en-IN"/>
        </w:rPr>
        <w:t>of the</w:t>
      </w:r>
      <w:r w:rsidR="00C32783" w:rsidRPr="004E72F9">
        <w:rPr>
          <w:color w:val="000000" w:themeColor="text1"/>
          <w:sz w:val="24"/>
          <w:szCs w:val="24"/>
          <w:lang w:val="en-IN" w:eastAsia="en-IN"/>
        </w:rPr>
        <w:t xml:space="preserve"> respondents were aged 18 to 35, 47% were aged 35 to 64, and 2</w:t>
      </w:r>
      <w:r w:rsidR="00C32783">
        <w:rPr>
          <w:color w:val="000000" w:themeColor="text1"/>
          <w:sz w:val="24"/>
          <w:szCs w:val="24"/>
          <w:lang w:val="en-IN" w:eastAsia="en-IN"/>
        </w:rPr>
        <w:t>3</w:t>
      </w:r>
      <w:r w:rsidR="00C32783" w:rsidRPr="004E72F9">
        <w:rPr>
          <w:color w:val="000000" w:themeColor="text1"/>
          <w:sz w:val="24"/>
          <w:szCs w:val="24"/>
          <w:lang w:val="en-IN" w:eastAsia="en-IN"/>
        </w:rPr>
        <w:t>% were aged 65 or older.</w:t>
      </w:r>
      <w:r w:rsidR="008A6941" w:rsidRPr="004E72F9">
        <w:rPr>
          <w:color w:val="000000" w:themeColor="text1"/>
          <w:sz w:val="24"/>
          <w:szCs w:val="24"/>
          <w:lang w:val="en-IN" w:eastAsia="en-IN"/>
        </w:rPr>
        <w:t xml:space="preserve"> </w:t>
      </w:r>
      <w:r w:rsidR="00C32783">
        <w:rPr>
          <w:color w:val="000000" w:themeColor="text1"/>
          <w:sz w:val="24"/>
          <w:szCs w:val="24"/>
          <w:lang w:val="en-IN" w:eastAsia="en-IN"/>
        </w:rPr>
        <w:t>The ethics</w:t>
      </w:r>
      <w:r w:rsidR="00C32783" w:rsidRPr="004E72F9">
        <w:rPr>
          <w:color w:val="000000" w:themeColor="text1"/>
          <w:sz w:val="24"/>
          <w:szCs w:val="24"/>
          <w:lang w:val="en-IN" w:eastAsia="en-IN"/>
        </w:rPr>
        <w:t xml:space="preserve"> committee </w:t>
      </w:r>
      <w:r w:rsidR="00C32783">
        <w:rPr>
          <w:color w:val="000000" w:themeColor="text1"/>
          <w:sz w:val="24"/>
          <w:szCs w:val="24"/>
          <w:lang w:val="en-IN" w:eastAsia="en-IN"/>
        </w:rPr>
        <w:t>of the</w:t>
      </w:r>
      <w:r w:rsidR="00C32783" w:rsidRPr="004E72F9">
        <w:rPr>
          <w:color w:val="000000" w:themeColor="text1"/>
          <w:sz w:val="24"/>
          <w:szCs w:val="24"/>
          <w:lang w:val="en-IN" w:eastAsia="en-IN"/>
        </w:rPr>
        <w:t xml:space="preserve"> Un</w:t>
      </w:r>
      <w:r w:rsidR="00C32783">
        <w:rPr>
          <w:color w:val="000000" w:themeColor="text1"/>
          <w:sz w:val="24"/>
          <w:szCs w:val="24"/>
          <w:lang w:val="en-IN" w:eastAsia="en-IN"/>
        </w:rPr>
        <w:t>iversidad Catolica del Uruguay (</w:t>
      </w:r>
      <w:r w:rsidR="00C32783" w:rsidRPr="004E72F9">
        <w:rPr>
          <w:color w:val="000000" w:themeColor="text1"/>
          <w:sz w:val="24"/>
          <w:szCs w:val="24"/>
          <w:lang w:val="en-IN" w:eastAsia="en-IN"/>
        </w:rPr>
        <w:t>Solcomet 74</w:t>
      </w:r>
      <w:r w:rsidR="00C32783">
        <w:rPr>
          <w:color w:val="000000" w:themeColor="text1"/>
          <w:sz w:val="24"/>
          <w:szCs w:val="24"/>
          <w:lang w:val="en-IN" w:eastAsia="en-IN"/>
        </w:rPr>
        <w:t xml:space="preserve">) </w:t>
      </w:r>
      <w:r w:rsidR="00C32783" w:rsidRPr="004E72F9">
        <w:rPr>
          <w:color w:val="000000" w:themeColor="text1"/>
          <w:sz w:val="24"/>
          <w:szCs w:val="24"/>
          <w:lang w:val="en-IN" w:eastAsia="en-IN"/>
        </w:rPr>
        <w:t xml:space="preserve">reviewed and approved the study, which was conducted with the informed consent </w:t>
      </w:r>
      <w:r w:rsidR="00C32783">
        <w:rPr>
          <w:color w:val="000000" w:themeColor="text1"/>
          <w:sz w:val="24"/>
          <w:szCs w:val="24"/>
          <w:lang w:val="en-IN" w:eastAsia="en-IN"/>
        </w:rPr>
        <w:t>of</w:t>
      </w:r>
      <w:r w:rsidR="00C32783" w:rsidRPr="004E72F9">
        <w:rPr>
          <w:color w:val="000000" w:themeColor="text1"/>
          <w:sz w:val="24"/>
          <w:szCs w:val="24"/>
          <w:lang w:val="en-IN" w:eastAsia="en-IN"/>
        </w:rPr>
        <w:t xml:space="preserve"> all subjects.</w:t>
      </w:r>
      <w:r w:rsidR="008A6941" w:rsidRPr="004E72F9">
        <w:rPr>
          <w:color w:val="000000" w:themeColor="text1"/>
          <w:sz w:val="24"/>
          <w:szCs w:val="24"/>
          <w:lang w:val="en-IN" w:eastAsia="en-IN"/>
        </w:rPr>
        <w:t xml:space="preserve"> Names and </w:t>
      </w:r>
      <w:r w:rsidR="008A6941">
        <w:rPr>
          <w:color w:val="000000" w:themeColor="text1"/>
          <w:sz w:val="24"/>
          <w:szCs w:val="24"/>
          <w:lang w:val="en-IN" w:eastAsia="en-IN"/>
        </w:rPr>
        <w:t>identification</w:t>
      </w:r>
      <w:r w:rsidR="008A6941" w:rsidRPr="004E72F9">
        <w:rPr>
          <w:color w:val="000000" w:themeColor="text1"/>
          <w:sz w:val="24"/>
          <w:szCs w:val="24"/>
          <w:lang w:val="en-IN" w:eastAsia="en-IN"/>
        </w:rPr>
        <w:t xml:space="preserve"> information about participants will not be recorded, so their identities will remain anonymous.</w:t>
      </w:r>
    </w:p>
    <w:p w:rsidR="007F243A" w:rsidRPr="002E37AC" w:rsidRDefault="008A6941" w:rsidP="002E37AC">
      <w:pPr>
        <w:spacing w:before="240" w:after="240" w:line="480" w:lineRule="auto"/>
        <w:jc w:val="both"/>
        <w:rPr>
          <w:color w:val="000000" w:themeColor="text1"/>
          <w:sz w:val="32"/>
          <w:szCs w:val="32"/>
          <w:lang w:val="en-IN" w:eastAsia="en-IN"/>
        </w:rPr>
      </w:pPr>
      <w:r w:rsidRPr="002E37AC">
        <w:rPr>
          <w:rStyle w:val="Strong"/>
          <w:rFonts w:eastAsiaTheme="majorEastAsia"/>
          <w:sz w:val="24"/>
          <w:szCs w:val="24"/>
        </w:rPr>
        <w:t>Selection and Presentation of Samples</w:t>
      </w:r>
    </w:p>
    <w:p w:rsidR="008A6941" w:rsidRDefault="00C32783" w:rsidP="002E37AC">
      <w:pPr>
        <w:pStyle w:val="NormalWeb"/>
        <w:spacing w:line="480" w:lineRule="auto"/>
        <w:jc w:val="both"/>
      </w:pPr>
      <w:r>
        <w:t>Cheese products were selected based on their availability in local markets, nutritional profiles, and taste.</w:t>
      </w:r>
      <w:r w:rsidR="008A6941">
        <w:t xml:space="preserve"> </w:t>
      </w:r>
      <w:r>
        <w:t>Mozzarella cheese was selected for this study because it is widely consumed in Uruguay.</w:t>
      </w:r>
      <w:r w:rsidR="00076240">
        <w:t xml:space="preserve"> During the study period, the selection of plant-based cheeses was limited to three, as no other suitable commercial alternatives were available in the Uruguayan market.</w:t>
      </w:r>
      <w:r w:rsidR="00076240">
        <w:rPr>
          <w:rFonts w:ascii="Georgia" w:hAnsi="Georgia"/>
          <w:color w:val="1F1F1F"/>
        </w:rPr>
        <w:t xml:space="preserve"> </w:t>
      </w:r>
      <w:r>
        <w:t>A dairy-based mozzarella cheese from a leading brand was used as the control sample (DB).</w:t>
      </w:r>
      <w:r w:rsidR="008A6941">
        <w:t xml:space="preserve"> </w:t>
      </w:r>
      <w:r>
        <w:t xml:space="preserve">Three plant-based cheeses were also included: two labelled as “mozzarella-style” alternatives (PB2 and PB3), which were sensorially similar to the dairy-based cheese, </w:t>
      </w:r>
      <w:r w:rsidR="00EF40DC" w:rsidRPr="00D85DF7">
        <w:t>and one analog (PB1), classified as such because of the presence of lactic culture in its ingredient list, which typically contributes to fermentation and specific flavor profiles distinct from direct alternatives</w:t>
      </w:r>
      <w:r w:rsidR="0033126A">
        <w:t xml:space="preserve"> [1]</w:t>
      </w:r>
      <w:r w:rsidR="00EF40DC" w:rsidRPr="00D85DF7">
        <w:t>.</w:t>
      </w:r>
      <w:r w:rsidR="00EF40DC">
        <w:t xml:space="preserve"> </w:t>
      </w:r>
      <w:r>
        <w:t xml:space="preserve">Thus, plant-based cheeses were categorized as </w:t>
      </w:r>
      <w:r w:rsidRPr="00DA3FEF">
        <w:rPr>
          <w:rStyle w:val="Emphasis"/>
          <w:i w:val="0"/>
          <w:iCs w:val="0"/>
        </w:rPr>
        <w:t>sensorially similar alternatives</w:t>
      </w:r>
      <w:r w:rsidRPr="00DA3FEF">
        <w:rPr>
          <w:i/>
          <w:iCs/>
        </w:rPr>
        <w:t xml:space="preserve"> </w:t>
      </w:r>
      <w:r w:rsidRPr="00DA3FEF">
        <w:t>(PB2 and PB3)</w:t>
      </w:r>
      <w:r w:rsidRPr="00DA3FEF">
        <w:rPr>
          <w:i/>
          <w:iCs/>
        </w:rPr>
        <w:t xml:space="preserve"> </w:t>
      </w:r>
      <w:r w:rsidRPr="00DA3FEF">
        <w:t>or as an</w:t>
      </w:r>
      <w:r w:rsidRPr="00DA3FEF">
        <w:rPr>
          <w:i/>
          <w:iCs/>
        </w:rPr>
        <w:t xml:space="preserve"> </w:t>
      </w:r>
      <w:r w:rsidRPr="00DA3FEF">
        <w:rPr>
          <w:rStyle w:val="Emphasis"/>
          <w:i w:val="0"/>
          <w:iCs w:val="0"/>
        </w:rPr>
        <w:t>analog option</w:t>
      </w:r>
      <w:r>
        <w:t xml:space="preserve"> (PB1).</w:t>
      </w:r>
      <w:r w:rsidR="008A6941">
        <w:t xml:space="preserve"> </w:t>
      </w:r>
      <w:r>
        <w:t>The samples were stored under refrigeration (4 °C) until sensory testing.</w:t>
      </w:r>
      <w:r w:rsidR="008A6941">
        <w:t xml:space="preserve"> </w:t>
      </w:r>
      <w:r>
        <w:t xml:space="preserve">On the day of testing, samples (7–10 g) were placed in plastic containers and served in individual sensory booths under controlled lighting and temperature conditions, coded with </w:t>
      </w:r>
      <w:r>
        <w:lastRenderedPageBreak/>
        <w:t>random three-digit numbers, and presented in a balanced sequence to minimize order effects.</w:t>
      </w:r>
      <w:r w:rsidR="008A6941">
        <w:t xml:space="preserve"> </w:t>
      </w:r>
      <w:r>
        <w:t>The participants received filtered water between samples to cleanse their palates.</w:t>
      </w:r>
    </w:p>
    <w:p w:rsidR="008A6941" w:rsidRPr="007F243A" w:rsidRDefault="008A6941" w:rsidP="008A6941">
      <w:pPr>
        <w:spacing w:before="240" w:after="240" w:line="360" w:lineRule="auto"/>
        <w:jc w:val="both"/>
        <w:rPr>
          <w:b/>
          <w:bCs/>
          <w:iCs/>
          <w:color w:val="000000" w:themeColor="text1"/>
          <w:sz w:val="24"/>
          <w:szCs w:val="24"/>
          <w:lang w:val="en-IN" w:eastAsia="en-IN"/>
        </w:rPr>
      </w:pPr>
      <w:r w:rsidRPr="007F243A">
        <w:rPr>
          <w:b/>
          <w:bCs/>
          <w:iCs/>
          <w:color w:val="000000" w:themeColor="text1"/>
          <w:sz w:val="24"/>
          <w:szCs w:val="24"/>
          <w:lang w:val="en-IN" w:eastAsia="en-IN"/>
        </w:rPr>
        <w:t xml:space="preserve">Preliminary sensory evaluation for selecting Check-all-that-apply (CATA) terms </w:t>
      </w:r>
    </w:p>
    <w:p w:rsidR="008A6941" w:rsidRDefault="00C32783" w:rsidP="00845ABD">
      <w:pPr>
        <w:spacing w:before="240" w:after="240" w:line="480" w:lineRule="auto"/>
        <w:jc w:val="both"/>
        <w:rPr>
          <w:sz w:val="24"/>
          <w:szCs w:val="24"/>
        </w:rPr>
      </w:pPr>
      <w:r w:rsidRPr="0068011C">
        <w:rPr>
          <w:sz w:val="24"/>
          <w:szCs w:val="24"/>
        </w:rPr>
        <w:t xml:space="preserve">CATA terms were generated during a preliminary session with 12 food </w:t>
      </w:r>
      <w:r>
        <w:rPr>
          <w:sz w:val="24"/>
          <w:szCs w:val="24"/>
        </w:rPr>
        <w:t xml:space="preserve">science </w:t>
      </w:r>
      <w:r w:rsidRPr="0068011C">
        <w:rPr>
          <w:sz w:val="24"/>
          <w:szCs w:val="24"/>
        </w:rPr>
        <w:t>experts</w:t>
      </w:r>
      <w:r w:rsidRPr="00BA15E7">
        <w:rPr>
          <w:sz w:val="24"/>
          <w:szCs w:val="24"/>
        </w:rPr>
        <w:t>.</w:t>
      </w:r>
      <w:r w:rsidR="008A6941" w:rsidRPr="0068011C">
        <w:rPr>
          <w:sz w:val="24"/>
          <w:szCs w:val="24"/>
        </w:rPr>
        <w:t xml:space="preserve"> </w:t>
      </w:r>
      <w:r w:rsidRPr="00C51C97">
        <w:rPr>
          <w:sz w:val="24"/>
          <w:szCs w:val="24"/>
        </w:rPr>
        <w:t>Consumer-friendly terms were selected based on their ability to describe and discriminate between the samples.</w:t>
      </w:r>
      <w:r w:rsidR="008A6941">
        <w:t xml:space="preserve"> </w:t>
      </w:r>
      <w:r w:rsidRPr="0068011C">
        <w:rPr>
          <w:sz w:val="24"/>
          <w:szCs w:val="24"/>
        </w:rPr>
        <w:t xml:space="preserve">Sensory </w:t>
      </w:r>
      <w:r>
        <w:rPr>
          <w:sz w:val="24"/>
          <w:szCs w:val="24"/>
        </w:rPr>
        <w:t>attributes</w:t>
      </w:r>
      <w:r w:rsidRPr="0068011C">
        <w:rPr>
          <w:sz w:val="24"/>
          <w:szCs w:val="24"/>
        </w:rPr>
        <w:t xml:space="preserve"> reflect the product properties of appearance, texture, </w:t>
      </w:r>
      <w:r w:rsidRPr="00BA15E7">
        <w:rPr>
          <w:sz w:val="24"/>
          <w:szCs w:val="24"/>
        </w:rPr>
        <w:t>and flavor</w:t>
      </w:r>
      <w:r>
        <w:rPr>
          <w:sz w:val="24"/>
          <w:szCs w:val="24"/>
        </w:rPr>
        <w:t>.</w:t>
      </w:r>
      <w:r w:rsidR="00845ABD">
        <w:rPr>
          <w:sz w:val="24"/>
          <w:szCs w:val="24"/>
        </w:rPr>
        <w:t xml:space="preserve"> </w:t>
      </w:r>
      <w:r w:rsidRPr="00FD244B">
        <w:rPr>
          <w:sz w:val="24"/>
          <w:szCs w:val="24"/>
        </w:rPr>
        <w:t>In addition to these intrinsic product descriptors, a set of non-sensory conceptual terms was included to capture consumer perceptions related to extrinsic cues such as health, processing, and product image.</w:t>
      </w:r>
      <w:r w:rsidR="008A6941" w:rsidRPr="00FD244B">
        <w:rPr>
          <w:sz w:val="24"/>
          <w:szCs w:val="24"/>
        </w:rPr>
        <w:t xml:space="preserve"> </w:t>
      </w:r>
      <w:r w:rsidRPr="00FD244B">
        <w:rPr>
          <w:sz w:val="24"/>
          <w:szCs w:val="24"/>
        </w:rPr>
        <w:t>The terms were organized into four categories: health and nutrition</w:t>
      </w:r>
      <w:r>
        <w:rPr>
          <w:sz w:val="24"/>
          <w:szCs w:val="24"/>
        </w:rPr>
        <w:t>,</w:t>
      </w:r>
      <w:r w:rsidRPr="00FD244B">
        <w:rPr>
          <w:sz w:val="24"/>
          <w:szCs w:val="24"/>
        </w:rPr>
        <w:t xml:space="preserve"> naturalness and processing,</w:t>
      </w:r>
      <w:r>
        <w:rPr>
          <w:sz w:val="24"/>
          <w:szCs w:val="24"/>
        </w:rPr>
        <w:t xml:space="preserve"> </w:t>
      </w:r>
      <w:r w:rsidRPr="00D51F91">
        <w:rPr>
          <w:sz w:val="24"/>
          <w:szCs w:val="24"/>
        </w:rPr>
        <w:t>quality and value</w:t>
      </w:r>
      <w:r>
        <w:rPr>
          <w:sz w:val="24"/>
          <w:szCs w:val="24"/>
        </w:rPr>
        <w:t xml:space="preserve">, </w:t>
      </w:r>
      <w:r w:rsidRPr="00D51F91">
        <w:rPr>
          <w:sz w:val="24"/>
          <w:szCs w:val="24"/>
        </w:rPr>
        <w:t>and packaging and image.</w:t>
      </w:r>
      <w:r w:rsidR="008A6941">
        <w:rPr>
          <w:sz w:val="24"/>
          <w:szCs w:val="24"/>
        </w:rPr>
        <w:t xml:space="preserve"> </w:t>
      </w:r>
      <w:r w:rsidR="00092C90" w:rsidRPr="0068011C">
        <w:rPr>
          <w:sz w:val="24"/>
          <w:szCs w:val="24"/>
        </w:rPr>
        <w:t xml:space="preserve">Furthermore, an extensive literature review was conducted to complement the terminology that would subsequently be provided to consumers in various </w:t>
      </w:r>
      <w:r w:rsidR="00092C90" w:rsidRPr="00C11A25">
        <w:rPr>
          <w:sz w:val="24"/>
          <w:szCs w:val="24"/>
        </w:rPr>
        <w:t>sessions [</w:t>
      </w:r>
      <w:r w:rsidR="0033126A">
        <w:rPr>
          <w:sz w:val="24"/>
          <w:szCs w:val="24"/>
        </w:rPr>
        <w:t>2</w:t>
      </w:r>
      <w:r w:rsidR="00092C90" w:rsidRPr="00C11A25">
        <w:rPr>
          <w:sz w:val="24"/>
          <w:szCs w:val="24"/>
        </w:rPr>
        <w:t>-</w:t>
      </w:r>
      <w:r w:rsidR="0033126A">
        <w:rPr>
          <w:sz w:val="24"/>
          <w:szCs w:val="24"/>
        </w:rPr>
        <w:t>6</w:t>
      </w:r>
      <w:r w:rsidR="00092C90" w:rsidRPr="00C11A25">
        <w:rPr>
          <w:sz w:val="24"/>
          <w:szCs w:val="24"/>
        </w:rPr>
        <w:t>]</w:t>
      </w:r>
      <w:r w:rsidR="00092C90">
        <w:rPr>
          <w:sz w:val="24"/>
          <w:szCs w:val="24"/>
        </w:rPr>
        <w:t>.</w:t>
      </w:r>
      <w:r w:rsidR="00A74E93" w:rsidRPr="00A74E93">
        <w:rPr>
          <w:sz w:val="24"/>
          <w:szCs w:val="24"/>
          <w:lang w:eastAsia="en-IN"/>
        </w:rPr>
        <w:t xml:space="preserve"> </w:t>
      </w:r>
      <w:r w:rsidR="0073410B" w:rsidRPr="00333598">
        <w:rPr>
          <w:sz w:val="24"/>
          <w:szCs w:val="24"/>
          <w:lang w:eastAsia="en-IN"/>
        </w:rPr>
        <w:t>CATA questionnaires were applied differentially across sessions: sensory descriptors were used only in the blind session, while non-sensory conceptual terms were used only in the expected session (Supplementary Materials 2, Table S1). CATA was not utilized in the informed session.</w:t>
      </w:r>
    </w:p>
    <w:p w:rsidR="008A6941" w:rsidRPr="007F243A" w:rsidRDefault="008A6941" w:rsidP="008A6941">
      <w:pPr>
        <w:spacing w:before="240" w:after="240" w:line="360" w:lineRule="auto"/>
        <w:jc w:val="both"/>
        <w:rPr>
          <w:b/>
          <w:bCs/>
          <w:sz w:val="24"/>
          <w:szCs w:val="24"/>
        </w:rPr>
      </w:pPr>
      <w:r w:rsidRPr="007F243A">
        <w:rPr>
          <w:b/>
          <w:bCs/>
          <w:sz w:val="24"/>
          <w:szCs w:val="24"/>
        </w:rPr>
        <w:t>Data collection</w:t>
      </w:r>
    </w:p>
    <w:p w:rsidR="00460D82" w:rsidRDefault="001B0075" w:rsidP="00460D82">
      <w:pPr>
        <w:spacing w:before="240" w:after="240" w:line="480" w:lineRule="auto"/>
        <w:jc w:val="both"/>
        <w:rPr>
          <w:sz w:val="24"/>
          <w:szCs w:val="24"/>
        </w:rPr>
      </w:pPr>
      <w:r w:rsidRPr="00D85DF7">
        <w:rPr>
          <w:sz w:val="24"/>
          <w:szCs w:val="24"/>
          <w:lang w:eastAsia="en-IN"/>
        </w:rPr>
        <w:t>The blind and informed sessions were conducted in July 2024 with the same participants. The expected session was conducted online from July to August 2024.</w:t>
      </w:r>
      <w:r w:rsidR="008A6941" w:rsidRPr="00544EAA">
        <w:rPr>
          <w:sz w:val="24"/>
          <w:szCs w:val="24"/>
        </w:rPr>
        <w:t xml:space="preserve"> </w:t>
      </w:r>
      <w:r w:rsidR="00C32783">
        <w:rPr>
          <w:sz w:val="24"/>
          <w:szCs w:val="24"/>
        </w:rPr>
        <w:t>After tasting the samples in b</w:t>
      </w:r>
      <w:r w:rsidR="00C32783" w:rsidRPr="00544EAA">
        <w:rPr>
          <w:sz w:val="24"/>
          <w:szCs w:val="24"/>
        </w:rPr>
        <w:t>lind and informed sessions, the participants completed a questionnaire to assess their sensory perception and purchase intention.</w:t>
      </w:r>
      <w:r w:rsidR="008A6941" w:rsidRPr="00544EAA">
        <w:rPr>
          <w:sz w:val="24"/>
          <w:szCs w:val="24"/>
        </w:rPr>
        <w:t xml:space="preserve"> Overall acceptability was measured using a structured nine-point hedonic scale (1 = “dislike very much,” 5 = “neither like nor dislike,” 9 = “like very much”), and purchase intention was assessed using a seven-point </w:t>
      </w:r>
      <w:r w:rsidR="008A6941" w:rsidRPr="00894D40">
        <w:rPr>
          <w:sz w:val="24"/>
          <w:szCs w:val="24"/>
        </w:rPr>
        <w:t>scale</w:t>
      </w:r>
      <w:r w:rsidR="008A6941" w:rsidRPr="00544EAA">
        <w:rPr>
          <w:sz w:val="24"/>
          <w:szCs w:val="24"/>
        </w:rPr>
        <w:t xml:space="preserve"> (1 = “would definitely not buy,” 7 = “would definitely buy”).</w:t>
      </w:r>
      <w:bookmarkStart w:id="1" w:name="_Hlk207376600"/>
      <w:r w:rsidR="00A74E93" w:rsidRPr="00A74E93">
        <w:rPr>
          <w:sz w:val="24"/>
          <w:szCs w:val="24"/>
          <w:lang w:eastAsia="en-IN"/>
        </w:rPr>
        <w:t xml:space="preserve"> </w:t>
      </w:r>
    </w:p>
    <w:bookmarkEnd w:id="1"/>
    <w:p w:rsidR="008A6941" w:rsidRDefault="0056762F" w:rsidP="00845ABD">
      <w:pPr>
        <w:spacing w:before="240" w:after="240" w:line="480" w:lineRule="auto"/>
        <w:jc w:val="both"/>
        <w:rPr>
          <w:sz w:val="24"/>
          <w:szCs w:val="24"/>
          <w:lang w:val="en-IN"/>
        </w:rPr>
      </w:pPr>
      <w:r w:rsidRPr="00F569E0">
        <w:rPr>
          <w:sz w:val="24"/>
          <w:szCs w:val="24"/>
          <w:lang w:val="en-IN"/>
        </w:rPr>
        <w:lastRenderedPageBreak/>
        <w:t>In the expected session</w:t>
      </w:r>
      <w:r>
        <w:rPr>
          <w:sz w:val="24"/>
          <w:szCs w:val="24"/>
          <w:lang w:val="en-IN"/>
        </w:rPr>
        <w:t xml:space="preserve"> (survey)</w:t>
      </w:r>
      <w:r w:rsidRPr="00F569E0">
        <w:rPr>
          <w:sz w:val="24"/>
          <w:szCs w:val="24"/>
          <w:lang w:val="en-IN"/>
        </w:rPr>
        <w:t>, participants evaluated products based solely on extrinsic information, including packaging and nutritional information</w:t>
      </w:r>
      <w:r w:rsidRPr="00AA3DC2">
        <w:rPr>
          <w:sz w:val="24"/>
          <w:szCs w:val="24"/>
          <w:lang w:val="en-IN"/>
        </w:rPr>
        <w:t>.</w:t>
      </w:r>
      <w:r w:rsidR="008A6941" w:rsidRPr="00F569E0">
        <w:rPr>
          <w:sz w:val="24"/>
          <w:szCs w:val="24"/>
          <w:lang w:val="en-IN"/>
        </w:rPr>
        <w:t xml:space="preserve"> Purchase intention was first assessed using a seven-point scale (1 = “would definitely not buy,” 7 = “would definitely buy”), consistent with the blind and informed sessions. To further capture consumer motivations, participants rated the perceived </w:t>
      </w:r>
      <w:r w:rsidR="00A74E93">
        <w:rPr>
          <w:sz w:val="24"/>
          <w:szCs w:val="24"/>
          <w:lang w:val="en-IN"/>
        </w:rPr>
        <w:t>health</w:t>
      </w:r>
      <w:r w:rsidR="008A6941" w:rsidRPr="00F569E0">
        <w:rPr>
          <w:sz w:val="24"/>
          <w:szCs w:val="24"/>
          <w:lang w:val="en-IN"/>
        </w:rPr>
        <w:t xml:space="preserve">iness of the products on a seven-point scale (1 = “not at all </w:t>
      </w:r>
      <w:r w:rsidR="00064EA6">
        <w:rPr>
          <w:sz w:val="24"/>
          <w:szCs w:val="24"/>
          <w:lang w:val="en-IN"/>
        </w:rPr>
        <w:t>healthy</w:t>
      </w:r>
      <w:r w:rsidR="008A6941" w:rsidRPr="00F569E0">
        <w:rPr>
          <w:sz w:val="24"/>
          <w:szCs w:val="24"/>
          <w:lang w:val="en-IN"/>
        </w:rPr>
        <w:t xml:space="preserve">,” 7 = “completely </w:t>
      </w:r>
      <w:r w:rsidR="00064EA6">
        <w:rPr>
          <w:sz w:val="24"/>
          <w:szCs w:val="24"/>
          <w:lang w:val="en-IN"/>
        </w:rPr>
        <w:t>healthy</w:t>
      </w:r>
      <w:r w:rsidR="008A6941" w:rsidRPr="00F569E0">
        <w:rPr>
          <w:sz w:val="24"/>
          <w:szCs w:val="24"/>
          <w:lang w:val="en-IN"/>
        </w:rPr>
        <w:t xml:space="preserve">”). This measure was included to </w:t>
      </w:r>
      <w:r w:rsidR="008A6941">
        <w:rPr>
          <w:sz w:val="24"/>
          <w:szCs w:val="24"/>
          <w:lang w:val="en-IN"/>
        </w:rPr>
        <w:t>address growing consumer concerns</w:t>
      </w:r>
      <w:r w:rsidR="008A6941" w:rsidRPr="00F569E0">
        <w:rPr>
          <w:sz w:val="24"/>
          <w:szCs w:val="24"/>
          <w:lang w:val="en-IN"/>
        </w:rPr>
        <w:t xml:space="preserve"> regarding the </w:t>
      </w:r>
      <w:r w:rsidR="00064EA6">
        <w:rPr>
          <w:sz w:val="24"/>
          <w:szCs w:val="24"/>
          <w:lang w:val="en-IN"/>
        </w:rPr>
        <w:t>health</w:t>
      </w:r>
      <w:r w:rsidR="008A6941" w:rsidRPr="00F569E0">
        <w:rPr>
          <w:sz w:val="24"/>
          <w:szCs w:val="24"/>
          <w:lang w:val="en-IN"/>
        </w:rPr>
        <w:t xml:space="preserve"> </w:t>
      </w:r>
      <w:r w:rsidR="00064EA6">
        <w:rPr>
          <w:sz w:val="24"/>
          <w:szCs w:val="24"/>
          <w:lang w:val="en-IN"/>
        </w:rPr>
        <w:t>and nutrition perception of PBCAs</w:t>
      </w:r>
      <w:r w:rsidR="008A6941">
        <w:rPr>
          <w:sz w:val="24"/>
          <w:szCs w:val="24"/>
          <w:lang w:val="en-IN"/>
        </w:rPr>
        <w:t xml:space="preserve"> </w:t>
      </w:r>
      <w:sdt>
        <w:sdtPr>
          <w:rPr>
            <w:color w:val="000000"/>
            <w:sz w:val="24"/>
            <w:szCs w:val="24"/>
            <w:lang w:val="en-IN"/>
          </w:rPr>
          <w:tag w:val="MENDELEY_CITATION_v3_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"/>
          <w:id w:val="-1347712368"/>
          <w:placeholder>
            <w:docPart w:val="8FC4539014FA43489F0408DEFA08C668"/>
          </w:placeholder>
        </w:sdtPr>
        <w:sdtContent>
          <w:r w:rsidR="00C11A25" w:rsidRPr="00C11A25">
            <w:rPr>
              <w:color w:val="000000"/>
              <w:sz w:val="24"/>
              <w:szCs w:val="24"/>
              <w:lang w:val="en-IN"/>
            </w:rPr>
            <w:t>[</w:t>
          </w:r>
          <w:r w:rsidR="0033126A">
            <w:rPr>
              <w:color w:val="000000"/>
              <w:sz w:val="24"/>
              <w:szCs w:val="24"/>
              <w:lang w:val="en-IN"/>
            </w:rPr>
            <w:t>7</w:t>
          </w:r>
          <w:r w:rsidR="00C11A25" w:rsidRPr="00C11A25">
            <w:rPr>
              <w:color w:val="000000"/>
              <w:sz w:val="24"/>
              <w:szCs w:val="24"/>
              <w:lang w:val="en-IN"/>
            </w:rPr>
            <w:t>]</w:t>
          </w:r>
        </w:sdtContent>
      </w:sdt>
      <w:r w:rsidR="008A6941" w:rsidRPr="008B141D">
        <w:rPr>
          <w:b/>
          <w:bCs/>
          <w:sz w:val="24"/>
          <w:szCs w:val="24"/>
          <w:lang w:val="en-IN"/>
        </w:rPr>
        <w:t>.</w:t>
      </w:r>
    </w:p>
    <w:p w:rsidR="008A6941" w:rsidRDefault="008A6941" w:rsidP="00845ABD">
      <w:pPr>
        <w:spacing w:before="240" w:after="240" w:line="480" w:lineRule="auto"/>
        <w:jc w:val="both"/>
        <w:rPr>
          <w:sz w:val="24"/>
          <w:szCs w:val="24"/>
          <w:lang w:val="en-IN"/>
        </w:rPr>
      </w:pPr>
      <w:r w:rsidRPr="00001220">
        <w:rPr>
          <w:sz w:val="24"/>
          <w:szCs w:val="24"/>
          <w:lang w:val="en-IN"/>
        </w:rPr>
        <w:t>To extend the range of evaluative criteria, additional CATA terms</w:t>
      </w:r>
      <w:r w:rsidRPr="00F569E0">
        <w:rPr>
          <w:sz w:val="24"/>
          <w:szCs w:val="24"/>
          <w:lang w:val="en-IN"/>
        </w:rPr>
        <w:t xml:space="preserve"> related to trust, environmental sustainability, and consumption intention were incorporated </w:t>
      </w:r>
      <w:r w:rsidR="00056A5E" w:rsidRPr="00333598">
        <w:rPr>
          <w:sz w:val="24"/>
          <w:szCs w:val="24"/>
          <w:lang w:eastAsia="en-IN"/>
        </w:rPr>
        <w:t>(Supplementary Materials 2, Table S</w:t>
      </w:r>
      <w:r w:rsidR="00056A5E">
        <w:rPr>
          <w:sz w:val="24"/>
          <w:szCs w:val="24"/>
          <w:lang w:eastAsia="en-IN"/>
        </w:rPr>
        <w:t>3</w:t>
      </w:r>
      <w:r w:rsidR="00056A5E" w:rsidRPr="00333598">
        <w:rPr>
          <w:sz w:val="24"/>
          <w:szCs w:val="24"/>
          <w:lang w:eastAsia="en-IN"/>
        </w:rPr>
        <w:t>).</w:t>
      </w:r>
      <w:r w:rsidRPr="00F569E0">
        <w:rPr>
          <w:sz w:val="24"/>
          <w:szCs w:val="24"/>
          <w:lang w:val="en-IN"/>
        </w:rPr>
        <w:t>), including: “</w:t>
      </w:r>
      <w:r>
        <w:rPr>
          <w:sz w:val="24"/>
          <w:szCs w:val="24"/>
          <w:lang w:val="en-IN"/>
        </w:rPr>
        <w:t>I would never consume a product like this</w:t>
      </w:r>
      <w:r w:rsidRPr="00F569E0">
        <w:rPr>
          <w:sz w:val="24"/>
          <w:szCs w:val="24"/>
          <w:lang w:val="en-IN"/>
        </w:rPr>
        <w:t xml:space="preserve">,” “I do not trust these ingredients,” “It is good for the environment,” and “I could adopt this product for my regular consumption.” </w:t>
      </w:r>
      <w:r w:rsidR="00C32783" w:rsidRPr="00F569E0">
        <w:rPr>
          <w:sz w:val="24"/>
          <w:szCs w:val="24"/>
          <w:lang w:val="en-IN"/>
        </w:rPr>
        <w:t xml:space="preserve">Sociodemographic data were also collected, including net monthly income, household composition, education level, place of residence, dietary habits (diet type and dietary restrictions), and frequency of consumption of </w:t>
      </w:r>
      <w:r w:rsidR="00C32783">
        <w:rPr>
          <w:sz w:val="24"/>
          <w:szCs w:val="24"/>
          <w:lang w:val="en-IN"/>
        </w:rPr>
        <w:t xml:space="preserve">dairy-based </w:t>
      </w:r>
      <w:r w:rsidR="00C32783" w:rsidRPr="00F569E0">
        <w:rPr>
          <w:sz w:val="24"/>
          <w:szCs w:val="24"/>
          <w:lang w:val="en-IN"/>
        </w:rPr>
        <w:t xml:space="preserve">mozzarella cheese and plant-based </w:t>
      </w:r>
      <w:r w:rsidR="00C32783">
        <w:rPr>
          <w:sz w:val="24"/>
          <w:szCs w:val="24"/>
          <w:lang w:val="en-IN"/>
        </w:rPr>
        <w:t>cheese</w:t>
      </w:r>
      <w:r w:rsidR="00C32783" w:rsidRPr="00F569E0">
        <w:rPr>
          <w:sz w:val="24"/>
          <w:szCs w:val="24"/>
          <w:lang w:val="en-IN"/>
        </w:rPr>
        <w:t>.</w:t>
      </w:r>
      <w:r w:rsidRPr="00F569E0">
        <w:rPr>
          <w:sz w:val="24"/>
          <w:szCs w:val="24"/>
          <w:lang w:val="en-IN"/>
        </w:rPr>
        <w:t xml:space="preserve"> </w:t>
      </w:r>
      <w:r w:rsidR="00C32783" w:rsidRPr="00F569E0">
        <w:rPr>
          <w:sz w:val="24"/>
          <w:szCs w:val="24"/>
          <w:lang w:val="en-IN"/>
        </w:rPr>
        <w:t>These variables were subsequently used for consumer segmentation analyses to identify distinct consumer profiles based on demographics, dietary patterns and evaluative responses.</w:t>
      </w:r>
    </w:p>
    <w:p w:rsidR="008A6941" w:rsidRPr="007F243A" w:rsidRDefault="008A6941" w:rsidP="00845ABD">
      <w:pPr>
        <w:spacing w:before="240" w:after="240" w:line="480" w:lineRule="auto"/>
        <w:jc w:val="both"/>
        <w:rPr>
          <w:b/>
          <w:bCs/>
          <w:iCs/>
          <w:color w:val="000000" w:themeColor="text1"/>
          <w:sz w:val="24"/>
          <w:szCs w:val="24"/>
          <w:lang w:val="en-IN" w:eastAsia="en-IN"/>
        </w:rPr>
      </w:pPr>
      <w:r w:rsidRPr="007F243A">
        <w:rPr>
          <w:b/>
          <w:bCs/>
          <w:iCs/>
          <w:color w:val="000000" w:themeColor="text1"/>
          <w:sz w:val="24"/>
          <w:szCs w:val="24"/>
          <w:lang w:val="en-IN" w:eastAsia="en-IN"/>
        </w:rPr>
        <w:t xml:space="preserve">Data analysis </w:t>
      </w:r>
    </w:p>
    <w:p w:rsidR="008A6941" w:rsidRPr="00B1256E" w:rsidRDefault="00C32783" w:rsidP="00845ABD">
      <w:pPr>
        <w:spacing w:before="240" w:after="240" w:line="480" w:lineRule="auto"/>
        <w:jc w:val="both"/>
        <w:rPr>
          <w:color w:val="000000" w:themeColor="text1"/>
          <w:sz w:val="24"/>
          <w:szCs w:val="24"/>
          <w:lang w:val="en-IN" w:eastAsia="en-IN"/>
        </w:rPr>
      </w:pPr>
      <w:r w:rsidRPr="007E12D3">
        <w:rPr>
          <w:color w:val="000000" w:themeColor="text1"/>
          <w:sz w:val="24"/>
          <w:szCs w:val="24"/>
          <w:lang w:val="en-IN" w:eastAsia="en-IN"/>
        </w:rPr>
        <w:t>Two-way analysis of variance (ANOVA) was used to determine whether the hedonic scales of the PBCAs differed significantly.</w:t>
      </w:r>
      <w:r w:rsidR="008A6941">
        <w:rPr>
          <w:color w:val="000000" w:themeColor="text1"/>
          <w:sz w:val="24"/>
          <w:szCs w:val="24"/>
          <w:lang w:val="en-IN" w:eastAsia="en-IN"/>
        </w:rPr>
        <w:t xml:space="preserve"> </w:t>
      </w:r>
      <w:r w:rsidRPr="007E12D3">
        <w:rPr>
          <w:color w:val="000000" w:themeColor="text1"/>
          <w:sz w:val="24"/>
          <w:szCs w:val="24"/>
          <w:lang w:val="en-IN" w:eastAsia="en-IN"/>
        </w:rPr>
        <w:t>The Honest Significant Difference (HSD) test was conducted thereafter.</w:t>
      </w:r>
      <w:r w:rsidR="008A6941" w:rsidRPr="007E12D3">
        <w:rPr>
          <w:color w:val="000000" w:themeColor="text1"/>
          <w:sz w:val="24"/>
          <w:szCs w:val="24"/>
          <w:lang w:val="en-IN" w:eastAsia="en-IN"/>
        </w:rPr>
        <w:t xml:space="preserve"> </w:t>
      </w:r>
      <w:r w:rsidRPr="00F91DEA">
        <w:rPr>
          <w:color w:val="000000" w:themeColor="text1"/>
          <w:sz w:val="24"/>
          <w:szCs w:val="24"/>
          <w:lang w:val="en-IN" w:eastAsia="en-IN"/>
        </w:rPr>
        <w:t>Contingency tables were used to summarize the frequency of each descriptor.</w:t>
      </w:r>
      <w:r w:rsidR="008A6941" w:rsidRPr="00F91DEA">
        <w:rPr>
          <w:color w:val="000000" w:themeColor="text1"/>
          <w:sz w:val="24"/>
          <w:szCs w:val="24"/>
          <w:lang w:val="en-IN" w:eastAsia="en-IN"/>
        </w:rPr>
        <w:t xml:space="preserve"> </w:t>
      </w:r>
      <w:r w:rsidRPr="00F91DEA">
        <w:rPr>
          <w:color w:val="000000" w:themeColor="text1"/>
          <w:sz w:val="24"/>
          <w:szCs w:val="24"/>
          <w:lang w:val="en-IN" w:eastAsia="en-IN"/>
        </w:rPr>
        <w:t>The Cochran Q test was used to compare the frequencies of each descriptor in the samples.</w:t>
      </w:r>
      <w:r w:rsidR="008A6941" w:rsidRPr="00F91DEA">
        <w:rPr>
          <w:color w:val="000000" w:themeColor="text1"/>
          <w:sz w:val="24"/>
          <w:szCs w:val="24"/>
          <w:lang w:val="en-IN" w:eastAsia="en-IN"/>
        </w:rPr>
        <w:t xml:space="preserve"> </w:t>
      </w:r>
      <w:r w:rsidRPr="00F91DEA">
        <w:rPr>
          <w:color w:val="000000" w:themeColor="text1"/>
          <w:sz w:val="24"/>
          <w:szCs w:val="24"/>
          <w:lang w:val="en-IN" w:eastAsia="en-IN"/>
        </w:rPr>
        <w:t xml:space="preserve">In correspondence analysis (CA), chi-square distances were used to compare the attributes with </w:t>
      </w:r>
      <w:r>
        <w:rPr>
          <w:color w:val="000000" w:themeColor="text1"/>
          <w:sz w:val="24"/>
          <w:szCs w:val="24"/>
          <w:lang w:val="en-IN" w:eastAsia="en-IN"/>
        </w:rPr>
        <w:t xml:space="preserve">cheese </w:t>
      </w:r>
      <w:r w:rsidRPr="00F91DEA">
        <w:rPr>
          <w:color w:val="000000" w:themeColor="text1"/>
          <w:sz w:val="24"/>
          <w:szCs w:val="24"/>
          <w:lang w:val="en-IN" w:eastAsia="en-IN"/>
        </w:rPr>
        <w:t xml:space="preserve">samples </w:t>
      </w:r>
      <w:r>
        <w:rPr>
          <w:color w:val="000000" w:themeColor="text1"/>
          <w:sz w:val="24"/>
          <w:szCs w:val="24"/>
          <w:lang w:val="en-IN" w:eastAsia="en-IN"/>
        </w:rPr>
        <w:t>[</w:t>
      </w:r>
      <w:r w:rsidR="0033126A">
        <w:rPr>
          <w:color w:val="000000" w:themeColor="text1"/>
          <w:sz w:val="24"/>
          <w:szCs w:val="24"/>
          <w:lang w:val="en-IN" w:eastAsia="en-IN"/>
        </w:rPr>
        <w:t>8</w:t>
      </w:r>
      <w:r>
        <w:rPr>
          <w:color w:val="000000" w:themeColor="text1"/>
          <w:sz w:val="24"/>
          <w:szCs w:val="24"/>
          <w:lang w:val="en-IN" w:eastAsia="en-IN"/>
        </w:rPr>
        <w:t>].</w:t>
      </w:r>
      <w:r w:rsidR="00C11A25">
        <w:rPr>
          <w:color w:val="000000" w:themeColor="text1"/>
          <w:sz w:val="24"/>
          <w:szCs w:val="24"/>
          <w:lang w:val="en-IN" w:eastAsia="en-IN"/>
        </w:rPr>
        <w:t xml:space="preserve"> </w:t>
      </w:r>
      <w:r w:rsidR="00092C90" w:rsidRPr="00D85DF7">
        <w:rPr>
          <w:sz w:val="24"/>
          <w:szCs w:val="24"/>
          <w:lang w:eastAsia="en-IN"/>
        </w:rPr>
        <w:t xml:space="preserve">Penalty lift analysis (PLA) was calculated by comparing the mean overall </w:t>
      </w:r>
      <w:r w:rsidR="00092C90" w:rsidRPr="00D85DF7">
        <w:rPr>
          <w:sz w:val="24"/>
          <w:szCs w:val="24"/>
          <w:lang w:eastAsia="en-IN"/>
        </w:rPr>
        <w:lastRenderedPageBreak/>
        <w:t>liking scores for products when a specific attribute was selected (checked) by consumers and when it was not selected [</w:t>
      </w:r>
      <w:r w:rsidR="0033126A">
        <w:rPr>
          <w:sz w:val="24"/>
          <w:szCs w:val="24"/>
          <w:lang w:eastAsia="en-IN"/>
        </w:rPr>
        <w:t>9</w:t>
      </w:r>
      <w:r w:rsidR="00092C90" w:rsidRPr="00D85DF7">
        <w:rPr>
          <w:sz w:val="24"/>
          <w:szCs w:val="24"/>
          <w:lang w:eastAsia="en-IN"/>
        </w:rPr>
        <w:t>].</w:t>
      </w:r>
      <w:r w:rsidR="0069404B" w:rsidRPr="00D85DF7">
        <w:rPr>
          <w:sz w:val="24"/>
          <w:szCs w:val="24"/>
          <w:lang w:eastAsia="en-IN"/>
        </w:rPr>
        <w:t xml:space="preserve"> </w:t>
      </w:r>
      <w:r w:rsidR="00092C90" w:rsidRPr="00D85DF7">
        <w:rPr>
          <w:sz w:val="24"/>
          <w:szCs w:val="24"/>
          <w:lang w:eastAsia="en-IN"/>
        </w:rPr>
        <w:t>This identifies the attributes that significantly 'penalize' or 'lift' liking</w:t>
      </w:r>
      <w:r w:rsidR="00092C90">
        <w:rPr>
          <w:sz w:val="24"/>
          <w:szCs w:val="24"/>
          <w:lang w:eastAsia="en-IN"/>
        </w:rPr>
        <w:t>.</w:t>
      </w:r>
      <w:r w:rsidR="0069404B">
        <w:rPr>
          <w:sz w:val="24"/>
          <w:szCs w:val="24"/>
          <w:lang w:eastAsia="en-IN"/>
        </w:rPr>
        <w:t xml:space="preserve"> </w:t>
      </w:r>
      <w:r w:rsidRPr="00C11A25">
        <w:rPr>
          <w:sz w:val="24"/>
          <w:szCs w:val="24"/>
        </w:rPr>
        <w:t>Consumer</w:t>
      </w:r>
      <w:r w:rsidRPr="008B141D">
        <w:rPr>
          <w:b/>
          <w:bCs/>
          <w:sz w:val="24"/>
          <w:szCs w:val="24"/>
        </w:rPr>
        <w:t xml:space="preserve"> </w:t>
      </w:r>
      <w:r w:rsidRPr="00604C09">
        <w:rPr>
          <w:sz w:val="24"/>
          <w:szCs w:val="24"/>
        </w:rPr>
        <w:t>segmentation was conducted using the purchase intention for the three plant-based cheeses along with the animal-based cheese purchase intention.</w:t>
      </w:r>
      <w:r w:rsidR="008A6941" w:rsidRPr="00604C09">
        <w:rPr>
          <w:sz w:val="24"/>
          <w:szCs w:val="24"/>
        </w:rPr>
        <w:t xml:space="preserve"> </w:t>
      </w:r>
      <w:r w:rsidRPr="00604C09">
        <w:rPr>
          <w:sz w:val="24"/>
          <w:szCs w:val="24"/>
        </w:rPr>
        <w:t>An Agglomerative Hierarchical Clustering (AHC) analysis was performed based on Ward’s method and Euclidean distances.</w:t>
      </w:r>
      <w:r w:rsidR="008A6941" w:rsidRPr="00604C09">
        <w:rPr>
          <w:sz w:val="24"/>
          <w:szCs w:val="24"/>
        </w:rPr>
        <w:t xml:space="preserve"> </w:t>
      </w:r>
      <w:r w:rsidRPr="00604C09">
        <w:rPr>
          <w:sz w:val="24"/>
          <w:szCs w:val="24"/>
        </w:rPr>
        <w:t>The dendrogram and relative increase in within-cluster variance were examined to determine the optimal number of clusters</w:t>
      </w:r>
      <w:r>
        <w:t>.</w:t>
      </w:r>
      <w:r w:rsidR="009160F1" w:rsidRPr="009160F1">
        <w:rPr>
          <w:rFonts w:ascii="Helvetica" w:hAnsi="Helvetica"/>
          <w:color w:val="29313D"/>
          <w:sz w:val="23"/>
          <w:szCs w:val="23"/>
        </w:rPr>
        <w:t xml:space="preserve"> </w:t>
      </w:r>
      <w:r w:rsidR="0073410B" w:rsidRPr="00333598">
        <w:rPr>
          <w:sz w:val="24"/>
          <w:szCs w:val="24"/>
          <w:lang w:eastAsia="en-IN"/>
        </w:rPr>
        <w:t xml:space="preserve">Clusters were determined using scree plots and a minimum sample size of </w:t>
      </w:r>
      <w:r w:rsidR="0073410B">
        <w:rPr>
          <w:sz w:val="24"/>
          <w:szCs w:val="24"/>
          <w:lang w:eastAsia="en-IN"/>
        </w:rPr>
        <w:t>5</w:t>
      </w:r>
      <w:r w:rsidR="0073410B" w:rsidRPr="00333598">
        <w:rPr>
          <w:sz w:val="24"/>
          <w:szCs w:val="24"/>
          <w:lang w:eastAsia="en-IN"/>
        </w:rPr>
        <w:t xml:space="preserve">0 people per cluster, adhering to the </w:t>
      </w:r>
      <w:r w:rsidR="0073410B">
        <w:rPr>
          <w:sz w:val="24"/>
          <w:szCs w:val="24"/>
          <w:lang w:eastAsia="en-IN"/>
        </w:rPr>
        <w:t>upper</w:t>
      </w:r>
      <w:r w:rsidR="0073410B" w:rsidRPr="00333598">
        <w:rPr>
          <w:sz w:val="24"/>
          <w:szCs w:val="24"/>
          <w:lang w:eastAsia="en-IN"/>
        </w:rPr>
        <w:t xml:space="preserve"> bound of the recommendation by Moskowitz (2020) [</w:t>
      </w:r>
      <w:r w:rsidR="0033126A">
        <w:rPr>
          <w:sz w:val="24"/>
          <w:szCs w:val="24"/>
          <w:lang w:eastAsia="en-IN"/>
        </w:rPr>
        <w:t>10</w:t>
      </w:r>
      <w:r w:rsidR="0073410B" w:rsidRPr="00333598">
        <w:rPr>
          <w:sz w:val="24"/>
          <w:szCs w:val="24"/>
          <w:lang w:eastAsia="en-IN"/>
        </w:rPr>
        <w:t>], who found stable sensory consumer estimates with 40-50 participants."</w:t>
      </w:r>
      <w:r w:rsidR="008A6941" w:rsidRPr="00F91DEA">
        <w:rPr>
          <w:color w:val="000000" w:themeColor="text1"/>
          <w:sz w:val="24"/>
          <w:szCs w:val="24"/>
          <w:lang w:val="en-IN" w:eastAsia="en-IN"/>
        </w:rPr>
        <w:t xml:space="preserve">All analyses were conducted using XLSTAT (Version 2021.2, New York, N.Y., U.S.A.). We used a significance level of 5% for all analyses </w:t>
      </w:r>
      <w:r w:rsidR="008A6941" w:rsidRPr="00B1256E">
        <w:rPr>
          <w:color w:val="000000" w:themeColor="text1"/>
          <w:sz w:val="24"/>
          <w:szCs w:val="24"/>
          <w:lang w:val="en-IN" w:eastAsia="en-IN"/>
        </w:rPr>
        <w:t xml:space="preserve">(p </w:t>
      </w:r>
      <w:r w:rsidR="008A6941">
        <w:rPr>
          <w:color w:val="000000" w:themeColor="text1"/>
          <w:sz w:val="24"/>
          <w:szCs w:val="24"/>
          <w:lang w:val="en-IN" w:eastAsia="en-IN"/>
        </w:rPr>
        <w:t>&lt;0.05).</w:t>
      </w:r>
      <w:r w:rsidR="008A6941" w:rsidRPr="00B1256E">
        <w:rPr>
          <w:color w:val="000000" w:themeColor="text1"/>
          <w:sz w:val="24"/>
          <w:szCs w:val="24"/>
          <w:lang w:val="en-IN" w:eastAsia="en-IN"/>
        </w:rPr>
        <w:t xml:space="preserve"> </w:t>
      </w:r>
    </w:p>
    <w:p w:rsidR="001C1A5C" w:rsidRDefault="007F243A">
      <w:pPr>
        <w:rPr>
          <w:b/>
          <w:bCs/>
          <w:sz w:val="24"/>
          <w:szCs w:val="24"/>
        </w:rPr>
      </w:pPr>
      <w:r w:rsidRPr="007F243A">
        <w:rPr>
          <w:b/>
          <w:bCs/>
          <w:sz w:val="24"/>
          <w:szCs w:val="24"/>
        </w:rPr>
        <w:t>References</w:t>
      </w:r>
    </w:p>
    <w:p w:rsidR="0033126A" w:rsidRDefault="0033126A">
      <w:pPr>
        <w:rPr>
          <w:b/>
          <w:bCs/>
          <w:sz w:val="24"/>
          <w:szCs w:val="24"/>
        </w:rPr>
      </w:pPr>
    </w:p>
    <w:p w:rsidR="0033126A" w:rsidRPr="0033126A" w:rsidRDefault="0033126A" w:rsidP="0033126A">
      <w:pPr>
        <w:pStyle w:val="ListParagraph"/>
        <w:numPr>
          <w:ilvl w:val="0"/>
          <w:numId w:val="1"/>
        </w:numPr>
        <w:spacing w:line="360" w:lineRule="auto"/>
        <w:jc w:val="both"/>
        <w:rPr>
          <w:rFonts w:ascii="Times New Roman" w:hAnsi="Times New Roman" w:cs="Times New Roman"/>
          <w:color w:val="000000" w:themeColor="text1"/>
          <w:sz w:val="24"/>
        </w:rPr>
      </w:pPr>
      <w:r w:rsidRPr="0033126A">
        <w:rPr>
          <w:rFonts w:ascii="Times New Roman" w:hAnsi="Times New Roman" w:cs="Times New Roman"/>
          <w:color w:val="000000" w:themeColor="text1"/>
          <w:sz w:val="24"/>
        </w:rPr>
        <w:t>Short, E. C., Kinchla, A. J., &amp; Nolden, A. A. (2021). Plant-based cheeses: A systematic review of sensory evaluation studies and strategies to increase consumer acceptance. In Foods (Vol. 10, Issue 4). MDPI AG. https://doi.org/10.3390/foods10040725</w:t>
      </w:r>
    </w:p>
    <w:p w:rsidR="0033126A" w:rsidRDefault="0033126A">
      <w:pPr>
        <w:rPr>
          <w:b/>
          <w:bCs/>
          <w:sz w:val="24"/>
          <w:szCs w:val="24"/>
        </w:rPr>
      </w:pPr>
    </w:p>
    <w:p w:rsidR="007F243A" w:rsidRDefault="007F243A">
      <w:pPr>
        <w:rPr>
          <w:b/>
          <w:bCs/>
          <w:sz w:val="24"/>
          <w:szCs w:val="24"/>
        </w:rPr>
      </w:pPr>
    </w:p>
    <w:p w:rsidR="007F243A" w:rsidRPr="00C11A25" w:rsidRDefault="007F243A" w:rsidP="00C11A25">
      <w:pPr>
        <w:pStyle w:val="ListParagraph"/>
        <w:numPr>
          <w:ilvl w:val="0"/>
          <w:numId w:val="1"/>
        </w:numPr>
        <w:spacing w:line="360" w:lineRule="auto"/>
        <w:jc w:val="both"/>
        <w:rPr>
          <w:rFonts w:ascii="Times New Roman" w:hAnsi="Times New Roman" w:cs="Times New Roman"/>
          <w:color w:val="000000" w:themeColor="text1"/>
          <w:sz w:val="24"/>
        </w:rPr>
      </w:pPr>
      <w:r w:rsidRPr="00C11A25">
        <w:rPr>
          <w:rFonts w:ascii="Times New Roman" w:hAnsi="Times New Roman" w:cs="Times New Roman"/>
          <w:color w:val="000000" w:themeColor="text1"/>
          <w:sz w:val="24"/>
        </w:rPr>
        <w:t>Adamczyk, D., Jaworska, D., Affeltowicz, D., &amp; Maison, D. (2022). Plant‐Based Dairy Alternatives: Consumers’ Perceptions, Motivations, and Barriers—Results from a Qualitative Study in Poland, Germany, and France. Nutrients, 14(10). https://doi.org/10.3390/nu14102171</w:t>
      </w:r>
    </w:p>
    <w:p w:rsidR="007F243A" w:rsidRPr="00C11A25" w:rsidRDefault="007F243A">
      <w:pPr>
        <w:rPr>
          <w:b/>
          <w:bCs/>
          <w:sz w:val="24"/>
          <w:szCs w:val="24"/>
        </w:rPr>
      </w:pPr>
    </w:p>
    <w:p w:rsidR="007F243A" w:rsidRPr="00845ABD" w:rsidRDefault="007F243A" w:rsidP="00845ABD">
      <w:pPr>
        <w:pStyle w:val="ListParagraph"/>
        <w:numPr>
          <w:ilvl w:val="0"/>
          <w:numId w:val="1"/>
        </w:numPr>
        <w:spacing w:line="360" w:lineRule="auto"/>
        <w:jc w:val="both"/>
        <w:rPr>
          <w:rFonts w:ascii="Times New Roman" w:hAnsi="Times New Roman" w:cs="Times New Roman"/>
          <w:color w:val="000000" w:themeColor="text1"/>
          <w:sz w:val="24"/>
        </w:rPr>
      </w:pPr>
      <w:r w:rsidRPr="00C11A25">
        <w:rPr>
          <w:rFonts w:ascii="Times New Roman" w:hAnsi="Times New Roman" w:cs="Times New Roman"/>
          <w:color w:val="000000" w:themeColor="text1"/>
          <w:sz w:val="24"/>
        </w:rPr>
        <w:t xml:space="preserve"> Cardello, A. V., Llobell, F., Giacalone, D., Chheang, S. L., &amp; Jaeger, S. R. (2022). Consumer Preference Segments for Plant-Based Foods: The Role of Product Category. Foods, 11(19). </w:t>
      </w:r>
      <w:r w:rsidR="00C11A25" w:rsidRPr="00C11A25">
        <w:rPr>
          <w:rFonts w:ascii="Times New Roman" w:hAnsi="Times New Roman" w:cs="Times New Roman"/>
          <w:color w:val="000000" w:themeColor="text1"/>
          <w:sz w:val="24"/>
        </w:rPr>
        <w:t xml:space="preserve"> </w:t>
      </w:r>
      <w:r w:rsidRPr="00C11A25">
        <w:rPr>
          <w:rFonts w:ascii="Times New Roman" w:hAnsi="Times New Roman" w:cs="Times New Roman"/>
          <w:color w:val="000000" w:themeColor="text1"/>
          <w:sz w:val="24"/>
        </w:rPr>
        <w:t>https://doi.org/10.3390/foods11193059</w:t>
      </w:r>
    </w:p>
    <w:p w:rsidR="007F243A" w:rsidRPr="00C11A25" w:rsidRDefault="007F243A" w:rsidP="007F243A">
      <w:pPr>
        <w:spacing w:line="360" w:lineRule="auto"/>
        <w:ind w:left="720" w:hanging="720"/>
        <w:jc w:val="both"/>
        <w:rPr>
          <w:color w:val="000000" w:themeColor="text1"/>
          <w:sz w:val="24"/>
        </w:rPr>
      </w:pPr>
    </w:p>
    <w:p w:rsidR="007F243A" w:rsidRPr="00C11A25" w:rsidRDefault="007F243A" w:rsidP="007F243A">
      <w:pPr>
        <w:pStyle w:val="ListParagraph"/>
        <w:numPr>
          <w:ilvl w:val="0"/>
          <w:numId w:val="1"/>
        </w:numPr>
        <w:spacing w:line="360" w:lineRule="auto"/>
        <w:jc w:val="both"/>
        <w:rPr>
          <w:rFonts w:ascii="Times New Roman" w:hAnsi="Times New Roman" w:cs="Times New Roman"/>
          <w:color w:val="000000" w:themeColor="text1"/>
          <w:sz w:val="24"/>
        </w:rPr>
      </w:pPr>
      <w:r w:rsidRPr="00C11A25">
        <w:rPr>
          <w:rFonts w:ascii="Times New Roman" w:hAnsi="Times New Roman" w:cs="Times New Roman"/>
          <w:color w:val="000000" w:themeColor="text1"/>
          <w:sz w:val="24"/>
        </w:rPr>
        <w:t xml:space="preserve">Jaeger, S. R., Roigard, C. M., Le Blond, M., Hedderley, D. I., &amp; Giacalone, D. (2019). Perceived situational appropriateness for foods and beverages: consumer segmentation </w:t>
      </w:r>
      <w:r w:rsidRPr="00C11A25">
        <w:rPr>
          <w:rFonts w:ascii="Times New Roman" w:hAnsi="Times New Roman" w:cs="Times New Roman"/>
          <w:color w:val="000000" w:themeColor="text1"/>
          <w:sz w:val="24"/>
        </w:rPr>
        <w:lastRenderedPageBreak/>
        <w:t xml:space="preserve">and relationship with stated liking. Food Quality and Preference, 78, 103701. </w:t>
      </w:r>
      <w:hyperlink r:id="rId6" w:history="1">
        <w:r w:rsidRPr="00C11A25">
          <w:rPr>
            <w:rStyle w:val="Hyperlink"/>
            <w:rFonts w:ascii="Times New Roman" w:eastAsiaTheme="majorEastAsia" w:hAnsi="Times New Roman" w:cs="Times New Roman"/>
            <w:sz w:val="24"/>
          </w:rPr>
          <w:t>https://doi.org/10.1016/J.FOODQUAL.2019.05.001</w:t>
        </w:r>
      </w:hyperlink>
    </w:p>
    <w:p w:rsidR="00C11A25" w:rsidRPr="00C11A25" w:rsidRDefault="00C11A25" w:rsidP="00C11A25">
      <w:pPr>
        <w:pStyle w:val="ListParagraph"/>
        <w:spacing w:line="360" w:lineRule="auto"/>
        <w:jc w:val="both"/>
        <w:rPr>
          <w:rFonts w:ascii="Times New Roman" w:hAnsi="Times New Roman" w:cs="Times New Roman"/>
          <w:color w:val="000000" w:themeColor="text1"/>
          <w:sz w:val="24"/>
        </w:rPr>
      </w:pPr>
    </w:p>
    <w:p w:rsidR="00092C90" w:rsidRDefault="007F243A" w:rsidP="00092C90">
      <w:pPr>
        <w:pStyle w:val="ListParagraph"/>
        <w:numPr>
          <w:ilvl w:val="0"/>
          <w:numId w:val="1"/>
        </w:numPr>
        <w:spacing w:line="360" w:lineRule="auto"/>
        <w:jc w:val="both"/>
        <w:rPr>
          <w:rFonts w:ascii="Times New Roman" w:hAnsi="Times New Roman" w:cs="Times New Roman"/>
          <w:color w:val="000000" w:themeColor="text1"/>
          <w:sz w:val="24"/>
        </w:rPr>
      </w:pPr>
      <w:r w:rsidRPr="00C11A25">
        <w:rPr>
          <w:rFonts w:ascii="Times New Roman" w:hAnsi="Times New Roman" w:cs="Times New Roman"/>
          <w:color w:val="000000" w:themeColor="text1"/>
          <w:sz w:val="24"/>
        </w:rPr>
        <w:t xml:space="preserve">Jaeger, S. R., Cardello, A. V., Jin, D., Ryan, G. S., &amp; Giacalone, D. (2023). Consumer perception of plant-based yoghurt: Sensory drivers of liking and emotional, holistic and conceptual associations. Food Research International, 167, 112666. </w:t>
      </w:r>
      <w:hyperlink r:id="rId7" w:history="1">
        <w:r w:rsidR="00C11A25" w:rsidRPr="00A10FEE">
          <w:rPr>
            <w:rStyle w:val="Hyperlink"/>
            <w:rFonts w:ascii="Times New Roman" w:hAnsi="Times New Roman" w:cs="Times New Roman"/>
            <w:sz w:val="24"/>
          </w:rPr>
          <w:t>https://doi.org/10.1016/J.FOODRES.2023.112666</w:t>
        </w:r>
      </w:hyperlink>
    </w:p>
    <w:p w:rsidR="00092C90" w:rsidRPr="00092C90" w:rsidRDefault="00092C90" w:rsidP="00092C90">
      <w:pPr>
        <w:pStyle w:val="ListParagraph"/>
        <w:rPr>
          <w:color w:val="000000" w:themeColor="text1"/>
          <w:sz w:val="24"/>
        </w:rPr>
      </w:pPr>
    </w:p>
    <w:p w:rsidR="00C11A25" w:rsidRPr="00092C90" w:rsidRDefault="00092C90" w:rsidP="00092C90">
      <w:pPr>
        <w:pStyle w:val="ListParagraph"/>
        <w:numPr>
          <w:ilvl w:val="0"/>
          <w:numId w:val="1"/>
        </w:numPr>
        <w:spacing w:line="360" w:lineRule="auto"/>
        <w:jc w:val="both"/>
        <w:rPr>
          <w:rFonts w:ascii="Times New Roman" w:hAnsi="Times New Roman" w:cs="Times New Roman"/>
          <w:color w:val="000000" w:themeColor="text1"/>
          <w:sz w:val="24"/>
        </w:rPr>
      </w:pPr>
      <w:r w:rsidRPr="00092C90">
        <w:rPr>
          <w:rFonts w:ascii="Times New Roman" w:hAnsi="Times New Roman" w:cs="Times New Roman"/>
          <w:color w:val="000000" w:themeColor="text1"/>
          <w:sz w:val="24"/>
        </w:rPr>
        <w:t xml:space="preserve">Jaeger, S.R.; Jin, D.; Roigard, C.M. Plant-Based Alternatives Need Not Be Inferior: Findings from a Sensory and Consumer Research Case Study with Cream Cheese. Foods 2024, 13, 567. </w:t>
      </w:r>
      <w:hyperlink r:id="rId8" w:history="1">
        <w:r w:rsidRPr="00092C90">
          <w:rPr>
            <w:rStyle w:val="Hyperlink"/>
            <w:rFonts w:ascii="Times New Roman" w:hAnsi="Times New Roman" w:cs="Times New Roman"/>
            <w:sz w:val="24"/>
          </w:rPr>
          <w:t>https://doi.org/10.3390/foods13040567</w:t>
        </w:r>
      </w:hyperlink>
    </w:p>
    <w:p w:rsidR="00092C90" w:rsidRPr="00C11A25" w:rsidRDefault="00092C90" w:rsidP="00C11A25">
      <w:pPr>
        <w:pStyle w:val="ListParagraph"/>
        <w:spacing w:line="360" w:lineRule="auto"/>
        <w:jc w:val="both"/>
        <w:rPr>
          <w:rFonts w:ascii="Times New Roman" w:hAnsi="Times New Roman" w:cs="Times New Roman"/>
          <w:color w:val="000000" w:themeColor="text1"/>
          <w:sz w:val="24"/>
        </w:rPr>
      </w:pPr>
    </w:p>
    <w:p w:rsidR="00C11A25" w:rsidRDefault="00C11A25" w:rsidP="00C11A25">
      <w:pPr>
        <w:pStyle w:val="ListParagraph"/>
        <w:numPr>
          <w:ilvl w:val="0"/>
          <w:numId w:val="1"/>
        </w:numPr>
        <w:spacing w:line="360" w:lineRule="auto"/>
        <w:jc w:val="both"/>
        <w:rPr>
          <w:rFonts w:ascii="Times New Roman" w:hAnsi="Times New Roman" w:cs="Times New Roman"/>
          <w:color w:val="000000" w:themeColor="text1"/>
          <w:sz w:val="24"/>
        </w:rPr>
      </w:pPr>
      <w:r w:rsidRPr="00C11A25">
        <w:rPr>
          <w:rFonts w:ascii="Times New Roman" w:hAnsi="Times New Roman" w:cs="Times New Roman"/>
          <w:color w:val="000000" w:themeColor="text1"/>
          <w:sz w:val="24"/>
        </w:rPr>
        <w:t xml:space="preserve">Runte, M., Guth, J. N., &amp; Ammann, J. (2024). Consumers’ perception of plant-based alternatives and changes over time. A linguistic analysis across three countries and ten years. Food Quality and Preference, 113, 105057. </w:t>
      </w:r>
      <w:hyperlink r:id="rId9" w:history="1">
        <w:r w:rsidRPr="00A10FEE">
          <w:rPr>
            <w:rStyle w:val="Hyperlink"/>
            <w:rFonts w:ascii="Times New Roman" w:hAnsi="Times New Roman" w:cs="Times New Roman"/>
            <w:sz w:val="24"/>
          </w:rPr>
          <w:t>https://doi.org/10.1016/J.FOODQUAL.2023.105057</w:t>
        </w:r>
      </w:hyperlink>
    </w:p>
    <w:p w:rsidR="00C11A25" w:rsidRPr="00C11A25" w:rsidRDefault="00C11A25" w:rsidP="00C11A25">
      <w:pPr>
        <w:pStyle w:val="ListParagraph"/>
        <w:rPr>
          <w:rFonts w:ascii="Times New Roman" w:hAnsi="Times New Roman" w:cs="Times New Roman"/>
          <w:color w:val="000000" w:themeColor="text1"/>
          <w:sz w:val="24"/>
        </w:rPr>
      </w:pPr>
    </w:p>
    <w:p w:rsidR="00C11A25" w:rsidRPr="00C11A25" w:rsidRDefault="00C11A25" w:rsidP="00C11A25">
      <w:pPr>
        <w:pStyle w:val="ListParagraph"/>
        <w:spacing w:line="360" w:lineRule="auto"/>
        <w:jc w:val="both"/>
        <w:rPr>
          <w:rFonts w:ascii="Times New Roman" w:hAnsi="Times New Roman" w:cs="Times New Roman"/>
          <w:color w:val="000000" w:themeColor="text1"/>
          <w:sz w:val="24"/>
        </w:rPr>
      </w:pPr>
    </w:p>
    <w:p w:rsidR="007F243A" w:rsidRDefault="007F243A" w:rsidP="00C11A25">
      <w:pPr>
        <w:pStyle w:val="ListParagraph"/>
        <w:numPr>
          <w:ilvl w:val="0"/>
          <w:numId w:val="1"/>
        </w:numPr>
        <w:spacing w:line="360" w:lineRule="auto"/>
        <w:jc w:val="both"/>
        <w:rPr>
          <w:rFonts w:ascii="Times New Roman" w:hAnsi="Times New Roman" w:cs="Times New Roman"/>
          <w:color w:val="000000" w:themeColor="text1"/>
          <w:sz w:val="24"/>
        </w:rPr>
      </w:pPr>
      <w:bookmarkStart w:id="2" w:name="_Hlk210651267"/>
      <w:r w:rsidRPr="00C11A25">
        <w:rPr>
          <w:rFonts w:ascii="Times New Roman" w:hAnsi="Times New Roman" w:cs="Times New Roman"/>
          <w:color w:val="000000" w:themeColor="text1"/>
          <w:sz w:val="24"/>
        </w:rPr>
        <w:t xml:space="preserve">Vidal, L., Tárrega, A., Antúnez, L., Ares, G., &amp; Jaeger, S. R. (2015). Comparison of Correspondence Analysis based on Hellinger and chi-square distances to obtain sensory spaces from check-all-that-apply (CATA) questions. Food Quality and Preference, 43. </w:t>
      </w:r>
      <w:hyperlink r:id="rId10" w:history="1">
        <w:r w:rsidRPr="00C11A25">
          <w:rPr>
            <w:rStyle w:val="Hyperlink"/>
            <w:rFonts w:ascii="Times New Roman" w:hAnsi="Times New Roman" w:cs="Times New Roman"/>
            <w:sz w:val="24"/>
          </w:rPr>
          <w:t>https://doi.org/10.1016/j.foodqual.2015.03.003</w:t>
        </w:r>
      </w:hyperlink>
    </w:p>
    <w:p w:rsidR="00C11A25" w:rsidRPr="00C11A25" w:rsidRDefault="00C11A25" w:rsidP="00C11A25">
      <w:pPr>
        <w:pStyle w:val="ListParagraph"/>
        <w:spacing w:line="360" w:lineRule="auto"/>
        <w:jc w:val="both"/>
        <w:rPr>
          <w:rFonts w:ascii="Times New Roman" w:hAnsi="Times New Roman" w:cs="Times New Roman"/>
          <w:color w:val="000000" w:themeColor="text1"/>
          <w:sz w:val="24"/>
        </w:rPr>
      </w:pPr>
    </w:p>
    <w:p w:rsidR="00C11A25" w:rsidRDefault="00C11A25" w:rsidP="00C11A25">
      <w:pPr>
        <w:pStyle w:val="ListParagraph"/>
        <w:numPr>
          <w:ilvl w:val="0"/>
          <w:numId w:val="1"/>
        </w:numPr>
        <w:spacing w:line="360" w:lineRule="auto"/>
        <w:jc w:val="both"/>
        <w:rPr>
          <w:rFonts w:ascii="Times New Roman" w:hAnsi="Times New Roman" w:cs="Times New Roman"/>
          <w:color w:val="000000" w:themeColor="text1"/>
          <w:sz w:val="24"/>
        </w:rPr>
      </w:pPr>
      <w:r w:rsidRPr="00C11A25">
        <w:rPr>
          <w:rFonts w:ascii="Times New Roman" w:hAnsi="Times New Roman" w:cs="Times New Roman"/>
          <w:color w:val="000000" w:themeColor="text1"/>
          <w:sz w:val="24"/>
        </w:rPr>
        <w:t xml:space="preserve">Meyners, M., Castura, J. C., &amp; Carr, B. T. (2013). Existing and new approaches for the analysis of CATA data. Food Quality and Preference, 30(2). </w:t>
      </w:r>
      <w:hyperlink r:id="rId11" w:history="1">
        <w:r w:rsidR="00092C90" w:rsidRPr="00EE5A0B">
          <w:rPr>
            <w:rStyle w:val="Hyperlink"/>
            <w:rFonts w:ascii="Times New Roman" w:hAnsi="Times New Roman" w:cs="Times New Roman"/>
            <w:sz w:val="24"/>
          </w:rPr>
          <w:t>https://doi.org/10.1016/j.foodqual.2013.06.010</w:t>
        </w:r>
      </w:hyperlink>
    </w:p>
    <w:p w:rsidR="00092C90" w:rsidRPr="00092C90" w:rsidRDefault="00092C90" w:rsidP="00092C90">
      <w:pPr>
        <w:pStyle w:val="ListParagraph"/>
        <w:rPr>
          <w:rFonts w:ascii="Times New Roman" w:hAnsi="Times New Roman" w:cs="Times New Roman"/>
          <w:color w:val="000000" w:themeColor="text1"/>
          <w:sz w:val="24"/>
        </w:rPr>
      </w:pPr>
    </w:p>
    <w:p w:rsidR="00092C90" w:rsidRPr="00092C90" w:rsidRDefault="00092C90" w:rsidP="00C11A25">
      <w:pPr>
        <w:pStyle w:val="ListParagraph"/>
        <w:numPr>
          <w:ilvl w:val="0"/>
          <w:numId w:val="1"/>
        </w:numPr>
        <w:spacing w:line="360" w:lineRule="auto"/>
        <w:jc w:val="both"/>
        <w:rPr>
          <w:rFonts w:ascii="Times New Roman" w:hAnsi="Times New Roman" w:cs="Times New Roman"/>
          <w:color w:val="000000" w:themeColor="text1"/>
          <w:sz w:val="24"/>
          <w:szCs w:val="24"/>
        </w:rPr>
      </w:pPr>
      <w:r w:rsidRPr="00092C90">
        <w:rPr>
          <w:rFonts w:ascii="Times New Roman" w:hAnsi="Times New Roman" w:cs="Times New Roman"/>
          <w:sz w:val="24"/>
          <w:szCs w:val="24"/>
          <w:shd w:val="clear" w:color="auto" w:fill="FFFFFF"/>
        </w:rPr>
        <w:t>Moskowitz, H. (2020). Food and Drink: Thoughts on Base Size in Sensory and Consumer Research. Edelweiss Applied Science and Technology, 4(1), 37–40.</w:t>
      </w:r>
      <w:r>
        <w:rPr>
          <w:rFonts w:ascii="Times New Roman" w:hAnsi="Times New Roman" w:cs="Times New Roman"/>
          <w:sz w:val="24"/>
          <w:szCs w:val="24"/>
          <w:shd w:val="clear" w:color="auto" w:fill="FFFFFF"/>
        </w:rPr>
        <w:t xml:space="preserve"> </w:t>
      </w:r>
      <w:r w:rsidRPr="00092C90">
        <w:rPr>
          <w:rFonts w:ascii="Times New Roman" w:hAnsi="Times New Roman" w:cs="Times New Roman"/>
          <w:sz w:val="24"/>
          <w:szCs w:val="24"/>
          <w:shd w:val="clear" w:color="auto" w:fill="FFFFFF"/>
        </w:rPr>
        <w:t>https://doi.org/10.33805/2576-8484.177</w:t>
      </w:r>
    </w:p>
    <w:p w:rsidR="00C11A25" w:rsidRPr="00C11A25" w:rsidRDefault="00C11A25" w:rsidP="00C11A25">
      <w:pPr>
        <w:pStyle w:val="ListParagraph"/>
        <w:spacing w:line="360" w:lineRule="auto"/>
        <w:jc w:val="both"/>
        <w:rPr>
          <w:color w:val="000000" w:themeColor="text1"/>
          <w:sz w:val="24"/>
        </w:rPr>
      </w:pPr>
    </w:p>
    <w:p w:rsidR="007F243A" w:rsidRPr="0033054A" w:rsidRDefault="007F243A" w:rsidP="00C11A25">
      <w:pPr>
        <w:pStyle w:val="ListParagraph"/>
        <w:spacing w:line="360" w:lineRule="auto"/>
        <w:jc w:val="both"/>
        <w:rPr>
          <w:color w:val="000000" w:themeColor="text1"/>
          <w:sz w:val="24"/>
        </w:rPr>
      </w:pPr>
    </w:p>
    <w:bookmarkEnd w:id="2"/>
    <w:p w:rsidR="007F243A" w:rsidRPr="007F243A" w:rsidRDefault="007F243A">
      <w:pPr>
        <w:rPr>
          <w:b/>
          <w:bCs/>
          <w:sz w:val="24"/>
          <w:szCs w:val="24"/>
        </w:rPr>
      </w:pPr>
    </w:p>
    <w:p w:rsidR="007F243A" w:rsidRDefault="007F243A"/>
    <w:bookmarkEnd w:id="0"/>
    <w:p w:rsidR="007F243A" w:rsidRDefault="007F243A"/>
    <w:sectPr w:rsidR="007F2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07E11"/>
    <w:multiLevelType w:val="hybridMultilevel"/>
    <w:tmpl w:val="66AAFC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8783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41"/>
    <w:rsid w:val="00032963"/>
    <w:rsid w:val="00056A5E"/>
    <w:rsid w:val="00064EA6"/>
    <w:rsid w:val="00076240"/>
    <w:rsid w:val="00092C90"/>
    <w:rsid w:val="001810D3"/>
    <w:rsid w:val="00183925"/>
    <w:rsid w:val="001B0075"/>
    <w:rsid w:val="001C1A5C"/>
    <w:rsid w:val="002E37AC"/>
    <w:rsid w:val="0033126A"/>
    <w:rsid w:val="00335602"/>
    <w:rsid w:val="0036168F"/>
    <w:rsid w:val="00370BF8"/>
    <w:rsid w:val="00460D82"/>
    <w:rsid w:val="0056762F"/>
    <w:rsid w:val="0063024A"/>
    <w:rsid w:val="006445B2"/>
    <w:rsid w:val="0069404B"/>
    <w:rsid w:val="006975CF"/>
    <w:rsid w:val="0073410B"/>
    <w:rsid w:val="007441F0"/>
    <w:rsid w:val="007F243A"/>
    <w:rsid w:val="00806F35"/>
    <w:rsid w:val="00814138"/>
    <w:rsid w:val="00845ABD"/>
    <w:rsid w:val="008A6941"/>
    <w:rsid w:val="008B141D"/>
    <w:rsid w:val="008E2DA9"/>
    <w:rsid w:val="009160F1"/>
    <w:rsid w:val="009E4A75"/>
    <w:rsid w:val="00A22688"/>
    <w:rsid w:val="00A74E93"/>
    <w:rsid w:val="00AD3531"/>
    <w:rsid w:val="00B31DCF"/>
    <w:rsid w:val="00BD7108"/>
    <w:rsid w:val="00C11A25"/>
    <w:rsid w:val="00C32783"/>
    <w:rsid w:val="00D729CA"/>
    <w:rsid w:val="00DF2986"/>
    <w:rsid w:val="00E45444"/>
    <w:rsid w:val="00E649A2"/>
    <w:rsid w:val="00EC71C1"/>
    <w:rsid w:val="00ED7B4D"/>
    <w:rsid w:val="00EF40DC"/>
    <w:rsid w:val="00F12882"/>
    <w:rsid w:val="00F63518"/>
    <w:rsid w:val="00FD70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2AB8"/>
  <w15:chartTrackingRefBased/>
  <w15:docId w15:val="{2A0106C4-6B7F-4464-866F-F59DEAD0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941"/>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8A6941"/>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2E74B5"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8A6941"/>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8A6941"/>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2E74B5"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8A6941"/>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E74B5" w:themeColor="accent1" w:themeShade="BF"/>
      <w:kern w:val="2"/>
      <w:sz w:val="22"/>
      <w:szCs w:val="22"/>
      <w:lang w:val="en-IN"/>
      <w14:ligatures w14:val="standardContextual"/>
    </w:rPr>
  </w:style>
  <w:style w:type="paragraph" w:styleId="Heading5">
    <w:name w:val="heading 5"/>
    <w:basedOn w:val="Normal"/>
    <w:next w:val="Normal"/>
    <w:link w:val="Heading5Char"/>
    <w:uiPriority w:val="9"/>
    <w:semiHidden/>
    <w:unhideWhenUsed/>
    <w:qFormat/>
    <w:rsid w:val="008A6941"/>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2E74B5" w:themeColor="accent1" w:themeShade="BF"/>
      <w:kern w:val="2"/>
      <w:sz w:val="22"/>
      <w:szCs w:val="22"/>
      <w:lang w:val="en-IN"/>
      <w14:ligatures w14:val="standardContextual"/>
    </w:rPr>
  </w:style>
  <w:style w:type="paragraph" w:styleId="Heading6">
    <w:name w:val="heading 6"/>
    <w:basedOn w:val="Normal"/>
    <w:next w:val="Normal"/>
    <w:link w:val="Heading6Char"/>
    <w:uiPriority w:val="9"/>
    <w:semiHidden/>
    <w:unhideWhenUsed/>
    <w:qFormat/>
    <w:rsid w:val="008A6941"/>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val="en-IN"/>
      <w14:ligatures w14:val="standardContextual"/>
    </w:rPr>
  </w:style>
  <w:style w:type="paragraph" w:styleId="Heading7">
    <w:name w:val="heading 7"/>
    <w:basedOn w:val="Normal"/>
    <w:next w:val="Normal"/>
    <w:link w:val="Heading7Char"/>
    <w:uiPriority w:val="9"/>
    <w:semiHidden/>
    <w:unhideWhenUsed/>
    <w:qFormat/>
    <w:rsid w:val="008A6941"/>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val="en-IN"/>
      <w14:ligatures w14:val="standardContextual"/>
    </w:rPr>
  </w:style>
  <w:style w:type="paragraph" w:styleId="Heading8">
    <w:name w:val="heading 8"/>
    <w:basedOn w:val="Normal"/>
    <w:next w:val="Normal"/>
    <w:link w:val="Heading8Char"/>
    <w:uiPriority w:val="9"/>
    <w:semiHidden/>
    <w:unhideWhenUsed/>
    <w:qFormat/>
    <w:rsid w:val="008A6941"/>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val="en-IN"/>
      <w14:ligatures w14:val="standardContextual"/>
    </w:rPr>
  </w:style>
  <w:style w:type="paragraph" w:styleId="Heading9">
    <w:name w:val="heading 9"/>
    <w:basedOn w:val="Normal"/>
    <w:next w:val="Normal"/>
    <w:link w:val="Heading9Char"/>
    <w:uiPriority w:val="9"/>
    <w:semiHidden/>
    <w:unhideWhenUsed/>
    <w:qFormat/>
    <w:rsid w:val="008A6941"/>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94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A694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A694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A694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A694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A6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941"/>
    <w:rPr>
      <w:rFonts w:eastAsiaTheme="majorEastAsia" w:cstheme="majorBidi"/>
      <w:color w:val="272727" w:themeColor="text1" w:themeTint="D8"/>
    </w:rPr>
  </w:style>
  <w:style w:type="paragraph" w:styleId="Title">
    <w:name w:val="Title"/>
    <w:basedOn w:val="Normal"/>
    <w:next w:val="Normal"/>
    <w:link w:val="TitleChar"/>
    <w:uiPriority w:val="10"/>
    <w:qFormat/>
    <w:rsid w:val="008A6941"/>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8A6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941"/>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8A6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941"/>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val="en-IN"/>
      <w14:ligatures w14:val="standardContextual"/>
    </w:rPr>
  </w:style>
  <w:style w:type="character" w:customStyle="1" w:styleId="QuoteChar">
    <w:name w:val="Quote Char"/>
    <w:basedOn w:val="DefaultParagraphFont"/>
    <w:link w:val="Quote"/>
    <w:uiPriority w:val="29"/>
    <w:rsid w:val="008A6941"/>
    <w:rPr>
      <w:i/>
      <w:iCs/>
      <w:color w:val="404040" w:themeColor="text1" w:themeTint="BF"/>
    </w:rPr>
  </w:style>
  <w:style w:type="paragraph" w:styleId="ListParagraph">
    <w:name w:val="List Paragraph"/>
    <w:basedOn w:val="Normal"/>
    <w:uiPriority w:val="34"/>
    <w:qFormat/>
    <w:rsid w:val="008A6941"/>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val="en-IN"/>
      <w14:ligatures w14:val="standardContextual"/>
    </w:rPr>
  </w:style>
  <w:style w:type="character" w:styleId="IntenseEmphasis">
    <w:name w:val="Intense Emphasis"/>
    <w:basedOn w:val="DefaultParagraphFont"/>
    <w:uiPriority w:val="21"/>
    <w:qFormat/>
    <w:rsid w:val="008A6941"/>
    <w:rPr>
      <w:i/>
      <w:iCs/>
      <w:color w:val="2E74B5" w:themeColor="accent1" w:themeShade="BF"/>
    </w:rPr>
  </w:style>
  <w:style w:type="paragraph" w:styleId="IntenseQuote">
    <w:name w:val="Intense Quote"/>
    <w:basedOn w:val="Normal"/>
    <w:next w:val="Normal"/>
    <w:link w:val="IntenseQuoteChar"/>
    <w:uiPriority w:val="30"/>
    <w:qFormat/>
    <w:rsid w:val="008A6941"/>
    <w:pPr>
      <w:pBdr>
        <w:top w:val="single" w:sz="4" w:space="10" w:color="2E74B5" w:themeColor="accent1" w:themeShade="BF"/>
        <w:bottom w:val="single" w:sz="4" w:space="10" w:color="2E74B5"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E74B5" w:themeColor="accent1" w:themeShade="BF"/>
      <w:kern w:val="2"/>
      <w:sz w:val="22"/>
      <w:szCs w:val="22"/>
      <w:lang w:val="en-IN"/>
      <w14:ligatures w14:val="standardContextual"/>
    </w:rPr>
  </w:style>
  <w:style w:type="character" w:customStyle="1" w:styleId="IntenseQuoteChar">
    <w:name w:val="Intense Quote Char"/>
    <w:basedOn w:val="DefaultParagraphFont"/>
    <w:link w:val="IntenseQuote"/>
    <w:uiPriority w:val="30"/>
    <w:rsid w:val="008A6941"/>
    <w:rPr>
      <w:i/>
      <w:iCs/>
      <w:color w:val="2E74B5" w:themeColor="accent1" w:themeShade="BF"/>
    </w:rPr>
  </w:style>
  <w:style w:type="character" w:styleId="IntenseReference">
    <w:name w:val="Intense Reference"/>
    <w:basedOn w:val="DefaultParagraphFont"/>
    <w:uiPriority w:val="32"/>
    <w:qFormat/>
    <w:rsid w:val="008A6941"/>
    <w:rPr>
      <w:b/>
      <w:bCs/>
      <w:smallCaps/>
      <w:color w:val="2E74B5" w:themeColor="accent1" w:themeShade="BF"/>
      <w:spacing w:val="5"/>
    </w:rPr>
  </w:style>
  <w:style w:type="character" w:styleId="Strong">
    <w:name w:val="Strong"/>
    <w:uiPriority w:val="22"/>
    <w:qFormat/>
    <w:rsid w:val="008A6941"/>
    <w:rPr>
      <w:b/>
      <w:bCs/>
    </w:rPr>
  </w:style>
  <w:style w:type="character" w:styleId="Emphasis">
    <w:name w:val="Emphasis"/>
    <w:basedOn w:val="DefaultParagraphFont"/>
    <w:uiPriority w:val="20"/>
    <w:qFormat/>
    <w:rsid w:val="008A6941"/>
    <w:rPr>
      <w:i/>
      <w:iCs/>
    </w:rPr>
  </w:style>
  <w:style w:type="table" w:styleId="TableGrid">
    <w:name w:val="Table Grid"/>
    <w:basedOn w:val="TableNormal"/>
    <w:uiPriority w:val="39"/>
    <w:rsid w:val="008A69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6941"/>
    <w:pPr>
      <w:spacing w:after="0" w:line="240" w:lineRule="auto"/>
    </w:pPr>
    <w:rPr>
      <w:kern w:val="0"/>
      <w14:ligatures w14:val="none"/>
    </w:rPr>
  </w:style>
  <w:style w:type="paragraph" w:styleId="NormalWeb">
    <w:name w:val="Normal (Web)"/>
    <w:basedOn w:val="Normal"/>
    <w:uiPriority w:val="99"/>
    <w:unhideWhenUsed/>
    <w:rsid w:val="008A6941"/>
    <w:pPr>
      <w:overflowPunct/>
      <w:autoSpaceDE/>
      <w:autoSpaceDN/>
      <w:adjustRightInd/>
      <w:spacing w:before="100" w:beforeAutospacing="1" w:after="100" w:afterAutospacing="1"/>
      <w:textAlignment w:val="auto"/>
    </w:pPr>
    <w:rPr>
      <w:sz w:val="24"/>
      <w:szCs w:val="24"/>
      <w:lang w:val="en-IN" w:eastAsia="en-IN"/>
    </w:rPr>
  </w:style>
  <w:style w:type="character" w:styleId="Hyperlink">
    <w:name w:val="Hyperlink"/>
    <w:rsid w:val="007F243A"/>
    <w:rPr>
      <w:color w:val="0000FF"/>
      <w:u w:val="single"/>
    </w:rPr>
  </w:style>
  <w:style w:type="character" w:styleId="UnresolvedMention">
    <w:name w:val="Unresolved Mention"/>
    <w:basedOn w:val="DefaultParagraphFont"/>
    <w:uiPriority w:val="99"/>
    <w:semiHidden/>
    <w:unhideWhenUsed/>
    <w:rsid w:val="007F243A"/>
    <w:rPr>
      <w:color w:val="605E5C"/>
      <w:shd w:val="clear" w:color="auto" w:fill="E1DFDD"/>
    </w:rPr>
  </w:style>
  <w:style w:type="character" w:styleId="PlaceholderText">
    <w:name w:val="Placeholder Text"/>
    <w:basedOn w:val="DefaultParagraphFont"/>
    <w:uiPriority w:val="99"/>
    <w:semiHidden/>
    <w:rsid w:val="00BD7108"/>
    <w:rPr>
      <w:color w:val="666666"/>
    </w:rPr>
  </w:style>
  <w:style w:type="character" w:customStyle="1" w:styleId="html-reference">
    <w:name w:val="html-reference"/>
    <w:basedOn w:val="DefaultParagraphFont"/>
    <w:rsid w:val="009160F1"/>
  </w:style>
  <w:style w:type="character" w:customStyle="1" w:styleId="normaltextrun">
    <w:name w:val="normaltextrun"/>
    <w:basedOn w:val="DefaultParagraphFont"/>
    <w:rsid w:val="00F63518"/>
  </w:style>
  <w:style w:type="character" w:customStyle="1" w:styleId="eop">
    <w:name w:val="eop"/>
    <w:basedOn w:val="DefaultParagraphFont"/>
    <w:rsid w:val="00F63518"/>
  </w:style>
  <w:style w:type="paragraph" w:customStyle="1" w:styleId="paragraph">
    <w:name w:val="paragraph"/>
    <w:basedOn w:val="Normal"/>
    <w:rsid w:val="00F63518"/>
    <w:pPr>
      <w:overflowPunct/>
      <w:autoSpaceDE/>
      <w:autoSpaceDN/>
      <w:adjustRightInd/>
      <w:spacing w:before="100" w:beforeAutospacing="1" w:after="100" w:afterAutospacing="1"/>
      <w:textAlignment w:val="auto"/>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oods13040567"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doi.org/10.1016/J.FOODRES.2023.11266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FOODQUAL.2019.05.001" TargetMode="External"/><Relationship Id="rId11" Type="http://schemas.openxmlformats.org/officeDocument/2006/relationships/hyperlink" Target="https://doi.org/10.1016/j.foodqual.2013.06.010" TargetMode="External"/><Relationship Id="rId5" Type="http://schemas.openxmlformats.org/officeDocument/2006/relationships/hyperlink" Target="mailto:getcinuvarghese@gmail.com" TargetMode="External"/><Relationship Id="rId10" Type="http://schemas.openxmlformats.org/officeDocument/2006/relationships/hyperlink" Target="https://doi.org/10.1016/j.foodqual.2015.03.003" TargetMode="External"/><Relationship Id="rId4" Type="http://schemas.openxmlformats.org/officeDocument/2006/relationships/webSettings" Target="webSettings.xml"/><Relationship Id="rId9" Type="http://schemas.openxmlformats.org/officeDocument/2006/relationships/hyperlink" Target="https://doi.org/10.1016/J.FOODQUAL.2023.105057"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C4539014FA43489F0408DEFA08C668"/>
        <w:category>
          <w:name w:val="General"/>
          <w:gallery w:val="placeholder"/>
        </w:category>
        <w:types>
          <w:type w:val="bbPlcHdr"/>
        </w:types>
        <w:behaviors>
          <w:behavior w:val="content"/>
        </w:behaviors>
        <w:guid w:val="{E4BD5F82-7393-4B8F-8D69-385E3FF53DA0}"/>
      </w:docPartPr>
      <w:docPartBody>
        <w:p w:rsidR="00CA03C5" w:rsidRDefault="00B557D2" w:rsidP="00B557D2">
          <w:pPr>
            <w:pStyle w:val="8FC4539014FA43489F0408DEFA08C668"/>
          </w:pPr>
          <w:r w:rsidRPr="009A30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D2"/>
    <w:rsid w:val="00335602"/>
    <w:rsid w:val="0036168F"/>
    <w:rsid w:val="00370BF8"/>
    <w:rsid w:val="004662F8"/>
    <w:rsid w:val="007D1C76"/>
    <w:rsid w:val="008509ED"/>
    <w:rsid w:val="00AD3531"/>
    <w:rsid w:val="00B557D2"/>
    <w:rsid w:val="00B90B29"/>
    <w:rsid w:val="00CA03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8FC4539014FA43489F0408DEFA08C668">
    <w:name w:val="8FC4539014FA43489F0408DEFA08C668"/>
    <w:rsid w:val="00B55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D37BB0-2C66-412A-894C-510F1728BBCD}">
  <we:reference id="wa200001361" version="2.129.3.0" store="en-US" storeType="OMEX"/>
  <we:alternateReferences>
    <we:reference id="wa200001361" version="2.129.3.0" store="en-US" storeType="OMEX"/>
  </we:alternateReferences>
  <we:properties>
    <we:property name="paperpal-document-id" value="&quot;e7aee5d4-3bc4-4596-a316-5aaba7be7476&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7</Pages>
  <Words>1672</Words>
  <Characters>10721</Characters>
  <Application>Microsoft Office Word</Application>
  <DocSecurity>0</DocSecurity>
  <Lines>214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Cinu Varghese</dc:creator>
  <cp:keywords/>
  <dc:description/>
  <cp:lastModifiedBy>Cinu Varghese</cp:lastModifiedBy>
  <cp:revision>4</cp:revision>
  <dcterms:created xsi:type="dcterms:W3CDTF">2026-01-21T10:25:00Z</dcterms:created>
  <dcterms:modified xsi:type="dcterms:W3CDTF">2026-01-21T13:20:00Z</dcterms:modified>
</cp:coreProperties>
</file>