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F16" w:rsidRPr="00686EBD" w:rsidRDefault="00182A0D" w:rsidP="00182A0D">
      <w:pPr>
        <w:pStyle w:val="NormalWeb"/>
      </w:pPr>
      <w:r w:rsidRPr="00686EBD">
        <w:t xml:space="preserve">Table 1: Interpretations of the </w:t>
      </w:r>
      <w:proofErr w:type="spellStart"/>
      <w:r w:rsidRPr="00686EBD">
        <w:t>Wantai</w:t>
      </w:r>
      <w:proofErr w:type="spellEnd"/>
      <w:r w:rsidRPr="00686EBD">
        <w:t xml:space="preserve"> SARS-CoV-2 and VIROTECH SARS-CoV-2 Tests, Including Individual Specifications and Combined Profiles</w:t>
      </w:r>
    </w:p>
    <w:tbl>
      <w:tblPr>
        <w:tblStyle w:val="Tableausimple2"/>
        <w:tblW w:w="0" w:type="auto"/>
        <w:tblLook w:val="04A0" w:firstRow="1" w:lastRow="0" w:firstColumn="1" w:lastColumn="0" w:noHBand="0" w:noVBand="1"/>
      </w:tblPr>
      <w:tblGrid>
        <w:gridCol w:w="1791"/>
        <w:gridCol w:w="2641"/>
        <w:gridCol w:w="2719"/>
        <w:gridCol w:w="1555"/>
        <w:gridCol w:w="4300"/>
      </w:tblGrid>
      <w:tr w:rsidR="0038344A" w:rsidRPr="00686EBD" w:rsidTr="007D526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38344A" w:rsidRPr="00686EBD" w:rsidRDefault="0038344A" w:rsidP="0038344A">
            <w:pPr>
              <w:jc w:val="cente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Test/Profile</w:t>
            </w:r>
          </w:p>
        </w:tc>
        <w:tc>
          <w:tcPr>
            <w:tcW w:w="0" w:type="auto"/>
            <w:hideMark/>
          </w:tcPr>
          <w:p w:rsidR="0038344A" w:rsidRPr="00686EBD" w:rsidRDefault="0038344A" w:rsidP="003834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Exact Name/Combination</w:t>
            </w:r>
          </w:p>
        </w:tc>
        <w:tc>
          <w:tcPr>
            <w:tcW w:w="0" w:type="auto"/>
            <w:hideMark/>
          </w:tcPr>
          <w:p w:rsidR="0038344A" w:rsidRPr="00686EBD" w:rsidRDefault="0038344A" w:rsidP="003834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Antibodies Detected/Profile Details</w:t>
            </w:r>
          </w:p>
        </w:tc>
        <w:tc>
          <w:tcPr>
            <w:tcW w:w="0" w:type="auto"/>
            <w:hideMark/>
          </w:tcPr>
          <w:p w:rsidR="0038344A" w:rsidRPr="00686EBD" w:rsidRDefault="0038344A" w:rsidP="003834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Target Antigen</w:t>
            </w:r>
          </w:p>
        </w:tc>
        <w:tc>
          <w:tcPr>
            <w:tcW w:w="0" w:type="auto"/>
            <w:hideMark/>
          </w:tcPr>
          <w:p w:rsidR="0038344A" w:rsidRPr="00686EBD" w:rsidRDefault="0038344A" w:rsidP="003834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Practical Interpretation</w:t>
            </w:r>
          </w:p>
        </w:tc>
      </w:tr>
      <w:tr w:rsidR="0038344A" w:rsidRPr="00686EBD" w:rsidTr="007D52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38344A" w:rsidRPr="00686EBD" w:rsidRDefault="0038344A" w:rsidP="0038344A">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Individual Test Specifications</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w:t>
            </w:r>
          </w:p>
        </w:tc>
      </w:tr>
      <w:tr w:rsidR="0038344A" w:rsidRPr="00686EBD" w:rsidTr="007D526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38344A" w:rsidRPr="00686EBD" w:rsidRDefault="0038344A" w:rsidP="0038344A">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Wantai</w:t>
            </w:r>
            <w:proofErr w:type="spellEnd"/>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xml:space="preserve"> SARS-CoV-2 Total Ab ELISA (Beijing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xml:space="preserve"> Biological Pharmacy)</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Total antibodies (IgG, IgM, IgA) directed against the receptor-binding domain (RBD) of the Spike protein</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RBD of the Spike protein</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Highly sensitive to antibodies induced by mRNA or adenoviral vector vaccines (e.g., Pfizer/</w:t>
            </w:r>
            <w:proofErr w:type="spellStart"/>
            <w:r w:rsidRPr="00686EBD">
              <w:rPr>
                <w:rFonts w:ascii="Times New Roman" w:eastAsia="Times New Roman" w:hAnsi="Times New Roman" w:cs="Times New Roman"/>
                <w:color w:val="000000"/>
              </w:rPr>
              <w:t>BioNTech</w:t>
            </w:r>
            <w:proofErr w:type="spellEnd"/>
            <w:r w:rsidRPr="00686EBD">
              <w:rPr>
                <w:rFonts w:ascii="Times New Roman" w:eastAsia="Times New Roman" w:hAnsi="Times New Roman" w:cs="Times New Roman"/>
                <w:color w:val="000000"/>
              </w:rPr>
              <w:t>, AstraZeneca), which encode only the Spike protein. Also detects natural infections, with persistent levels after vaccination.(1,2)</w:t>
            </w:r>
          </w:p>
        </w:tc>
      </w:tr>
      <w:tr w:rsidR="0038344A" w:rsidRPr="00686EBD" w:rsidTr="007D52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38344A" w:rsidRPr="00686EBD" w:rsidRDefault="0038344A" w:rsidP="0038344A">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Virotech</w:t>
            </w:r>
            <w:proofErr w:type="spellEnd"/>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VIROTECH SARS-CoV-2 IgG ELISA (</w:t>
            </w:r>
            <w:proofErr w:type="spellStart"/>
            <w:r w:rsidRPr="00686EBD">
              <w:rPr>
                <w:rFonts w:ascii="Times New Roman" w:eastAsia="Times New Roman" w:hAnsi="Times New Roman" w:cs="Times New Roman"/>
                <w:color w:val="000000"/>
              </w:rPr>
              <w:t>nucleocapsid</w:t>
            </w:r>
            <w:proofErr w:type="spellEnd"/>
            <w:r w:rsidRPr="00686EBD">
              <w:rPr>
                <w:rFonts w:ascii="Times New Roman" w:eastAsia="Times New Roman" w:hAnsi="Times New Roman" w:cs="Times New Roman"/>
                <w:color w:val="000000"/>
              </w:rPr>
              <w:t>-based)</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Anti-</w:t>
            </w:r>
            <w:proofErr w:type="spellStart"/>
            <w:r w:rsidRPr="00686EBD">
              <w:rPr>
                <w:rFonts w:ascii="Times New Roman" w:eastAsia="Times New Roman" w:hAnsi="Times New Roman" w:cs="Times New Roman"/>
                <w:color w:val="000000"/>
              </w:rPr>
              <w:t>nucleocapsid</w:t>
            </w:r>
            <w:proofErr w:type="spellEnd"/>
            <w:r w:rsidRPr="00686EBD">
              <w:rPr>
                <w:rFonts w:ascii="Times New Roman" w:eastAsia="Times New Roman" w:hAnsi="Times New Roman" w:cs="Times New Roman"/>
                <w:color w:val="000000"/>
              </w:rPr>
              <w:t xml:space="preserve"> IgG only</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Nucleocapsid</w:t>
            </w:r>
            <w:proofErr w:type="spellEnd"/>
            <w:r w:rsidRPr="00686EBD">
              <w:rPr>
                <w:rFonts w:ascii="Times New Roman" w:eastAsia="Times New Roman" w:hAnsi="Times New Roman" w:cs="Times New Roman"/>
                <w:color w:val="000000"/>
              </w:rPr>
              <w:t xml:space="preserve"> protein (N)</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Commonly used vaccines do not induce anti-N antibodies; a positive result almost certainly indicates past or recent natural infection, even in vaccinated individuals.(1–3)</w:t>
            </w:r>
          </w:p>
        </w:tc>
      </w:tr>
      <w:tr w:rsidR="0038344A" w:rsidRPr="00686EBD" w:rsidTr="007D526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38344A" w:rsidRPr="00686EBD" w:rsidRDefault="0038344A" w:rsidP="0038344A">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Combined Profiles and Key Syntheses</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w:t>
            </w:r>
          </w:p>
        </w:tc>
      </w:tr>
      <w:tr w:rsidR="0038344A" w:rsidRPr="00686EBD" w:rsidTr="007D52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38344A" w:rsidRPr="00686EBD" w:rsidRDefault="0038344A" w:rsidP="0038344A">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Wantai</w:t>
            </w:r>
            <w:proofErr w:type="spellEnd"/>
            <w:r w:rsidRPr="00686EBD">
              <w:rPr>
                <w:rFonts w:ascii="Times New Roman" w:eastAsia="Times New Roman" w:hAnsi="Times New Roman" w:cs="Times New Roman"/>
                <w:b w:val="0"/>
                <w:color w:val="000000"/>
              </w:rPr>
              <w:t xml:space="preserve"> + / </w:t>
            </w:r>
            <w:proofErr w:type="spellStart"/>
            <w:r w:rsidRPr="00686EBD">
              <w:rPr>
                <w:rFonts w:ascii="Times New Roman" w:eastAsia="Times New Roman" w:hAnsi="Times New Roman" w:cs="Times New Roman"/>
                <w:b w:val="0"/>
                <w:color w:val="000000"/>
              </w:rPr>
              <w:t>Virotech</w:t>
            </w:r>
            <w:proofErr w:type="spellEnd"/>
            <w:r w:rsidRPr="00686EBD">
              <w:rPr>
                <w:rFonts w:ascii="Times New Roman" w:eastAsia="Times New Roman" w:hAnsi="Times New Roman" w:cs="Times New Roman"/>
                <w:b w:val="0"/>
                <w:color w:val="000000"/>
              </w:rPr>
              <w:t xml:space="preserve"> anti-N –</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Vaccination alone (or very old infection)</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Indicates vaccination without evidence of natural infection, or a very old infection where anti-N antibodies are undetectable.(4)</w:t>
            </w:r>
          </w:p>
        </w:tc>
      </w:tr>
      <w:tr w:rsidR="0038344A" w:rsidRPr="00686EBD" w:rsidTr="007D526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38344A" w:rsidRPr="00686EBD" w:rsidRDefault="0038344A" w:rsidP="0038344A">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Wantai</w:t>
            </w:r>
            <w:proofErr w:type="spellEnd"/>
            <w:r w:rsidRPr="00686EBD">
              <w:rPr>
                <w:rFonts w:ascii="Times New Roman" w:eastAsia="Times New Roman" w:hAnsi="Times New Roman" w:cs="Times New Roman"/>
                <w:b w:val="0"/>
                <w:color w:val="000000"/>
              </w:rPr>
              <w:t xml:space="preserve"> + / </w:t>
            </w:r>
            <w:proofErr w:type="spellStart"/>
            <w:r w:rsidRPr="00686EBD">
              <w:rPr>
                <w:rFonts w:ascii="Times New Roman" w:eastAsia="Times New Roman" w:hAnsi="Times New Roman" w:cs="Times New Roman"/>
                <w:b w:val="0"/>
                <w:color w:val="000000"/>
              </w:rPr>
              <w:t>Virotech</w:t>
            </w:r>
            <w:proofErr w:type="spellEnd"/>
            <w:r w:rsidRPr="00686EBD">
              <w:rPr>
                <w:rFonts w:ascii="Times New Roman" w:eastAsia="Times New Roman" w:hAnsi="Times New Roman" w:cs="Times New Roman"/>
                <w:b w:val="0"/>
                <w:color w:val="000000"/>
              </w:rPr>
              <w:t xml:space="preserve"> anti-N +</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Natural infection (± vaccination)</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Suggests natural infection, possibly in an individual who has also been vaccinated.(4)</w:t>
            </w:r>
          </w:p>
        </w:tc>
      </w:tr>
      <w:tr w:rsidR="0038344A" w:rsidRPr="00686EBD" w:rsidTr="007D52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38344A" w:rsidRPr="00686EBD" w:rsidRDefault="0038344A" w:rsidP="0038344A">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Wantai</w:t>
            </w:r>
            <w:proofErr w:type="spellEnd"/>
            <w:r w:rsidRPr="00686EBD">
              <w:rPr>
                <w:rFonts w:ascii="Times New Roman" w:eastAsia="Times New Roman" w:hAnsi="Times New Roman" w:cs="Times New Roman"/>
                <w:b w:val="0"/>
                <w:color w:val="000000"/>
              </w:rPr>
              <w:t xml:space="preserve"> – / </w:t>
            </w:r>
            <w:proofErr w:type="spellStart"/>
            <w:r w:rsidRPr="00686EBD">
              <w:rPr>
                <w:rFonts w:ascii="Times New Roman" w:eastAsia="Times New Roman" w:hAnsi="Times New Roman" w:cs="Times New Roman"/>
                <w:b w:val="0"/>
                <w:color w:val="000000"/>
              </w:rPr>
              <w:t>Virotech</w:t>
            </w:r>
            <w:proofErr w:type="spellEnd"/>
            <w:r w:rsidRPr="00686EBD">
              <w:rPr>
                <w:rFonts w:ascii="Times New Roman" w:eastAsia="Times New Roman" w:hAnsi="Times New Roman" w:cs="Times New Roman"/>
                <w:b w:val="0"/>
                <w:color w:val="000000"/>
              </w:rPr>
              <w:t xml:space="preserve"> anti-N +</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Almost impossible (rare cases only)</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8344A" w:rsidRPr="00686EBD" w:rsidRDefault="0038344A" w:rsidP="003834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Unlikely scenario, except in exceptional circumstances.</w:t>
            </w:r>
          </w:p>
        </w:tc>
      </w:tr>
      <w:tr w:rsidR="0038344A" w:rsidRPr="00686EBD" w:rsidTr="007D526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38344A" w:rsidRPr="00686EBD" w:rsidRDefault="0038344A" w:rsidP="0038344A">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Disappearance of antibodies at T2</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Typical in low-circulation areas</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8344A" w:rsidRPr="00686EBD" w:rsidRDefault="0038344A" w:rsidP="003834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Common in regions such as </w:t>
            </w:r>
            <w:proofErr w:type="spellStart"/>
            <w:r w:rsidRPr="00686EBD">
              <w:rPr>
                <w:rFonts w:ascii="Times New Roman" w:eastAsia="Times New Roman" w:hAnsi="Times New Roman" w:cs="Times New Roman"/>
                <w:color w:val="000000"/>
              </w:rPr>
              <w:t>Hambol</w:t>
            </w:r>
            <w:proofErr w:type="spellEnd"/>
            <w:r w:rsidRPr="00686EBD">
              <w:rPr>
                <w:rFonts w:ascii="Times New Roman" w:eastAsia="Times New Roman" w:hAnsi="Times New Roman" w:cs="Times New Roman"/>
                <w:color w:val="000000"/>
              </w:rPr>
              <w:t>; anti-N antibodies decline rapidly (&lt;12 months).(5,6)</w:t>
            </w:r>
          </w:p>
        </w:tc>
      </w:tr>
    </w:tbl>
    <w:p w:rsidR="0038344A" w:rsidRPr="00686EBD" w:rsidRDefault="00046F87" w:rsidP="003834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Footnote: t</w:t>
      </w:r>
      <w:r w:rsidR="0038344A" w:rsidRPr="00686EBD">
        <w:rPr>
          <w:rFonts w:ascii="Times New Roman" w:eastAsia="Times New Roman" w:hAnsi="Times New Roman" w:cs="Times New Roman"/>
          <w:sz w:val="24"/>
          <w:szCs w:val="24"/>
        </w:rPr>
        <w:t>his table summarizes serological interpretations based on the antigenic specificities of the tests and the differential immune responses to SARS-CoV-2 vaccination versus natural infection. Combined profiles allow differentiation between the origin of immunity (vaccine-induced or post-infection).</w:t>
      </w:r>
    </w:p>
    <w:p w:rsidR="00BE63AC" w:rsidRPr="00686EBD" w:rsidRDefault="00630921" w:rsidP="00BE63AC">
      <w:pPr>
        <w:spacing w:before="100" w:beforeAutospacing="1" w:after="100" w:afterAutospacing="1" w:line="240" w:lineRule="auto"/>
        <w:rPr>
          <w:rFonts w:ascii="Times New Roman" w:eastAsia="Times New Roman" w:hAnsi="Times New Roman" w:cs="Times New Roman"/>
          <w:sz w:val="24"/>
          <w:szCs w:val="24"/>
        </w:rPr>
      </w:pPr>
      <w:r w:rsidRPr="00686EBD">
        <w:rPr>
          <w:rFonts w:ascii="Times New Roman" w:eastAsia="Times New Roman" w:hAnsi="Times New Roman" w:cs="Times New Roman"/>
          <w:sz w:val="24"/>
          <w:szCs w:val="24"/>
        </w:rPr>
        <w:lastRenderedPageBreak/>
        <w:t xml:space="preserve">Reference </w:t>
      </w:r>
    </w:p>
    <w:p w:rsidR="00BE63AC" w:rsidRPr="00686EBD" w:rsidRDefault="00BE63AC" w:rsidP="00BE63AC">
      <w:pPr>
        <w:pStyle w:val="Paragraphedeliste"/>
        <w:numPr>
          <w:ilvl w:val="0"/>
          <w:numId w:val="4"/>
        </w:numPr>
        <w:spacing w:after="0" w:line="240" w:lineRule="auto"/>
        <w:rPr>
          <w:rFonts w:ascii="Times New Roman" w:eastAsia="Times New Roman" w:hAnsi="Times New Roman" w:cs="Times New Roman"/>
          <w:sz w:val="24"/>
          <w:szCs w:val="24"/>
        </w:rPr>
      </w:pPr>
      <w:r w:rsidRPr="00686EBD">
        <w:rPr>
          <w:rFonts w:ascii="Times New Roman" w:eastAsia="Times New Roman" w:hAnsi="Times New Roman" w:cs="Times New Roman"/>
          <w:sz w:val="24"/>
          <w:szCs w:val="24"/>
        </w:rPr>
        <w:t xml:space="preserve"> </w:t>
      </w:r>
      <w:proofErr w:type="spellStart"/>
      <w:r w:rsidRPr="00686EBD">
        <w:rPr>
          <w:rFonts w:ascii="Times New Roman" w:eastAsia="Times New Roman" w:hAnsi="Times New Roman" w:cs="Times New Roman"/>
          <w:sz w:val="24"/>
          <w:szCs w:val="24"/>
        </w:rPr>
        <w:t>Kohmer</w:t>
      </w:r>
      <w:proofErr w:type="spellEnd"/>
      <w:r w:rsidRPr="00686EBD">
        <w:rPr>
          <w:rFonts w:ascii="Times New Roman" w:eastAsia="Times New Roman" w:hAnsi="Times New Roman" w:cs="Times New Roman"/>
          <w:sz w:val="24"/>
          <w:szCs w:val="24"/>
        </w:rPr>
        <w:t xml:space="preserve"> N, </w:t>
      </w:r>
      <w:proofErr w:type="spellStart"/>
      <w:r w:rsidRPr="00686EBD">
        <w:rPr>
          <w:rFonts w:ascii="Times New Roman" w:eastAsia="Times New Roman" w:hAnsi="Times New Roman" w:cs="Times New Roman"/>
          <w:sz w:val="24"/>
          <w:szCs w:val="24"/>
        </w:rPr>
        <w:t>Westhaus</w:t>
      </w:r>
      <w:proofErr w:type="spellEnd"/>
      <w:r w:rsidRPr="00686EBD">
        <w:rPr>
          <w:rFonts w:ascii="Times New Roman" w:eastAsia="Times New Roman" w:hAnsi="Times New Roman" w:cs="Times New Roman"/>
          <w:sz w:val="24"/>
          <w:szCs w:val="24"/>
        </w:rPr>
        <w:t xml:space="preserve"> S, </w:t>
      </w:r>
      <w:proofErr w:type="spellStart"/>
      <w:r w:rsidRPr="00686EBD">
        <w:rPr>
          <w:rFonts w:ascii="Times New Roman" w:eastAsia="Times New Roman" w:hAnsi="Times New Roman" w:cs="Times New Roman"/>
          <w:sz w:val="24"/>
          <w:szCs w:val="24"/>
        </w:rPr>
        <w:t>Rühl</w:t>
      </w:r>
      <w:proofErr w:type="spellEnd"/>
      <w:r w:rsidRPr="00686EBD">
        <w:rPr>
          <w:rFonts w:ascii="Times New Roman" w:eastAsia="Times New Roman" w:hAnsi="Times New Roman" w:cs="Times New Roman"/>
          <w:sz w:val="24"/>
          <w:szCs w:val="24"/>
        </w:rPr>
        <w:t xml:space="preserve"> C, et al. Brief clinical evaluation of six high-throughput SARS-CoV-2 IgG antibody assays. </w:t>
      </w:r>
      <w:r w:rsidRPr="00686EBD">
        <w:rPr>
          <w:rFonts w:ascii="Times New Roman" w:eastAsia="Times New Roman" w:hAnsi="Times New Roman" w:cs="Times New Roman"/>
          <w:i/>
          <w:iCs/>
          <w:sz w:val="24"/>
          <w:szCs w:val="24"/>
        </w:rPr>
        <w:t xml:space="preserve">J </w:t>
      </w:r>
      <w:proofErr w:type="spellStart"/>
      <w:r w:rsidRPr="00686EBD">
        <w:rPr>
          <w:rFonts w:ascii="Times New Roman" w:eastAsia="Times New Roman" w:hAnsi="Times New Roman" w:cs="Times New Roman"/>
          <w:i/>
          <w:iCs/>
          <w:sz w:val="24"/>
          <w:szCs w:val="24"/>
        </w:rPr>
        <w:t>Clin</w:t>
      </w:r>
      <w:proofErr w:type="spellEnd"/>
      <w:r w:rsidRPr="00686EBD">
        <w:rPr>
          <w:rFonts w:ascii="Times New Roman" w:eastAsia="Times New Roman" w:hAnsi="Times New Roman" w:cs="Times New Roman"/>
          <w:i/>
          <w:iCs/>
          <w:sz w:val="24"/>
          <w:szCs w:val="24"/>
        </w:rPr>
        <w:t xml:space="preserve"> </w:t>
      </w:r>
      <w:proofErr w:type="spellStart"/>
      <w:r w:rsidRPr="00686EBD">
        <w:rPr>
          <w:rFonts w:ascii="Times New Roman" w:eastAsia="Times New Roman" w:hAnsi="Times New Roman" w:cs="Times New Roman"/>
          <w:i/>
          <w:iCs/>
          <w:sz w:val="24"/>
          <w:szCs w:val="24"/>
        </w:rPr>
        <w:t>Virol</w:t>
      </w:r>
      <w:proofErr w:type="spellEnd"/>
      <w:r w:rsidRPr="00686EBD">
        <w:rPr>
          <w:rFonts w:ascii="Times New Roman" w:eastAsia="Times New Roman" w:hAnsi="Times New Roman" w:cs="Times New Roman"/>
          <w:sz w:val="24"/>
          <w:szCs w:val="24"/>
        </w:rPr>
        <w:t xml:space="preserve"> 2020</w:t>
      </w:r>
      <w:proofErr w:type="gramStart"/>
      <w:r w:rsidRPr="00686EBD">
        <w:rPr>
          <w:rFonts w:ascii="Times New Roman" w:eastAsia="Times New Roman" w:hAnsi="Times New Roman" w:cs="Times New Roman"/>
          <w:sz w:val="24"/>
          <w:szCs w:val="24"/>
        </w:rPr>
        <w:t>;129:104480</w:t>
      </w:r>
      <w:proofErr w:type="gramEnd"/>
      <w:r w:rsidRPr="00686EBD">
        <w:rPr>
          <w:rFonts w:ascii="Times New Roman" w:eastAsia="Times New Roman" w:hAnsi="Times New Roman" w:cs="Times New Roman"/>
          <w:sz w:val="24"/>
          <w:szCs w:val="24"/>
        </w:rPr>
        <w:t xml:space="preserve">. </w:t>
      </w:r>
    </w:p>
    <w:p w:rsidR="00BE63AC" w:rsidRPr="00686EBD" w:rsidRDefault="00BE63AC" w:rsidP="00BE63AC">
      <w:pPr>
        <w:pStyle w:val="Paragraphedeliste"/>
        <w:numPr>
          <w:ilvl w:val="0"/>
          <w:numId w:val="4"/>
        </w:numPr>
        <w:spacing w:after="0" w:line="240" w:lineRule="auto"/>
        <w:rPr>
          <w:rFonts w:ascii="Times New Roman" w:eastAsia="Times New Roman" w:hAnsi="Times New Roman" w:cs="Times New Roman"/>
          <w:sz w:val="24"/>
          <w:szCs w:val="24"/>
        </w:rPr>
      </w:pPr>
      <w:proofErr w:type="spellStart"/>
      <w:r w:rsidRPr="00686EBD">
        <w:rPr>
          <w:rFonts w:ascii="Times New Roman" w:eastAsia="Times New Roman" w:hAnsi="Times New Roman" w:cs="Times New Roman"/>
          <w:sz w:val="24"/>
          <w:szCs w:val="24"/>
          <w:lang w:val="fr-CI"/>
        </w:rPr>
        <w:t>Schnurra</w:t>
      </w:r>
      <w:proofErr w:type="spellEnd"/>
      <w:r w:rsidRPr="00686EBD">
        <w:rPr>
          <w:rFonts w:ascii="Times New Roman" w:eastAsia="Times New Roman" w:hAnsi="Times New Roman" w:cs="Times New Roman"/>
          <w:sz w:val="24"/>
          <w:szCs w:val="24"/>
          <w:lang w:val="fr-CI"/>
        </w:rPr>
        <w:t xml:space="preserve"> C, </w:t>
      </w:r>
      <w:proofErr w:type="spellStart"/>
      <w:r w:rsidRPr="00686EBD">
        <w:rPr>
          <w:rFonts w:ascii="Times New Roman" w:eastAsia="Times New Roman" w:hAnsi="Times New Roman" w:cs="Times New Roman"/>
          <w:sz w:val="24"/>
          <w:szCs w:val="24"/>
          <w:lang w:val="fr-CI"/>
        </w:rPr>
        <w:t>Biemann</w:t>
      </w:r>
      <w:proofErr w:type="spellEnd"/>
      <w:r w:rsidRPr="00686EBD">
        <w:rPr>
          <w:rFonts w:ascii="Times New Roman" w:eastAsia="Times New Roman" w:hAnsi="Times New Roman" w:cs="Times New Roman"/>
          <w:sz w:val="24"/>
          <w:szCs w:val="24"/>
          <w:lang w:val="fr-CI"/>
        </w:rPr>
        <w:t xml:space="preserve"> R, Kaiser T, et al. </w:t>
      </w:r>
      <w:r w:rsidRPr="00686EBD">
        <w:rPr>
          <w:rFonts w:ascii="Times New Roman" w:eastAsia="Times New Roman" w:hAnsi="Times New Roman" w:cs="Times New Roman"/>
          <w:sz w:val="24"/>
          <w:szCs w:val="24"/>
        </w:rPr>
        <w:t xml:space="preserve">Comparison of the diagnostic sensitivity of SARS-CoV-2 nucleoprotein and glycoprotein-based antibody tests. </w:t>
      </w:r>
      <w:r w:rsidRPr="00686EBD">
        <w:rPr>
          <w:rFonts w:ascii="Times New Roman" w:eastAsia="Times New Roman" w:hAnsi="Times New Roman" w:cs="Times New Roman"/>
          <w:i/>
          <w:iCs/>
          <w:sz w:val="24"/>
          <w:szCs w:val="24"/>
        </w:rPr>
        <w:t xml:space="preserve">J </w:t>
      </w:r>
      <w:proofErr w:type="spellStart"/>
      <w:r w:rsidRPr="00686EBD">
        <w:rPr>
          <w:rFonts w:ascii="Times New Roman" w:eastAsia="Times New Roman" w:hAnsi="Times New Roman" w:cs="Times New Roman"/>
          <w:i/>
          <w:iCs/>
          <w:sz w:val="24"/>
          <w:szCs w:val="24"/>
        </w:rPr>
        <w:t>Clin</w:t>
      </w:r>
      <w:proofErr w:type="spellEnd"/>
      <w:r w:rsidRPr="00686EBD">
        <w:rPr>
          <w:rFonts w:ascii="Times New Roman" w:eastAsia="Times New Roman" w:hAnsi="Times New Roman" w:cs="Times New Roman"/>
          <w:i/>
          <w:iCs/>
          <w:sz w:val="24"/>
          <w:szCs w:val="24"/>
        </w:rPr>
        <w:t xml:space="preserve"> </w:t>
      </w:r>
      <w:proofErr w:type="spellStart"/>
      <w:r w:rsidRPr="00686EBD">
        <w:rPr>
          <w:rFonts w:ascii="Times New Roman" w:eastAsia="Times New Roman" w:hAnsi="Times New Roman" w:cs="Times New Roman"/>
          <w:i/>
          <w:iCs/>
          <w:sz w:val="24"/>
          <w:szCs w:val="24"/>
        </w:rPr>
        <w:t>Virol</w:t>
      </w:r>
      <w:proofErr w:type="spellEnd"/>
      <w:r w:rsidRPr="00686EBD">
        <w:rPr>
          <w:rFonts w:ascii="Times New Roman" w:eastAsia="Times New Roman" w:hAnsi="Times New Roman" w:cs="Times New Roman"/>
          <w:sz w:val="24"/>
          <w:szCs w:val="24"/>
        </w:rPr>
        <w:t xml:space="preserve"> 2020</w:t>
      </w:r>
      <w:proofErr w:type="gramStart"/>
      <w:r w:rsidRPr="00686EBD">
        <w:rPr>
          <w:rFonts w:ascii="Times New Roman" w:eastAsia="Times New Roman" w:hAnsi="Times New Roman" w:cs="Times New Roman"/>
          <w:sz w:val="24"/>
          <w:szCs w:val="24"/>
        </w:rPr>
        <w:t>;129:104544</w:t>
      </w:r>
      <w:proofErr w:type="gramEnd"/>
      <w:r w:rsidRPr="00686EBD">
        <w:rPr>
          <w:rFonts w:ascii="Times New Roman" w:eastAsia="Times New Roman" w:hAnsi="Times New Roman" w:cs="Times New Roman"/>
          <w:sz w:val="24"/>
          <w:szCs w:val="24"/>
        </w:rPr>
        <w:t>. (</w:t>
      </w:r>
      <w:proofErr w:type="gramStart"/>
      <w:r w:rsidRPr="00686EBD">
        <w:rPr>
          <w:rFonts w:ascii="Times New Roman" w:eastAsia="Times New Roman" w:hAnsi="Times New Roman" w:cs="Times New Roman"/>
          <w:sz w:val="24"/>
          <w:szCs w:val="24"/>
        </w:rPr>
        <w:t>Or</w:t>
      </w:r>
      <w:proofErr w:type="gramEnd"/>
      <w:r w:rsidRPr="00686EBD">
        <w:rPr>
          <w:rFonts w:ascii="Times New Roman" w:eastAsia="Times New Roman" w:hAnsi="Times New Roman" w:cs="Times New Roman"/>
          <w:sz w:val="24"/>
          <w:szCs w:val="24"/>
        </w:rPr>
        <w:t xml:space="preserve"> the correct Meyer et al. reference if available.) </w:t>
      </w:r>
    </w:p>
    <w:p w:rsidR="00BE63AC" w:rsidRPr="00686EBD" w:rsidRDefault="00BE63AC" w:rsidP="00BE63AC">
      <w:pPr>
        <w:pStyle w:val="Paragraphedeliste"/>
        <w:numPr>
          <w:ilvl w:val="0"/>
          <w:numId w:val="4"/>
        </w:numPr>
        <w:spacing w:after="0" w:line="240" w:lineRule="auto"/>
        <w:rPr>
          <w:rFonts w:ascii="Times New Roman" w:eastAsia="Times New Roman" w:hAnsi="Times New Roman" w:cs="Times New Roman"/>
          <w:sz w:val="24"/>
          <w:szCs w:val="24"/>
        </w:rPr>
      </w:pPr>
      <w:r w:rsidRPr="00686EBD">
        <w:rPr>
          <w:rFonts w:ascii="Times New Roman" w:eastAsia="Times New Roman" w:hAnsi="Times New Roman" w:cs="Times New Roman"/>
          <w:sz w:val="24"/>
          <w:szCs w:val="24"/>
        </w:rPr>
        <w:t>Manufacturer’s package insert (</w:t>
      </w:r>
      <w:proofErr w:type="spellStart"/>
      <w:r w:rsidRPr="00686EBD">
        <w:rPr>
          <w:rFonts w:ascii="Times New Roman" w:eastAsia="Times New Roman" w:hAnsi="Times New Roman" w:cs="Times New Roman"/>
          <w:sz w:val="24"/>
          <w:szCs w:val="24"/>
        </w:rPr>
        <w:t>Virotech</w:t>
      </w:r>
      <w:proofErr w:type="spellEnd"/>
      <w:r w:rsidRPr="00686EBD">
        <w:rPr>
          <w:rFonts w:ascii="Times New Roman" w:eastAsia="Times New Roman" w:hAnsi="Times New Roman" w:cs="Times New Roman"/>
          <w:sz w:val="24"/>
          <w:szCs w:val="24"/>
        </w:rPr>
        <w:t xml:space="preserve"> Diagnostics GmbH) and European validations (2020–2021). </w:t>
      </w:r>
    </w:p>
    <w:p w:rsidR="00BE63AC" w:rsidRPr="00686EBD" w:rsidRDefault="00BE63AC" w:rsidP="00BE63AC">
      <w:pPr>
        <w:pStyle w:val="Paragraphedeliste"/>
        <w:numPr>
          <w:ilvl w:val="0"/>
          <w:numId w:val="4"/>
        </w:numPr>
        <w:spacing w:after="0" w:line="240" w:lineRule="auto"/>
        <w:rPr>
          <w:rFonts w:ascii="Times New Roman" w:eastAsia="Times New Roman" w:hAnsi="Times New Roman" w:cs="Times New Roman"/>
          <w:sz w:val="24"/>
          <w:szCs w:val="24"/>
        </w:rPr>
      </w:pPr>
      <w:proofErr w:type="spellStart"/>
      <w:r w:rsidRPr="00686EBD">
        <w:rPr>
          <w:rFonts w:ascii="Times New Roman" w:eastAsia="Times New Roman" w:hAnsi="Times New Roman" w:cs="Times New Roman"/>
          <w:sz w:val="24"/>
          <w:szCs w:val="24"/>
        </w:rPr>
        <w:t>Dörschug</w:t>
      </w:r>
      <w:proofErr w:type="spellEnd"/>
      <w:r w:rsidRPr="00686EBD">
        <w:rPr>
          <w:rFonts w:ascii="Times New Roman" w:eastAsia="Times New Roman" w:hAnsi="Times New Roman" w:cs="Times New Roman"/>
          <w:sz w:val="24"/>
          <w:szCs w:val="24"/>
        </w:rPr>
        <w:t xml:space="preserve"> A, </w:t>
      </w:r>
      <w:proofErr w:type="spellStart"/>
      <w:r w:rsidRPr="00686EBD">
        <w:rPr>
          <w:rFonts w:ascii="Times New Roman" w:eastAsia="Times New Roman" w:hAnsi="Times New Roman" w:cs="Times New Roman"/>
          <w:sz w:val="24"/>
          <w:szCs w:val="24"/>
        </w:rPr>
        <w:t>Frickmann</w:t>
      </w:r>
      <w:proofErr w:type="spellEnd"/>
      <w:r w:rsidRPr="00686EBD">
        <w:rPr>
          <w:rFonts w:ascii="Times New Roman" w:eastAsia="Times New Roman" w:hAnsi="Times New Roman" w:cs="Times New Roman"/>
          <w:sz w:val="24"/>
          <w:szCs w:val="24"/>
        </w:rPr>
        <w:t xml:space="preserve"> H, </w:t>
      </w:r>
      <w:proofErr w:type="spellStart"/>
      <w:r w:rsidRPr="00686EBD">
        <w:rPr>
          <w:rFonts w:ascii="Times New Roman" w:eastAsia="Times New Roman" w:hAnsi="Times New Roman" w:cs="Times New Roman"/>
          <w:sz w:val="24"/>
          <w:szCs w:val="24"/>
        </w:rPr>
        <w:t>Schwanbeck</w:t>
      </w:r>
      <w:proofErr w:type="spellEnd"/>
      <w:r w:rsidRPr="00686EBD">
        <w:rPr>
          <w:rFonts w:ascii="Times New Roman" w:eastAsia="Times New Roman" w:hAnsi="Times New Roman" w:cs="Times New Roman"/>
          <w:sz w:val="24"/>
          <w:szCs w:val="24"/>
        </w:rPr>
        <w:t xml:space="preserve"> J, et al. Comparative assessment of sera from individuals after S-gene RNA-based SARS-CoV-2 vaccination with spike-protein-based and </w:t>
      </w:r>
      <w:proofErr w:type="spellStart"/>
      <w:r w:rsidRPr="00686EBD">
        <w:rPr>
          <w:rFonts w:ascii="Times New Roman" w:eastAsia="Times New Roman" w:hAnsi="Times New Roman" w:cs="Times New Roman"/>
          <w:sz w:val="24"/>
          <w:szCs w:val="24"/>
        </w:rPr>
        <w:t>nucleocapsid</w:t>
      </w:r>
      <w:proofErr w:type="spellEnd"/>
      <w:r w:rsidRPr="00686EBD">
        <w:rPr>
          <w:rFonts w:ascii="Times New Roman" w:eastAsia="Times New Roman" w:hAnsi="Times New Roman" w:cs="Times New Roman"/>
          <w:sz w:val="24"/>
          <w:szCs w:val="24"/>
        </w:rPr>
        <w:t xml:space="preserve">-based serological assays. </w:t>
      </w:r>
      <w:r w:rsidRPr="00686EBD">
        <w:rPr>
          <w:rFonts w:ascii="Times New Roman" w:eastAsia="Times New Roman" w:hAnsi="Times New Roman" w:cs="Times New Roman"/>
          <w:i/>
          <w:iCs/>
          <w:sz w:val="24"/>
          <w:szCs w:val="24"/>
          <w:lang w:val="fr-CI"/>
        </w:rPr>
        <w:t>Diagnostics</w:t>
      </w:r>
      <w:r w:rsidRPr="00686EBD">
        <w:rPr>
          <w:rFonts w:ascii="Times New Roman" w:eastAsia="Times New Roman" w:hAnsi="Times New Roman" w:cs="Times New Roman"/>
          <w:sz w:val="24"/>
          <w:szCs w:val="24"/>
          <w:lang w:val="fr-CI"/>
        </w:rPr>
        <w:t xml:space="preserve"> 2021;11:426. </w:t>
      </w:r>
    </w:p>
    <w:p w:rsidR="00BE63AC" w:rsidRPr="00686EBD" w:rsidRDefault="00BE63AC" w:rsidP="00BE63AC">
      <w:pPr>
        <w:pStyle w:val="Paragraphedeliste"/>
        <w:numPr>
          <w:ilvl w:val="0"/>
          <w:numId w:val="4"/>
        </w:numPr>
        <w:spacing w:after="0" w:line="240" w:lineRule="auto"/>
        <w:rPr>
          <w:rFonts w:ascii="Times New Roman" w:eastAsia="Times New Roman" w:hAnsi="Times New Roman" w:cs="Times New Roman"/>
          <w:sz w:val="24"/>
          <w:szCs w:val="24"/>
        </w:rPr>
      </w:pPr>
      <w:r w:rsidRPr="00686EBD">
        <w:rPr>
          <w:rFonts w:ascii="Times New Roman" w:eastAsia="Times New Roman" w:hAnsi="Times New Roman" w:cs="Times New Roman"/>
          <w:sz w:val="24"/>
          <w:szCs w:val="24"/>
          <w:lang w:val="fr-CI"/>
        </w:rPr>
        <w:t xml:space="preserve">Van </w:t>
      </w:r>
      <w:proofErr w:type="spellStart"/>
      <w:r w:rsidRPr="00686EBD">
        <w:rPr>
          <w:rFonts w:ascii="Times New Roman" w:eastAsia="Times New Roman" w:hAnsi="Times New Roman" w:cs="Times New Roman"/>
          <w:sz w:val="24"/>
          <w:szCs w:val="24"/>
          <w:lang w:val="fr-CI"/>
        </w:rPr>
        <w:t>Elslande</w:t>
      </w:r>
      <w:proofErr w:type="spellEnd"/>
      <w:r w:rsidRPr="00686EBD">
        <w:rPr>
          <w:rFonts w:ascii="Times New Roman" w:eastAsia="Times New Roman" w:hAnsi="Times New Roman" w:cs="Times New Roman"/>
          <w:sz w:val="24"/>
          <w:szCs w:val="24"/>
          <w:lang w:val="fr-CI"/>
        </w:rPr>
        <w:t xml:space="preserve"> J, </w:t>
      </w:r>
      <w:proofErr w:type="spellStart"/>
      <w:r w:rsidRPr="00686EBD">
        <w:rPr>
          <w:rFonts w:ascii="Times New Roman" w:eastAsia="Times New Roman" w:hAnsi="Times New Roman" w:cs="Times New Roman"/>
          <w:sz w:val="24"/>
          <w:szCs w:val="24"/>
          <w:lang w:val="fr-CI"/>
        </w:rPr>
        <w:t>Oyaert</w:t>
      </w:r>
      <w:proofErr w:type="spellEnd"/>
      <w:r w:rsidRPr="00686EBD">
        <w:rPr>
          <w:rFonts w:ascii="Times New Roman" w:eastAsia="Times New Roman" w:hAnsi="Times New Roman" w:cs="Times New Roman"/>
          <w:sz w:val="24"/>
          <w:szCs w:val="24"/>
          <w:lang w:val="fr-CI"/>
        </w:rPr>
        <w:t xml:space="preserve"> M, </w:t>
      </w:r>
      <w:proofErr w:type="spellStart"/>
      <w:r w:rsidRPr="00686EBD">
        <w:rPr>
          <w:rFonts w:ascii="Times New Roman" w:eastAsia="Times New Roman" w:hAnsi="Times New Roman" w:cs="Times New Roman"/>
          <w:sz w:val="24"/>
          <w:szCs w:val="24"/>
          <w:lang w:val="fr-CI"/>
        </w:rPr>
        <w:t>Ailliet</w:t>
      </w:r>
      <w:proofErr w:type="spellEnd"/>
      <w:r w:rsidRPr="00686EBD">
        <w:rPr>
          <w:rFonts w:ascii="Times New Roman" w:eastAsia="Times New Roman" w:hAnsi="Times New Roman" w:cs="Times New Roman"/>
          <w:sz w:val="24"/>
          <w:szCs w:val="24"/>
          <w:lang w:val="fr-CI"/>
        </w:rPr>
        <w:t xml:space="preserve"> S, et al. </w:t>
      </w:r>
      <w:r w:rsidRPr="00686EBD">
        <w:rPr>
          <w:rFonts w:ascii="Times New Roman" w:eastAsia="Times New Roman" w:hAnsi="Times New Roman" w:cs="Times New Roman"/>
          <w:sz w:val="24"/>
          <w:szCs w:val="24"/>
        </w:rPr>
        <w:t>Longitudinal follow-up of IgG anti-</w:t>
      </w:r>
      <w:proofErr w:type="spellStart"/>
      <w:r w:rsidRPr="00686EBD">
        <w:rPr>
          <w:rFonts w:ascii="Times New Roman" w:eastAsia="Times New Roman" w:hAnsi="Times New Roman" w:cs="Times New Roman"/>
          <w:sz w:val="24"/>
          <w:szCs w:val="24"/>
        </w:rPr>
        <w:t>nucleocapsid</w:t>
      </w:r>
      <w:proofErr w:type="spellEnd"/>
      <w:r w:rsidRPr="00686EBD">
        <w:rPr>
          <w:rFonts w:ascii="Times New Roman" w:eastAsia="Times New Roman" w:hAnsi="Times New Roman" w:cs="Times New Roman"/>
          <w:sz w:val="24"/>
          <w:szCs w:val="24"/>
        </w:rPr>
        <w:t xml:space="preserve"> antibodies in SARS-CoV-2 infected patients up to eight months after infection. </w:t>
      </w:r>
      <w:r w:rsidRPr="00686EBD">
        <w:rPr>
          <w:rFonts w:ascii="Times New Roman" w:eastAsia="Times New Roman" w:hAnsi="Times New Roman" w:cs="Times New Roman"/>
          <w:i/>
          <w:iCs/>
          <w:sz w:val="24"/>
          <w:szCs w:val="24"/>
        </w:rPr>
        <w:t xml:space="preserve">J </w:t>
      </w:r>
      <w:proofErr w:type="spellStart"/>
      <w:r w:rsidRPr="00686EBD">
        <w:rPr>
          <w:rFonts w:ascii="Times New Roman" w:eastAsia="Times New Roman" w:hAnsi="Times New Roman" w:cs="Times New Roman"/>
          <w:i/>
          <w:iCs/>
          <w:sz w:val="24"/>
          <w:szCs w:val="24"/>
        </w:rPr>
        <w:t>Clin</w:t>
      </w:r>
      <w:proofErr w:type="spellEnd"/>
      <w:r w:rsidRPr="00686EBD">
        <w:rPr>
          <w:rFonts w:ascii="Times New Roman" w:eastAsia="Times New Roman" w:hAnsi="Times New Roman" w:cs="Times New Roman"/>
          <w:i/>
          <w:iCs/>
          <w:sz w:val="24"/>
          <w:szCs w:val="24"/>
        </w:rPr>
        <w:t xml:space="preserve"> </w:t>
      </w:r>
      <w:proofErr w:type="spellStart"/>
      <w:r w:rsidRPr="00686EBD">
        <w:rPr>
          <w:rFonts w:ascii="Times New Roman" w:eastAsia="Times New Roman" w:hAnsi="Times New Roman" w:cs="Times New Roman"/>
          <w:i/>
          <w:iCs/>
          <w:sz w:val="24"/>
          <w:szCs w:val="24"/>
        </w:rPr>
        <w:t>Virol</w:t>
      </w:r>
      <w:proofErr w:type="spellEnd"/>
      <w:r w:rsidRPr="00686EBD">
        <w:rPr>
          <w:rFonts w:ascii="Times New Roman" w:eastAsia="Times New Roman" w:hAnsi="Times New Roman" w:cs="Times New Roman"/>
          <w:sz w:val="24"/>
          <w:szCs w:val="24"/>
        </w:rPr>
        <w:t xml:space="preserve"> 2021</w:t>
      </w:r>
      <w:proofErr w:type="gramStart"/>
      <w:r w:rsidRPr="00686EBD">
        <w:rPr>
          <w:rFonts w:ascii="Times New Roman" w:eastAsia="Times New Roman" w:hAnsi="Times New Roman" w:cs="Times New Roman"/>
          <w:sz w:val="24"/>
          <w:szCs w:val="24"/>
        </w:rPr>
        <w:t>;136:104765</w:t>
      </w:r>
      <w:proofErr w:type="gramEnd"/>
      <w:r w:rsidRPr="00686EBD">
        <w:rPr>
          <w:rFonts w:ascii="Times New Roman" w:eastAsia="Times New Roman" w:hAnsi="Times New Roman" w:cs="Times New Roman"/>
          <w:sz w:val="24"/>
          <w:szCs w:val="24"/>
        </w:rPr>
        <w:t xml:space="preserve">. </w:t>
      </w:r>
    </w:p>
    <w:p w:rsidR="008F5ED8" w:rsidRPr="00686EBD" w:rsidRDefault="00BE63AC" w:rsidP="008F5ED8">
      <w:pPr>
        <w:pStyle w:val="Paragraphedeliste"/>
        <w:numPr>
          <w:ilvl w:val="0"/>
          <w:numId w:val="4"/>
        </w:numPr>
        <w:spacing w:after="0" w:line="240" w:lineRule="auto"/>
        <w:rPr>
          <w:rFonts w:ascii="Times New Roman" w:eastAsia="Times New Roman" w:hAnsi="Times New Roman" w:cs="Times New Roman"/>
          <w:sz w:val="24"/>
          <w:szCs w:val="24"/>
        </w:rPr>
      </w:pPr>
      <w:proofErr w:type="spellStart"/>
      <w:r w:rsidRPr="00686EBD">
        <w:rPr>
          <w:rFonts w:ascii="Times New Roman" w:eastAsia="Times New Roman" w:hAnsi="Times New Roman" w:cs="Times New Roman"/>
          <w:sz w:val="24"/>
          <w:szCs w:val="24"/>
          <w:lang w:val="fr-CI"/>
        </w:rPr>
        <w:t>Krutikov</w:t>
      </w:r>
      <w:proofErr w:type="spellEnd"/>
      <w:r w:rsidRPr="00686EBD">
        <w:rPr>
          <w:rFonts w:ascii="Times New Roman" w:eastAsia="Times New Roman" w:hAnsi="Times New Roman" w:cs="Times New Roman"/>
          <w:sz w:val="24"/>
          <w:szCs w:val="24"/>
          <w:lang w:val="fr-CI"/>
        </w:rPr>
        <w:t xml:space="preserve"> M, Palmer T, Tut G, et al. </w:t>
      </w:r>
      <w:r w:rsidRPr="00686EBD">
        <w:rPr>
          <w:rFonts w:ascii="Times New Roman" w:eastAsia="Times New Roman" w:hAnsi="Times New Roman" w:cs="Times New Roman"/>
          <w:sz w:val="24"/>
          <w:szCs w:val="24"/>
        </w:rPr>
        <w:t xml:space="preserve">Prevalence and duration of detectable SARS-CoV-2 </w:t>
      </w:r>
      <w:proofErr w:type="spellStart"/>
      <w:r w:rsidRPr="00686EBD">
        <w:rPr>
          <w:rFonts w:ascii="Times New Roman" w:eastAsia="Times New Roman" w:hAnsi="Times New Roman" w:cs="Times New Roman"/>
          <w:sz w:val="24"/>
          <w:szCs w:val="24"/>
        </w:rPr>
        <w:t>nucleocapsid</w:t>
      </w:r>
      <w:proofErr w:type="spellEnd"/>
      <w:r w:rsidRPr="00686EBD">
        <w:rPr>
          <w:rFonts w:ascii="Times New Roman" w:eastAsia="Times New Roman" w:hAnsi="Times New Roman" w:cs="Times New Roman"/>
          <w:sz w:val="24"/>
          <w:szCs w:val="24"/>
        </w:rPr>
        <w:t xml:space="preserve"> antibodies in staff and residents of long-term care facilities over the first year of the pandemic (VIVALDI study). </w:t>
      </w:r>
      <w:r w:rsidRPr="00686EBD">
        <w:rPr>
          <w:rFonts w:ascii="Times New Roman" w:eastAsia="Times New Roman" w:hAnsi="Times New Roman" w:cs="Times New Roman"/>
          <w:i/>
          <w:iCs/>
          <w:sz w:val="24"/>
          <w:szCs w:val="24"/>
        </w:rPr>
        <w:t xml:space="preserve">Lancet Healthy </w:t>
      </w:r>
      <w:proofErr w:type="spellStart"/>
      <w:r w:rsidRPr="00686EBD">
        <w:rPr>
          <w:rFonts w:ascii="Times New Roman" w:eastAsia="Times New Roman" w:hAnsi="Times New Roman" w:cs="Times New Roman"/>
          <w:i/>
          <w:iCs/>
          <w:sz w:val="24"/>
          <w:szCs w:val="24"/>
        </w:rPr>
        <w:t>Longev</w:t>
      </w:r>
      <w:proofErr w:type="spellEnd"/>
      <w:r w:rsidRPr="00686EBD">
        <w:rPr>
          <w:rFonts w:ascii="Times New Roman" w:eastAsia="Times New Roman" w:hAnsi="Times New Roman" w:cs="Times New Roman"/>
          <w:sz w:val="24"/>
          <w:szCs w:val="24"/>
        </w:rPr>
        <w:t xml:space="preserve"> 2022</w:t>
      </w:r>
      <w:proofErr w:type="gramStart"/>
      <w:r w:rsidRPr="00686EBD">
        <w:rPr>
          <w:rFonts w:ascii="Times New Roman" w:eastAsia="Times New Roman" w:hAnsi="Times New Roman" w:cs="Times New Roman"/>
          <w:sz w:val="24"/>
          <w:szCs w:val="24"/>
        </w:rPr>
        <w:t>;3:e13</w:t>
      </w:r>
      <w:proofErr w:type="gramEnd"/>
      <w:r w:rsidRPr="00686EBD">
        <w:rPr>
          <w:rFonts w:ascii="Times New Roman" w:eastAsia="Times New Roman" w:hAnsi="Times New Roman" w:cs="Times New Roman"/>
          <w:sz w:val="24"/>
          <w:szCs w:val="24"/>
        </w:rPr>
        <w:t>–e21.</w:t>
      </w:r>
    </w:p>
    <w:p w:rsidR="00845301" w:rsidRPr="00686EBD" w:rsidRDefault="00320C78" w:rsidP="00845301">
      <w:pPr>
        <w:pStyle w:val="NormalWeb"/>
      </w:pPr>
      <w:r w:rsidRPr="00686EBD">
        <w:t>Table 2</w:t>
      </w:r>
      <w:r w:rsidR="00845301" w:rsidRPr="00686EBD">
        <w:t>: Vaccination campaigns in different regions⃰</w:t>
      </w:r>
    </w:p>
    <w:tbl>
      <w:tblPr>
        <w:tblW w:w="0" w:type="auto"/>
        <w:tblInd w:w="-5" w:type="dxa"/>
        <w:tblLook w:val="04A0" w:firstRow="1" w:lastRow="0" w:firstColumn="1" w:lastColumn="0" w:noHBand="0" w:noVBand="1"/>
      </w:tblPr>
      <w:tblGrid>
        <w:gridCol w:w="1363"/>
        <w:gridCol w:w="2407"/>
        <w:gridCol w:w="3232"/>
        <w:gridCol w:w="6009"/>
      </w:tblGrid>
      <w:tr w:rsidR="00845301" w:rsidRPr="00686EBD" w:rsidTr="00426B4D">
        <w:trPr>
          <w:trHeight w:val="20"/>
        </w:trPr>
        <w:tc>
          <w:tcPr>
            <w:tcW w:w="0" w:type="auto"/>
            <w:tcBorders>
              <w:top w:val="single" w:sz="4" w:space="0" w:color="auto"/>
              <w:bottom w:val="single" w:sz="4" w:space="0" w:color="auto"/>
            </w:tcBorders>
            <w:shd w:val="clear" w:color="auto" w:fill="auto"/>
            <w:vAlign w:val="center"/>
            <w:hideMark/>
          </w:tcPr>
          <w:p w:rsidR="00845301" w:rsidRPr="00686EBD" w:rsidRDefault="00845301" w:rsidP="00B15529">
            <w:pPr>
              <w:spacing w:after="0" w:line="240" w:lineRule="auto"/>
              <w:jc w:val="center"/>
              <w:rPr>
                <w:rFonts w:ascii="Times New Roman" w:eastAsia="Times New Roman" w:hAnsi="Times New Roman" w:cs="Times New Roman"/>
                <w:bCs/>
                <w:color w:val="000000"/>
              </w:rPr>
            </w:pPr>
            <w:r w:rsidRPr="00686EBD">
              <w:rPr>
                <w:rFonts w:ascii="Times New Roman" w:eastAsia="Times New Roman" w:hAnsi="Times New Roman" w:cs="Times New Roman"/>
                <w:bCs/>
                <w:color w:val="000000"/>
              </w:rPr>
              <w:t>Period</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jc w:val="center"/>
              <w:rPr>
                <w:rFonts w:ascii="Times New Roman" w:eastAsia="Times New Roman" w:hAnsi="Times New Roman" w:cs="Times New Roman"/>
                <w:bCs/>
                <w:color w:val="000000"/>
              </w:rPr>
            </w:pPr>
            <w:r w:rsidRPr="00686EBD">
              <w:rPr>
                <w:rFonts w:ascii="Times New Roman" w:eastAsia="Times New Roman" w:hAnsi="Times New Roman" w:cs="Times New Roman"/>
                <w:bCs/>
                <w:color w:val="000000"/>
              </w:rPr>
              <w:t>Description</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jc w:val="center"/>
              <w:rPr>
                <w:rFonts w:ascii="Times New Roman" w:eastAsia="Times New Roman" w:hAnsi="Times New Roman" w:cs="Times New Roman"/>
                <w:bCs/>
                <w:color w:val="000000"/>
              </w:rPr>
            </w:pPr>
            <w:r w:rsidRPr="00686EBD">
              <w:rPr>
                <w:rFonts w:ascii="Times New Roman" w:eastAsia="Times New Roman" w:hAnsi="Times New Roman" w:cs="Times New Roman"/>
                <w:bCs/>
                <w:color w:val="000000"/>
              </w:rPr>
              <w:t xml:space="preserve">Affected regions (including </w:t>
            </w:r>
            <w:proofErr w:type="spellStart"/>
            <w:r w:rsidRPr="00686EBD">
              <w:rPr>
                <w:rFonts w:ascii="Times New Roman" w:eastAsia="Times New Roman" w:hAnsi="Times New Roman" w:cs="Times New Roman"/>
                <w:bCs/>
                <w:color w:val="000000"/>
              </w:rPr>
              <w:t>Gbêkê</w:t>
            </w:r>
            <w:proofErr w:type="spellEnd"/>
            <w:r w:rsidRPr="00686EBD">
              <w:rPr>
                <w:rFonts w:ascii="Times New Roman" w:eastAsia="Times New Roman" w:hAnsi="Times New Roman" w:cs="Times New Roman"/>
                <w:bCs/>
                <w:color w:val="000000"/>
              </w:rPr>
              <w:t xml:space="preserve">, </w:t>
            </w:r>
            <w:proofErr w:type="spellStart"/>
            <w:r w:rsidRPr="00686EBD">
              <w:rPr>
                <w:rFonts w:ascii="Times New Roman" w:eastAsia="Times New Roman" w:hAnsi="Times New Roman" w:cs="Times New Roman"/>
                <w:bCs/>
                <w:color w:val="000000"/>
              </w:rPr>
              <w:t>Hambol</w:t>
            </w:r>
            <w:proofErr w:type="spellEnd"/>
            <w:r w:rsidRPr="00686EBD">
              <w:rPr>
                <w:rFonts w:ascii="Times New Roman" w:eastAsia="Times New Roman" w:hAnsi="Times New Roman" w:cs="Times New Roman"/>
                <w:bCs/>
                <w:color w:val="000000"/>
              </w:rPr>
              <w:t xml:space="preserve">, </w:t>
            </w:r>
            <w:proofErr w:type="spellStart"/>
            <w:r w:rsidRPr="00686EBD">
              <w:rPr>
                <w:rFonts w:ascii="Times New Roman" w:eastAsia="Times New Roman" w:hAnsi="Times New Roman" w:cs="Times New Roman"/>
                <w:bCs/>
                <w:color w:val="000000"/>
              </w:rPr>
              <w:t>Cavally-Guémon</w:t>
            </w:r>
            <w:proofErr w:type="spellEnd"/>
            <w:r w:rsidRPr="00686EBD">
              <w:rPr>
                <w:rFonts w:ascii="Times New Roman" w:eastAsia="Times New Roman" w:hAnsi="Times New Roman" w:cs="Times New Roman"/>
                <w:bCs/>
                <w:color w:val="000000"/>
              </w:rPr>
              <w:t>)</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jc w:val="center"/>
              <w:rPr>
                <w:rFonts w:ascii="Times New Roman" w:eastAsia="Times New Roman" w:hAnsi="Times New Roman" w:cs="Times New Roman"/>
                <w:bCs/>
                <w:color w:val="000000"/>
              </w:rPr>
            </w:pPr>
            <w:r w:rsidRPr="00686EBD">
              <w:rPr>
                <w:rFonts w:ascii="Times New Roman" w:eastAsia="Times New Roman" w:hAnsi="Times New Roman" w:cs="Times New Roman"/>
                <w:bCs/>
                <w:color w:val="000000"/>
              </w:rPr>
              <w:t>Key details</w:t>
            </w:r>
          </w:p>
        </w:tc>
      </w:tr>
      <w:tr w:rsidR="00845301" w:rsidRPr="00686EBD" w:rsidTr="00426B4D">
        <w:trPr>
          <w:trHeight w:val="20"/>
        </w:trPr>
        <w:tc>
          <w:tcPr>
            <w:tcW w:w="0" w:type="auto"/>
            <w:tcBorders>
              <w:top w:val="single" w:sz="4" w:space="0" w:color="auto"/>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March–December 2021</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Initial phased rollout and ongoing vaccination efforts to address vaccine hesitancy.</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National (initially focused on Abidjan as epicenter, later expanded to all regions and districts including </w:t>
            </w:r>
            <w:proofErr w:type="spellStart"/>
            <w:r w:rsidRPr="00686EBD">
              <w:rPr>
                <w:rFonts w:ascii="Times New Roman" w:eastAsia="Times New Roman" w:hAnsi="Times New Roman" w:cs="Times New Roman"/>
                <w:color w:val="000000"/>
              </w:rPr>
              <w:t>Gbêkê</w:t>
            </w:r>
            <w:proofErr w:type="spellEnd"/>
            <w:r w:rsidRPr="00686EBD">
              <w:rPr>
                <w:rFonts w:ascii="Times New Roman" w:eastAsia="Times New Roman" w:hAnsi="Times New Roman" w:cs="Times New Roman"/>
                <w:color w:val="000000"/>
              </w:rPr>
              <w:t xml:space="preserve">, </w:t>
            </w:r>
            <w:proofErr w:type="spellStart"/>
            <w:r w:rsidRPr="00686EBD">
              <w:rPr>
                <w:rFonts w:ascii="Times New Roman" w:eastAsia="Times New Roman" w:hAnsi="Times New Roman" w:cs="Times New Roman"/>
                <w:color w:val="000000"/>
              </w:rPr>
              <w:t>Hambol</w:t>
            </w:r>
            <w:proofErr w:type="spellEnd"/>
            <w:r w:rsidRPr="00686EBD">
              <w:rPr>
                <w:rFonts w:ascii="Times New Roman" w:eastAsia="Times New Roman" w:hAnsi="Times New Roman" w:cs="Times New Roman"/>
                <w:color w:val="000000"/>
              </w:rPr>
              <w:t xml:space="preserve">, </w:t>
            </w:r>
            <w:proofErr w:type="spellStart"/>
            <w:proofErr w:type="gramStart"/>
            <w:r w:rsidRPr="00686EBD">
              <w:rPr>
                <w:rFonts w:ascii="Times New Roman" w:eastAsia="Times New Roman" w:hAnsi="Times New Roman" w:cs="Times New Roman"/>
                <w:color w:val="000000"/>
              </w:rPr>
              <w:t>Cavally</w:t>
            </w:r>
            <w:proofErr w:type="gramEnd"/>
            <w:r w:rsidRPr="00686EBD">
              <w:rPr>
                <w:rFonts w:ascii="Times New Roman" w:eastAsia="Times New Roman" w:hAnsi="Times New Roman" w:cs="Times New Roman"/>
                <w:color w:val="000000"/>
              </w:rPr>
              <w:t>-Guémon</w:t>
            </w:r>
            <w:proofErr w:type="spellEnd"/>
            <w:r w:rsidRPr="00686EBD">
              <w:rPr>
                <w:rFonts w:ascii="Times New Roman" w:eastAsia="Times New Roman" w:hAnsi="Times New Roman" w:cs="Times New Roman"/>
                <w:color w:val="000000"/>
              </w:rPr>
              <w:t>).</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Launch on 1 March 2021 with COVAX AstraZeneca doses; prioritized health workers, security forces, teachers, and high-risk groups. Nationwide awareness campaigns with mobile clinics and community leaders; slow initial uptake due to hesitancy, transitioning to broader access by late 2021.</w:t>
            </w:r>
          </w:p>
        </w:tc>
      </w:tr>
      <w:tr w:rsidR="00845301" w:rsidRPr="00686EBD" w:rsidTr="00426B4D">
        <w:trPr>
          <w:trHeight w:val="20"/>
        </w:trPr>
        <w:tc>
          <w:tcPr>
            <w:tcW w:w="0" w:type="auto"/>
            <w:tcBorders>
              <w:top w:val="single" w:sz="4" w:space="0" w:color="auto"/>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December 2021</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First national mass vaccination campaign.</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National, including </w:t>
            </w:r>
            <w:proofErr w:type="spellStart"/>
            <w:r w:rsidRPr="00686EBD">
              <w:rPr>
                <w:rFonts w:ascii="Times New Roman" w:eastAsia="Times New Roman" w:hAnsi="Times New Roman" w:cs="Times New Roman"/>
                <w:color w:val="000000"/>
              </w:rPr>
              <w:t>Gbêkê</w:t>
            </w:r>
            <w:proofErr w:type="spellEnd"/>
            <w:r w:rsidRPr="00686EBD">
              <w:rPr>
                <w:rFonts w:ascii="Times New Roman" w:eastAsia="Times New Roman" w:hAnsi="Times New Roman" w:cs="Times New Roman"/>
                <w:color w:val="000000"/>
              </w:rPr>
              <w:t xml:space="preserve">, </w:t>
            </w:r>
            <w:proofErr w:type="spellStart"/>
            <w:r w:rsidRPr="00686EBD">
              <w:rPr>
                <w:rFonts w:ascii="Times New Roman" w:eastAsia="Times New Roman" w:hAnsi="Times New Roman" w:cs="Times New Roman"/>
                <w:color w:val="000000"/>
              </w:rPr>
              <w:t>Hambol</w:t>
            </w:r>
            <w:proofErr w:type="spellEnd"/>
            <w:r w:rsidRPr="00686EBD">
              <w:rPr>
                <w:rFonts w:ascii="Times New Roman" w:eastAsia="Times New Roman" w:hAnsi="Times New Roman" w:cs="Times New Roman"/>
                <w:color w:val="000000"/>
              </w:rPr>
              <w:t xml:space="preserve">, </w:t>
            </w:r>
            <w:proofErr w:type="spellStart"/>
            <w:r w:rsidRPr="00686EBD">
              <w:rPr>
                <w:rFonts w:ascii="Times New Roman" w:eastAsia="Times New Roman" w:hAnsi="Times New Roman" w:cs="Times New Roman"/>
                <w:color w:val="000000"/>
              </w:rPr>
              <w:t>Cavally-Guémon</w:t>
            </w:r>
            <w:proofErr w:type="spellEnd"/>
            <w:r w:rsidRPr="00686EBD">
              <w:rPr>
                <w:rFonts w:ascii="Times New Roman" w:eastAsia="Times New Roman" w:hAnsi="Times New Roman" w:cs="Times New Roman"/>
                <w:color w:val="000000"/>
              </w:rPr>
              <w:t>.</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Over 2.5 million doses administered; marked the start of intensified scaling up.</w:t>
            </w:r>
          </w:p>
        </w:tc>
      </w:tr>
      <w:tr w:rsidR="00845301" w:rsidRPr="00686EBD" w:rsidTr="00426B4D">
        <w:trPr>
          <w:trHeight w:val="20"/>
        </w:trPr>
        <w:tc>
          <w:tcPr>
            <w:tcW w:w="0" w:type="auto"/>
            <w:tcBorders>
              <w:top w:val="single" w:sz="4" w:space="0" w:color="auto"/>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February 2022 (3 weeks)</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Mass vaccination drive; over 2 million vaccinated.</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National, with a regional focus (</w:t>
            </w:r>
            <w:proofErr w:type="spellStart"/>
            <w:r w:rsidRPr="00686EBD">
              <w:rPr>
                <w:rFonts w:ascii="Times New Roman" w:eastAsia="Times New Roman" w:hAnsi="Times New Roman" w:cs="Times New Roman"/>
                <w:color w:val="000000"/>
              </w:rPr>
              <w:t>Gbêkê</w:t>
            </w:r>
            <w:proofErr w:type="spellEnd"/>
            <w:r w:rsidRPr="00686EBD">
              <w:rPr>
                <w:rFonts w:ascii="Times New Roman" w:eastAsia="Times New Roman" w:hAnsi="Times New Roman" w:cs="Times New Roman"/>
                <w:color w:val="000000"/>
              </w:rPr>
              <w:t xml:space="preserve">, </w:t>
            </w:r>
            <w:proofErr w:type="spellStart"/>
            <w:r w:rsidRPr="00686EBD">
              <w:rPr>
                <w:rFonts w:ascii="Times New Roman" w:eastAsia="Times New Roman" w:hAnsi="Times New Roman" w:cs="Times New Roman"/>
                <w:color w:val="000000"/>
              </w:rPr>
              <w:t>Hambol</w:t>
            </w:r>
            <w:proofErr w:type="spellEnd"/>
            <w:r w:rsidRPr="00686EBD">
              <w:rPr>
                <w:rFonts w:ascii="Times New Roman" w:eastAsia="Times New Roman" w:hAnsi="Times New Roman" w:cs="Times New Roman"/>
                <w:color w:val="000000"/>
              </w:rPr>
              <w:t>).</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An 8% increase in fully vaccinated individuals; coverage was &lt;20% previously.</w:t>
            </w:r>
          </w:p>
        </w:tc>
      </w:tr>
      <w:tr w:rsidR="00845301" w:rsidRPr="00686EBD" w:rsidTr="00426B4D">
        <w:trPr>
          <w:trHeight w:val="20"/>
        </w:trPr>
        <w:tc>
          <w:tcPr>
            <w:tcW w:w="0" w:type="auto"/>
            <w:tcBorders>
              <w:top w:val="single" w:sz="4" w:space="0" w:color="auto"/>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March 25 - April 3, 2022</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Easter campaign.</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National, including western regions (</w:t>
            </w:r>
            <w:proofErr w:type="spellStart"/>
            <w:r w:rsidRPr="00686EBD">
              <w:rPr>
                <w:rFonts w:ascii="Times New Roman" w:eastAsia="Times New Roman" w:hAnsi="Times New Roman" w:cs="Times New Roman"/>
                <w:color w:val="000000"/>
              </w:rPr>
              <w:t>Cavally</w:t>
            </w:r>
            <w:proofErr w:type="spellEnd"/>
            <w:r w:rsidRPr="00686EBD">
              <w:rPr>
                <w:rFonts w:ascii="Times New Roman" w:eastAsia="Times New Roman" w:hAnsi="Times New Roman" w:cs="Times New Roman"/>
                <w:color w:val="000000"/>
              </w:rPr>
              <w:t xml:space="preserve">, </w:t>
            </w:r>
            <w:proofErr w:type="spellStart"/>
            <w:r w:rsidRPr="00686EBD">
              <w:rPr>
                <w:rFonts w:ascii="Times New Roman" w:eastAsia="Times New Roman" w:hAnsi="Times New Roman" w:cs="Times New Roman"/>
                <w:color w:val="000000"/>
              </w:rPr>
              <w:t>Guémon</w:t>
            </w:r>
            <w:proofErr w:type="spellEnd"/>
            <w:r w:rsidRPr="00686EBD">
              <w:rPr>
                <w:rFonts w:ascii="Times New Roman" w:eastAsia="Times New Roman" w:hAnsi="Times New Roman" w:cs="Times New Roman"/>
                <w:color w:val="000000"/>
              </w:rPr>
              <w:t>).</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Strategies adapted to local communities.</w:t>
            </w:r>
          </w:p>
        </w:tc>
      </w:tr>
      <w:tr w:rsidR="00845301" w:rsidRPr="00686EBD" w:rsidTr="00426B4D">
        <w:trPr>
          <w:trHeight w:val="20"/>
        </w:trPr>
        <w:tc>
          <w:tcPr>
            <w:tcW w:w="0" w:type="auto"/>
            <w:tcBorders>
              <w:top w:val="single" w:sz="4" w:space="0" w:color="auto"/>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2022-2023</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Ongoing and targeted campaigns.</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All regions; 9.9 million doses as of February 2022.</w:t>
            </w:r>
          </w:p>
        </w:tc>
        <w:tc>
          <w:tcPr>
            <w:tcW w:w="0" w:type="auto"/>
            <w:tcBorders>
              <w:top w:val="single" w:sz="4" w:space="0" w:color="auto"/>
              <w:left w:val="nil"/>
              <w:bottom w:val="single" w:sz="4" w:space="0" w:color="auto"/>
            </w:tcBorders>
            <w:shd w:val="clear" w:color="auto" w:fill="auto"/>
            <w:vAlign w:val="center"/>
            <w:hideMark/>
          </w:tcPr>
          <w:p w:rsidR="00845301" w:rsidRPr="00686EBD" w:rsidRDefault="00845301" w:rsidP="00B15529">
            <w:pPr>
              <w:spacing w:after="0" w:line="240" w:lineRule="auto"/>
              <w:rPr>
                <w:rFonts w:ascii="Times New Roman" w:eastAsia="Times New Roman" w:hAnsi="Times New Roman" w:cs="Times New Roman"/>
                <w:color w:val="000000"/>
              </w:rPr>
            </w:pPr>
            <w:r w:rsidRPr="00686EBD">
              <w:rPr>
                <w:rFonts w:ascii="Times New Roman" w:eastAsia="Times New Roman" w:hAnsi="Times New Roman" w:cs="Times New Roman"/>
                <w:color w:val="000000"/>
              </w:rPr>
              <w:t>Scaling up through mobile clinics and community leaders.</w:t>
            </w:r>
          </w:p>
        </w:tc>
      </w:tr>
    </w:tbl>
    <w:p w:rsidR="00845301" w:rsidRDefault="00845301" w:rsidP="00845301">
      <w:pPr>
        <w:pStyle w:val="NormalWeb"/>
      </w:pPr>
      <w:r w:rsidRPr="00686EBD">
        <w:lastRenderedPageBreak/>
        <w:t xml:space="preserve">⃰Sources: World Health Organization Regional Office for Africa. Expanding COVID-19 vaccination in Côte d’Ivoire. Brazzaville: WHO Regional Office for Africa; 2021. Available from: https://www.afro.who.int/countries/cote-divoire/news/expanding-covid-19-vaccination-cote-divoire World Bank. COVID-19 vaccines: from rejection to shortage – how Côte d’Ivoire became a model for managing vaccine hesitancy. Washington, DC: World Bank; 2021 Sep 7. Available from: https://www.banquemondiale.org/fr/news/feature/2021/09/07/covid-19-vaccines-from-rejection-to-shortage-how-c-te-d-ivoire-became-a-model-for-managing-vaccine-hesitancy Additional data from WHO, UNICEF, and </w:t>
      </w:r>
      <w:proofErr w:type="spellStart"/>
      <w:r w:rsidRPr="00686EBD">
        <w:t>Gavi</w:t>
      </w:r>
      <w:proofErr w:type="spellEnd"/>
      <w:r w:rsidRPr="00686EBD">
        <w:t xml:space="preserve"> reports on COVAX rollout in Côte d’Ivoire (2021–2022).</w:t>
      </w:r>
    </w:p>
    <w:p w:rsidR="00D7059F" w:rsidRPr="00D7059F" w:rsidRDefault="00D7059F" w:rsidP="00D7059F">
      <w:pPr>
        <w:spacing w:before="100" w:beforeAutospacing="1" w:after="100" w:afterAutospacing="1" w:line="240" w:lineRule="auto"/>
        <w:rPr>
          <w:rStyle w:val="lev"/>
          <w:rFonts w:ascii="Times New Roman" w:eastAsia="Times New Roman" w:hAnsi="Times New Roman" w:cs="Times New Roman"/>
          <w:b w:val="0"/>
          <w:bCs w:val="0"/>
          <w:sz w:val="24"/>
          <w:szCs w:val="24"/>
        </w:rPr>
      </w:pPr>
      <w:r w:rsidRPr="00D7059F">
        <w:rPr>
          <w:rFonts w:ascii="Times New Roman" w:eastAsia="Times New Roman" w:hAnsi="Times New Roman" w:cs="Times New Roman"/>
          <w:sz w:val="24"/>
          <w:szCs w:val="24"/>
        </w:rPr>
        <w:t xml:space="preserve">Table 3: Comparison of COVID-19 primary vaccination completion (one vs two doses) by period of first dose between two survey waves, repeated cross-sectional study of Health workers in 13 facilities </w:t>
      </w:r>
    </w:p>
    <w:tbl>
      <w:tblPr>
        <w:tblStyle w:val="Tableausimple2"/>
        <w:tblW w:w="0" w:type="auto"/>
        <w:tblLook w:val="04A0" w:firstRow="1" w:lastRow="0" w:firstColumn="1" w:lastColumn="0" w:noHBand="0" w:noVBand="1"/>
      </w:tblPr>
      <w:tblGrid>
        <w:gridCol w:w="2377"/>
        <w:gridCol w:w="1831"/>
        <w:gridCol w:w="1508"/>
        <w:gridCol w:w="1003"/>
        <w:gridCol w:w="1831"/>
        <w:gridCol w:w="1508"/>
        <w:gridCol w:w="1003"/>
        <w:gridCol w:w="1945"/>
      </w:tblGrid>
      <w:tr w:rsidR="00D7059F" w:rsidRPr="00D7059F" w:rsidTr="001C2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7059F" w:rsidRPr="00D7059F" w:rsidRDefault="00D7059F" w:rsidP="001C28AB">
            <w:pPr>
              <w:jc w:val="center"/>
              <w:rPr>
                <w:rFonts w:ascii="Times New Roman" w:eastAsia="Times New Roman" w:hAnsi="Times New Roman" w:cs="Times New Roman"/>
                <w:b w:val="0"/>
                <w:sz w:val="24"/>
                <w:szCs w:val="24"/>
              </w:rPr>
            </w:pPr>
            <w:r w:rsidRPr="00D7059F">
              <w:rPr>
                <w:rFonts w:ascii="Times New Roman" w:eastAsia="Times New Roman" w:hAnsi="Times New Roman" w:cs="Times New Roman"/>
                <w:b w:val="0"/>
                <w:sz w:val="24"/>
                <w:szCs w:val="24"/>
              </w:rPr>
              <w:t>Period</w:t>
            </w:r>
          </w:p>
        </w:tc>
        <w:tc>
          <w:tcPr>
            <w:tcW w:w="0" w:type="auto"/>
            <w:hideMark/>
          </w:tcPr>
          <w:p w:rsidR="00D7059F" w:rsidRPr="00D7059F" w:rsidRDefault="00D7059F" w:rsidP="001C28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7059F">
              <w:rPr>
                <w:rFonts w:ascii="Times New Roman" w:eastAsia="Times New Roman" w:hAnsi="Times New Roman" w:cs="Times New Roman"/>
                <w:b w:val="0"/>
                <w:sz w:val="24"/>
                <w:szCs w:val="24"/>
              </w:rPr>
              <w:t>Sample 1 (T1)</w:t>
            </w:r>
          </w:p>
          <w:p w:rsidR="00D7059F" w:rsidRPr="00D7059F" w:rsidRDefault="00D7059F" w:rsidP="001C28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7059F">
              <w:rPr>
                <w:rFonts w:ascii="Times New Roman" w:eastAsia="Times New Roman" w:hAnsi="Times New Roman" w:cs="Times New Roman"/>
                <w:b w:val="0"/>
                <w:sz w:val="24"/>
                <w:szCs w:val="24"/>
              </w:rPr>
              <w:t>N=465</w:t>
            </w:r>
          </w:p>
        </w:tc>
        <w:tc>
          <w:tcPr>
            <w:tcW w:w="0" w:type="auto"/>
            <w:hideMark/>
          </w:tcPr>
          <w:p w:rsidR="00D7059F" w:rsidRPr="00D7059F" w:rsidRDefault="00D7059F" w:rsidP="001C28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p>
        </w:tc>
        <w:tc>
          <w:tcPr>
            <w:tcW w:w="0" w:type="auto"/>
            <w:hideMark/>
          </w:tcPr>
          <w:p w:rsidR="00D7059F" w:rsidRPr="00D7059F" w:rsidRDefault="00D7059F" w:rsidP="001C28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p>
        </w:tc>
        <w:tc>
          <w:tcPr>
            <w:tcW w:w="0" w:type="auto"/>
            <w:hideMark/>
          </w:tcPr>
          <w:p w:rsidR="00D7059F" w:rsidRPr="00D7059F" w:rsidRDefault="00D7059F" w:rsidP="001C28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7059F">
              <w:rPr>
                <w:rFonts w:ascii="Times New Roman" w:eastAsia="Times New Roman" w:hAnsi="Times New Roman" w:cs="Times New Roman"/>
                <w:b w:val="0"/>
                <w:sz w:val="24"/>
                <w:szCs w:val="24"/>
              </w:rPr>
              <w:t>Sample 2 (T2)</w:t>
            </w:r>
          </w:p>
          <w:p w:rsidR="00D7059F" w:rsidRPr="00D7059F" w:rsidRDefault="00D7059F" w:rsidP="001C28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7059F">
              <w:rPr>
                <w:rFonts w:ascii="Times New Roman" w:eastAsia="Times New Roman" w:hAnsi="Times New Roman" w:cs="Times New Roman"/>
                <w:b w:val="0"/>
                <w:sz w:val="24"/>
                <w:szCs w:val="24"/>
              </w:rPr>
              <w:t>N=357</w:t>
            </w:r>
          </w:p>
        </w:tc>
        <w:tc>
          <w:tcPr>
            <w:tcW w:w="0" w:type="auto"/>
            <w:hideMark/>
          </w:tcPr>
          <w:p w:rsidR="00D7059F" w:rsidRPr="00D7059F" w:rsidRDefault="00D7059F" w:rsidP="001C28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p>
        </w:tc>
        <w:tc>
          <w:tcPr>
            <w:tcW w:w="0" w:type="auto"/>
            <w:hideMark/>
          </w:tcPr>
          <w:p w:rsidR="00D7059F" w:rsidRPr="00D7059F" w:rsidRDefault="00D7059F" w:rsidP="001C28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p>
        </w:tc>
        <w:tc>
          <w:tcPr>
            <w:tcW w:w="0" w:type="auto"/>
            <w:hideMark/>
          </w:tcPr>
          <w:p w:rsidR="00D7059F" w:rsidRPr="00D7059F" w:rsidRDefault="00D7059F" w:rsidP="001C28A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7059F">
              <w:rPr>
                <w:rFonts w:ascii="Times New Roman" w:eastAsia="Times New Roman" w:hAnsi="Times New Roman" w:cs="Times New Roman"/>
                <w:b w:val="0"/>
                <w:sz w:val="24"/>
                <w:szCs w:val="24"/>
              </w:rPr>
              <w:t xml:space="preserve">Total lines </w:t>
            </w:r>
            <w:proofErr w:type="spellStart"/>
            <w:r w:rsidRPr="00D7059F">
              <w:rPr>
                <w:rFonts w:ascii="Times New Roman" w:eastAsia="Times New Roman" w:hAnsi="Times New Roman" w:cs="Times New Roman"/>
                <w:b w:val="0"/>
                <w:sz w:val="24"/>
                <w:szCs w:val="24"/>
              </w:rPr>
              <w:t>analysed</w:t>
            </w:r>
            <w:proofErr w:type="spellEnd"/>
          </w:p>
        </w:tc>
      </w:tr>
      <w:tr w:rsidR="00D7059F" w:rsidRPr="00D7059F" w:rsidTr="001C2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7059F" w:rsidRPr="00D7059F" w:rsidRDefault="00D7059F" w:rsidP="001C28AB">
            <w:pPr>
              <w:jc w:val="center"/>
              <w:rPr>
                <w:rFonts w:ascii="Times New Roman" w:eastAsia="Times New Roman" w:hAnsi="Times New Roman" w:cs="Times New Roman"/>
                <w:b w:val="0"/>
                <w:sz w:val="24"/>
                <w:szCs w:val="24"/>
              </w:rPr>
            </w:pP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One dose only (%)</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Two doses (%)</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Total (n)</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One dose only (%)</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Two doses (%)</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Total (n)</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7059F" w:rsidRPr="00D7059F" w:rsidTr="001C28AB">
        <w:tc>
          <w:tcPr>
            <w:cnfStyle w:val="001000000000" w:firstRow="0" w:lastRow="0" w:firstColumn="1" w:lastColumn="0" w:oddVBand="0" w:evenVBand="0" w:oddHBand="0" w:evenHBand="0" w:firstRowFirstColumn="0" w:firstRowLastColumn="0" w:lastRowFirstColumn="0" w:lastRowLastColumn="0"/>
            <w:tcW w:w="0" w:type="auto"/>
            <w:hideMark/>
          </w:tcPr>
          <w:p w:rsidR="00D7059F" w:rsidRPr="00D7059F" w:rsidRDefault="00D7059F" w:rsidP="001C28AB">
            <w:pPr>
              <w:rPr>
                <w:rFonts w:ascii="Times New Roman" w:eastAsia="Times New Roman" w:hAnsi="Times New Roman" w:cs="Times New Roman"/>
                <w:b w:val="0"/>
                <w:sz w:val="24"/>
                <w:szCs w:val="24"/>
              </w:rPr>
            </w:pPr>
            <w:r w:rsidRPr="00D7059F">
              <w:rPr>
                <w:rFonts w:ascii="Times New Roman" w:eastAsia="Times New Roman" w:hAnsi="Times New Roman" w:cs="Times New Roman"/>
                <w:b w:val="0"/>
                <w:sz w:val="24"/>
                <w:szCs w:val="24"/>
              </w:rPr>
              <w:t>Dec 2019–Dec 2020</w:t>
            </w:r>
            <w:r w:rsidRPr="00D7059F">
              <w:rPr>
                <w:rFonts w:ascii="Times New Roman" w:hAnsi="Times New Roman" w:cs="Times New Roman"/>
                <w:sz w:val="24"/>
                <w:szCs w:val="24"/>
              </w:rPr>
              <w:t>*</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19.4</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80.6</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31</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34.6</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65.4</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26</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57</w:t>
            </w:r>
          </w:p>
        </w:tc>
      </w:tr>
      <w:tr w:rsidR="00D7059F" w:rsidRPr="00D7059F" w:rsidTr="001C2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7059F" w:rsidRPr="00D7059F" w:rsidRDefault="00D7059F" w:rsidP="001C28AB">
            <w:pPr>
              <w:rPr>
                <w:rFonts w:ascii="Times New Roman" w:eastAsia="Times New Roman" w:hAnsi="Times New Roman" w:cs="Times New Roman"/>
                <w:b w:val="0"/>
                <w:sz w:val="24"/>
                <w:szCs w:val="24"/>
              </w:rPr>
            </w:pPr>
            <w:r w:rsidRPr="00D7059F">
              <w:rPr>
                <w:rFonts w:ascii="Times New Roman" w:eastAsia="Times New Roman" w:hAnsi="Times New Roman" w:cs="Times New Roman"/>
                <w:b w:val="0"/>
                <w:sz w:val="24"/>
                <w:szCs w:val="24"/>
              </w:rPr>
              <w:t>Feb 2021–Dec 2021</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22.8</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77.2</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197</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67.9</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32.1</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131</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328</w:t>
            </w:r>
          </w:p>
        </w:tc>
      </w:tr>
      <w:tr w:rsidR="00D7059F" w:rsidRPr="00D7059F" w:rsidTr="001C28AB">
        <w:tc>
          <w:tcPr>
            <w:cnfStyle w:val="001000000000" w:firstRow="0" w:lastRow="0" w:firstColumn="1" w:lastColumn="0" w:oddVBand="0" w:evenVBand="0" w:oddHBand="0" w:evenHBand="0" w:firstRowFirstColumn="0" w:firstRowLastColumn="0" w:lastRowFirstColumn="0" w:lastRowLastColumn="0"/>
            <w:tcW w:w="0" w:type="auto"/>
            <w:hideMark/>
          </w:tcPr>
          <w:p w:rsidR="00D7059F" w:rsidRPr="00D7059F" w:rsidRDefault="00D7059F" w:rsidP="001C28AB">
            <w:pPr>
              <w:rPr>
                <w:rFonts w:ascii="Times New Roman" w:eastAsia="Times New Roman" w:hAnsi="Times New Roman" w:cs="Times New Roman"/>
                <w:b w:val="0"/>
                <w:sz w:val="24"/>
                <w:szCs w:val="24"/>
              </w:rPr>
            </w:pPr>
            <w:r w:rsidRPr="00D7059F">
              <w:rPr>
                <w:rFonts w:ascii="Times New Roman" w:eastAsia="Times New Roman" w:hAnsi="Times New Roman" w:cs="Times New Roman"/>
                <w:b w:val="0"/>
                <w:sz w:val="24"/>
                <w:szCs w:val="24"/>
              </w:rPr>
              <w:t>Jan 2022–Mar 2022</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51.7</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48.3</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29</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100.0</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0.0</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12</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41</w:t>
            </w:r>
          </w:p>
        </w:tc>
      </w:tr>
      <w:tr w:rsidR="00D7059F" w:rsidRPr="00D7059F" w:rsidTr="001C2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7059F" w:rsidRPr="00D7059F" w:rsidRDefault="00D7059F" w:rsidP="001C28AB">
            <w:pPr>
              <w:rPr>
                <w:rFonts w:ascii="Times New Roman" w:eastAsia="Times New Roman" w:hAnsi="Times New Roman" w:cs="Times New Roman"/>
                <w:b w:val="0"/>
                <w:sz w:val="24"/>
                <w:szCs w:val="24"/>
              </w:rPr>
            </w:pPr>
            <w:r w:rsidRPr="00D7059F">
              <w:rPr>
                <w:rFonts w:ascii="Times New Roman" w:hAnsi="Times New Roman" w:cs="Times New Roman"/>
                <w:sz w:val="24"/>
                <w:szCs w:val="24"/>
              </w:rPr>
              <w:t>†</w:t>
            </w:r>
            <w:r w:rsidRPr="00D7059F">
              <w:rPr>
                <w:rFonts w:ascii="Times New Roman" w:eastAsia="Times New Roman" w:hAnsi="Times New Roman" w:cs="Times New Roman"/>
                <w:b w:val="0"/>
                <w:sz w:val="24"/>
                <w:szCs w:val="24"/>
              </w:rPr>
              <w:t>Other / Out of range</w:t>
            </w:r>
            <w:r w:rsidRPr="00D7059F">
              <w:rPr>
                <w:rFonts w:ascii="Times New Roman" w:hAnsi="Times New Roman" w:cs="Times New Roman"/>
                <w:sz w:val="24"/>
                <w:szCs w:val="24"/>
              </w:rPr>
              <w:t>‡</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53.3</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46.7</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30</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w:t>
            </w:r>
          </w:p>
        </w:tc>
        <w:tc>
          <w:tcPr>
            <w:tcW w:w="0" w:type="auto"/>
            <w:hideMark/>
          </w:tcPr>
          <w:p w:rsidR="00D7059F" w:rsidRPr="00D7059F" w:rsidRDefault="00D7059F" w:rsidP="001C28A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sz w:val="24"/>
                <w:szCs w:val="24"/>
              </w:rPr>
              <w:t>30</w:t>
            </w:r>
          </w:p>
        </w:tc>
      </w:tr>
      <w:tr w:rsidR="00D7059F" w:rsidRPr="00D7059F" w:rsidTr="001C28AB">
        <w:tc>
          <w:tcPr>
            <w:cnfStyle w:val="001000000000" w:firstRow="0" w:lastRow="0" w:firstColumn="1" w:lastColumn="0" w:oddVBand="0" w:evenVBand="0" w:oddHBand="0" w:evenHBand="0" w:firstRowFirstColumn="0" w:firstRowLastColumn="0" w:lastRowFirstColumn="0" w:lastRowLastColumn="0"/>
            <w:tcW w:w="0" w:type="auto"/>
            <w:hideMark/>
          </w:tcPr>
          <w:p w:rsidR="00D7059F" w:rsidRPr="00D7059F" w:rsidRDefault="00D7059F" w:rsidP="001C28AB">
            <w:pPr>
              <w:rPr>
                <w:rFonts w:ascii="Times New Roman" w:eastAsia="Times New Roman" w:hAnsi="Times New Roman" w:cs="Times New Roman"/>
                <w:b w:val="0"/>
                <w:sz w:val="24"/>
                <w:szCs w:val="24"/>
              </w:rPr>
            </w:pPr>
            <w:r w:rsidRPr="00D7059F">
              <w:rPr>
                <w:rFonts w:ascii="Times New Roman" w:eastAsia="Times New Roman" w:hAnsi="Times New Roman" w:cs="Times New Roman"/>
                <w:b w:val="0"/>
                <w:sz w:val="24"/>
                <w:szCs w:val="24"/>
              </w:rPr>
              <w:t>Total vaccinated ≥1 dose</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bCs/>
                <w:sz w:val="24"/>
                <w:szCs w:val="24"/>
              </w:rPr>
              <w:t>28.6</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bCs/>
                <w:sz w:val="24"/>
                <w:szCs w:val="24"/>
              </w:rPr>
              <w:t>71.4</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bCs/>
                <w:sz w:val="24"/>
                <w:szCs w:val="24"/>
              </w:rPr>
              <w:t>287</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bCs/>
                <w:sz w:val="24"/>
                <w:szCs w:val="24"/>
              </w:rPr>
              <w:t>65.1</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bCs/>
                <w:sz w:val="24"/>
                <w:szCs w:val="24"/>
              </w:rPr>
              <w:t>34.9</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bCs/>
                <w:sz w:val="24"/>
                <w:szCs w:val="24"/>
              </w:rPr>
              <w:t>169</w:t>
            </w:r>
          </w:p>
        </w:tc>
        <w:tc>
          <w:tcPr>
            <w:tcW w:w="0" w:type="auto"/>
            <w:hideMark/>
          </w:tcPr>
          <w:p w:rsidR="00D7059F" w:rsidRPr="00D7059F" w:rsidRDefault="00D7059F" w:rsidP="001C28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059F">
              <w:rPr>
                <w:rFonts w:ascii="Times New Roman" w:eastAsia="Times New Roman" w:hAnsi="Times New Roman" w:cs="Times New Roman"/>
                <w:bCs/>
                <w:sz w:val="24"/>
                <w:szCs w:val="24"/>
              </w:rPr>
              <w:t>456</w:t>
            </w:r>
          </w:p>
        </w:tc>
      </w:tr>
    </w:tbl>
    <w:p w:rsidR="00D7059F" w:rsidRPr="00D7059F" w:rsidRDefault="00D7059F" w:rsidP="00D7059F">
      <w:pPr>
        <w:pStyle w:val="NormalWeb"/>
      </w:pPr>
      <w:r w:rsidRPr="00EE18D3">
        <w:rPr>
          <w:rStyle w:val="lev"/>
          <w:b w:val="0"/>
        </w:rPr>
        <w:t>Footnote</w:t>
      </w:r>
      <w:r w:rsidR="00EE18D3" w:rsidRPr="00EE18D3">
        <w:rPr>
          <w:rStyle w:val="lev"/>
          <w:b w:val="0"/>
        </w:rPr>
        <w:t>:</w:t>
      </w:r>
      <w:r w:rsidRPr="00D7059F">
        <w:t xml:space="preserve"> Percentages are row percentages (completion = two doses / total with first dose in period). Sample 1: n=287 participants with ≥1 dose. Sample 2: n=169 participants with ≥1 dose. * (Dec 2019–Dec 2020): data predominantly placeholder dates (31 Dec 2019 most frequent) in both samples</w:t>
      </w:r>
      <w:proofErr w:type="gramStart"/>
      <w:r w:rsidRPr="00D7059F">
        <w:t>;</w:t>
      </w:r>
      <w:proofErr w:type="gramEnd"/>
      <w:r w:rsidRPr="00D7059F">
        <w:t xml:space="preserve"> interpret with caution. †Other / out-of-range: first doses recorded before Dec 2019, after Mar 2022, or inconsistent dates (only present in Sample 1). ‡No second doses recorded in Sample 2 for early 2022. Overall completion markedly higher in Sample 1 (71.4%) than in Sample 2 (34.9%).</w:t>
      </w:r>
    </w:p>
    <w:p w:rsidR="00D7059F" w:rsidRDefault="00D7059F" w:rsidP="00845301">
      <w:pPr>
        <w:pStyle w:val="NormalWeb"/>
      </w:pPr>
    </w:p>
    <w:p w:rsidR="00F64C79" w:rsidRPr="00686EBD" w:rsidRDefault="00F64C79" w:rsidP="00845301">
      <w:pPr>
        <w:pStyle w:val="NormalWeb"/>
      </w:pPr>
    </w:p>
    <w:p w:rsidR="007E1206" w:rsidRPr="00686EBD" w:rsidRDefault="0011577E" w:rsidP="007E1206">
      <w:pPr>
        <w:pStyle w:val="NormalWeb"/>
      </w:pPr>
      <w:r w:rsidRPr="00686EBD">
        <w:lastRenderedPageBreak/>
        <w:t>Table</w:t>
      </w:r>
      <w:r w:rsidR="00F64C79">
        <w:t xml:space="preserve"> 4</w:t>
      </w:r>
      <w:r w:rsidR="007E1206" w:rsidRPr="00686EBD">
        <w:t>: Combined Profiles (Serology, Vaccination, Evolution, and Interpretation) Across Regions</w:t>
      </w:r>
    </w:p>
    <w:tbl>
      <w:tblPr>
        <w:tblStyle w:val="Tableausimple2"/>
        <w:tblW w:w="0" w:type="auto"/>
        <w:tblLook w:val="04A0" w:firstRow="1" w:lastRow="0" w:firstColumn="1" w:lastColumn="0" w:noHBand="0" w:noVBand="1"/>
      </w:tblPr>
      <w:tblGrid>
        <w:gridCol w:w="1171"/>
        <w:gridCol w:w="1372"/>
        <w:gridCol w:w="1366"/>
        <w:gridCol w:w="1221"/>
        <w:gridCol w:w="2126"/>
        <w:gridCol w:w="5750"/>
      </w:tblGrid>
      <w:tr w:rsidR="007E1206" w:rsidRPr="00686EBD" w:rsidTr="005C4E1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E1206" w:rsidRPr="00686EBD" w:rsidRDefault="007E1206" w:rsidP="007E1206">
            <w:pPr>
              <w:jc w:val="cente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Region</w:t>
            </w:r>
          </w:p>
        </w:tc>
        <w:tc>
          <w:tcPr>
            <w:tcW w:w="0" w:type="auto"/>
            <w:hideMark/>
          </w:tcPr>
          <w:p w:rsidR="007E1206" w:rsidRPr="00686EBD" w:rsidRDefault="007E1206" w:rsidP="007E12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xml:space="preserve">T1 </w:t>
            </w:r>
            <w:proofErr w:type="spellStart"/>
            <w:r w:rsidRPr="00686EBD">
              <w:rPr>
                <w:rFonts w:ascii="Times New Roman" w:eastAsia="Times New Roman" w:hAnsi="Times New Roman" w:cs="Times New Roman"/>
                <w:b w:val="0"/>
                <w:color w:val="000000"/>
              </w:rPr>
              <w:t>Wantai</w:t>
            </w:r>
            <w:proofErr w:type="spellEnd"/>
            <w:r w:rsidRPr="00686EBD">
              <w:rPr>
                <w:rFonts w:ascii="Times New Roman" w:eastAsia="Times New Roman" w:hAnsi="Times New Roman" w:cs="Times New Roman"/>
                <w:b w:val="0"/>
                <w:color w:val="000000"/>
              </w:rPr>
              <w:t xml:space="preserve"> (Total anti-RBD)</w:t>
            </w:r>
          </w:p>
        </w:tc>
        <w:tc>
          <w:tcPr>
            <w:tcW w:w="0" w:type="auto"/>
            <w:hideMark/>
          </w:tcPr>
          <w:p w:rsidR="007E1206" w:rsidRPr="00686EBD" w:rsidRDefault="007E1206" w:rsidP="007E12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xml:space="preserve">T1 </w:t>
            </w:r>
            <w:proofErr w:type="spellStart"/>
            <w:r w:rsidRPr="00686EBD">
              <w:rPr>
                <w:rFonts w:ascii="Times New Roman" w:eastAsia="Times New Roman" w:hAnsi="Times New Roman" w:cs="Times New Roman"/>
                <w:b w:val="0"/>
                <w:color w:val="000000"/>
              </w:rPr>
              <w:t>Virotech</w:t>
            </w:r>
            <w:proofErr w:type="spellEnd"/>
            <w:r w:rsidRPr="00686EBD">
              <w:rPr>
                <w:rFonts w:ascii="Times New Roman" w:eastAsia="Times New Roman" w:hAnsi="Times New Roman" w:cs="Times New Roman"/>
                <w:b w:val="0"/>
                <w:color w:val="000000"/>
              </w:rPr>
              <w:t xml:space="preserve"> (IgG anti-N)</w:t>
            </w:r>
          </w:p>
        </w:tc>
        <w:tc>
          <w:tcPr>
            <w:tcW w:w="0" w:type="auto"/>
            <w:hideMark/>
          </w:tcPr>
          <w:p w:rsidR="007E1206" w:rsidRPr="00686EBD" w:rsidRDefault="007E1206" w:rsidP="007E12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T1 ≥1 Vaccine Dose</w:t>
            </w:r>
          </w:p>
        </w:tc>
        <w:tc>
          <w:tcPr>
            <w:tcW w:w="0" w:type="auto"/>
            <w:hideMark/>
          </w:tcPr>
          <w:p w:rsidR="007E1206" w:rsidRPr="00686EBD" w:rsidRDefault="007E1206" w:rsidP="007E12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Evolution T1 → T2</w:t>
            </w:r>
          </w:p>
        </w:tc>
        <w:tc>
          <w:tcPr>
            <w:tcW w:w="0" w:type="auto"/>
            <w:hideMark/>
          </w:tcPr>
          <w:p w:rsidR="007E1206" w:rsidRPr="00686EBD" w:rsidRDefault="007E1206" w:rsidP="007E12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Final Interpretation (Cross-Referenced Profiles)</w:t>
            </w:r>
          </w:p>
        </w:tc>
      </w:tr>
      <w:tr w:rsidR="007E1206" w:rsidRPr="00686EBD" w:rsidTr="005C4E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E1206" w:rsidRPr="00686EBD" w:rsidRDefault="007E1206" w:rsidP="007E1206">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Hambol</w:t>
            </w:r>
            <w:proofErr w:type="spellEnd"/>
          </w:p>
        </w:tc>
        <w:tc>
          <w:tcPr>
            <w:tcW w:w="0" w:type="auto"/>
            <w:hideMark/>
          </w:tcPr>
          <w:p w:rsidR="007E1206" w:rsidRPr="00686EBD" w:rsidRDefault="007E1206" w:rsidP="006758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15.40%</w:t>
            </w:r>
          </w:p>
        </w:tc>
        <w:tc>
          <w:tcPr>
            <w:tcW w:w="0" w:type="auto"/>
            <w:hideMark/>
          </w:tcPr>
          <w:p w:rsidR="007E1206" w:rsidRPr="00686EBD" w:rsidRDefault="007E1206" w:rsidP="006758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15.50%</w:t>
            </w:r>
          </w:p>
        </w:tc>
        <w:tc>
          <w:tcPr>
            <w:tcW w:w="0" w:type="auto"/>
            <w:hideMark/>
          </w:tcPr>
          <w:p w:rsidR="007E1206" w:rsidRPr="00686EBD" w:rsidRDefault="007E1206" w:rsidP="006758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18.70%</w:t>
            </w:r>
          </w:p>
        </w:tc>
        <w:tc>
          <w:tcPr>
            <w:tcW w:w="0" w:type="auto"/>
            <w:hideMark/>
          </w:tcPr>
          <w:p w:rsidR="007E1206" w:rsidRPr="00686EBD" w:rsidRDefault="007E1206" w:rsidP="007E1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Sharp drop in both tests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xml:space="preserve"> -38%, </w:t>
            </w: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 xml:space="preserve"> -53%)</w:t>
            </w:r>
          </w:p>
        </w:tc>
        <w:tc>
          <w:tcPr>
            <w:tcW w:w="0" w:type="auto"/>
            <w:hideMark/>
          </w:tcPr>
          <w:p w:rsidR="007E1206" w:rsidRPr="00686EBD" w:rsidRDefault="007E1206" w:rsidP="007E1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Population largely unaffected in T1: ~15% positives due to past natural infections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xml:space="preserve"> ≈ </w:t>
            </w: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 Drop in T2 due to antibody waning (especially anti-N). Low vaccination made minimal difference.</w:t>
            </w:r>
          </w:p>
        </w:tc>
      </w:tr>
      <w:tr w:rsidR="007E1206" w:rsidRPr="00686EBD" w:rsidTr="005C4E1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E1206" w:rsidRPr="00686EBD" w:rsidRDefault="007E1206" w:rsidP="007E1206">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Cavally-Guémon</w:t>
            </w:r>
            <w:proofErr w:type="spellEnd"/>
          </w:p>
        </w:tc>
        <w:tc>
          <w:tcPr>
            <w:tcW w:w="0" w:type="auto"/>
            <w:hideMark/>
          </w:tcPr>
          <w:p w:rsidR="007E1206" w:rsidRPr="00686EBD" w:rsidRDefault="007E1206" w:rsidP="006758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25%</w:t>
            </w:r>
          </w:p>
        </w:tc>
        <w:tc>
          <w:tcPr>
            <w:tcW w:w="0" w:type="auto"/>
            <w:hideMark/>
          </w:tcPr>
          <w:p w:rsidR="007E1206" w:rsidRPr="00686EBD" w:rsidRDefault="007E1206" w:rsidP="006758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21%</w:t>
            </w:r>
          </w:p>
        </w:tc>
        <w:tc>
          <w:tcPr>
            <w:tcW w:w="0" w:type="auto"/>
            <w:hideMark/>
          </w:tcPr>
          <w:p w:rsidR="007E1206" w:rsidRPr="00686EBD" w:rsidRDefault="007E1206" w:rsidP="006758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28%</w:t>
            </w:r>
          </w:p>
        </w:tc>
        <w:tc>
          <w:tcPr>
            <w:tcW w:w="0" w:type="auto"/>
            <w:hideMark/>
          </w:tcPr>
          <w:p w:rsidR="007E1206" w:rsidRPr="00686EBD" w:rsidRDefault="007E1206" w:rsidP="007E1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Moderate rise in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xml:space="preserve">, strong rise in </w:t>
            </w:r>
            <w:proofErr w:type="spellStart"/>
            <w:r w:rsidRPr="00686EBD">
              <w:rPr>
                <w:rFonts w:ascii="Times New Roman" w:eastAsia="Times New Roman" w:hAnsi="Times New Roman" w:cs="Times New Roman"/>
                <w:color w:val="000000"/>
              </w:rPr>
              <w:t>Virotech</w:t>
            </w:r>
            <w:proofErr w:type="spellEnd"/>
          </w:p>
        </w:tc>
        <w:tc>
          <w:tcPr>
            <w:tcW w:w="0" w:type="auto"/>
            <w:hideMark/>
          </w:tcPr>
          <w:p w:rsidR="007E1206" w:rsidRPr="00686EBD" w:rsidRDefault="007E1206" w:rsidP="007E1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Active wave of natural infections during/after vaccination led to new infections (increased anti-N). Vaccination (28%) contributed little to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w:t>
            </w:r>
          </w:p>
        </w:tc>
      </w:tr>
      <w:tr w:rsidR="007E1206" w:rsidRPr="00686EBD" w:rsidTr="005C4E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E1206" w:rsidRPr="00686EBD" w:rsidRDefault="007E1206" w:rsidP="007E1206">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Gbèkè</w:t>
            </w:r>
            <w:proofErr w:type="spellEnd"/>
          </w:p>
        </w:tc>
        <w:tc>
          <w:tcPr>
            <w:tcW w:w="0" w:type="auto"/>
            <w:hideMark/>
          </w:tcPr>
          <w:p w:rsidR="007E1206" w:rsidRPr="00686EBD" w:rsidRDefault="007E1206" w:rsidP="006758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59%</w:t>
            </w:r>
          </w:p>
        </w:tc>
        <w:tc>
          <w:tcPr>
            <w:tcW w:w="0" w:type="auto"/>
            <w:hideMark/>
          </w:tcPr>
          <w:p w:rsidR="007E1206" w:rsidRPr="00686EBD" w:rsidRDefault="007E1206" w:rsidP="006758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63%</w:t>
            </w:r>
          </w:p>
        </w:tc>
        <w:tc>
          <w:tcPr>
            <w:tcW w:w="0" w:type="auto"/>
            <w:hideMark/>
          </w:tcPr>
          <w:p w:rsidR="007E1206" w:rsidRPr="00686EBD" w:rsidRDefault="007E1206" w:rsidP="006758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53%</w:t>
            </w:r>
          </w:p>
        </w:tc>
        <w:tc>
          <w:tcPr>
            <w:tcW w:w="0" w:type="auto"/>
            <w:hideMark/>
          </w:tcPr>
          <w:p w:rsidR="007E1206" w:rsidRPr="00686EBD" w:rsidRDefault="007E1206" w:rsidP="007E1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Very high plateau or slight decline</w:t>
            </w:r>
          </w:p>
        </w:tc>
        <w:tc>
          <w:tcPr>
            <w:tcW w:w="0" w:type="auto"/>
            <w:hideMark/>
          </w:tcPr>
          <w:p w:rsidR="007E1206" w:rsidRPr="00686EBD" w:rsidRDefault="007E1206" w:rsidP="007E1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Massive early infection (2020–early 2021). By T1, &gt;60% naturally infected (high anti-N). Vaccination (53%) added anti-RBD but not anti-N, explaining </w:t>
            </w:r>
            <w:proofErr w:type="spellStart"/>
            <w:r w:rsidRPr="00686EBD">
              <w:rPr>
                <w:rFonts w:ascii="Times New Roman" w:eastAsia="Times New Roman" w:hAnsi="Times New Roman" w:cs="Times New Roman"/>
                <w:color w:val="000000"/>
              </w:rPr>
              <w:t>Wantai-Virotech</w:t>
            </w:r>
            <w:proofErr w:type="spellEnd"/>
            <w:r w:rsidRPr="00686EBD">
              <w:rPr>
                <w:rFonts w:ascii="Times New Roman" w:eastAsia="Times New Roman" w:hAnsi="Times New Roman" w:cs="Times New Roman"/>
                <w:color w:val="000000"/>
              </w:rPr>
              <w:t xml:space="preserve"> similarity.</w:t>
            </w:r>
          </w:p>
        </w:tc>
      </w:tr>
    </w:tbl>
    <w:p w:rsidR="00B0423F" w:rsidRPr="003F3AEB" w:rsidRDefault="00851B99" w:rsidP="003F3AEB">
      <w:pPr>
        <w:spacing w:before="100" w:beforeAutospacing="1" w:after="100" w:afterAutospacing="1" w:line="240" w:lineRule="auto"/>
        <w:jc w:val="both"/>
        <w:rPr>
          <w:rFonts w:ascii="Times New Roman" w:eastAsia="Times New Roman" w:hAnsi="Times New Roman" w:cs="Times New Roman"/>
          <w:sz w:val="24"/>
          <w:szCs w:val="24"/>
        </w:rPr>
      </w:pPr>
      <w:r w:rsidRPr="003F3AEB">
        <w:rPr>
          <w:rFonts w:ascii="Times New Roman" w:eastAsia="Times New Roman" w:hAnsi="Times New Roman" w:cs="Times New Roman"/>
          <w:sz w:val="24"/>
          <w:szCs w:val="24"/>
        </w:rPr>
        <w:t>Combined serological, vaccination and evolutionary profiles of SARS-CoV-2 exposure across three regions in Côte d'Ivoire at time point 1 (T1) and their interpretation</w:t>
      </w:r>
      <w:r w:rsidR="003F3AEB">
        <w:rPr>
          <w:rFonts w:ascii="Times New Roman" w:eastAsia="Times New Roman" w:hAnsi="Times New Roman" w:cs="Times New Roman"/>
          <w:sz w:val="24"/>
          <w:szCs w:val="24"/>
        </w:rPr>
        <w:t xml:space="preserve">. </w:t>
      </w:r>
      <w:r w:rsidR="00B0423F" w:rsidRPr="003F3AEB">
        <w:rPr>
          <w:rFonts w:ascii="Times New Roman" w:eastAsia="Times New Roman" w:hAnsi="Times New Roman" w:cs="Times New Roman"/>
          <w:sz w:val="24"/>
          <w:szCs w:val="24"/>
        </w:rPr>
        <w:t>Anti-RBD antibodies can result from natural infection or vaccination, whereas anti-N antibodies are primarily indicative of past natural infection. Discrepancies between assays and vaccination rates, combined with temporal changes, allow inference of dominant exposure types (natural infection vs vaccination) in each region.</w:t>
      </w:r>
    </w:p>
    <w:p w:rsidR="00B0423F" w:rsidRPr="003F3AEB" w:rsidRDefault="003F3AEB" w:rsidP="003F3AEB">
      <w:pPr>
        <w:spacing w:after="0" w:line="240" w:lineRule="auto"/>
        <w:jc w:val="both"/>
        <w:rPr>
          <w:rFonts w:ascii="Times New Roman" w:eastAsia="Times New Roman" w:hAnsi="Times New Roman" w:cs="Times New Roman"/>
          <w:sz w:val="24"/>
          <w:szCs w:val="24"/>
        </w:rPr>
      </w:pPr>
      <w:r w:rsidRPr="003F3AEB">
        <w:rPr>
          <w:rFonts w:ascii="Times New Roman" w:eastAsia="Times New Roman" w:hAnsi="Times New Roman" w:cs="Times New Roman"/>
          <w:sz w:val="24"/>
          <w:szCs w:val="24"/>
        </w:rPr>
        <w:t> T1</w:t>
      </w:r>
      <w:r w:rsidR="00B0423F" w:rsidRPr="003F3AEB">
        <w:rPr>
          <w:rFonts w:ascii="Times New Roman" w:eastAsia="Times New Roman" w:hAnsi="Times New Roman" w:cs="Times New Roman"/>
          <w:sz w:val="24"/>
          <w:szCs w:val="24"/>
        </w:rPr>
        <w:t>: First survey time point (</w:t>
      </w:r>
      <w:r w:rsidR="00B0423F" w:rsidRPr="003F3AEB">
        <w:rPr>
          <w:rFonts w:ascii="Times New Roman" w:hAnsi="Times New Roman" w:cs="Times New Roman"/>
          <w:sz w:val="24"/>
          <w:szCs w:val="24"/>
        </w:rPr>
        <w:t>March–April/2022</w:t>
      </w:r>
      <w:r w:rsidR="00B0423F" w:rsidRPr="003F3AEB">
        <w:rPr>
          <w:rFonts w:ascii="Times New Roman" w:eastAsia="Times New Roman" w:hAnsi="Times New Roman" w:cs="Times New Roman"/>
          <w:sz w:val="24"/>
          <w:szCs w:val="24"/>
        </w:rPr>
        <w:t xml:space="preserve">). </w:t>
      </w:r>
    </w:p>
    <w:p w:rsidR="00B0423F" w:rsidRPr="003F3AEB" w:rsidRDefault="003F3AEB" w:rsidP="003F3AEB">
      <w:pPr>
        <w:spacing w:after="0" w:line="240" w:lineRule="auto"/>
        <w:jc w:val="both"/>
        <w:rPr>
          <w:rFonts w:ascii="Times New Roman" w:eastAsia="Times New Roman" w:hAnsi="Times New Roman" w:cs="Times New Roman"/>
          <w:sz w:val="24"/>
          <w:szCs w:val="24"/>
        </w:rPr>
      </w:pPr>
      <w:r w:rsidRPr="003F3AEB">
        <w:rPr>
          <w:rFonts w:ascii="Times New Roman" w:eastAsia="Times New Roman" w:hAnsi="Times New Roman" w:cs="Times New Roman"/>
          <w:sz w:val="24"/>
          <w:szCs w:val="24"/>
        </w:rPr>
        <w:t> T2</w:t>
      </w:r>
      <w:r w:rsidR="00B0423F" w:rsidRPr="003F3AEB">
        <w:rPr>
          <w:rFonts w:ascii="Times New Roman" w:eastAsia="Times New Roman" w:hAnsi="Times New Roman" w:cs="Times New Roman"/>
          <w:sz w:val="24"/>
          <w:szCs w:val="24"/>
        </w:rPr>
        <w:t>: Second survey time point (</w:t>
      </w:r>
      <w:proofErr w:type="spellStart"/>
      <w:r w:rsidR="00B0423F" w:rsidRPr="003F3AEB">
        <w:rPr>
          <w:rFonts w:ascii="Times New Roman" w:eastAsia="Times New Roman" w:hAnsi="Times New Roman" w:cs="Times New Roman"/>
          <w:sz w:val="24"/>
          <w:szCs w:val="24"/>
        </w:rPr>
        <w:t>Aout</w:t>
      </w:r>
      <w:proofErr w:type="spellEnd"/>
      <w:r w:rsidR="00B0423F" w:rsidRPr="003F3AEB">
        <w:rPr>
          <w:rFonts w:ascii="Times New Roman" w:eastAsia="Times New Roman" w:hAnsi="Times New Roman" w:cs="Times New Roman"/>
          <w:sz w:val="24"/>
          <w:szCs w:val="24"/>
        </w:rPr>
        <w:t xml:space="preserve">/2022). </w:t>
      </w:r>
    </w:p>
    <w:p w:rsidR="00B0423F" w:rsidRPr="003F3AEB" w:rsidRDefault="003F3AEB" w:rsidP="003F3AEB">
      <w:pPr>
        <w:spacing w:after="0" w:line="240" w:lineRule="auto"/>
        <w:jc w:val="both"/>
        <w:rPr>
          <w:rFonts w:ascii="Times New Roman" w:eastAsia="Times New Roman" w:hAnsi="Times New Roman" w:cs="Times New Roman"/>
          <w:sz w:val="24"/>
          <w:szCs w:val="24"/>
        </w:rPr>
      </w:pPr>
      <w:r w:rsidRPr="003F3AEB">
        <w:rPr>
          <w:rFonts w:ascii="Times New Roman" w:eastAsia="Times New Roman" w:hAnsi="Times New Roman" w:cs="Times New Roman"/>
          <w:sz w:val="24"/>
          <w:szCs w:val="24"/>
        </w:rPr>
        <w:t xml:space="preserve"> </w:t>
      </w:r>
      <w:proofErr w:type="spellStart"/>
      <w:r w:rsidRPr="003F3AEB">
        <w:rPr>
          <w:rFonts w:ascii="Times New Roman" w:eastAsia="Times New Roman" w:hAnsi="Times New Roman" w:cs="Times New Roman"/>
          <w:sz w:val="24"/>
          <w:szCs w:val="24"/>
        </w:rPr>
        <w:t>Wantai</w:t>
      </w:r>
      <w:proofErr w:type="spellEnd"/>
      <w:r w:rsidR="00B0423F" w:rsidRPr="003F3AEB">
        <w:rPr>
          <w:rFonts w:ascii="Times New Roman" w:eastAsia="Times New Roman" w:hAnsi="Times New Roman" w:cs="Times New Roman"/>
          <w:sz w:val="24"/>
          <w:szCs w:val="24"/>
        </w:rPr>
        <w:t xml:space="preserve"> Total anti-RBD: Percentage of participants with positive total antibodies against receptor-binding domain (RBD) using </w:t>
      </w:r>
      <w:proofErr w:type="spellStart"/>
      <w:r w:rsidR="00B0423F" w:rsidRPr="003F3AEB">
        <w:rPr>
          <w:rFonts w:ascii="Times New Roman" w:eastAsia="Times New Roman" w:hAnsi="Times New Roman" w:cs="Times New Roman"/>
          <w:sz w:val="24"/>
          <w:szCs w:val="24"/>
        </w:rPr>
        <w:t>Wantai</w:t>
      </w:r>
      <w:proofErr w:type="spellEnd"/>
      <w:r w:rsidR="00B0423F" w:rsidRPr="003F3AEB">
        <w:rPr>
          <w:rFonts w:ascii="Times New Roman" w:eastAsia="Times New Roman" w:hAnsi="Times New Roman" w:cs="Times New Roman"/>
          <w:sz w:val="24"/>
          <w:szCs w:val="24"/>
        </w:rPr>
        <w:t xml:space="preserve"> ELISA. </w:t>
      </w:r>
    </w:p>
    <w:p w:rsidR="00B0423F" w:rsidRPr="003F3AEB" w:rsidRDefault="003F3AEB" w:rsidP="003F3AEB">
      <w:pPr>
        <w:spacing w:after="0" w:line="240" w:lineRule="auto"/>
        <w:jc w:val="both"/>
        <w:rPr>
          <w:rFonts w:ascii="Times New Roman" w:eastAsia="Times New Roman" w:hAnsi="Times New Roman" w:cs="Times New Roman"/>
          <w:sz w:val="24"/>
          <w:szCs w:val="24"/>
        </w:rPr>
      </w:pPr>
      <w:r w:rsidRPr="003F3AEB">
        <w:rPr>
          <w:rFonts w:ascii="Times New Roman" w:eastAsia="Times New Roman" w:hAnsi="Times New Roman" w:cs="Times New Roman"/>
          <w:sz w:val="24"/>
          <w:szCs w:val="24"/>
        </w:rPr>
        <w:t xml:space="preserve"> </w:t>
      </w:r>
      <w:proofErr w:type="spellStart"/>
      <w:r w:rsidRPr="003F3AEB">
        <w:rPr>
          <w:rFonts w:ascii="Times New Roman" w:eastAsia="Times New Roman" w:hAnsi="Times New Roman" w:cs="Times New Roman"/>
          <w:sz w:val="24"/>
          <w:szCs w:val="24"/>
        </w:rPr>
        <w:t>Virotech</w:t>
      </w:r>
      <w:proofErr w:type="spellEnd"/>
      <w:r w:rsidR="00B0423F" w:rsidRPr="003F3AEB">
        <w:rPr>
          <w:rFonts w:ascii="Times New Roman" w:eastAsia="Times New Roman" w:hAnsi="Times New Roman" w:cs="Times New Roman"/>
          <w:sz w:val="24"/>
          <w:szCs w:val="24"/>
        </w:rPr>
        <w:t xml:space="preserve"> IgG anti-N: Percentage of participants with positive IgG antibodies against </w:t>
      </w:r>
      <w:proofErr w:type="spellStart"/>
      <w:r w:rsidR="00B0423F" w:rsidRPr="003F3AEB">
        <w:rPr>
          <w:rFonts w:ascii="Times New Roman" w:eastAsia="Times New Roman" w:hAnsi="Times New Roman" w:cs="Times New Roman"/>
          <w:sz w:val="24"/>
          <w:szCs w:val="24"/>
        </w:rPr>
        <w:t>nucleocapsid</w:t>
      </w:r>
      <w:proofErr w:type="spellEnd"/>
      <w:r w:rsidR="00B0423F" w:rsidRPr="003F3AEB">
        <w:rPr>
          <w:rFonts w:ascii="Times New Roman" w:eastAsia="Times New Roman" w:hAnsi="Times New Roman" w:cs="Times New Roman"/>
          <w:sz w:val="24"/>
          <w:szCs w:val="24"/>
        </w:rPr>
        <w:t xml:space="preserve"> (N) protein using </w:t>
      </w:r>
      <w:proofErr w:type="spellStart"/>
      <w:r w:rsidR="00B0423F" w:rsidRPr="003F3AEB">
        <w:rPr>
          <w:rFonts w:ascii="Times New Roman" w:eastAsia="Times New Roman" w:hAnsi="Times New Roman" w:cs="Times New Roman"/>
          <w:sz w:val="24"/>
          <w:szCs w:val="24"/>
        </w:rPr>
        <w:t>Virotech</w:t>
      </w:r>
      <w:proofErr w:type="spellEnd"/>
      <w:r w:rsidR="00B0423F" w:rsidRPr="003F3AEB">
        <w:rPr>
          <w:rFonts w:ascii="Times New Roman" w:eastAsia="Times New Roman" w:hAnsi="Times New Roman" w:cs="Times New Roman"/>
          <w:sz w:val="24"/>
          <w:szCs w:val="24"/>
        </w:rPr>
        <w:t xml:space="preserve"> ELISA. </w:t>
      </w:r>
    </w:p>
    <w:p w:rsidR="00B0423F" w:rsidRPr="003F3AEB" w:rsidRDefault="003F3AEB" w:rsidP="003F3AEB">
      <w:pPr>
        <w:spacing w:after="0" w:line="240" w:lineRule="auto"/>
        <w:jc w:val="both"/>
        <w:rPr>
          <w:rFonts w:ascii="Times New Roman" w:eastAsia="Times New Roman" w:hAnsi="Times New Roman" w:cs="Times New Roman"/>
          <w:sz w:val="24"/>
          <w:szCs w:val="24"/>
        </w:rPr>
      </w:pPr>
      <w:r w:rsidRPr="003F3AEB">
        <w:rPr>
          <w:rFonts w:ascii="Times New Roman" w:eastAsia="Times New Roman" w:hAnsi="Times New Roman" w:cs="Times New Roman"/>
          <w:sz w:val="24"/>
          <w:szCs w:val="24"/>
        </w:rPr>
        <w:t> ≥</w:t>
      </w:r>
      <w:r w:rsidR="00B0423F" w:rsidRPr="003F3AEB">
        <w:rPr>
          <w:rFonts w:ascii="Times New Roman" w:eastAsia="Times New Roman" w:hAnsi="Times New Roman" w:cs="Times New Roman"/>
          <w:sz w:val="24"/>
          <w:szCs w:val="24"/>
        </w:rPr>
        <w:t xml:space="preserve">1 Vaccine Dose: Percentage of participants reporting at least one dose of COVID-19 vaccine by T1. </w:t>
      </w:r>
    </w:p>
    <w:p w:rsidR="00B0423F" w:rsidRPr="003F3AEB" w:rsidRDefault="003F3AEB" w:rsidP="003F3AEB">
      <w:pPr>
        <w:spacing w:after="0" w:line="240" w:lineRule="auto"/>
        <w:jc w:val="both"/>
        <w:rPr>
          <w:rFonts w:ascii="Times New Roman" w:eastAsia="Times New Roman" w:hAnsi="Times New Roman" w:cs="Times New Roman"/>
          <w:sz w:val="24"/>
          <w:szCs w:val="24"/>
        </w:rPr>
      </w:pPr>
      <w:r w:rsidRPr="003F3AEB">
        <w:rPr>
          <w:rFonts w:ascii="Times New Roman" w:eastAsia="Times New Roman" w:hAnsi="Times New Roman" w:cs="Times New Roman"/>
          <w:sz w:val="24"/>
          <w:szCs w:val="24"/>
        </w:rPr>
        <w:t> Evolution</w:t>
      </w:r>
      <w:r w:rsidR="00B0423F" w:rsidRPr="003F3AEB">
        <w:rPr>
          <w:rFonts w:ascii="Times New Roman" w:eastAsia="Times New Roman" w:hAnsi="Times New Roman" w:cs="Times New Roman"/>
          <w:sz w:val="24"/>
          <w:szCs w:val="24"/>
        </w:rPr>
        <w:t xml:space="preserve"> T1 → T2: Observed change in </w:t>
      </w:r>
      <w:proofErr w:type="spellStart"/>
      <w:r w:rsidR="00B0423F" w:rsidRPr="003F3AEB">
        <w:rPr>
          <w:rFonts w:ascii="Times New Roman" w:eastAsia="Times New Roman" w:hAnsi="Times New Roman" w:cs="Times New Roman"/>
          <w:sz w:val="24"/>
          <w:szCs w:val="24"/>
        </w:rPr>
        <w:t>seropositivity</w:t>
      </w:r>
      <w:proofErr w:type="spellEnd"/>
      <w:r w:rsidR="00B0423F" w:rsidRPr="003F3AEB">
        <w:rPr>
          <w:rFonts w:ascii="Times New Roman" w:eastAsia="Times New Roman" w:hAnsi="Times New Roman" w:cs="Times New Roman"/>
          <w:sz w:val="24"/>
          <w:szCs w:val="24"/>
        </w:rPr>
        <w:t xml:space="preserve"> rates between the two survey time points. </w:t>
      </w:r>
    </w:p>
    <w:p w:rsidR="00B0423F" w:rsidRPr="003F3AEB" w:rsidRDefault="003F3AEB" w:rsidP="003F3AEB">
      <w:pPr>
        <w:spacing w:after="0" w:line="240" w:lineRule="auto"/>
        <w:jc w:val="both"/>
        <w:rPr>
          <w:rFonts w:ascii="Times New Roman" w:eastAsia="Times New Roman" w:hAnsi="Times New Roman" w:cs="Times New Roman"/>
          <w:sz w:val="24"/>
          <w:szCs w:val="24"/>
        </w:rPr>
      </w:pPr>
      <w:r w:rsidRPr="003F3AEB">
        <w:rPr>
          <w:rFonts w:ascii="Times New Roman" w:eastAsia="Times New Roman" w:hAnsi="Times New Roman" w:cs="Times New Roman"/>
          <w:sz w:val="24"/>
          <w:szCs w:val="24"/>
        </w:rPr>
        <w:t> Final</w:t>
      </w:r>
      <w:r w:rsidR="00B0423F" w:rsidRPr="003F3AEB">
        <w:rPr>
          <w:rFonts w:ascii="Times New Roman" w:eastAsia="Times New Roman" w:hAnsi="Times New Roman" w:cs="Times New Roman"/>
          <w:sz w:val="24"/>
          <w:szCs w:val="24"/>
        </w:rPr>
        <w:t xml:space="preserve"> Interpretation: Synthesis based on cross-referencing serological markers (anti-RBD vs anti-N), vaccination coverage, and temporal evolution to distinguish natural infection from vaccine-induced immunity. </w:t>
      </w:r>
    </w:p>
    <w:p w:rsidR="00B0423F" w:rsidRPr="003F3AEB" w:rsidRDefault="003F3AEB" w:rsidP="003F3AEB">
      <w:pPr>
        <w:spacing w:after="0" w:line="240" w:lineRule="auto"/>
        <w:jc w:val="both"/>
        <w:rPr>
          <w:rFonts w:ascii="Times New Roman" w:eastAsia="Times New Roman" w:hAnsi="Times New Roman" w:cs="Times New Roman"/>
          <w:sz w:val="24"/>
          <w:szCs w:val="24"/>
        </w:rPr>
      </w:pPr>
      <w:r w:rsidRPr="003F3AEB">
        <w:rPr>
          <w:rFonts w:ascii="Times New Roman" w:eastAsia="Times New Roman" w:hAnsi="Times New Roman" w:cs="Times New Roman"/>
          <w:sz w:val="24"/>
          <w:szCs w:val="24"/>
        </w:rPr>
        <w:t> Percentages</w:t>
      </w:r>
      <w:r w:rsidR="00B0423F" w:rsidRPr="003F3AEB">
        <w:rPr>
          <w:rFonts w:ascii="Times New Roman" w:eastAsia="Times New Roman" w:hAnsi="Times New Roman" w:cs="Times New Roman"/>
          <w:sz w:val="24"/>
          <w:szCs w:val="24"/>
        </w:rPr>
        <w:t xml:space="preserve"> are rounded; small discrepancies may be due to assay-specific thresholds or rounding. </w:t>
      </w:r>
    </w:p>
    <w:p w:rsidR="00017C00" w:rsidRPr="003F3AEB" w:rsidRDefault="00B0423F" w:rsidP="003F3AEB">
      <w:pPr>
        <w:spacing w:after="0" w:line="480" w:lineRule="auto"/>
        <w:ind w:right="334"/>
        <w:jc w:val="both"/>
        <w:rPr>
          <w:rFonts w:ascii="Times New Roman" w:hAnsi="Times New Roman" w:cs="Times New Roman"/>
          <w:sz w:val="24"/>
          <w:szCs w:val="24"/>
        </w:rPr>
      </w:pPr>
      <w:r w:rsidRPr="003F3AEB">
        <w:rPr>
          <w:rFonts w:ascii="Times New Roman" w:eastAsia="Times New Roman" w:hAnsi="Times New Roman" w:cs="Times New Roman"/>
          <w:sz w:val="24"/>
          <w:szCs w:val="24"/>
        </w:rPr>
        <w:t>Data source: Derived from serolo</w:t>
      </w:r>
      <w:r w:rsidR="00017C00" w:rsidRPr="003F3AEB">
        <w:rPr>
          <w:rFonts w:ascii="Times New Roman" w:eastAsia="Times New Roman" w:hAnsi="Times New Roman" w:cs="Times New Roman"/>
          <w:sz w:val="24"/>
          <w:szCs w:val="24"/>
        </w:rPr>
        <w:t xml:space="preserve">gical surveys conducted in [2022] as described in the </w:t>
      </w:r>
      <w:r w:rsidR="00017C00" w:rsidRPr="003F3AEB">
        <w:rPr>
          <w:rFonts w:ascii="Times New Roman" w:hAnsi="Times New Roman" w:cs="Times New Roman"/>
          <w:sz w:val="24"/>
          <w:szCs w:val="24"/>
        </w:rPr>
        <w:t>Laboratory methods and Table 5.</w:t>
      </w:r>
    </w:p>
    <w:p w:rsidR="00F03CD3" w:rsidRPr="00686EBD" w:rsidRDefault="00F64C79" w:rsidP="00D470FA">
      <w:pPr>
        <w:pStyle w:val="NormalWeb"/>
      </w:pPr>
      <w:r>
        <w:lastRenderedPageBreak/>
        <w:t>Table 5</w:t>
      </w:r>
      <w:r w:rsidR="00F03CD3" w:rsidRPr="00686EBD">
        <w:t xml:space="preserve">: Summary of Epidemiological Characteristics </w:t>
      </w:r>
      <w:proofErr w:type="gramStart"/>
      <w:r w:rsidR="00F03CD3" w:rsidRPr="00686EBD">
        <w:t>Acr</w:t>
      </w:r>
      <w:r w:rsidR="00D470FA" w:rsidRPr="00686EBD">
        <w:t>oss</w:t>
      </w:r>
      <w:proofErr w:type="gramEnd"/>
      <w:r w:rsidR="00D470FA" w:rsidRPr="00686EBD">
        <w:t xml:space="preserve"> Regions</w:t>
      </w:r>
    </w:p>
    <w:tbl>
      <w:tblPr>
        <w:tblStyle w:val="Tableausimple2"/>
        <w:tblW w:w="0" w:type="auto"/>
        <w:tblLook w:val="04A0" w:firstRow="1" w:lastRow="0" w:firstColumn="1" w:lastColumn="0" w:noHBand="0" w:noVBand="1"/>
      </w:tblPr>
      <w:tblGrid>
        <w:gridCol w:w="4823"/>
        <w:gridCol w:w="3229"/>
        <w:gridCol w:w="2723"/>
        <w:gridCol w:w="2231"/>
      </w:tblGrid>
      <w:tr w:rsidR="00F03CD3" w:rsidRPr="00686EBD" w:rsidTr="000726F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F03CD3" w:rsidRPr="00686EBD" w:rsidRDefault="00F03CD3" w:rsidP="00F03CD3">
            <w:pPr>
              <w:jc w:val="cente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Setting</w:t>
            </w:r>
          </w:p>
        </w:tc>
        <w:tc>
          <w:tcPr>
            <w:tcW w:w="0" w:type="auto"/>
            <w:hideMark/>
          </w:tcPr>
          <w:p w:rsidR="00F03CD3" w:rsidRPr="00686EBD" w:rsidRDefault="00F03CD3" w:rsidP="00F03C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proofErr w:type="spellStart"/>
            <w:r w:rsidRPr="00686EBD">
              <w:rPr>
                <w:rFonts w:ascii="Times New Roman" w:eastAsia="Times New Roman" w:hAnsi="Times New Roman" w:cs="Times New Roman"/>
                <w:b w:val="0"/>
                <w:color w:val="000000"/>
              </w:rPr>
              <w:t>Hambol</w:t>
            </w:r>
            <w:proofErr w:type="spellEnd"/>
          </w:p>
        </w:tc>
        <w:tc>
          <w:tcPr>
            <w:tcW w:w="0" w:type="auto"/>
            <w:hideMark/>
          </w:tcPr>
          <w:p w:rsidR="00F03CD3" w:rsidRPr="00686EBD" w:rsidRDefault="00F03CD3" w:rsidP="00F03C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proofErr w:type="spellStart"/>
            <w:r w:rsidRPr="00686EBD">
              <w:rPr>
                <w:rFonts w:ascii="Times New Roman" w:eastAsia="Times New Roman" w:hAnsi="Times New Roman" w:cs="Times New Roman"/>
                <w:b w:val="0"/>
                <w:color w:val="000000"/>
              </w:rPr>
              <w:t>Cavally-Guémon</w:t>
            </w:r>
            <w:proofErr w:type="spellEnd"/>
          </w:p>
        </w:tc>
        <w:tc>
          <w:tcPr>
            <w:tcW w:w="0" w:type="auto"/>
            <w:hideMark/>
          </w:tcPr>
          <w:p w:rsidR="00F03CD3" w:rsidRPr="00686EBD" w:rsidRDefault="00F03CD3" w:rsidP="00F03C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proofErr w:type="spellStart"/>
            <w:r w:rsidRPr="00686EBD">
              <w:rPr>
                <w:rFonts w:ascii="Times New Roman" w:eastAsia="Times New Roman" w:hAnsi="Times New Roman" w:cs="Times New Roman"/>
                <w:b w:val="0"/>
                <w:color w:val="000000"/>
              </w:rPr>
              <w:t>Gbèkè</w:t>
            </w:r>
            <w:proofErr w:type="spellEnd"/>
          </w:p>
        </w:tc>
      </w:tr>
      <w:tr w:rsidR="00F03CD3" w:rsidRPr="00686EBD" w:rsidTr="000726F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F03CD3" w:rsidRPr="00686EBD" w:rsidRDefault="00F03CD3" w:rsidP="00F03CD3">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Seroprevalence</w:t>
            </w:r>
            <w:proofErr w:type="spellEnd"/>
            <w:r w:rsidRPr="00686EBD">
              <w:rPr>
                <w:rFonts w:ascii="Times New Roman" w:eastAsia="Times New Roman" w:hAnsi="Times New Roman" w:cs="Times New Roman"/>
                <w:b w:val="0"/>
                <w:color w:val="000000"/>
              </w:rPr>
              <w:t xml:space="preserve"> of actual natural infection (best marker: </w:t>
            </w:r>
            <w:proofErr w:type="spellStart"/>
            <w:r w:rsidRPr="00686EBD">
              <w:rPr>
                <w:rFonts w:ascii="Times New Roman" w:eastAsia="Times New Roman" w:hAnsi="Times New Roman" w:cs="Times New Roman"/>
                <w:b w:val="0"/>
                <w:color w:val="000000"/>
              </w:rPr>
              <w:t>Virotech</w:t>
            </w:r>
            <w:proofErr w:type="spellEnd"/>
            <w:r w:rsidRPr="00686EBD">
              <w:rPr>
                <w:rFonts w:ascii="Times New Roman" w:eastAsia="Times New Roman" w:hAnsi="Times New Roman" w:cs="Times New Roman"/>
                <w:b w:val="0"/>
                <w:color w:val="000000"/>
              </w:rPr>
              <w:t xml:space="preserve"> anti-N or </w:t>
            </w:r>
            <w:proofErr w:type="spellStart"/>
            <w:r w:rsidRPr="00686EBD">
              <w:rPr>
                <w:rFonts w:ascii="Times New Roman" w:eastAsia="Times New Roman" w:hAnsi="Times New Roman" w:cs="Times New Roman"/>
                <w:b w:val="0"/>
                <w:color w:val="000000"/>
              </w:rPr>
              <w:t>Wantai</w:t>
            </w:r>
            <w:proofErr w:type="spellEnd"/>
            <w:r w:rsidRPr="00686EBD">
              <w:rPr>
                <w:rFonts w:ascii="Times New Roman" w:eastAsia="Times New Roman" w:hAnsi="Times New Roman" w:cs="Times New Roman"/>
                <w:b w:val="0"/>
                <w:color w:val="000000"/>
              </w:rPr>
              <w:t xml:space="preserve"> in unvaccinated)</w:t>
            </w:r>
          </w:p>
        </w:tc>
        <w:tc>
          <w:tcPr>
            <w:tcW w:w="0" w:type="auto"/>
            <w:hideMark/>
          </w:tcPr>
          <w:p w:rsidR="00F03CD3" w:rsidRPr="00686EBD" w:rsidRDefault="00F03CD3" w:rsidP="00F03C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Very low (~15% in T1, ~7–9% in T2)</w:t>
            </w:r>
          </w:p>
        </w:tc>
        <w:tc>
          <w:tcPr>
            <w:tcW w:w="0" w:type="auto"/>
            <w:hideMark/>
          </w:tcPr>
          <w:p w:rsidR="00F03CD3" w:rsidRPr="00686EBD" w:rsidRDefault="00F03CD3" w:rsidP="00F03C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Moderate and increasing rapidly</w:t>
            </w:r>
          </w:p>
        </w:tc>
        <w:tc>
          <w:tcPr>
            <w:tcW w:w="0" w:type="auto"/>
            <w:hideMark/>
          </w:tcPr>
          <w:p w:rsidR="00F03CD3" w:rsidRPr="00686EBD" w:rsidRDefault="00F03CD3" w:rsidP="00F03C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Very high (&gt;60%) from 2021 onwards</w:t>
            </w:r>
          </w:p>
        </w:tc>
      </w:tr>
      <w:tr w:rsidR="00F03CD3" w:rsidRPr="00686EBD" w:rsidTr="000726F4">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F03CD3" w:rsidRPr="00686EBD" w:rsidRDefault="00F03CD3" w:rsidP="00F03CD3">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Main wave of COVID</w:t>
            </w:r>
          </w:p>
        </w:tc>
        <w:tc>
          <w:tcPr>
            <w:tcW w:w="0" w:type="auto"/>
            <w:hideMark/>
          </w:tcPr>
          <w:p w:rsidR="00F03CD3" w:rsidRPr="00686EBD" w:rsidRDefault="00F03CD3" w:rsidP="00F03C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Very late or absent</w:t>
            </w:r>
          </w:p>
        </w:tc>
        <w:tc>
          <w:tcPr>
            <w:tcW w:w="0" w:type="auto"/>
            <w:hideMark/>
          </w:tcPr>
          <w:p w:rsidR="00F03CD3" w:rsidRPr="00686EBD" w:rsidRDefault="00F03CD3" w:rsidP="00F03C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During/vaccination period (2021–2022)</w:t>
            </w:r>
          </w:p>
        </w:tc>
        <w:tc>
          <w:tcPr>
            <w:tcW w:w="0" w:type="auto"/>
            <w:hideMark/>
          </w:tcPr>
          <w:p w:rsidR="00F03CD3" w:rsidRPr="00686EBD" w:rsidRDefault="00F03CD3" w:rsidP="00F03C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Very early (2020–early 2021)</w:t>
            </w:r>
          </w:p>
        </w:tc>
      </w:tr>
      <w:tr w:rsidR="00F03CD3" w:rsidRPr="00686EBD" w:rsidTr="000726F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F03CD3" w:rsidRPr="00686EBD" w:rsidRDefault="00F03CD3" w:rsidP="00F03CD3">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Real impact of vaccination</w:t>
            </w:r>
          </w:p>
        </w:tc>
        <w:tc>
          <w:tcPr>
            <w:tcW w:w="0" w:type="auto"/>
            <w:hideMark/>
          </w:tcPr>
          <w:p w:rsidR="00F03CD3" w:rsidRPr="00686EBD" w:rsidRDefault="00F03CD3" w:rsidP="00F03C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Virtually nonexistent (low coverage + vaccines without anti-N)</w:t>
            </w:r>
          </w:p>
        </w:tc>
        <w:tc>
          <w:tcPr>
            <w:tcW w:w="0" w:type="auto"/>
            <w:hideMark/>
          </w:tcPr>
          <w:p w:rsidR="00F03CD3" w:rsidRPr="00686EBD" w:rsidRDefault="00F03CD3" w:rsidP="00F03C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Masked by simultaneous infection wave</w:t>
            </w:r>
          </w:p>
        </w:tc>
        <w:tc>
          <w:tcPr>
            <w:tcW w:w="0" w:type="auto"/>
            <w:hideMark/>
          </w:tcPr>
          <w:p w:rsidR="00F03CD3" w:rsidRPr="00686EBD" w:rsidRDefault="00F03CD3" w:rsidP="00F03C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Additional (massive hybrid immunity)</w:t>
            </w:r>
          </w:p>
        </w:tc>
      </w:tr>
    </w:tbl>
    <w:p w:rsidR="00AA730D" w:rsidRDefault="00F81B4B" w:rsidP="00F64C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Footnote: t</w:t>
      </w:r>
      <w:r w:rsidR="00F96DB2" w:rsidRPr="00686EBD">
        <w:rPr>
          <w:rFonts w:ascii="Times New Roman" w:eastAsia="Times New Roman" w:hAnsi="Times New Roman" w:cs="Times New Roman"/>
          <w:sz w:val="24"/>
          <w:szCs w:val="24"/>
        </w:rPr>
        <w:t xml:space="preserve">he </w:t>
      </w:r>
      <w:proofErr w:type="spellStart"/>
      <w:r w:rsidR="00F96DB2" w:rsidRPr="00686EBD">
        <w:rPr>
          <w:rFonts w:ascii="Times New Roman" w:eastAsia="Times New Roman" w:hAnsi="Times New Roman" w:cs="Times New Roman"/>
          <w:sz w:val="24"/>
          <w:szCs w:val="24"/>
        </w:rPr>
        <w:t>seroprevalence</w:t>
      </w:r>
      <w:proofErr w:type="spellEnd"/>
      <w:r w:rsidR="00F96DB2" w:rsidRPr="00686EBD">
        <w:rPr>
          <w:rFonts w:ascii="Times New Roman" w:eastAsia="Times New Roman" w:hAnsi="Times New Roman" w:cs="Times New Roman"/>
          <w:sz w:val="24"/>
          <w:szCs w:val="24"/>
        </w:rPr>
        <w:t xml:space="preserve"> of actual natural infection is estimated in unvaccinated individuals using anti-</w:t>
      </w:r>
      <w:proofErr w:type="spellStart"/>
      <w:r w:rsidR="00F96DB2" w:rsidRPr="00686EBD">
        <w:rPr>
          <w:rFonts w:ascii="Times New Roman" w:eastAsia="Times New Roman" w:hAnsi="Times New Roman" w:cs="Times New Roman"/>
          <w:sz w:val="24"/>
          <w:szCs w:val="24"/>
        </w:rPr>
        <w:t>nucleocapsid</w:t>
      </w:r>
      <w:proofErr w:type="spellEnd"/>
      <w:r w:rsidR="00F96DB2" w:rsidRPr="00686EBD">
        <w:rPr>
          <w:rFonts w:ascii="Times New Roman" w:eastAsia="Times New Roman" w:hAnsi="Times New Roman" w:cs="Times New Roman"/>
          <w:sz w:val="24"/>
          <w:szCs w:val="24"/>
        </w:rPr>
        <w:t xml:space="preserve"> antibodies (anti-N), preferably detected by </w:t>
      </w:r>
      <w:proofErr w:type="spellStart"/>
      <w:r w:rsidR="00F96DB2" w:rsidRPr="00686EBD">
        <w:rPr>
          <w:rFonts w:ascii="Times New Roman" w:eastAsia="Times New Roman" w:hAnsi="Times New Roman" w:cs="Times New Roman"/>
          <w:sz w:val="24"/>
          <w:szCs w:val="24"/>
        </w:rPr>
        <w:t>Virotech</w:t>
      </w:r>
      <w:proofErr w:type="spellEnd"/>
      <w:r w:rsidR="00F96DB2" w:rsidRPr="00686EBD">
        <w:rPr>
          <w:rFonts w:ascii="Times New Roman" w:eastAsia="Times New Roman" w:hAnsi="Times New Roman" w:cs="Times New Roman"/>
          <w:sz w:val="24"/>
          <w:szCs w:val="24"/>
        </w:rPr>
        <w:t xml:space="preserve"> or </w:t>
      </w:r>
      <w:proofErr w:type="spellStart"/>
      <w:r w:rsidR="00F96DB2" w:rsidRPr="00686EBD">
        <w:rPr>
          <w:rFonts w:ascii="Times New Roman" w:eastAsia="Times New Roman" w:hAnsi="Times New Roman" w:cs="Times New Roman"/>
          <w:sz w:val="24"/>
          <w:szCs w:val="24"/>
        </w:rPr>
        <w:t>Wantai</w:t>
      </w:r>
      <w:proofErr w:type="spellEnd"/>
      <w:r w:rsidR="00F96DB2" w:rsidRPr="00686EBD">
        <w:rPr>
          <w:rFonts w:ascii="Times New Roman" w:eastAsia="Times New Roman" w:hAnsi="Times New Roman" w:cs="Times New Roman"/>
          <w:sz w:val="24"/>
          <w:szCs w:val="24"/>
        </w:rPr>
        <w:t xml:space="preserve"> assays, which are the best markers infection (standard COVID-19 vaccines do not induce anti-N antibodies). The real impact of vaccination is assessed by considering the timing of natural infection waves and vaccination coverage (vaccines without anti-N induction). Massive hybrid immunity results from the combination of natural infection and vaccination.</w:t>
      </w:r>
    </w:p>
    <w:p w:rsidR="00F64C79" w:rsidRDefault="00F64C79" w:rsidP="00F64C79">
      <w:pPr>
        <w:spacing w:before="100" w:beforeAutospacing="1" w:after="100" w:afterAutospacing="1" w:line="240" w:lineRule="auto"/>
        <w:rPr>
          <w:rFonts w:ascii="Times New Roman" w:eastAsia="Times New Roman" w:hAnsi="Times New Roman" w:cs="Times New Roman"/>
          <w:sz w:val="24"/>
          <w:szCs w:val="24"/>
        </w:rPr>
      </w:pPr>
    </w:p>
    <w:p w:rsidR="00F64C79" w:rsidRDefault="00F64C79" w:rsidP="00F64C79">
      <w:pPr>
        <w:spacing w:before="100" w:beforeAutospacing="1" w:after="100" w:afterAutospacing="1" w:line="240" w:lineRule="auto"/>
        <w:rPr>
          <w:rFonts w:ascii="Times New Roman" w:eastAsia="Times New Roman" w:hAnsi="Times New Roman" w:cs="Times New Roman"/>
          <w:sz w:val="24"/>
          <w:szCs w:val="24"/>
        </w:rPr>
      </w:pPr>
    </w:p>
    <w:p w:rsidR="00F64C79" w:rsidRDefault="00F64C79" w:rsidP="00F64C79">
      <w:pPr>
        <w:spacing w:before="100" w:beforeAutospacing="1" w:after="100" w:afterAutospacing="1" w:line="240" w:lineRule="auto"/>
        <w:rPr>
          <w:rFonts w:ascii="Times New Roman" w:eastAsia="Times New Roman" w:hAnsi="Times New Roman" w:cs="Times New Roman"/>
          <w:sz w:val="24"/>
          <w:szCs w:val="24"/>
        </w:rPr>
      </w:pPr>
    </w:p>
    <w:p w:rsidR="00F64C79" w:rsidRDefault="00F64C79" w:rsidP="00F64C79">
      <w:pPr>
        <w:spacing w:before="100" w:beforeAutospacing="1" w:after="100" w:afterAutospacing="1" w:line="240" w:lineRule="auto"/>
        <w:rPr>
          <w:rFonts w:ascii="Times New Roman" w:eastAsia="Times New Roman" w:hAnsi="Times New Roman" w:cs="Times New Roman"/>
          <w:sz w:val="24"/>
          <w:szCs w:val="24"/>
        </w:rPr>
      </w:pPr>
    </w:p>
    <w:p w:rsidR="00F64C79" w:rsidRDefault="00F64C79" w:rsidP="00F64C79">
      <w:pPr>
        <w:spacing w:before="100" w:beforeAutospacing="1" w:after="100" w:afterAutospacing="1" w:line="240" w:lineRule="auto"/>
        <w:rPr>
          <w:rFonts w:ascii="Times New Roman" w:eastAsia="Times New Roman" w:hAnsi="Times New Roman" w:cs="Times New Roman"/>
          <w:sz w:val="24"/>
          <w:szCs w:val="24"/>
        </w:rPr>
      </w:pPr>
    </w:p>
    <w:p w:rsidR="00F64C79" w:rsidRDefault="00F64C79" w:rsidP="00F64C79">
      <w:pPr>
        <w:spacing w:before="100" w:beforeAutospacing="1" w:after="100" w:afterAutospacing="1" w:line="240" w:lineRule="auto"/>
        <w:rPr>
          <w:rFonts w:ascii="Times New Roman" w:eastAsia="Times New Roman" w:hAnsi="Times New Roman" w:cs="Times New Roman"/>
          <w:sz w:val="24"/>
          <w:szCs w:val="24"/>
        </w:rPr>
      </w:pPr>
    </w:p>
    <w:p w:rsidR="00F64C79" w:rsidRDefault="00F64C79" w:rsidP="00F64C79">
      <w:pPr>
        <w:spacing w:before="100" w:beforeAutospacing="1" w:after="100" w:afterAutospacing="1" w:line="240" w:lineRule="auto"/>
        <w:rPr>
          <w:rFonts w:ascii="Times New Roman" w:eastAsia="Times New Roman" w:hAnsi="Times New Roman" w:cs="Times New Roman"/>
          <w:sz w:val="24"/>
          <w:szCs w:val="24"/>
        </w:rPr>
      </w:pPr>
    </w:p>
    <w:p w:rsidR="00F47261" w:rsidRDefault="00F47261" w:rsidP="00F64C79">
      <w:pPr>
        <w:spacing w:before="100" w:beforeAutospacing="1" w:after="100" w:afterAutospacing="1" w:line="240" w:lineRule="auto"/>
        <w:rPr>
          <w:rFonts w:ascii="Times New Roman" w:eastAsia="Times New Roman" w:hAnsi="Times New Roman" w:cs="Times New Roman"/>
          <w:sz w:val="24"/>
          <w:szCs w:val="24"/>
        </w:rPr>
      </w:pPr>
    </w:p>
    <w:p w:rsidR="00F47261" w:rsidRPr="00F64C79" w:rsidRDefault="00F47261" w:rsidP="00F64C79">
      <w:pPr>
        <w:spacing w:before="100" w:beforeAutospacing="1" w:after="100" w:afterAutospacing="1" w:line="240" w:lineRule="auto"/>
        <w:rPr>
          <w:rFonts w:ascii="Times New Roman" w:eastAsia="Times New Roman" w:hAnsi="Times New Roman" w:cs="Times New Roman"/>
          <w:sz w:val="24"/>
          <w:szCs w:val="24"/>
        </w:rPr>
      </w:pPr>
    </w:p>
    <w:p w:rsidR="004C0118" w:rsidRPr="00686EBD" w:rsidRDefault="00610BD6" w:rsidP="004C0118">
      <w:pPr>
        <w:pStyle w:val="NormalWeb"/>
      </w:pPr>
      <w:r w:rsidRPr="00686EBD">
        <w:lastRenderedPageBreak/>
        <w:t>T</w:t>
      </w:r>
      <w:r w:rsidR="00F64C79">
        <w:t xml:space="preserve">able </w:t>
      </w:r>
      <w:r w:rsidR="00CE3985">
        <w:t>6:</w:t>
      </w:r>
      <w:r w:rsidR="00942F4B" w:rsidRPr="00686EBD">
        <w:t xml:space="preserve"> Odds Ratios (ORs)</w:t>
      </w:r>
      <w:r w:rsidR="004C0118" w:rsidRPr="00686EBD">
        <w:t xml:space="preserve"> and T1-T2 Variations with Biological Interpretations</w:t>
      </w:r>
    </w:p>
    <w:tbl>
      <w:tblPr>
        <w:tblStyle w:val="Tableausimple2"/>
        <w:tblW w:w="0" w:type="auto"/>
        <w:tblLook w:val="04A0" w:firstRow="1" w:lastRow="0" w:firstColumn="1" w:lastColumn="0" w:noHBand="0" w:noVBand="1"/>
      </w:tblPr>
      <w:tblGrid>
        <w:gridCol w:w="1244"/>
        <w:gridCol w:w="1612"/>
        <w:gridCol w:w="1443"/>
        <w:gridCol w:w="850"/>
        <w:gridCol w:w="1443"/>
        <w:gridCol w:w="850"/>
        <w:gridCol w:w="1448"/>
        <w:gridCol w:w="4116"/>
      </w:tblGrid>
      <w:tr w:rsidR="004C0118" w:rsidRPr="00686EBD" w:rsidTr="00865E0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4C0118" w:rsidRPr="00686EBD" w:rsidRDefault="004C0118" w:rsidP="004C0118">
            <w:pPr>
              <w:jc w:val="cente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Region</w:t>
            </w:r>
          </w:p>
        </w:tc>
        <w:tc>
          <w:tcPr>
            <w:tcW w:w="0" w:type="auto"/>
            <w:hideMark/>
          </w:tcPr>
          <w:p w:rsidR="004C0118" w:rsidRPr="00686EBD" w:rsidRDefault="004C0118" w:rsidP="004C01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Variable Studied</w:t>
            </w:r>
          </w:p>
        </w:tc>
        <w:tc>
          <w:tcPr>
            <w:tcW w:w="0" w:type="auto"/>
            <w:hideMark/>
          </w:tcPr>
          <w:p w:rsidR="004C0118" w:rsidRPr="00686EBD" w:rsidRDefault="004C0118" w:rsidP="004C01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OR at T1 (95% CI)</w:t>
            </w:r>
          </w:p>
        </w:tc>
        <w:tc>
          <w:tcPr>
            <w:tcW w:w="0" w:type="auto"/>
            <w:hideMark/>
          </w:tcPr>
          <w:p w:rsidR="004C0118" w:rsidRPr="00686EBD" w:rsidRDefault="004C0118" w:rsidP="004C01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p</w:t>
            </w:r>
            <w:r w:rsidR="00784830" w:rsidRPr="00686EBD">
              <w:rPr>
                <w:rFonts w:ascii="Times New Roman" w:eastAsia="Times New Roman" w:hAnsi="Times New Roman" w:cs="Times New Roman"/>
                <w:b w:val="0"/>
                <w:color w:val="000000"/>
              </w:rPr>
              <w:t>-value</w:t>
            </w:r>
          </w:p>
        </w:tc>
        <w:tc>
          <w:tcPr>
            <w:tcW w:w="0" w:type="auto"/>
            <w:hideMark/>
          </w:tcPr>
          <w:p w:rsidR="004C0118" w:rsidRPr="00686EBD" w:rsidRDefault="004C0118" w:rsidP="004C01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OR at T2 (95% CI)</w:t>
            </w:r>
          </w:p>
        </w:tc>
        <w:tc>
          <w:tcPr>
            <w:tcW w:w="0" w:type="auto"/>
            <w:hideMark/>
          </w:tcPr>
          <w:p w:rsidR="004C0118" w:rsidRPr="00686EBD" w:rsidRDefault="004C0118" w:rsidP="004C01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p</w:t>
            </w:r>
            <w:r w:rsidR="00784830" w:rsidRPr="00686EBD">
              <w:rPr>
                <w:rFonts w:ascii="Times New Roman" w:eastAsia="Times New Roman" w:hAnsi="Times New Roman" w:cs="Times New Roman"/>
                <w:b w:val="0"/>
                <w:color w:val="000000"/>
              </w:rPr>
              <w:t>-value</w:t>
            </w:r>
          </w:p>
        </w:tc>
        <w:tc>
          <w:tcPr>
            <w:tcW w:w="0" w:type="auto"/>
            <w:hideMark/>
          </w:tcPr>
          <w:p w:rsidR="004C0118" w:rsidRPr="00686EBD" w:rsidRDefault="004C0118" w:rsidP="004C01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Variation OR T1→T2</w:t>
            </w:r>
          </w:p>
        </w:tc>
        <w:tc>
          <w:tcPr>
            <w:tcW w:w="0" w:type="auto"/>
            <w:hideMark/>
          </w:tcPr>
          <w:p w:rsidR="004C0118" w:rsidRPr="00686EBD" w:rsidRDefault="004C0118" w:rsidP="004C01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Main Biological Interpretation</w:t>
            </w:r>
          </w:p>
        </w:tc>
      </w:tr>
      <w:tr w:rsidR="004C0118" w:rsidRPr="00686EBD" w:rsidTr="00865E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4C0118" w:rsidRPr="00686EBD" w:rsidRDefault="004C0118" w:rsidP="004C0118">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Hambol</w:t>
            </w:r>
            <w:proofErr w:type="spellEnd"/>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xml:space="preserve"> + vs –</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1.00 (reference)</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1.00 (reference)</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Least affected region (baseline)</w:t>
            </w:r>
          </w:p>
        </w:tc>
      </w:tr>
      <w:tr w:rsidR="004C0118" w:rsidRPr="00686EBD" w:rsidTr="00865E0A">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4C0118" w:rsidRPr="00686EBD" w:rsidRDefault="004C0118" w:rsidP="004C0118">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Cavally-Guémon</w:t>
            </w:r>
            <w:proofErr w:type="spellEnd"/>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xml:space="preserve"> + vs </w:t>
            </w:r>
            <w:proofErr w:type="spellStart"/>
            <w:r w:rsidRPr="00686EBD">
              <w:rPr>
                <w:rFonts w:ascii="Times New Roman" w:eastAsia="Times New Roman" w:hAnsi="Times New Roman" w:cs="Times New Roman"/>
                <w:color w:val="000000"/>
              </w:rPr>
              <w:t>Hambol</w:t>
            </w:r>
            <w:proofErr w:type="spellEnd"/>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1.82 (1.21–2.74)</w:t>
            </w:r>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0.004</w:t>
            </w:r>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3.41 (2.28–5.10)</w:t>
            </w:r>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&lt;0.001</w:t>
            </w:r>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×1.87</w:t>
            </w:r>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Exposure risk multiplied by ~3.4 at T2 → active wave of natural infections during/after vaccination</w:t>
            </w:r>
          </w:p>
        </w:tc>
      </w:tr>
      <w:tr w:rsidR="004C0118" w:rsidRPr="00686EBD" w:rsidTr="00865E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4C0118" w:rsidRPr="00686EBD" w:rsidRDefault="004C0118" w:rsidP="004C0118">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Gbèkè</w:t>
            </w:r>
            <w:proofErr w:type="spellEnd"/>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xml:space="preserve"> + vs </w:t>
            </w:r>
            <w:proofErr w:type="spellStart"/>
            <w:r w:rsidRPr="00686EBD">
              <w:rPr>
                <w:rFonts w:ascii="Times New Roman" w:eastAsia="Times New Roman" w:hAnsi="Times New Roman" w:cs="Times New Roman"/>
                <w:color w:val="000000"/>
              </w:rPr>
              <w:t>Hambol</w:t>
            </w:r>
            <w:proofErr w:type="spellEnd"/>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8.15 (5.61–11.84)</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&lt;0.001</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9.87 (6.72–14.50)</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&lt;0.001</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×1.21</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Risk very high from T1, stable → early massive infection (2020–early 2021)</w:t>
            </w:r>
          </w:p>
        </w:tc>
      </w:tr>
      <w:tr w:rsidR="004C0118" w:rsidRPr="00686EBD" w:rsidTr="00865E0A">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4C0118" w:rsidRPr="00686EBD" w:rsidRDefault="004C0118" w:rsidP="004C0118">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Cavally-Guémon</w:t>
            </w:r>
            <w:proofErr w:type="spellEnd"/>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 xml:space="preserve"> anti-N+ vs </w:t>
            </w:r>
            <w:proofErr w:type="spellStart"/>
            <w:r w:rsidRPr="00686EBD">
              <w:rPr>
                <w:rFonts w:ascii="Times New Roman" w:eastAsia="Times New Roman" w:hAnsi="Times New Roman" w:cs="Times New Roman"/>
                <w:color w:val="000000"/>
              </w:rPr>
              <w:t>Hambol</w:t>
            </w:r>
            <w:proofErr w:type="spellEnd"/>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1.46 (0.95–2.24)</w:t>
            </w:r>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0.08</w:t>
            </w:r>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4.12 (2.79–6.09)</w:t>
            </w:r>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&lt;0.001</w:t>
            </w:r>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×2.82</w:t>
            </w:r>
          </w:p>
        </w:tc>
        <w:tc>
          <w:tcPr>
            <w:tcW w:w="0" w:type="auto"/>
            <w:hideMark/>
          </w:tcPr>
          <w:p w:rsidR="004C0118" w:rsidRPr="00686EBD" w:rsidRDefault="004C0118" w:rsidP="004C0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Significant increase in pure natural infection between T1 and T2</w:t>
            </w:r>
          </w:p>
        </w:tc>
      </w:tr>
      <w:tr w:rsidR="004C0118" w:rsidRPr="00686EBD" w:rsidTr="00865E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4C0118" w:rsidRPr="00686EBD" w:rsidRDefault="004C0118" w:rsidP="004C0118">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Gbèkè</w:t>
            </w:r>
            <w:proofErr w:type="spellEnd"/>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 xml:space="preserve"> anti-N+ vs </w:t>
            </w:r>
            <w:proofErr w:type="spellStart"/>
            <w:r w:rsidRPr="00686EBD">
              <w:rPr>
                <w:rFonts w:ascii="Times New Roman" w:eastAsia="Times New Roman" w:hAnsi="Times New Roman" w:cs="Times New Roman"/>
                <w:color w:val="000000"/>
              </w:rPr>
              <w:t>Hambol</w:t>
            </w:r>
            <w:proofErr w:type="spellEnd"/>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10.2 (7.0–14.9)</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&lt;0.001</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11.8 (8.0–17.4)</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&lt;0.001</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×1.16</w:t>
            </w:r>
          </w:p>
        </w:tc>
        <w:tc>
          <w:tcPr>
            <w:tcW w:w="0" w:type="auto"/>
            <w:hideMark/>
          </w:tcPr>
          <w:p w:rsidR="004C0118" w:rsidRPr="00686EBD" w:rsidRDefault="004C0118" w:rsidP="004C0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Very high plateau; population largely naturally infected by T1</w:t>
            </w:r>
          </w:p>
        </w:tc>
      </w:tr>
    </w:tbl>
    <w:p w:rsidR="001A0DB1" w:rsidRPr="00686EBD" w:rsidRDefault="00F64C79" w:rsidP="001A0D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w:t>
      </w:r>
      <w:r w:rsidR="001A0DB1" w:rsidRPr="00686EBD">
        <w:rPr>
          <w:rFonts w:ascii="Times New Roman" w:eastAsia="Times New Roman" w:hAnsi="Times New Roman" w:cs="Times New Roman"/>
          <w:sz w:val="24"/>
          <w:szCs w:val="24"/>
        </w:rPr>
        <w:t xml:space="preserve"> footnote: T1 and T2 denote the two successive </w:t>
      </w:r>
      <w:proofErr w:type="spellStart"/>
      <w:r w:rsidR="001A0DB1" w:rsidRPr="00686EBD">
        <w:rPr>
          <w:rFonts w:ascii="Times New Roman" w:eastAsia="Times New Roman" w:hAnsi="Times New Roman" w:cs="Times New Roman"/>
          <w:sz w:val="24"/>
          <w:szCs w:val="24"/>
        </w:rPr>
        <w:t>serosurvey</w:t>
      </w:r>
      <w:proofErr w:type="spellEnd"/>
      <w:r w:rsidR="001A0DB1" w:rsidRPr="00686EBD">
        <w:rPr>
          <w:rFonts w:ascii="Times New Roman" w:eastAsia="Times New Roman" w:hAnsi="Times New Roman" w:cs="Times New Roman"/>
          <w:sz w:val="24"/>
          <w:szCs w:val="24"/>
        </w:rPr>
        <w:t xml:space="preserve"> </w:t>
      </w:r>
      <w:proofErr w:type="spellStart"/>
      <w:r w:rsidR="001A0DB1" w:rsidRPr="00686EBD">
        <w:rPr>
          <w:rFonts w:ascii="Times New Roman" w:eastAsia="Times New Roman" w:hAnsi="Times New Roman" w:cs="Times New Roman"/>
          <w:sz w:val="24"/>
          <w:szCs w:val="24"/>
        </w:rPr>
        <w:t>timepoints</w:t>
      </w:r>
      <w:proofErr w:type="spellEnd"/>
      <w:r w:rsidR="001A0DB1" w:rsidRPr="00686EBD">
        <w:rPr>
          <w:rFonts w:ascii="Times New Roman" w:eastAsia="Times New Roman" w:hAnsi="Times New Roman" w:cs="Times New Roman"/>
          <w:sz w:val="24"/>
          <w:szCs w:val="24"/>
        </w:rPr>
        <w:t xml:space="preserve"> (baseline and follow-up). </w:t>
      </w:r>
      <w:proofErr w:type="spellStart"/>
      <w:r w:rsidR="001A0DB1" w:rsidRPr="00686EBD">
        <w:rPr>
          <w:rFonts w:ascii="Times New Roman" w:eastAsia="Times New Roman" w:hAnsi="Times New Roman" w:cs="Times New Roman"/>
          <w:sz w:val="24"/>
          <w:szCs w:val="24"/>
        </w:rPr>
        <w:t>Wantai</w:t>
      </w:r>
      <w:proofErr w:type="spellEnd"/>
      <w:r w:rsidR="001A0DB1" w:rsidRPr="00686EBD">
        <w:rPr>
          <w:rFonts w:ascii="Times New Roman" w:eastAsia="Times New Roman" w:hAnsi="Times New Roman" w:cs="Times New Roman"/>
          <w:sz w:val="24"/>
          <w:szCs w:val="24"/>
        </w:rPr>
        <w:t xml:space="preserve"> total anti-SARS-CoV-2 and </w:t>
      </w:r>
      <w:proofErr w:type="spellStart"/>
      <w:r w:rsidR="001A0DB1" w:rsidRPr="00686EBD">
        <w:rPr>
          <w:rFonts w:ascii="Times New Roman" w:eastAsia="Times New Roman" w:hAnsi="Times New Roman" w:cs="Times New Roman"/>
          <w:sz w:val="24"/>
          <w:szCs w:val="24"/>
        </w:rPr>
        <w:t>Virotech</w:t>
      </w:r>
      <w:proofErr w:type="spellEnd"/>
      <w:r w:rsidR="001A0DB1" w:rsidRPr="00686EBD">
        <w:rPr>
          <w:rFonts w:ascii="Times New Roman" w:eastAsia="Times New Roman" w:hAnsi="Times New Roman" w:cs="Times New Roman"/>
          <w:sz w:val="24"/>
          <w:szCs w:val="24"/>
        </w:rPr>
        <w:t xml:space="preserve"> anti-</w:t>
      </w:r>
      <w:proofErr w:type="spellStart"/>
      <w:r w:rsidR="001A0DB1" w:rsidRPr="00686EBD">
        <w:rPr>
          <w:rFonts w:ascii="Times New Roman" w:eastAsia="Times New Roman" w:hAnsi="Times New Roman" w:cs="Times New Roman"/>
          <w:sz w:val="24"/>
          <w:szCs w:val="24"/>
        </w:rPr>
        <w:t>nucleocapsid</w:t>
      </w:r>
      <w:proofErr w:type="spellEnd"/>
      <w:r w:rsidR="001A0DB1" w:rsidRPr="00686EBD">
        <w:rPr>
          <w:rFonts w:ascii="Times New Roman" w:eastAsia="Times New Roman" w:hAnsi="Times New Roman" w:cs="Times New Roman"/>
          <w:sz w:val="24"/>
          <w:szCs w:val="24"/>
        </w:rPr>
        <w:t xml:space="preserve"> (anti-N) assays </w:t>
      </w:r>
      <w:proofErr w:type="gramStart"/>
      <w:r w:rsidR="001A0DB1" w:rsidRPr="00686EBD">
        <w:rPr>
          <w:rFonts w:ascii="Times New Roman" w:eastAsia="Times New Roman" w:hAnsi="Times New Roman" w:cs="Times New Roman"/>
          <w:sz w:val="24"/>
          <w:szCs w:val="24"/>
        </w:rPr>
        <w:t>were used</w:t>
      </w:r>
      <w:proofErr w:type="gramEnd"/>
      <w:r w:rsidR="001A0DB1" w:rsidRPr="00686EBD">
        <w:rPr>
          <w:rFonts w:ascii="Times New Roman" w:eastAsia="Times New Roman" w:hAnsi="Times New Roman" w:cs="Times New Roman"/>
          <w:sz w:val="24"/>
          <w:szCs w:val="24"/>
        </w:rPr>
        <w:t xml:space="preserve"> to detect total exposure and natural infection, respectively. Odds ratios (ORs) are multivariable-adjusted, with </w:t>
      </w:r>
      <w:proofErr w:type="spellStart"/>
      <w:r w:rsidR="001A0DB1" w:rsidRPr="00686EBD">
        <w:rPr>
          <w:rFonts w:ascii="Times New Roman" w:eastAsia="Times New Roman" w:hAnsi="Times New Roman" w:cs="Times New Roman"/>
          <w:sz w:val="24"/>
          <w:szCs w:val="24"/>
        </w:rPr>
        <w:t>Hambol</w:t>
      </w:r>
      <w:proofErr w:type="spellEnd"/>
      <w:r w:rsidR="001A0DB1" w:rsidRPr="00686EBD">
        <w:rPr>
          <w:rFonts w:ascii="Times New Roman" w:eastAsia="Times New Roman" w:hAnsi="Times New Roman" w:cs="Times New Roman"/>
          <w:sz w:val="24"/>
          <w:szCs w:val="24"/>
        </w:rPr>
        <w:t xml:space="preserve"> region as reference (lowest exposure). Biological interpretations integrate anti-N (marker of natural infection only) and anti-RBD serology, vaccination coverage, and temporal dynamics of infection waves. Full details on assays, adjustments, and statistical methods </w:t>
      </w:r>
      <w:proofErr w:type="gramStart"/>
      <w:r w:rsidR="001A0DB1" w:rsidRPr="00686EBD">
        <w:rPr>
          <w:rFonts w:ascii="Times New Roman" w:eastAsia="Times New Roman" w:hAnsi="Times New Roman" w:cs="Times New Roman"/>
          <w:sz w:val="24"/>
          <w:szCs w:val="24"/>
        </w:rPr>
        <w:t>are provided</w:t>
      </w:r>
      <w:proofErr w:type="gramEnd"/>
      <w:r w:rsidR="001A0DB1" w:rsidRPr="00686EBD">
        <w:rPr>
          <w:rFonts w:ascii="Times New Roman" w:eastAsia="Times New Roman" w:hAnsi="Times New Roman" w:cs="Times New Roman"/>
          <w:sz w:val="24"/>
          <w:szCs w:val="24"/>
        </w:rPr>
        <w:t xml:space="preserve"> in the Methods section.</w:t>
      </w:r>
    </w:p>
    <w:p w:rsidR="00EE18D3" w:rsidRDefault="00EE18D3" w:rsidP="003E5798">
      <w:pPr>
        <w:pStyle w:val="NormalWeb"/>
      </w:pPr>
    </w:p>
    <w:p w:rsidR="00EE18D3" w:rsidRDefault="00EE18D3" w:rsidP="003E5798">
      <w:pPr>
        <w:pStyle w:val="NormalWeb"/>
      </w:pPr>
    </w:p>
    <w:p w:rsidR="00EE18D3" w:rsidRDefault="00EE18D3" w:rsidP="003E5798">
      <w:pPr>
        <w:pStyle w:val="NormalWeb"/>
      </w:pPr>
    </w:p>
    <w:p w:rsidR="00EE18D3" w:rsidRDefault="00EE18D3" w:rsidP="003E5798">
      <w:pPr>
        <w:pStyle w:val="NormalWeb"/>
      </w:pPr>
    </w:p>
    <w:p w:rsidR="00EE18D3" w:rsidRDefault="00EE18D3" w:rsidP="003E5798">
      <w:pPr>
        <w:pStyle w:val="NormalWeb"/>
      </w:pPr>
    </w:p>
    <w:p w:rsidR="00EE18D3" w:rsidRDefault="00EE18D3" w:rsidP="003E5798">
      <w:pPr>
        <w:pStyle w:val="NormalWeb"/>
      </w:pPr>
    </w:p>
    <w:p w:rsidR="00703F41" w:rsidRPr="00686EBD" w:rsidRDefault="00F64C79" w:rsidP="003E5798">
      <w:pPr>
        <w:pStyle w:val="NormalWeb"/>
      </w:pPr>
      <w:r>
        <w:lastRenderedPageBreak/>
        <w:t>Table 7</w:t>
      </w:r>
      <w:r w:rsidR="003E5798" w:rsidRPr="00686EBD">
        <w:t>: Immune Profiles by Region and by Time Point (T1 and T2)</w:t>
      </w:r>
    </w:p>
    <w:tbl>
      <w:tblPr>
        <w:tblStyle w:val="Tableausimple2"/>
        <w:tblW w:w="0" w:type="auto"/>
        <w:tblLook w:val="04A0" w:firstRow="1" w:lastRow="0" w:firstColumn="1" w:lastColumn="0" w:noHBand="0" w:noVBand="1"/>
      </w:tblPr>
      <w:tblGrid>
        <w:gridCol w:w="2431"/>
        <w:gridCol w:w="852"/>
        <w:gridCol w:w="1290"/>
        <w:gridCol w:w="1290"/>
        <w:gridCol w:w="7143"/>
      </w:tblGrid>
      <w:tr w:rsidR="00703F41" w:rsidRPr="00686EBD" w:rsidTr="003313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03F41" w:rsidRPr="00686EBD" w:rsidRDefault="00703F41" w:rsidP="00703F41">
            <w:pPr>
              <w:jc w:val="cente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Immune Profile</w:t>
            </w:r>
          </w:p>
        </w:tc>
        <w:tc>
          <w:tcPr>
            <w:tcW w:w="0" w:type="auto"/>
            <w:hideMark/>
          </w:tcPr>
          <w:p w:rsidR="00703F41" w:rsidRPr="00686EBD" w:rsidRDefault="00703F41" w:rsidP="00703F4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Region</w:t>
            </w:r>
          </w:p>
        </w:tc>
        <w:tc>
          <w:tcPr>
            <w:tcW w:w="0" w:type="auto"/>
            <w:hideMark/>
          </w:tcPr>
          <w:p w:rsidR="00703F41" w:rsidRPr="00686EBD" w:rsidRDefault="00703F41" w:rsidP="00703F4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T1 Estimate</w:t>
            </w:r>
          </w:p>
        </w:tc>
        <w:tc>
          <w:tcPr>
            <w:tcW w:w="0" w:type="auto"/>
            <w:hideMark/>
          </w:tcPr>
          <w:p w:rsidR="00703F41" w:rsidRPr="00686EBD" w:rsidRDefault="00703F41" w:rsidP="00703F4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T2 Estimate</w:t>
            </w:r>
          </w:p>
        </w:tc>
        <w:tc>
          <w:tcPr>
            <w:tcW w:w="0" w:type="auto"/>
            <w:hideMark/>
          </w:tcPr>
          <w:p w:rsidR="00703F41" w:rsidRPr="00686EBD" w:rsidRDefault="00703F41" w:rsidP="00703F4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Precise Interpretation and Synthesis</w:t>
            </w:r>
          </w:p>
        </w:tc>
      </w:tr>
      <w:tr w:rsidR="00703F41" w:rsidRPr="00686EBD" w:rsidTr="003313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03F41" w:rsidRPr="00686EBD" w:rsidRDefault="00703F41" w:rsidP="00703F41">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Vaccinated only (</w:t>
            </w:r>
            <w:proofErr w:type="spellStart"/>
            <w:r w:rsidRPr="00686EBD">
              <w:rPr>
                <w:rFonts w:ascii="Times New Roman" w:eastAsia="Times New Roman" w:hAnsi="Times New Roman" w:cs="Times New Roman"/>
                <w:b w:val="0"/>
                <w:color w:val="000000"/>
              </w:rPr>
              <w:t>Wantai</w:t>
            </w:r>
            <w:proofErr w:type="spellEnd"/>
            <w:r w:rsidRPr="00686EBD">
              <w:rPr>
                <w:rFonts w:ascii="Times New Roman" w:eastAsia="Times New Roman" w:hAnsi="Times New Roman" w:cs="Times New Roman"/>
                <w:b w:val="0"/>
                <w:color w:val="000000"/>
              </w:rPr>
              <w:t xml:space="preserve"> + / </w:t>
            </w:r>
            <w:proofErr w:type="spellStart"/>
            <w:r w:rsidRPr="00686EBD">
              <w:rPr>
                <w:rFonts w:ascii="Times New Roman" w:eastAsia="Times New Roman" w:hAnsi="Times New Roman" w:cs="Times New Roman"/>
                <w:b w:val="0"/>
                <w:color w:val="000000"/>
              </w:rPr>
              <w:t>Virotech</w:t>
            </w:r>
            <w:proofErr w:type="spellEnd"/>
            <w:r w:rsidRPr="00686EBD">
              <w:rPr>
                <w:rFonts w:ascii="Times New Roman" w:eastAsia="Times New Roman" w:hAnsi="Times New Roman" w:cs="Times New Roman"/>
                <w:b w:val="0"/>
                <w:color w:val="000000"/>
              </w:rPr>
              <w:t xml:space="preserve"> –)</w:t>
            </w:r>
          </w:p>
        </w:tc>
        <w:tc>
          <w:tcPr>
            <w:tcW w:w="0" w:type="auto"/>
            <w:hideMark/>
          </w:tcPr>
          <w:p w:rsidR="00703F41" w:rsidRPr="00686EBD" w:rsidRDefault="00441986"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Global</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4–5%</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0–2%</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Profile almost disappeared by T2, likely due to infections occurring in initially non-infected vaccinated individuals. Indicates a transition toward hybrid immunity.</w:t>
            </w:r>
          </w:p>
        </w:tc>
      </w:tr>
      <w:tr w:rsidR="00703F41" w:rsidRPr="00686EBD" w:rsidTr="00331308">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03F41" w:rsidRPr="00686EBD" w:rsidRDefault="00703F41" w:rsidP="00703F41">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Gbèkè</w:t>
            </w:r>
            <w:proofErr w:type="spellEnd"/>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Very low (&lt; 3%)</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Very low (&lt; 3%)</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Almost non-existent in this rural region; very low persistence, reflecting low vaccination coverage without prior infection or rapid disappearance.</w:t>
            </w:r>
          </w:p>
        </w:tc>
      </w:tr>
      <w:tr w:rsidR="00703F41" w:rsidRPr="00686EBD" w:rsidTr="003313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03F41" w:rsidRPr="00686EBD" w:rsidRDefault="00703F41" w:rsidP="00703F41">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Infected only (</w:t>
            </w:r>
            <w:proofErr w:type="spellStart"/>
            <w:r w:rsidRPr="00686EBD">
              <w:rPr>
                <w:rFonts w:ascii="Times New Roman" w:eastAsia="Times New Roman" w:hAnsi="Times New Roman" w:cs="Times New Roman"/>
                <w:b w:val="0"/>
                <w:color w:val="000000"/>
              </w:rPr>
              <w:t>Wantai</w:t>
            </w:r>
            <w:proofErr w:type="spellEnd"/>
            <w:r w:rsidRPr="00686EBD">
              <w:rPr>
                <w:rFonts w:ascii="Times New Roman" w:eastAsia="Times New Roman" w:hAnsi="Times New Roman" w:cs="Times New Roman"/>
                <w:b w:val="0"/>
                <w:color w:val="000000"/>
              </w:rPr>
              <w:t xml:space="preserve"> – / </w:t>
            </w:r>
            <w:proofErr w:type="spellStart"/>
            <w:r w:rsidRPr="00686EBD">
              <w:rPr>
                <w:rFonts w:ascii="Times New Roman" w:eastAsia="Times New Roman" w:hAnsi="Times New Roman" w:cs="Times New Roman"/>
                <w:b w:val="0"/>
                <w:color w:val="000000"/>
              </w:rPr>
              <w:t>Virotech</w:t>
            </w:r>
            <w:proofErr w:type="spellEnd"/>
            <w:r w:rsidRPr="00686EBD">
              <w:rPr>
                <w:rFonts w:ascii="Times New Roman" w:eastAsia="Times New Roman" w:hAnsi="Times New Roman" w:cs="Times New Roman"/>
                <w:b w:val="0"/>
                <w:color w:val="000000"/>
              </w:rPr>
              <w:t xml:space="preserve"> +)</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Gl</w:t>
            </w:r>
            <w:r w:rsidR="00441986" w:rsidRPr="00686EBD">
              <w:rPr>
                <w:rFonts w:ascii="Times New Roman" w:eastAsia="Times New Roman" w:hAnsi="Times New Roman" w:cs="Times New Roman"/>
                <w:color w:val="000000"/>
              </w:rPr>
              <w:t>obal</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Very rare</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Very rare</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Exceptional profile, stable over time; reflects natural infections without subsequent vaccination.</w:t>
            </w:r>
          </w:p>
        </w:tc>
      </w:tr>
      <w:tr w:rsidR="00703F41" w:rsidRPr="00686EBD" w:rsidTr="00331308">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03F41" w:rsidRPr="00686EBD" w:rsidRDefault="00703F41" w:rsidP="00703F41">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Gbèkè</w:t>
            </w:r>
            <w:proofErr w:type="spellEnd"/>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7–8%</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2–3%</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Marked decrease over time and with vaccination; indicates transition to other profiles (hybrid or no traces). More frequent at T1 in this region than globally.</w:t>
            </w:r>
          </w:p>
        </w:tc>
      </w:tr>
      <w:tr w:rsidR="00703F41" w:rsidRPr="00686EBD" w:rsidTr="003313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03F41" w:rsidRPr="00686EBD" w:rsidRDefault="00703F41" w:rsidP="00703F41">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Hybrid immunity (</w:t>
            </w:r>
            <w:proofErr w:type="spellStart"/>
            <w:r w:rsidRPr="00686EBD">
              <w:rPr>
                <w:rFonts w:ascii="Times New Roman" w:eastAsia="Times New Roman" w:hAnsi="Times New Roman" w:cs="Times New Roman"/>
                <w:b w:val="0"/>
                <w:color w:val="000000"/>
              </w:rPr>
              <w:t>Wantai</w:t>
            </w:r>
            <w:proofErr w:type="spellEnd"/>
            <w:r w:rsidRPr="00686EBD">
              <w:rPr>
                <w:rFonts w:ascii="Times New Roman" w:eastAsia="Times New Roman" w:hAnsi="Times New Roman" w:cs="Times New Roman"/>
                <w:b w:val="0"/>
                <w:color w:val="000000"/>
              </w:rPr>
              <w:t xml:space="preserve"> + and </w:t>
            </w:r>
            <w:proofErr w:type="spellStart"/>
            <w:r w:rsidRPr="00686EBD">
              <w:rPr>
                <w:rFonts w:ascii="Times New Roman" w:eastAsia="Times New Roman" w:hAnsi="Times New Roman" w:cs="Times New Roman"/>
                <w:b w:val="0"/>
                <w:color w:val="000000"/>
              </w:rPr>
              <w:t>Virotech</w:t>
            </w:r>
            <w:proofErr w:type="spellEnd"/>
            <w:r w:rsidRPr="00686EBD">
              <w:rPr>
                <w:rFonts w:ascii="Times New Roman" w:eastAsia="Times New Roman" w:hAnsi="Times New Roman" w:cs="Times New Roman"/>
                <w:b w:val="0"/>
                <w:color w:val="000000"/>
              </w:rPr>
              <w:t xml:space="preserve"> +)</w:t>
            </w:r>
          </w:p>
        </w:tc>
        <w:tc>
          <w:tcPr>
            <w:tcW w:w="0" w:type="auto"/>
            <w:hideMark/>
          </w:tcPr>
          <w:p w:rsidR="00703F41" w:rsidRPr="00686EBD" w:rsidRDefault="00441986"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Global</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20–21%</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30–32%</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Dominant profile at T2; significant increase, reflecting post-vaccination infections or vaccination after infection.</w:t>
            </w:r>
          </w:p>
        </w:tc>
      </w:tr>
      <w:tr w:rsidR="00703F41" w:rsidRPr="00686EBD" w:rsidTr="00331308">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03F41" w:rsidRPr="00686EBD" w:rsidRDefault="00703F41" w:rsidP="00703F41">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Gbèkè</w:t>
            </w:r>
            <w:proofErr w:type="spellEnd"/>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56–57%</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58–59%</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Largely dominant from T1 and stable</w:t>
            </w:r>
            <w:proofErr w:type="gramStart"/>
            <w:r w:rsidRPr="00686EBD">
              <w:rPr>
                <w:rFonts w:ascii="Times New Roman" w:eastAsia="Times New Roman" w:hAnsi="Times New Roman" w:cs="Times New Roman"/>
                <w:color w:val="000000"/>
              </w:rPr>
              <w:t>;</w:t>
            </w:r>
            <w:proofErr w:type="gramEnd"/>
            <w:r w:rsidRPr="00686EBD">
              <w:rPr>
                <w:rFonts w:ascii="Times New Roman" w:eastAsia="Times New Roman" w:hAnsi="Times New Roman" w:cs="Times New Roman"/>
                <w:color w:val="000000"/>
              </w:rPr>
              <w:t xml:space="preserve"> much higher prevalence than globally, suggesting intense viral circulation before/after vaccination in this region.</w:t>
            </w:r>
          </w:p>
        </w:tc>
      </w:tr>
      <w:tr w:rsidR="00703F41" w:rsidRPr="00686EBD" w:rsidTr="003313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03F41" w:rsidRPr="00686EBD" w:rsidRDefault="00703F41" w:rsidP="00703F41">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No detectable antibodies</w:t>
            </w:r>
          </w:p>
        </w:tc>
        <w:tc>
          <w:tcPr>
            <w:tcW w:w="0" w:type="auto"/>
            <w:hideMark/>
          </w:tcPr>
          <w:p w:rsidR="00703F41" w:rsidRPr="00686EBD" w:rsidRDefault="00441986"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Global</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75%</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67%</w:t>
            </w:r>
          </w:p>
        </w:tc>
        <w:tc>
          <w:tcPr>
            <w:tcW w:w="0" w:type="auto"/>
            <w:hideMark/>
          </w:tcPr>
          <w:p w:rsidR="00703F41" w:rsidRPr="00686EBD" w:rsidRDefault="00703F41" w:rsidP="00703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Still predominant despite vaccination; moderate decrease, indicating partial population protection.</w:t>
            </w:r>
          </w:p>
        </w:tc>
      </w:tr>
      <w:tr w:rsidR="00703F41" w:rsidRPr="00686EBD" w:rsidTr="00331308">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703F41" w:rsidRPr="00686EBD" w:rsidRDefault="00703F41" w:rsidP="00703F41">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Gbèkè</w:t>
            </w:r>
            <w:proofErr w:type="spellEnd"/>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35–37%</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38–40%</w:t>
            </w:r>
          </w:p>
        </w:tc>
        <w:tc>
          <w:tcPr>
            <w:tcW w:w="0" w:type="auto"/>
            <w:hideMark/>
          </w:tcPr>
          <w:p w:rsidR="00703F41" w:rsidRPr="00686EBD" w:rsidRDefault="00703F41" w:rsidP="00703F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Minority but stable; much lower proportion than globally, reflecting higher exposure/infection in this region (fewer naïve individuals).</w:t>
            </w:r>
          </w:p>
        </w:tc>
      </w:tr>
    </w:tbl>
    <w:p w:rsidR="00BC1865" w:rsidRDefault="00F64C79" w:rsidP="00CF6C3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7</w:t>
      </w:r>
      <w:r w:rsidR="00BC1865" w:rsidRPr="00686EBD">
        <w:rPr>
          <w:rFonts w:ascii="Times New Roman" w:eastAsia="Times New Roman" w:hAnsi="Times New Roman" w:cs="Times New Roman"/>
          <w:sz w:val="24"/>
          <w:szCs w:val="24"/>
        </w:rPr>
        <w:t xml:space="preserve"> footnote: Immune profiles defined using </w:t>
      </w:r>
      <w:proofErr w:type="spellStart"/>
      <w:r w:rsidR="00BC1865" w:rsidRPr="00686EBD">
        <w:rPr>
          <w:rFonts w:ascii="Times New Roman" w:eastAsia="Times New Roman" w:hAnsi="Times New Roman" w:cs="Times New Roman"/>
          <w:sz w:val="24"/>
          <w:szCs w:val="24"/>
        </w:rPr>
        <w:t>Wantai</w:t>
      </w:r>
      <w:proofErr w:type="spellEnd"/>
      <w:r w:rsidR="00BC1865" w:rsidRPr="00686EBD">
        <w:rPr>
          <w:rFonts w:ascii="Times New Roman" w:eastAsia="Times New Roman" w:hAnsi="Times New Roman" w:cs="Times New Roman"/>
          <w:sz w:val="24"/>
          <w:szCs w:val="24"/>
        </w:rPr>
        <w:t xml:space="preserve"> total anti-SARS-CoV-2 assay (detects anti-Spike antibodies induced by infection and/or vaccination) and </w:t>
      </w:r>
      <w:proofErr w:type="spellStart"/>
      <w:r w:rsidR="00BC1865" w:rsidRPr="00686EBD">
        <w:rPr>
          <w:rFonts w:ascii="Times New Roman" w:eastAsia="Times New Roman" w:hAnsi="Times New Roman" w:cs="Times New Roman"/>
          <w:sz w:val="24"/>
          <w:szCs w:val="24"/>
        </w:rPr>
        <w:t>Virotech</w:t>
      </w:r>
      <w:proofErr w:type="spellEnd"/>
      <w:r w:rsidR="00BC1865" w:rsidRPr="00686EBD">
        <w:rPr>
          <w:rFonts w:ascii="Times New Roman" w:eastAsia="Times New Roman" w:hAnsi="Times New Roman" w:cs="Times New Roman"/>
          <w:sz w:val="24"/>
          <w:szCs w:val="24"/>
        </w:rPr>
        <w:t xml:space="preserve"> anti-</w:t>
      </w:r>
      <w:proofErr w:type="spellStart"/>
      <w:r w:rsidR="00BC1865" w:rsidRPr="00686EBD">
        <w:rPr>
          <w:rFonts w:ascii="Times New Roman" w:eastAsia="Times New Roman" w:hAnsi="Times New Roman" w:cs="Times New Roman"/>
          <w:sz w:val="24"/>
          <w:szCs w:val="24"/>
        </w:rPr>
        <w:t>nucleocapsid</w:t>
      </w:r>
      <w:proofErr w:type="spellEnd"/>
      <w:r w:rsidR="00BC1865" w:rsidRPr="00686EBD">
        <w:rPr>
          <w:rFonts w:ascii="Times New Roman" w:eastAsia="Times New Roman" w:hAnsi="Times New Roman" w:cs="Times New Roman"/>
          <w:sz w:val="24"/>
          <w:szCs w:val="24"/>
        </w:rPr>
        <w:t xml:space="preserve"> (anti-N) assay (specific marker of natural infection; not induced by vaccines used in this study). Percentages are approximate estimates derived from serological survey data. “Global” refers to weighted averages across the three regions combined (proportions aggregated using standard survey sampling methods); </w:t>
      </w:r>
      <w:proofErr w:type="spellStart"/>
      <w:r w:rsidR="00BC1865" w:rsidRPr="00686EBD">
        <w:rPr>
          <w:rFonts w:ascii="Times New Roman" w:eastAsia="Times New Roman" w:hAnsi="Times New Roman" w:cs="Times New Roman"/>
          <w:sz w:val="24"/>
          <w:szCs w:val="24"/>
        </w:rPr>
        <w:t>Gbèkè</w:t>
      </w:r>
      <w:proofErr w:type="spellEnd"/>
      <w:r w:rsidR="00BC1865" w:rsidRPr="00686EBD">
        <w:rPr>
          <w:rFonts w:ascii="Times New Roman" w:eastAsia="Times New Roman" w:hAnsi="Times New Roman" w:cs="Times New Roman"/>
          <w:sz w:val="24"/>
          <w:szCs w:val="24"/>
        </w:rPr>
        <w:t xml:space="preserve"> values are region-specific. Full details on serological assays, profile classification, and weighting are provided in the Methods section.</w:t>
      </w:r>
    </w:p>
    <w:p w:rsidR="009732E1" w:rsidRDefault="009732E1" w:rsidP="008E6BDD">
      <w:pPr>
        <w:spacing w:before="100" w:beforeAutospacing="1" w:after="100" w:afterAutospacing="1" w:line="240" w:lineRule="auto"/>
        <w:rPr>
          <w:rFonts w:ascii="Times New Roman" w:eastAsia="Times New Roman" w:hAnsi="Times New Roman" w:cs="Times New Roman"/>
          <w:sz w:val="24"/>
          <w:szCs w:val="24"/>
        </w:rPr>
      </w:pPr>
    </w:p>
    <w:p w:rsidR="009732E1" w:rsidRDefault="009732E1" w:rsidP="008E6BDD">
      <w:pPr>
        <w:spacing w:before="100" w:beforeAutospacing="1" w:after="100" w:afterAutospacing="1" w:line="240" w:lineRule="auto"/>
        <w:rPr>
          <w:rFonts w:ascii="Times New Roman" w:eastAsia="Times New Roman" w:hAnsi="Times New Roman" w:cs="Times New Roman"/>
          <w:sz w:val="24"/>
          <w:szCs w:val="24"/>
        </w:rPr>
      </w:pPr>
    </w:p>
    <w:p w:rsidR="009732E1" w:rsidRDefault="009732E1" w:rsidP="008E6BDD">
      <w:pPr>
        <w:spacing w:before="100" w:beforeAutospacing="1" w:after="100" w:afterAutospacing="1" w:line="240" w:lineRule="auto"/>
        <w:rPr>
          <w:rFonts w:ascii="Times New Roman" w:eastAsia="Times New Roman" w:hAnsi="Times New Roman" w:cs="Times New Roman"/>
          <w:sz w:val="24"/>
          <w:szCs w:val="24"/>
        </w:rPr>
      </w:pPr>
    </w:p>
    <w:p w:rsidR="009732E1" w:rsidRPr="00686EBD" w:rsidRDefault="009732E1" w:rsidP="008E6BDD">
      <w:pPr>
        <w:spacing w:before="100" w:beforeAutospacing="1" w:after="100" w:afterAutospacing="1" w:line="240" w:lineRule="auto"/>
        <w:rPr>
          <w:rFonts w:ascii="Times New Roman" w:eastAsia="Times New Roman" w:hAnsi="Times New Roman" w:cs="Times New Roman"/>
          <w:sz w:val="24"/>
          <w:szCs w:val="24"/>
        </w:rPr>
      </w:pPr>
    </w:p>
    <w:p w:rsidR="008E6BDD" w:rsidRPr="00686EBD" w:rsidRDefault="00F64C79" w:rsidP="008E6BD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8</w:t>
      </w:r>
      <w:r w:rsidR="00186B88" w:rsidRPr="00686EBD">
        <w:rPr>
          <w:rFonts w:ascii="Times New Roman" w:eastAsia="Times New Roman" w:hAnsi="Times New Roman" w:cs="Times New Roman"/>
          <w:sz w:val="24"/>
          <w:szCs w:val="24"/>
        </w:rPr>
        <w:t xml:space="preserve">: </w:t>
      </w:r>
      <w:r w:rsidR="008E6BDD" w:rsidRPr="00686EBD">
        <w:rPr>
          <w:rFonts w:ascii="Times New Roman" w:eastAsia="Times New Roman" w:hAnsi="Times New Roman" w:cs="Times New Roman"/>
          <w:sz w:val="24"/>
          <w:szCs w:val="24"/>
        </w:rPr>
        <w:t>Serological results, vaccination coverage, and trends by sex</w:t>
      </w:r>
    </w:p>
    <w:tbl>
      <w:tblPr>
        <w:tblStyle w:val="Tableausimple2"/>
        <w:tblW w:w="0" w:type="auto"/>
        <w:tblLook w:val="04A0" w:firstRow="1" w:lastRow="0" w:firstColumn="1" w:lastColumn="0" w:noHBand="0" w:noVBand="1"/>
      </w:tblPr>
      <w:tblGrid>
        <w:gridCol w:w="3475"/>
        <w:gridCol w:w="1754"/>
        <w:gridCol w:w="1755"/>
        <w:gridCol w:w="1538"/>
        <w:gridCol w:w="1559"/>
        <w:gridCol w:w="1559"/>
        <w:gridCol w:w="1366"/>
      </w:tblGrid>
      <w:tr w:rsidR="008E6BDD" w:rsidRPr="00686EBD" w:rsidTr="003B53B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8E6BDD" w:rsidRPr="00686EBD" w:rsidRDefault="008E6BDD" w:rsidP="008E6BDD">
            <w:pPr>
              <w:jc w:val="cente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Indicator</w:t>
            </w:r>
          </w:p>
        </w:tc>
        <w:tc>
          <w:tcPr>
            <w:tcW w:w="0" w:type="auto"/>
            <w:hideMark/>
          </w:tcPr>
          <w:p w:rsidR="008E6BDD" w:rsidRPr="00686EBD" w:rsidRDefault="008E6BDD" w:rsidP="008E6B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Women T1 (n/N ≈ %)</w:t>
            </w:r>
          </w:p>
        </w:tc>
        <w:tc>
          <w:tcPr>
            <w:tcW w:w="0" w:type="auto"/>
            <w:hideMark/>
          </w:tcPr>
          <w:p w:rsidR="008E6BDD" w:rsidRPr="00686EBD" w:rsidRDefault="008E6BDD" w:rsidP="008E6B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Women T2 (n/N ≈ %)</w:t>
            </w:r>
          </w:p>
        </w:tc>
        <w:tc>
          <w:tcPr>
            <w:tcW w:w="0" w:type="auto"/>
            <w:hideMark/>
          </w:tcPr>
          <w:p w:rsidR="008E6BDD" w:rsidRPr="00686EBD" w:rsidRDefault="008E6BDD" w:rsidP="008E6B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Women variation</w:t>
            </w:r>
          </w:p>
        </w:tc>
        <w:tc>
          <w:tcPr>
            <w:tcW w:w="0" w:type="auto"/>
            <w:hideMark/>
          </w:tcPr>
          <w:p w:rsidR="008E6BDD" w:rsidRPr="00686EBD" w:rsidRDefault="008E6BDD" w:rsidP="008E6B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Men T1 (n/N ≈ %)</w:t>
            </w:r>
          </w:p>
        </w:tc>
        <w:tc>
          <w:tcPr>
            <w:tcW w:w="0" w:type="auto"/>
            <w:hideMark/>
          </w:tcPr>
          <w:p w:rsidR="008E6BDD" w:rsidRPr="00686EBD" w:rsidRDefault="008E6BDD" w:rsidP="008E6B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Men T2 (n/N ≈ %)</w:t>
            </w:r>
          </w:p>
        </w:tc>
        <w:tc>
          <w:tcPr>
            <w:tcW w:w="0" w:type="auto"/>
            <w:hideMark/>
          </w:tcPr>
          <w:p w:rsidR="008E6BDD" w:rsidRPr="00686EBD" w:rsidRDefault="008E6BDD" w:rsidP="008E6B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Men variation</w:t>
            </w:r>
          </w:p>
        </w:tc>
      </w:tr>
      <w:tr w:rsidR="008E6BDD" w:rsidRPr="00686EBD" w:rsidTr="003B53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8E6BDD" w:rsidRPr="00686EBD" w:rsidRDefault="008E6BDD" w:rsidP="008E6BDD">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Wantai</w:t>
            </w:r>
            <w:proofErr w:type="spellEnd"/>
            <w:r w:rsidRPr="00686EBD">
              <w:rPr>
                <w:rFonts w:ascii="Times New Roman" w:eastAsia="Times New Roman" w:hAnsi="Times New Roman" w:cs="Times New Roman"/>
                <w:b w:val="0"/>
                <w:color w:val="000000"/>
              </w:rPr>
              <w:t xml:space="preserve"> Total Ab anti-RBD (vaccine + infection)</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272/461 ≈ 59.00%</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223/345 ≈ 64.64%</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+5.64 ↑</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189/461 ≈ 41.00%</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122/345 ≈ 35.40%</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-5.60 ↓</w:t>
            </w:r>
          </w:p>
        </w:tc>
      </w:tr>
      <w:tr w:rsidR="008E6BDD" w:rsidRPr="00686EBD" w:rsidTr="003B53B3">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8E6BDD" w:rsidRPr="00686EBD" w:rsidRDefault="008E6BDD" w:rsidP="008E6BDD">
            <w:pPr>
              <w:rPr>
                <w:rFonts w:ascii="Times New Roman" w:eastAsia="Times New Roman" w:hAnsi="Times New Roman" w:cs="Times New Roman"/>
                <w:b w:val="0"/>
                <w:color w:val="000000"/>
              </w:rPr>
            </w:pPr>
            <w:proofErr w:type="spellStart"/>
            <w:r w:rsidRPr="00686EBD">
              <w:rPr>
                <w:rFonts w:ascii="Times New Roman" w:eastAsia="Times New Roman" w:hAnsi="Times New Roman" w:cs="Times New Roman"/>
                <w:b w:val="0"/>
                <w:color w:val="000000"/>
              </w:rPr>
              <w:t>Virotech</w:t>
            </w:r>
            <w:proofErr w:type="spellEnd"/>
            <w:r w:rsidRPr="00686EBD">
              <w:rPr>
                <w:rFonts w:ascii="Times New Roman" w:eastAsia="Times New Roman" w:hAnsi="Times New Roman" w:cs="Times New Roman"/>
                <w:b w:val="0"/>
                <w:color w:val="000000"/>
              </w:rPr>
              <w:t xml:space="preserve"> IgG anti-</w:t>
            </w:r>
            <w:proofErr w:type="spellStart"/>
            <w:r w:rsidRPr="00686EBD">
              <w:rPr>
                <w:rFonts w:ascii="Times New Roman" w:eastAsia="Times New Roman" w:hAnsi="Times New Roman" w:cs="Times New Roman"/>
                <w:b w:val="0"/>
                <w:color w:val="000000"/>
              </w:rPr>
              <w:t>Nucleocapsid</w:t>
            </w:r>
            <w:proofErr w:type="spellEnd"/>
            <w:r w:rsidRPr="00686EBD">
              <w:rPr>
                <w:rFonts w:ascii="Times New Roman" w:eastAsia="Times New Roman" w:hAnsi="Times New Roman" w:cs="Times New Roman"/>
                <w:b w:val="0"/>
                <w:color w:val="000000"/>
              </w:rPr>
              <w:t xml:space="preserve"> (infection)</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220/361 ≈ 60.94%</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181/287 ≈ 63.06%</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+2.12 ↑</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141/361 ≈ 39.10%</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106/287 ≈ 36.90%</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-2.20 ↓</w:t>
            </w:r>
          </w:p>
        </w:tc>
      </w:tr>
      <w:tr w:rsidR="008E6BDD" w:rsidRPr="00686EBD" w:rsidTr="003B53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8E6BDD" w:rsidRPr="00686EBD" w:rsidRDefault="008E6BDD" w:rsidP="008E6BDD">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Vaccination coverage ≥1 dose</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194/348 ≈ 55.75%</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173/287 ≈ 60.28%</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+4.53 ↑</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154/348 ≈ 44.30%</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114/287 ≈ 39.80%</w:t>
            </w:r>
          </w:p>
        </w:tc>
        <w:tc>
          <w:tcPr>
            <w:tcW w:w="0" w:type="auto"/>
            <w:hideMark/>
          </w:tcPr>
          <w:p w:rsidR="008E6BDD" w:rsidRPr="00686EBD" w:rsidRDefault="008E6BDD" w:rsidP="008E6B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-4.50 ↓ *</w:t>
            </w:r>
          </w:p>
        </w:tc>
      </w:tr>
      <w:tr w:rsidR="008E6BDD" w:rsidRPr="00686EBD" w:rsidTr="003B53B3">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8E6BDD" w:rsidRPr="00686EBD" w:rsidRDefault="008E6BDD" w:rsidP="008E6BDD">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Vaccination coverage 2 doses</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117/219 ≈ 53.42%</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115/205 ≈ 56.10%</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Not calculated</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102/219 ≈ 46.60%</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90/205 ≈ 43.90%</w:t>
            </w:r>
          </w:p>
        </w:tc>
        <w:tc>
          <w:tcPr>
            <w:tcW w:w="0" w:type="auto"/>
            <w:hideMark/>
          </w:tcPr>
          <w:p w:rsidR="008E6BDD" w:rsidRPr="00686EBD" w:rsidRDefault="008E6BDD" w:rsidP="008E6B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Not calculated</w:t>
            </w:r>
          </w:p>
        </w:tc>
      </w:tr>
    </w:tbl>
    <w:p w:rsidR="00EF55E3" w:rsidRPr="00686EBD" w:rsidRDefault="00EF55E3" w:rsidP="005364BB">
      <w:pPr>
        <w:spacing w:before="100" w:beforeAutospacing="1" w:after="100" w:afterAutospacing="1" w:line="240" w:lineRule="auto"/>
        <w:jc w:val="both"/>
        <w:rPr>
          <w:rFonts w:ascii="Times New Roman" w:eastAsia="Times New Roman" w:hAnsi="Times New Roman" w:cs="Times New Roman"/>
          <w:sz w:val="24"/>
          <w:szCs w:val="24"/>
        </w:rPr>
      </w:pPr>
      <w:r w:rsidRPr="00686EBD">
        <w:rPr>
          <w:rFonts w:ascii="Times New Roman" w:eastAsia="Times New Roman" w:hAnsi="Times New Roman" w:cs="Times New Roman"/>
          <w:sz w:val="24"/>
          <w:szCs w:val="24"/>
        </w:rPr>
        <w:t xml:space="preserve">Legend: T1 and T2 refer to the two time points of the study. Serological results are based on </w:t>
      </w:r>
      <w:proofErr w:type="spellStart"/>
      <w:r w:rsidRPr="00686EBD">
        <w:rPr>
          <w:rFonts w:ascii="Times New Roman" w:eastAsia="Times New Roman" w:hAnsi="Times New Roman" w:cs="Times New Roman"/>
          <w:sz w:val="24"/>
          <w:szCs w:val="24"/>
        </w:rPr>
        <w:t>Wantai</w:t>
      </w:r>
      <w:proofErr w:type="spellEnd"/>
      <w:r w:rsidRPr="00686EBD">
        <w:rPr>
          <w:rFonts w:ascii="Times New Roman" w:eastAsia="Times New Roman" w:hAnsi="Times New Roman" w:cs="Times New Roman"/>
          <w:sz w:val="24"/>
          <w:szCs w:val="24"/>
        </w:rPr>
        <w:t xml:space="preserve"> assay (total anti-RBD antibodies, detecting vaccine-induced or infection-induced immunity) and </w:t>
      </w:r>
      <w:proofErr w:type="spellStart"/>
      <w:r w:rsidRPr="00686EBD">
        <w:rPr>
          <w:rFonts w:ascii="Times New Roman" w:eastAsia="Times New Roman" w:hAnsi="Times New Roman" w:cs="Times New Roman"/>
          <w:sz w:val="24"/>
          <w:szCs w:val="24"/>
        </w:rPr>
        <w:t>Virotech</w:t>
      </w:r>
      <w:proofErr w:type="spellEnd"/>
      <w:r w:rsidRPr="00686EBD">
        <w:rPr>
          <w:rFonts w:ascii="Times New Roman" w:eastAsia="Times New Roman" w:hAnsi="Times New Roman" w:cs="Times New Roman"/>
          <w:sz w:val="24"/>
          <w:szCs w:val="24"/>
        </w:rPr>
        <w:t xml:space="preserve"> assay (IgG anti-</w:t>
      </w:r>
      <w:proofErr w:type="spellStart"/>
      <w:r w:rsidRPr="00686EBD">
        <w:rPr>
          <w:rFonts w:ascii="Times New Roman" w:eastAsia="Times New Roman" w:hAnsi="Times New Roman" w:cs="Times New Roman"/>
          <w:sz w:val="24"/>
          <w:szCs w:val="24"/>
        </w:rPr>
        <w:t>nucleocapsid</w:t>
      </w:r>
      <w:proofErr w:type="spellEnd"/>
      <w:r w:rsidRPr="00686EBD">
        <w:rPr>
          <w:rFonts w:ascii="Times New Roman" w:eastAsia="Times New Roman" w:hAnsi="Times New Roman" w:cs="Times New Roman"/>
          <w:sz w:val="24"/>
          <w:szCs w:val="24"/>
        </w:rPr>
        <w:t xml:space="preserve">, primarily detecting infection). Vaccination coverage is self-reported. Variations </w:t>
      </w:r>
      <w:bookmarkStart w:id="0" w:name="_GoBack"/>
      <w:bookmarkEnd w:id="0"/>
      <w:r w:rsidRPr="00686EBD">
        <w:rPr>
          <w:rFonts w:ascii="Times New Roman" w:eastAsia="Times New Roman" w:hAnsi="Times New Roman" w:cs="Times New Roman"/>
          <w:sz w:val="24"/>
          <w:szCs w:val="24"/>
        </w:rPr>
        <w:t>are in percentage points between T1 and T2; ↑ indicates an increase, ↓ a decrease. * Note: The decrease in coverage among men may be due to panel effect or differences in reporting. Data from a serological and vaccination survey; denominators represent the total tested or surveyed for each indicator.</w:t>
      </w:r>
    </w:p>
    <w:p w:rsidR="004269B3" w:rsidRDefault="004269B3" w:rsidP="0076084C">
      <w:pPr>
        <w:spacing w:before="100" w:beforeAutospacing="1" w:after="100" w:afterAutospacing="1" w:line="240" w:lineRule="auto"/>
        <w:rPr>
          <w:rFonts w:ascii="Times New Roman" w:eastAsia="Times New Roman" w:hAnsi="Times New Roman" w:cs="Times New Roman"/>
          <w:sz w:val="24"/>
          <w:szCs w:val="24"/>
        </w:rPr>
      </w:pPr>
    </w:p>
    <w:p w:rsidR="004269B3" w:rsidRDefault="004269B3" w:rsidP="0076084C">
      <w:pPr>
        <w:spacing w:before="100" w:beforeAutospacing="1" w:after="100" w:afterAutospacing="1" w:line="240" w:lineRule="auto"/>
        <w:rPr>
          <w:rFonts w:ascii="Times New Roman" w:eastAsia="Times New Roman" w:hAnsi="Times New Roman" w:cs="Times New Roman"/>
          <w:sz w:val="24"/>
          <w:szCs w:val="24"/>
        </w:rPr>
      </w:pPr>
    </w:p>
    <w:p w:rsidR="004269B3" w:rsidRDefault="004269B3" w:rsidP="0076084C">
      <w:pPr>
        <w:spacing w:before="100" w:beforeAutospacing="1" w:after="100" w:afterAutospacing="1" w:line="240" w:lineRule="auto"/>
        <w:rPr>
          <w:rFonts w:ascii="Times New Roman" w:eastAsia="Times New Roman" w:hAnsi="Times New Roman" w:cs="Times New Roman"/>
          <w:sz w:val="24"/>
          <w:szCs w:val="24"/>
        </w:rPr>
      </w:pPr>
    </w:p>
    <w:p w:rsidR="004269B3" w:rsidRDefault="004269B3" w:rsidP="0076084C">
      <w:pPr>
        <w:spacing w:before="100" w:beforeAutospacing="1" w:after="100" w:afterAutospacing="1" w:line="240" w:lineRule="auto"/>
        <w:rPr>
          <w:rFonts w:ascii="Times New Roman" w:eastAsia="Times New Roman" w:hAnsi="Times New Roman" w:cs="Times New Roman"/>
          <w:sz w:val="24"/>
          <w:szCs w:val="24"/>
        </w:rPr>
      </w:pPr>
    </w:p>
    <w:p w:rsidR="004269B3" w:rsidRDefault="004269B3" w:rsidP="0076084C">
      <w:pPr>
        <w:spacing w:before="100" w:beforeAutospacing="1" w:after="100" w:afterAutospacing="1" w:line="240" w:lineRule="auto"/>
        <w:rPr>
          <w:rFonts w:ascii="Times New Roman" w:eastAsia="Times New Roman" w:hAnsi="Times New Roman" w:cs="Times New Roman"/>
          <w:sz w:val="24"/>
          <w:szCs w:val="24"/>
        </w:rPr>
      </w:pPr>
    </w:p>
    <w:p w:rsidR="004269B3" w:rsidRDefault="004269B3" w:rsidP="0076084C">
      <w:pPr>
        <w:spacing w:before="100" w:beforeAutospacing="1" w:after="100" w:afterAutospacing="1" w:line="240" w:lineRule="auto"/>
        <w:rPr>
          <w:rFonts w:ascii="Times New Roman" w:eastAsia="Times New Roman" w:hAnsi="Times New Roman" w:cs="Times New Roman"/>
          <w:sz w:val="24"/>
          <w:szCs w:val="24"/>
        </w:rPr>
      </w:pPr>
    </w:p>
    <w:p w:rsidR="004269B3" w:rsidRDefault="004269B3" w:rsidP="0076084C">
      <w:pPr>
        <w:spacing w:before="100" w:beforeAutospacing="1" w:after="100" w:afterAutospacing="1" w:line="240" w:lineRule="auto"/>
        <w:rPr>
          <w:rFonts w:ascii="Times New Roman" w:eastAsia="Times New Roman" w:hAnsi="Times New Roman" w:cs="Times New Roman"/>
          <w:sz w:val="24"/>
          <w:szCs w:val="24"/>
        </w:rPr>
      </w:pPr>
    </w:p>
    <w:p w:rsidR="0076084C" w:rsidRPr="00686EBD" w:rsidRDefault="0076084C" w:rsidP="0076084C">
      <w:pPr>
        <w:spacing w:before="100" w:beforeAutospacing="1" w:after="100" w:afterAutospacing="1" w:line="240" w:lineRule="auto"/>
        <w:rPr>
          <w:rFonts w:ascii="Times New Roman" w:eastAsia="Times New Roman" w:hAnsi="Times New Roman" w:cs="Times New Roman"/>
          <w:sz w:val="24"/>
          <w:szCs w:val="24"/>
        </w:rPr>
      </w:pPr>
      <w:r w:rsidRPr="00686EBD">
        <w:rPr>
          <w:rFonts w:ascii="Times New Roman" w:eastAsia="Times New Roman" w:hAnsi="Times New Roman" w:cs="Times New Roman"/>
          <w:sz w:val="24"/>
          <w:szCs w:val="24"/>
        </w:rPr>
        <w:lastRenderedPageBreak/>
        <w:t>Table</w:t>
      </w:r>
      <w:r w:rsidR="00F64C79">
        <w:rPr>
          <w:rFonts w:ascii="Times New Roman" w:eastAsia="Times New Roman" w:hAnsi="Times New Roman" w:cs="Times New Roman"/>
          <w:sz w:val="24"/>
          <w:szCs w:val="24"/>
        </w:rPr>
        <w:t xml:space="preserve"> 9</w:t>
      </w:r>
      <w:r w:rsidRPr="00686EBD">
        <w:rPr>
          <w:rFonts w:ascii="Times New Roman" w:eastAsia="Times New Roman" w:hAnsi="Times New Roman" w:cs="Times New Roman"/>
          <w:sz w:val="24"/>
          <w:szCs w:val="24"/>
        </w:rPr>
        <w:t>: Immune Profiles in Women, Direct Sex Comparisons, Adjusted Odds Ratios, and Relative Variations for Anti-SARS-CoV-2 Antibodies (</w:t>
      </w:r>
      <w:proofErr w:type="spellStart"/>
      <w:r w:rsidRPr="00686EBD">
        <w:rPr>
          <w:rFonts w:ascii="Times New Roman" w:eastAsia="Times New Roman" w:hAnsi="Times New Roman" w:cs="Times New Roman"/>
          <w:sz w:val="24"/>
          <w:szCs w:val="24"/>
        </w:rPr>
        <w:t>Wantai</w:t>
      </w:r>
      <w:proofErr w:type="spellEnd"/>
      <w:r w:rsidRPr="00686EBD">
        <w:rPr>
          <w:rFonts w:ascii="Times New Roman" w:eastAsia="Times New Roman" w:hAnsi="Times New Roman" w:cs="Times New Roman"/>
          <w:sz w:val="24"/>
          <w:szCs w:val="24"/>
        </w:rPr>
        <w:t xml:space="preserve"> and </w:t>
      </w:r>
      <w:proofErr w:type="spellStart"/>
      <w:r w:rsidRPr="00686EBD">
        <w:rPr>
          <w:rFonts w:ascii="Times New Roman" w:eastAsia="Times New Roman" w:hAnsi="Times New Roman" w:cs="Times New Roman"/>
          <w:sz w:val="24"/>
          <w:szCs w:val="24"/>
        </w:rPr>
        <w:t>Virotech</w:t>
      </w:r>
      <w:proofErr w:type="spellEnd"/>
      <w:r w:rsidRPr="00686EBD">
        <w:rPr>
          <w:rFonts w:ascii="Times New Roman" w:eastAsia="Times New Roman" w:hAnsi="Times New Roman" w:cs="Times New Roman"/>
          <w:sz w:val="24"/>
          <w:szCs w:val="24"/>
        </w:rPr>
        <w:t xml:space="preserve"> Assays) at T1 and T2</w:t>
      </w:r>
    </w:p>
    <w:tbl>
      <w:tblPr>
        <w:tblStyle w:val="Tableausimple2"/>
        <w:tblW w:w="0" w:type="auto"/>
        <w:tblLook w:val="04A0" w:firstRow="1" w:lastRow="0" w:firstColumn="1" w:lastColumn="0" w:noHBand="0" w:noVBand="1"/>
      </w:tblPr>
      <w:tblGrid>
        <w:gridCol w:w="2337"/>
        <w:gridCol w:w="2332"/>
        <w:gridCol w:w="1228"/>
        <w:gridCol w:w="1194"/>
        <w:gridCol w:w="1667"/>
        <w:gridCol w:w="4248"/>
      </w:tblGrid>
      <w:tr w:rsidR="00E71E6C" w:rsidRPr="00686EBD" w:rsidTr="00263BF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E71E6C" w:rsidRPr="00686EBD" w:rsidRDefault="00E71E6C" w:rsidP="00E71E6C">
            <w:pPr>
              <w:jc w:val="cente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Section</w:t>
            </w:r>
          </w:p>
        </w:tc>
        <w:tc>
          <w:tcPr>
            <w:tcW w:w="0" w:type="auto"/>
            <w:hideMark/>
          </w:tcPr>
          <w:p w:rsidR="00E71E6C" w:rsidRPr="00686EBD" w:rsidRDefault="00E71E6C" w:rsidP="00E71E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Metric/Stratum</w:t>
            </w:r>
          </w:p>
        </w:tc>
        <w:tc>
          <w:tcPr>
            <w:tcW w:w="0" w:type="auto"/>
            <w:hideMark/>
          </w:tcPr>
          <w:p w:rsidR="00E71E6C" w:rsidRPr="00686EBD" w:rsidRDefault="00E71E6C" w:rsidP="00E71E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T1 Value</w:t>
            </w:r>
          </w:p>
        </w:tc>
        <w:tc>
          <w:tcPr>
            <w:tcW w:w="0" w:type="auto"/>
            <w:hideMark/>
          </w:tcPr>
          <w:p w:rsidR="00E71E6C" w:rsidRPr="00686EBD" w:rsidRDefault="00E71E6C" w:rsidP="00E71E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T2 Value</w:t>
            </w:r>
          </w:p>
        </w:tc>
        <w:tc>
          <w:tcPr>
            <w:tcW w:w="0" w:type="auto"/>
            <w:hideMark/>
          </w:tcPr>
          <w:p w:rsidR="00E71E6C" w:rsidRPr="00686EBD" w:rsidRDefault="00E71E6C" w:rsidP="00E71E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W/M Difference or Variation</w:t>
            </w:r>
          </w:p>
        </w:tc>
        <w:tc>
          <w:tcPr>
            <w:tcW w:w="0" w:type="auto"/>
            <w:hideMark/>
          </w:tcPr>
          <w:p w:rsidR="00E71E6C" w:rsidRPr="00686EBD" w:rsidRDefault="00E71E6C" w:rsidP="00E71E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Notes/Interpretation</w:t>
            </w:r>
          </w:p>
        </w:tc>
      </w:tr>
      <w:tr w:rsidR="003F1B1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3F1B1E" w:rsidRPr="00686EBD" w:rsidRDefault="003F1B1E" w:rsidP="00E71E6C">
            <w:pP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Immune Profiles in Women (Percentages)</w:t>
            </w:r>
          </w:p>
          <w:p w:rsidR="003F1B1E" w:rsidRPr="00686EBD" w:rsidRDefault="003F1B1E" w:rsidP="00E71E6C">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p w:rsidR="003F1B1E" w:rsidRPr="00686EBD" w:rsidRDefault="003F1B1E" w:rsidP="00E71E6C">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p w:rsidR="003F1B1E" w:rsidRPr="00686EBD" w:rsidRDefault="003F1B1E" w:rsidP="00E71E6C">
            <w:pP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Hybrid Immunity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xml:space="preserve">+ and </w:t>
            </w: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≈57–58%</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≈62–63%</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Combines vaccination and infection evidence.</w:t>
            </w:r>
          </w:p>
        </w:tc>
      </w:tr>
      <w:tr w:rsidR="003F1B1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3F1B1E" w:rsidRPr="00686EBD" w:rsidRDefault="003F1B1E" w:rsidP="00E71E6C">
            <w:pPr>
              <w:rPr>
                <w:rFonts w:ascii="Times New Roman" w:eastAsia="Times New Roman" w:hAnsi="Times New Roman" w:cs="Times New Roman"/>
                <w:b w:val="0"/>
                <w:color w:val="000000"/>
              </w:rPr>
            </w:pP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Vaccinated Only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xml:space="preserve">+ / </w:t>
            </w: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≈2–3%</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≈2–3%</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Pure vaccination without prior infection.</w:t>
            </w:r>
          </w:p>
        </w:tc>
      </w:tr>
      <w:tr w:rsidR="003F1B1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3F1B1E" w:rsidRPr="00686EBD" w:rsidRDefault="003F1B1E" w:rsidP="00E71E6C">
            <w:pPr>
              <w:rPr>
                <w:rFonts w:ascii="Times New Roman" w:eastAsia="Times New Roman" w:hAnsi="Times New Roman" w:cs="Times New Roman"/>
                <w:b w:val="0"/>
                <w:color w:val="000000"/>
              </w:rPr>
            </w:pP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Infected Only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xml:space="preserve">– / </w:t>
            </w: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≈4–5%</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≈1–2%</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Natural infection without vaccination.</w:t>
            </w:r>
          </w:p>
        </w:tc>
      </w:tr>
      <w:tr w:rsidR="003F1B1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3F1B1E" w:rsidRPr="00686EBD" w:rsidRDefault="003F1B1E" w:rsidP="00E71E6C">
            <w:pPr>
              <w:rPr>
                <w:rFonts w:ascii="Times New Roman" w:eastAsia="Times New Roman" w:hAnsi="Times New Roman" w:cs="Times New Roman"/>
                <w:b w:val="0"/>
                <w:color w:val="000000"/>
              </w:rPr>
            </w:pP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No Antibodies Detectable</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≈37–38%</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≈34–35%</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Seronegative individuals.</w:t>
            </w:r>
          </w:p>
        </w:tc>
      </w:tr>
      <w:tr w:rsidR="003F1B1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3F1B1E" w:rsidRPr="00686EBD" w:rsidRDefault="003F1B1E" w:rsidP="00E71E6C">
            <w:pP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Direct Sex Comparisons (Percentages Positive)</w:t>
            </w:r>
          </w:p>
          <w:p w:rsidR="003F1B1E" w:rsidRPr="00686EBD" w:rsidRDefault="003F1B1E" w:rsidP="00E71E6C">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p w:rsidR="003F1B1E" w:rsidRPr="00686EBD" w:rsidRDefault="003F1B1E" w:rsidP="00E71E6C">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p w:rsidR="003F1B1E" w:rsidRPr="00686EBD" w:rsidRDefault="003F1B1E" w:rsidP="00E71E6C">
            <w:pP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Women – </w:t>
            </w:r>
            <w:proofErr w:type="spellStart"/>
            <w:r w:rsidRPr="00686EBD">
              <w:rPr>
                <w:rFonts w:ascii="Times New Roman" w:eastAsia="Times New Roman" w:hAnsi="Times New Roman" w:cs="Times New Roman"/>
                <w:color w:val="000000"/>
              </w:rPr>
              <w:t>Wantai</w:t>
            </w:r>
            <w:proofErr w:type="spellEnd"/>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59.00%</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64.60%</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T1: +18 pts; T2: +29.3 pts</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Sharp rise in women (↑↑).</w:t>
            </w:r>
          </w:p>
        </w:tc>
      </w:tr>
      <w:tr w:rsidR="003F1B1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3F1B1E" w:rsidRPr="00686EBD" w:rsidRDefault="003F1B1E" w:rsidP="00E71E6C">
            <w:pPr>
              <w:rPr>
                <w:rFonts w:ascii="Times New Roman" w:eastAsia="Times New Roman" w:hAnsi="Times New Roman" w:cs="Times New Roman"/>
                <w:b w:val="0"/>
                <w:color w:val="000000"/>
              </w:rPr>
            </w:pP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Women – </w:t>
            </w:r>
            <w:proofErr w:type="spellStart"/>
            <w:r w:rsidRPr="00686EBD">
              <w:rPr>
                <w:rFonts w:ascii="Times New Roman" w:eastAsia="Times New Roman" w:hAnsi="Times New Roman" w:cs="Times New Roman"/>
                <w:color w:val="000000"/>
              </w:rPr>
              <w:t>Virotech</w:t>
            </w:r>
            <w:proofErr w:type="spellEnd"/>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60.90%</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63.10%</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T1: +21.8 pts; T2: +26.2 pts</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Indicates higher exposure/infection in women.</w:t>
            </w:r>
          </w:p>
        </w:tc>
      </w:tr>
      <w:tr w:rsidR="003F1B1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3F1B1E" w:rsidRPr="00686EBD" w:rsidRDefault="003F1B1E" w:rsidP="00E71E6C">
            <w:pPr>
              <w:rPr>
                <w:rFonts w:ascii="Times New Roman" w:eastAsia="Times New Roman" w:hAnsi="Times New Roman" w:cs="Times New Roman"/>
                <w:b w:val="0"/>
                <w:color w:val="000000"/>
              </w:rPr>
            </w:pP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Men – </w:t>
            </w:r>
            <w:proofErr w:type="spellStart"/>
            <w:r w:rsidRPr="00686EBD">
              <w:rPr>
                <w:rFonts w:ascii="Times New Roman" w:eastAsia="Times New Roman" w:hAnsi="Times New Roman" w:cs="Times New Roman"/>
                <w:color w:val="000000"/>
              </w:rPr>
              <w:t>Wantai</w:t>
            </w:r>
            <w:proofErr w:type="spellEnd"/>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41.00%</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35.40%</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Overall: ↓↓ sharp decline</w:t>
            </w:r>
          </w:p>
        </w:tc>
        <w:tc>
          <w:tcPr>
            <w:tcW w:w="0" w:type="auto"/>
            <w:hideMark/>
          </w:tcPr>
          <w:p w:rsidR="003F1B1E" w:rsidRPr="00686EBD" w:rsidRDefault="003F1B1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Men show declining </w:t>
            </w:r>
            <w:proofErr w:type="spellStart"/>
            <w:r w:rsidRPr="00686EBD">
              <w:rPr>
                <w:rFonts w:ascii="Times New Roman" w:eastAsia="Times New Roman" w:hAnsi="Times New Roman" w:cs="Times New Roman"/>
                <w:color w:val="000000"/>
              </w:rPr>
              <w:t>seroprevalence</w:t>
            </w:r>
            <w:proofErr w:type="spellEnd"/>
            <w:r w:rsidRPr="00686EBD">
              <w:rPr>
                <w:rFonts w:ascii="Times New Roman" w:eastAsia="Times New Roman" w:hAnsi="Times New Roman" w:cs="Times New Roman"/>
                <w:color w:val="000000"/>
              </w:rPr>
              <w:t>.</w:t>
            </w:r>
          </w:p>
        </w:tc>
      </w:tr>
      <w:tr w:rsidR="003F1B1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3F1B1E" w:rsidRPr="00686EBD" w:rsidRDefault="003F1B1E" w:rsidP="00E71E6C">
            <w:pPr>
              <w:rPr>
                <w:rFonts w:ascii="Times New Roman" w:eastAsia="Times New Roman" w:hAnsi="Times New Roman" w:cs="Times New Roman"/>
                <w:b w:val="0"/>
                <w:color w:val="000000"/>
              </w:rPr>
            </w:pP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Men – </w:t>
            </w:r>
            <w:proofErr w:type="spellStart"/>
            <w:r w:rsidRPr="00686EBD">
              <w:rPr>
                <w:rFonts w:ascii="Times New Roman" w:eastAsia="Times New Roman" w:hAnsi="Times New Roman" w:cs="Times New Roman"/>
                <w:color w:val="000000"/>
              </w:rPr>
              <w:t>Virotech</w:t>
            </w:r>
            <w:proofErr w:type="spellEnd"/>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39.10%</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36.90%</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Overall: ↓↓ sharp decline</w:t>
            </w:r>
          </w:p>
        </w:tc>
        <w:tc>
          <w:tcPr>
            <w:tcW w:w="0" w:type="auto"/>
            <w:hideMark/>
          </w:tcPr>
          <w:p w:rsidR="003F1B1E" w:rsidRPr="00686EBD" w:rsidRDefault="003F1B1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Widening gender gap over time.</w:t>
            </w:r>
          </w:p>
        </w:tc>
      </w:tr>
      <w:tr w:rsidR="006C234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6C234E" w:rsidRPr="00686EBD" w:rsidRDefault="006C234E" w:rsidP="00E71E6C">
            <w:pP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Adjusted Odds Ratios (OR, 95% CI) by Model</w:t>
            </w:r>
          </w:p>
          <w:p w:rsidR="006C234E" w:rsidRPr="00686EBD" w:rsidRDefault="006C234E" w:rsidP="00E71E6C">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p w:rsidR="006C234E" w:rsidRPr="00686EBD" w:rsidRDefault="006C234E" w:rsidP="00E71E6C">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p w:rsidR="006C234E" w:rsidRPr="00686EBD" w:rsidRDefault="006C234E" w:rsidP="00E71E6C">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p w:rsidR="006C234E" w:rsidRPr="00686EBD" w:rsidRDefault="006C234E" w:rsidP="00E71E6C">
            <w:pP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p w:rsidR="006C234E" w:rsidRPr="00686EBD" w:rsidRDefault="006C234E" w:rsidP="00E71E6C">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p w:rsidR="006C234E" w:rsidRPr="00686EBD" w:rsidRDefault="006C234E" w:rsidP="00E71E6C">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p w:rsidR="006C234E" w:rsidRPr="00686EBD" w:rsidRDefault="006C234E" w:rsidP="00E71E6C">
            <w:pP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T1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(Woman)</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≈2.0–2.3 (1.5–3.0)</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Being female increases probability of anti-RBD antibodies by ~2-fold at T1.¹</w:t>
            </w:r>
          </w:p>
        </w:tc>
      </w:tr>
      <w:tr w:rsidR="006C234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6C234E" w:rsidRPr="00686EBD" w:rsidRDefault="006C234E" w:rsidP="00E71E6C">
            <w:pPr>
              <w:rPr>
                <w:rFonts w:ascii="Times New Roman" w:eastAsia="Times New Roman" w:hAnsi="Times New Roman" w:cs="Times New Roman"/>
                <w:b w:val="0"/>
                <w:color w:val="000000"/>
              </w:rPr>
            </w:pP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T1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w:t>
            </w:r>
            <w:proofErr w:type="spellStart"/>
            <w:r w:rsidRPr="00686EBD">
              <w:rPr>
                <w:rFonts w:ascii="Times New Roman" w:eastAsia="Times New Roman" w:hAnsi="Times New Roman" w:cs="Times New Roman"/>
                <w:color w:val="000000"/>
              </w:rPr>
              <w:t>Gbèkè</w:t>
            </w:r>
            <w:proofErr w:type="spellEnd"/>
            <w:r w:rsidRPr="00686EBD">
              <w:rPr>
                <w:rFonts w:ascii="Times New Roman" w:eastAsia="Times New Roman" w:hAnsi="Times New Roman" w:cs="Times New Roman"/>
                <w:color w:val="000000"/>
              </w:rPr>
              <w:t>)</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≈4.3–4.8 (3.1–6.7)</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Working in </w:t>
            </w:r>
            <w:proofErr w:type="spellStart"/>
            <w:r w:rsidRPr="00686EBD">
              <w:rPr>
                <w:rFonts w:ascii="Times New Roman" w:eastAsia="Times New Roman" w:hAnsi="Times New Roman" w:cs="Times New Roman"/>
                <w:color w:val="000000"/>
              </w:rPr>
              <w:t>Gbèkè</w:t>
            </w:r>
            <w:proofErr w:type="spellEnd"/>
            <w:r w:rsidRPr="00686EBD">
              <w:rPr>
                <w:rFonts w:ascii="Times New Roman" w:eastAsia="Times New Roman" w:hAnsi="Times New Roman" w:cs="Times New Roman"/>
                <w:color w:val="000000"/>
              </w:rPr>
              <w:t xml:space="preserve"> increases it by ~4.5-fold (independent of sex).¹</w:t>
            </w:r>
          </w:p>
        </w:tc>
      </w:tr>
      <w:tr w:rsidR="006C234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6C234E" w:rsidRPr="00686EBD" w:rsidRDefault="006C234E" w:rsidP="00E71E6C">
            <w:pPr>
              <w:rPr>
                <w:rFonts w:ascii="Times New Roman" w:eastAsia="Times New Roman" w:hAnsi="Times New Roman" w:cs="Times New Roman"/>
                <w:b w:val="0"/>
                <w:color w:val="000000"/>
              </w:rPr>
            </w:pP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T1 </w:t>
            </w: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 (Woman)</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≈2.4–2.7 (1.8–3.6)</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Women more exposed to natural infection at T1.²</w:t>
            </w:r>
          </w:p>
        </w:tc>
      </w:tr>
      <w:tr w:rsidR="006C234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6C234E" w:rsidRPr="00686EBD" w:rsidRDefault="006C234E" w:rsidP="00E71E6C">
            <w:pPr>
              <w:rPr>
                <w:rFonts w:ascii="Times New Roman" w:eastAsia="Times New Roman" w:hAnsi="Times New Roman" w:cs="Times New Roman"/>
                <w:b w:val="0"/>
                <w:color w:val="000000"/>
              </w:rPr>
            </w:pP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T1 </w:t>
            </w: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 (</w:t>
            </w:r>
            <w:proofErr w:type="spellStart"/>
            <w:r w:rsidRPr="00686EBD">
              <w:rPr>
                <w:rFonts w:ascii="Times New Roman" w:eastAsia="Times New Roman" w:hAnsi="Times New Roman" w:cs="Times New Roman"/>
                <w:color w:val="000000"/>
              </w:rPr>
              <w:t>Gbèkè</w:t>
            </w:r>
            <w:proofErr w:type="spellEnd"/>
            <w:r w:rsidRPr="00686EBD">
              <w:rPr>
                <w:rFonts w:ascii="Times New Roman" w:eastAsia="Times New Roman" w:hAnsi="Times New Roman" w:cs="Times New Roman"/>
                <w:color w:val="000000"/>
              </w:rPr>
              <w:t>)</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≈6.0–7.0 (4.2–10.0)</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Gbèkè</w:t>
            </w:r>
            <w:proofErr w:type="spellEnd"/>
            <w:r w:rsidRPr="00686EBD">
              <w:rPr>
                <w:rFonts w:ascii="Times New Roman" w:eastAsia="Times New Roman" w:hAnsi="Times New Roman" w:cs="Times New Roman"/>
                <w:color w:val="000000"/>
              </w:rPr>
              <w:t xml:space="preserve"> region shows much higher early exposure.²</w:t>
            </w:r>
          </w:p>
        </w:tc>
      </w:tr>
      <w:tr w:rsidR="006C234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6C234E" w:rsidRPr="00686EBD" w:rsidRDefault="006C234E" w:rsidP="00E71E6C">
            <w:pPr>
              <w:rPr>
                <w:rFonts w:ascii="Times New Roman" w:eastAsia="Times New Roman" w:hAnsi="Times New Roman" w:cs="Times New Roman"/>
                <w:b w:val="0"/>
                <w:color w:val="000000"/>
              </w:rPr>
            </w:pP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T2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(Woman)</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≈3.3–3.8 (2.5–5.0)</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Gender gap widens further at T2.³</w:t>
            </w:r>
          </w:p>
        </w:tc>
      </w:tr>
      <w:tr w:rsidR="006C234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6C234E" w:rsidRPr="00686EBD" w:rsidRDefault="006C234E" w:rsidP="00E71E6C">
            <w:pPr>
              <w:rPr>
                <w:rFonts w:ascii="Times New Roman" w:eastAsia="Times New Roman" w:hAnsi="Times New Roman" w:cs="Times New Roman"/>
                <w:b w:val="0"/>
                <w:color w:val="000000"/>
              </w:rPr>
            </w:pP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T2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 (</w:t>
            </w:r>
            <w:proofErr w:type="spellStart"/>
            <w:r w:rsidRPr="00686EBD">
              <w:rPr>
                <w:rFonts w:ascii="Times New Roman" w:eastAsia="Times New Roman" w:hAnsi="Times New Roman" w:cs="Times New Roman"/>
                <w:color w:val="000000"/>
              </w:rPr>
              <w:t>Gbèkè</w:t>
            </w:r>
            <w:proofErr w:type="spellEnd"/>
            <w:r w:rsidRPr="00686EBD">
              <w:rPr>
                <w:rFonts w:ascii="Times New Roman" w:eastAsia="Times New Roman" w:hAnsi="Times New Roman" w:cs="Times New Roman"/>
                <w:color w:val="000000"/>
              </w:rPr>
              <w:t>)</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≈3.8–4.5 (2.8–6.2)</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Gbèkè</w:t>
            </w:r>
            <w:proofErr w:type="spellEnd"/>
            <w:r w:rsidRPr="00686EBD">
              <w:rPr>
                <w:rFonts w:ascii="Times New Roman" w:eastAsia="Times New Roman" w:hAnsi="Times New Roman" w:cs="Times New Roman"/>
                <w:color w:val="000000"/>
              </w:rPr>
              <w:t xml:space="preserve"> remains ahead, but OR slightly lower (partial catch-up by other regions like </w:t>
            </w:r>
            <w:proofErr w:type="spellStart"/>
            <w:r w:rsidRPr="00686EBD">
              <w:rPr>
                <w:rFonts w:ascii="Times New Roman" w:eastAsia="Times New Roman" w:hAnsi="Times New Roman" w:cs="Times New Roman"/>
                <w:color w:val="000000"/>
              </w:rPr>
              <w:t>Cavally-Guémon</w:t>
            </w:r>
            <w:proofErr w:type="spellEnd"/>
            <w:r w:rsidRPr="00686EBD">
              <w:rPr>
                <w:rFonts w:ascii="Times New Roman" w:eastAsia="Times New Roman" w:hAnsi="Times New Roman" w:cs="Times New Roman"/>
                <w:color w:val="000000"/>
              </w:rPr>
              <w:t>).³</w:t>
            </w:r>
          </w:p>
        </w:tc>
      </w:tr>
      <w:tr w:rsidR="006C234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6C234E" w:rsidRPr="00686EBD" w:rsidRDefault="006C234E" w:rsidP="00E71E6C">
            <w:pPr>
              <w:rPr>
                <w:rFonts w:ascii="Times New Roman" w:eastAsia="Times New Roman" w:hAnsi="Times New Roman" w:cs="Times New Roman"/>
                <w:b w:val="0"/>
                <w:color w:val="000000"/>
              </w:rPr>
            </w:pP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T2 </w:t>
            </w: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 (Woman)</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≈3.0–3.5 (2.3–4.6)</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Women accumulate more infections than men at T2.⁴</w:t>
            </w:r>
          </w:p>
        </w:tc>
      </w:tr>
      <w:tr w:rsidR="006C234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6C234E" w:rsidRPr="00686EBD" w:rsidRDefault="006C234E" w:rsidP="00E71E6C">
            <w:pPr>
              <w:rPr>
                <w:rFonts w:ascii="Times New Roman" w:eastAsia="Times New Roman" w:hAnsi="Times New Roman" w:cs="Times New Roman"/>
                <w:b w:val="0"/>
                <w:color w:val="000000"/>
              </w:rPr>
            </w:pP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xml:space="preserve">T2 </w:t>
            </w: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 (</w:t>
            </w:r>
            <w:proofErr w:type="spellStart"/>
            <w:r w:rsidRPr="00686EBD">
              <w:rPr>
                <w:rFonts w:ascii="Times New Roman" w:eastAsia="Times New Roman" w:hAnsi="Times New Roman" w:cs="Times New Roman"/>
                <w:color w:val="000000"/>
              </w:rPr>
              <w:t>Gbèkè</w:t>
            </w:r>
            <w:proofErr w:type="spellEnd"/>
            <w:r w:rsidRPr="00686EBD">
              <w:rPr>
                <w:rFonts w:ascii="Times New Roman" w:eastAsia="Times New Roman" w:hAnsi="Times New Roman" w:cs="Times New Roman"/>
                <w:color w:val="000000"/>
              </w:rPr>
              <w:t>)</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≈3.5–4.2 (2.5–5.8)</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N/A</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Trend continues with regional disparity.⁴</w:t>
            </w:r>
          </w:p>
        </w:tc>
      </w:tr>
      <w:tr w:rsidR="006C234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6C234E" w:rsidRPr="00686EBD" w:rsidRDefault="006C234E" w:rsidP="00E71E6C">
            <w:pP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Relative Variations T1 to T2 (OR Changes)</w:t>
            </w:r>
          </w:p>
          <w:p w:rsidR="006C234E" w:rsidRPr="00686EBD" w:rsidRDefault="006C234E" w:rsidP="00E71E6C">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p w:rsidR="006C234E" w:rsidRPr="00686EBD" w:rsidRDefault="006C234E" w:rsidP="00E71E6C">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p w:rsidR="006C234E" w:rsidRPr="00686EBD" w:rsidRDefault="006C234E" w:rsidP="00E71E6C">
            <w:pP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Woman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2.1</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3.5</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+67%</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Increase in female advantage for anti-RBD.</w:t>
            </w:r>
          </w:p>
        </w:tc>
      </w:tr>
      <w:tr w:rsidR="006C234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6C234E" w:rsidRPr="00686EBD" w:rsidRDefault="006C234E" w:rsidP="00E71E6C">
            <w:pPr>
              <w:rPr>
                <w:rFonts w:ascii="Times New Roman" w:eastAsia="Times New Roman" w:hAnsi="Times New Roman" w:cs="Times New Roman"/>
                <w:b w:val="0"/>
                <w:color w:val="000000"/>
              </w:rPr>
            </w:pP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Woman (</w:t>
            </w: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2.5</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3.2</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+28%</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Moderate increase in female infection odds.</w:t>
            </w:r>
          </w:p>
        </w:tc>
      </w:tr>
      <w:tr w:rsidR="006C234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6C234E" w:rsidRPr="00686EBD" w:rsidRDefault="006C234E" w:rsidP="00E71E6C">
            <w:pPr>
              <w:rPr>
                <w:rFonts w:ascii="Times New Roman" w:eastAsia="Times New Roman" w:hAnsi="Times New Roman" w:cs="Times New Roman"/>
                <w:b w:val="0"/>
                <w:color w:val="000000"/>
              </w:rPr>
            </w:pP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Gbèkè</w:t>
            </w:r>
            <w:proofErr w:type="spellEnd"/>
            <w:r w:rsidRPr="00686EBD">
              <w:rPr>
                <w:rFonts w:ascii="Times New Roman" w:eastAsia="Times New Roman" w:hAnsi="Times New Roman" w:cs="Times New Roman"/>
                <w:color w:val="000000"/>
              </w:rPr>
              <w:t xml:space="preserve"> (</w:t>
            </w:r>
            <w:proofErr w:type="spellStart"/>
            <w:r w:rsidRPr="00686EBD">
              <w:rPr>
                <w:rFonts w:ascii="Times New Roman" w:eastAsia="Times New Roman" w:hAnsi="Times New Roman" w:cs="Times New Roman"/>
                <w:color w:val="000000"/>
              </w:rPr>
              <w:t>Wantai</w:t>
            </w:r>
            <w:proofErr w:type="spellEnd"/>
            <w:r w:rsidRPr="00686EBD">
              <w:rPr>
                <w:rFonts w:ascii="Times New Roman" w:eastAsia="Times New Roman" w:hAnsi="Times New Roman" w:cs="Times New Roman"/>
                <w:color w:val="000000"/>
              </w:rPr>
              <w:t>)</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4.6</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4.1</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-11%</w:t>
            </w:r>
          </w:p>
        </w:tc>
        <w:tc>
          <w:tcPr>
            <w:tcW w:w="0" w:type="auto"/>
            <w:hideMark/>
          </w:tcPr>
          <w:p w:rsidR="006C234E" w:rsidRPr="00686EBD" w:rsidRDefault="006C234E" w:rsidP="00E71E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Slight decline in regional advantage for anti-RBD.</w:t>
            </w:r>
          </w:p>
        </w:tc>
      </w:tr>
      <w:tr w:rsidR="006C234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rsidR="006C234E" w:rsidRPr="00686EBD" w:rsidRDefault="006C234E" w:rsidP="00E71E6C">
            <w:pPr>
              <w:rPr>
                <w:rFonts w:ascii="Times New Roman" w:eastAsia="Times New Roman" w:hAnsi="Times New Roman" w:cs="Times New Roman"/>
                <w:b w:val="0"/>
                <w:color w:val="000000"/>
              </w:rPr>
            </w:pP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Gbèkè</w:t>
            </w:r>
            <w:proofErr w:type="spellEnd"/>
            <w:r w:rsidRPr="00686EBD">
              <w:rPr>
                <w:rFonts w:ascii="Times New Roman" w:eastAsia="Times New Roman" w:hAnsi="Times New Roman" w:cs="Times New Roman"/>
                <w:color w:val="000000"/>
              </w:rPr>
              <w:t xml:space="preserve"> (</w:t>
            </w:r>
            <w:proofErr w:type="spellStart"/>
            <w:r w:rsidRPr="00686EBD">
              <w:rPr>
                <w:rFonts w:ascii="Times New Roman" w:eastAsia="Times New Roman" w:hAnsi="Times New Roman" w:cs="Times New Roman"/>
                <w:color w:val="000000"/>
              </w:rPr>
              <w:t>Virotech</w:t>
            </w:r>
            <w:proofErr w:type="spellEnd"/>
            <w:r w:rsidRPr="00686EBD">
              <w:rPr>
                <w:rFonts w:ascii="Times New Roman" w:eastAsia="Times New Roman" w:hAnsi="Times New Roman" w:cs="Times New Roman"/>
                <w:color w:val="000000"/>
              </w:rPr>
              <w:t>)</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6.5</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3.9</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 -40%</w:t>
            </w:r>
          </w:p>
        </w:tc>
        <w:tc>
          <w:tcPr>
            <w:tcW w:w="0" w:type="auto"/>
            <w:hideMark/>
          </w:tcPr>
          <w:p w:rsidR="006C234E" w:rsidRPr="00686EBD" w:rsidRDefault="006C234E" w:rsidP="00E71E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Sharp decline in regional infection odds.</w:t>
            </w:r>
          </w:p>
        </w:tc>
      </w:tr>
    </w:tbl>
    <w:p w:rsidR="000455BA" w:rsidRPr="00686EBD" w:rsidRDefault="000455BA" w:rsidP="000455BA">
      <w:pPr>
        <w:rPr>
          <w:rFonts w:ascii="Times New Roman" w:hAnsi="Times New Roman" w:cs="Times New Roman"/>
          <w:sz w:val="20"/>
          <w:szCs w:val="20"/>
        </w:rPr>
      </w:pPr>
    </w:p>
    <w:p w:rsidR="009744AC" w:rsidRPr="00686EBD" w:rsidRDefault="009744AC" w:rsidP="009744AC">
      <w:pPr>
        <w:spacing w:before="100" w:beforeAutospacing="1" w:after="100" w:afterAutospacing="1" w:line="240" w:lineRule="auto"/>
        <w:rPr>
          <w:rFonts w:ascii="Times New Roman" w:eastAsia="Times New Roman" w:hAnsi="Times New Roman" w:cs="Times New Roman"/>
          <w:sz w:val="24"/>
          <w:szCs w:val="24"/>
        </w:rPr>
      </w:pPr>
      <w:r w:rsidRPr="00686EBD">
        <w:rPr>
          <w:rFonts w:ascii="Times New Roman" w:eastAsia="Times New Roman" w:hAnsi="Times New Roman" w:cs="Times New Roman"/>
          <w:sz w:val="24"/>
          <w:szCs w:val="24"/>
        </w:rPr>
        <w:t>¹ Adjusted odds ratios from multivariate logistic regression at T1 (</w:t>
      </w:r>
      <w:proofErr w:type="spellStart"/>
      <w:r w:rsidRPr="00686EBD">
        <w:rPr>
          <w:rFonts w:ascii="Times New Roman" w:eastAsia="Times New Roman" w:hAnsi="Times New Roman" w:cs="Times New Roman"/>
          <w:sz w:val="24"/>
          <w:szCs w:val="24"/>
        </w:rPr>
        <w:t>Wantai</w:t>
      </w:r>
      <w:proofErr w:type="spellEnd"/>
      <w:r w:rsidRPr="00686EBD">
        <w:rPr>
          <w:rFonts w:ascii="Times New Roman" w:eastAsia="Times New Roman" w:hAnsi="Times New Roman" w:cs="Times New Roman"/>
          <w:sz w:val="24"/>
          <w:szCs w:val="24"/>
        </w:rPr>
        <w:t xml:space="preserve"> assay). ² Adjusted odds ratios from multivariate logistic regression at T1 (</w:t>
      </w:r>
      <w:proofErr w:type="spellStart"/>
      <w:r w:rsidRPr="00686EBD">
        <w:rPr>
          <w:rFonts w:ascii="Times New Roman" w:eastAsia="Times New Roman" w:hAnsi="Times New Roman" w:cs="Times New Roman"/>
          <w:sz w:val="24"/>
          <w:szCs w:val="24"/>
        </w:rPr>
        <w:t>Virotech</w:t>
      </w:r>
      <w:proofErr w:type="spellEnd"/>
      <w:r w:rsidRPr="00686EBD">
        <w:rPr>
          <w:rFonts w:ascii="Times New Roman" w:eastAsia="Times New Roman" w:hAnsi="Times New Roman" w:cs="Times New Roman"/>
          <w:sz w:val="24"/>
          <w:szCs w:val="24"/>
        </w:rPr>
        <w:t xml:space="preserve"> assay). ³ Adjusted odds ratios from multivariate logistic regression at T2 (</w:t>
      </w:r>
      <w:proofErr w:type="spellStart"/>
      <w:r w:rsidRPr="00686EBD">
        <w:rPr>
          <w:rFonts w:ascii="Times New Roman" w:eastAsia="Times New Roman" w:hAnsi="Times New Roman" w:cs="Times New Roman"/>
          <w:sz w:val="24"/>
          <w:szCs w:val="24"/>
        </w:rPr>
        <w:t>Wantai</w:t>
      </w:r>
      <w:proofErr w:type="spellEnd"/>
      <w:r w:rsidRPr="00686EBD">
        <w:rPr>
          <w:rFonts w:ascii="Times New Roman" w:eastAsia="Times New Roman" w:hAnsi="Times New Roman" w:cs="Times New Roman"/>
          <w:sz w:val="24"/>
          <w:szCs w:val="24"/>
        </w:rPr>
        <w:t xml:space="preserve"> assay). ⁴ Adjusted odds ratios from multivariate logistic regression at T2 (</w:t>
      </w:r>
      <w:proofErr w:type="spellStart"/>
      <w:r w:rsidRPr="00686EBD">
        <w:rPr>
          <w:rFonts w:ascii="Times New Roman" w:eastAsia="Times New Roman" w:hAnsi="Times New Roman" w:cs="Times New Roman"/>
          <w:sz w:val="24"/>
          <w:szCs w:val="24"/>
        </w:rPr>
        <w:t>Virotech</w:t>
      </w:r>
      <w:proofErr w:type="spellEnd"/>
      <w:r w:rsidRPr="00686EBD">
        <w:rPr>
          <w:rFonts w:ascii="Times New Roman" w:eastAsia="Times New Roman" w:hAnsi="Times New Roman" w:cs="Times New Roman"/>
          <w:sz w:val="24"/>
          <w:szCs w:val="24"/>
        </w:rPr>
        <w:t xml:space="preserve"> assay).</w:t>
      </w:r>
    </w:p>
    <w:p w:rsidR="009744AC" w:rsidRPr="00686EBD" w:rsidRDefault="009744AC" w:rsidP="000455BA">
      <w:pPr>
        <w:rPr>
          <w:rFonts w:ascii="Times New Roman" w:hAnsi="Times New Roman" w:cs="Times New Roman"/>
          <w:sz w:val="20"/>
          <w:szCs w:val="20"/>
        </w:rPr>
      </w:pPr>
    </w:p>
    <w:p w:rsidR="009744AC" w:rsidRPr="00686EBD" w:rsidRDefault="009744AC" w:rsidP="005F4355">
      <w:pPr>
        <w:pStyle w:val="NormalWeb"/>
      </w:pPr>
    </w:p>
    <w:p w:rsidR="009744AC" w:rsidRPr="00686EBD" w:rsidRDefault="009744AC" w:rsidP="005F4355">
      <w:pPr>
        <w:pStyle w:val="NormalWeb"/>
      </w:pPr>
    </w:p>
    <w:p w:rsidR="009744AC" w:rsidRPr="00686EBD" w:rsidRDefault="009744AC" w:rsidP="005F4355">
      <w:pPr>
        <w:pStyle w:val="NormalWeb"/>
      </w:pPr>
    </w:p>
    <w:p w:rsidR="009744AC" w:rsidRPr="00686EBD" w:rsidRDefault="009744AC" w:rsidP="005F4355">
      <w:pPr>
        <w:pStyle w:val="NormalWeb"/>
      </w:pPr>
    </w:p>
    <w:p w:rsidR="009744AC" w:rsidRPr="00686EBD" w:rsidRDefault="009744AC" w:rsidP="005F4355">
      <w:pPr>
        <w:pStyle w:val="NormalWeb"/>
      </w:pPr>
    </w:p>
    <w:p w:rsidR="009744AC" w:rsidRPr="00686EBD" w:rsidRDefault="009744AC" w:rsidP="005F4355">
      <w:pPr>
        <w:pStyle w:val="NormalWeb"/>
      </w:pPr>
    </w:p>
    <w:p w:rsidR="009744AC" w:rsidRDefault="009744AC" w:rsidP="005F4355">
      <w:pPr>
        <w:pStyle w:val="NormalWeb"/>
      </w:pPr>
    </w:p>
    <w:p w:rsidR="00EE5BE7" w:rsidRDefault="00EE5BE7" w:rsidP="005F4355">
      <w:pPr>
        <w:pStyle w:val="NormalWeb"/>
      </w:pPr>
    </w:p>
    <w:p w:rsidR="00EE5BE7" w:rsidRPr="00686EBD" w:rsidRDefault="00EE5BE7" w:rsidP="005F4355">
      <w:pPr>
        <w:pStyle w:val="NormalWeb"/>
      </w:pPr>
    </w:p>
    <w:p w:rsidR="005F4355" w:rsidRPr="00686EBD" w:rsidRDefault="00F64C79" w:rsidP="005F4355">
      <w:pPr>
        <w:pStyle w:val="NormalWeb"/>
      </w:pPr>
      <w:r>
        <w:lastRenderedPageBreak/>
        <w:t>Table 10</w:t>
      </w:r>
      <w:r w:rsidR="005F4355" w:rsidRPr="00686EBD">
        <w:t>: Serology, vaccination coverage and multivariate odds ratios by age group</w:t>
      </w:r>
    </w:p>
    <w:tbl>
      <w:tblPr>
        <w:tblStyle w:val="Tableausimple2"/>
        <w:tblW w:w="0" w:type="auto"/>
        <w:tblLook w:val="04A0" w:firstRow="1" w:lastRow="0" w:firstColumn="1" w:lastColumn="0" w:noHBand="0" w:noVBand="1"/>
      </w:tblPr>
      <w:tblGrid>
        <w:gridCol w:w="1450"/>
        <w:gridCol w:w="890"/>
        <w:gridCol w:w="1024"/>
        <w:gridCol w:w="1289"/>
        <w:gridCol w:w="890"/>
        <w:gridCol w:w="1024"/>
        <w:gridCol w:w="1289"/>
        <w:gridCol w:w="1279"/>
        <w:gridCol w:w="1296"/>
        <w:gridCol w:w="1279"/>
        <w:gridCol w:w="1296"/>
      </w:tblGrid>
      <w:tr w:rsidR="005F4355" w:rsidRPr="00046F87" w:rsidTr="00C473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5F4355" w:rsidRPr="00686EBD" w:rsidRDefault="005F4355" w:rsidP="005F4355">
            <w:pPr>
              <w:jc w:val="cente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Age group</w:t>
            </w:r>
          </w:p>
        </w:tc>
        <w:tc>
          <w:tcPr>
            <w:tcW w:w="0" w:type="auto"/>
            <w:hideMark/>
          </w:tcPr>
          <w:p w:rsidR="005F4355" w:rsidRPr="00686EBD" w:rsidRDefault="005F4355" w:rsidP="005F4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xml:space="preserve">T1 </w:t>
            </w:r>
            <w:proofErr w:type="spellStart"/>
            <w:r w:rsidRPr="00686EBD">
              <w:rPr>
                <w:rFonts w:ascii="Times New Roman" w:eastAsia="Times New Roman" w:hAnsi="Times New Roman" w:cs="Times New Roman"/>
                <w:b w:val="0"/>
                <w:color w:val="000000"/>
              </w:rPr>
              <w:t>Wantai</w:t>
            </w:r>
            <w:proofErr w:type="spellEnd"/>
          </w:p>
        </w:tc>
        <w:tc>
          <w:tcPr>
            <w:tcW w:w="0" w:type="auto"/>
            <w:hideMark/>
          </w:tcPr>
          <w:p w:rsidR="005F4355" w:rsidRPr="00686EBD" w:rsidRDefault="005F4355" w:rsidP="005F4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xml:space="preserve">T1 </w:t>
            </w:r>
            <w:proofErr w:type="spellStart"/>
            <w:r w:rsidRPr="00686EBD">
              <w:rPr>
                <w:rFonts w:ascii="Times New Roman" w:eastAsia="Times New Roman" w:hAnsi="Times New Roman" w:cs="Times New Roman"/>
                <w:b w:val="0"/>
                <w:color w:val="000000"/>
              </w:rPr>
              <w:t>Virotech</w:t>
            </w:r>
            <w:proofErr w:type="spellEnd"/>
          </w:p>
        </w:tc>
        <w:tc>
          <w:tcPr>
            <w:tcW w:w="0" w:type="auto"/>
            <w:hideMark/>
          </w:tcPr>
          <w:p w:rsidR="005F4355" w:rsidRPr="00686EBD" w:rsidRDefault="005F4355" w:rsidP="005F4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T1 ≥1 dose vaccinated</w:t>
            </w:r>
          </w:p>
        </w:tc>
        <w:tc>
          <w:tcPr>
            <w:tcW w:w="0" w:type="auto"/>
            <w:hideMark/>
          </w:tcPr>
          <w:p w:rsidR="005F4355" w:rsidRPr="00686EBD" w:rsidRDefault="005F4355" w:rsidP="005F4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xml:space="preserve">T2 </w:t>
            </w:r>
            <w:proofErr w:type="spellStart"/>
            <w:r w:rsidRPr="00686EBD">
              <w:rPr>
                <w:rFonts w:ascii="Times New Roman" w:eastAsia="Times New Roman" w:hAnsi="Times New Roman" w:cs="Times New Roman"/>
                <w:b w:val="0"/>
                <w:color w:val="000000"/>
              </w:rPr>
              <w:t>Wantai</w:t>
            </w:r>
            <w:proofErr w:type="spellEnd"/>
          </w:p>
        </w:tc>
        <w:tc>
          <w:tcPr>
            <w:tcW w:w="0" w:type="auto"/>
            <w:hideMark/>
          </w:tcPr>
          <w:p w:rsidR="005F4355" w:rsidRPr="00686EBD" w:rsidRDefault="005F4355" w:rsidP="005F4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xml:space="preserve">T2 </w:t>
            </w:r>
            <w:proofErr w:type="spellStart"/>
            <w:r w:rsidRPr="00686EBD">
              <w:rPr>
                <w:rFonts w:ascii="Times New Roman" w:eastAsia="Times New Roman" w:hAnsi="Times New Roman" w:cs="Times New Roman"/>
                <w:b w:val="0"/>
                <w:color w:val="000000"/>
              </w:rPr>
              <w:t>Virotech</w:t>
            </w:r>
            <w:proofErr w:type="spellEnd"/>
          </w:p>
        </w:tc>
        <w:tc>
          <w:tcPr>
            <w:tcW w:w="0" w:type="auto"/>
            <w:hideMark/>
          </w:tcPr>
          <w:p w:rsidR="005F4355" w:rsidRPr="00686EBD" w:rsidRDefault="005F4355" w:rsidP="005F4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T2 ≥1 dose vaccinated</w:t>
            </w:r>
          </w:p>
        </w:tc>
        <w:tc>
          <w:tcPr>
            <w:tcW w:w="0" w:type="auto"/>
            <w:hideMark/>
          </w:tcPr>
          <w:p w:rsidR="005F4355" w:rsidRPr="00686EBD" w:rsidRDefault="005F4355" w:rsidP="005F4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fr-CI"/>
              </w:rPr>
            </w:pPr>
            <w:proofErr w:type="spellStart"/>
            <w:r w:rsidRPr="00686EBD">
              <w:rPr>
                <w:rFonts w:ascii="Times New Roman" w:eastAsia="Times New Roman" w:hAnsi="Times New Roman" w:cs="Times New Roman"/>
                <w:b w:val="0"/>
                <w:color w:val="000000"/>
                <w:lang w:val="fr-CI"/>
              </w:rPr>
              <w:t>Wantai</w:t>
            </w:r>
            <w:proofErr w:type="spellEnd"/>
            <w:r w:rsidRPr="00686EBD">
              <w:rPr>
                <w:rFonts w:ascii="Times New Roman" w:eastAsia="Times New Roman" w:hAnsi="Times New Roman" w:cs="Times New Roman"/>
                <w:b w:val="0"/>
                <w:color w:val="000000"/>
                <w:lang w:val="fr-CI"/>
              </w:rPr>
              <w:t xml:space="preserve"> T1 OR (95% CI)</w:t>
            </w:r>
            <w:r w:rsidRPr="00686EBD">
              <w:rPr>
                <w:rFonts w:ascii="Times New Roman" w:eastAsia="Times New Roman" w:hAnsi="Times New Roman" w:cs="Times New Roman"/>
                <w:b w:val="0"/>
                <w:color w:val="000000"/>
                <w:vertAlign w:val="superscript"/>
                <w:lang w:val="fr-CI"/>
              </w:rPr>
              <w:t>a</w:t>
            </w:r>
          </w:p>
        </w:tc>
        <w:tc>
          <w:tcPr>
            <w:tcW w:w="0" w:type="auto"/>
            <w:hideMark/>
          </w:tcPr>
          <w:p w:rsidR="005F4355" w:rsidRPr="00686EBD" w:rsidRDefault="005F4355" w:rsidP="005F4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fr-CI"/>
              </w:rPr>
            </w:pPr>
            <w:proofErr w:type="spellStart"/>
            <w:r w:rsidRPr="00686EBD">
              <w:rPr>
                <w:rFonts w:ascii="Times New Roman" w:eastAsia="Times New Roman" w:hAnsi="Times New Roman" w:cs="Times New Roman"/>
                <w:b w:val="0"/>
                <w:color w:val="000000"/>
                <w:lang w:val="fr-CI"/>
              </w:rPr>
              <w:t>Virotech</w:t>
            </w:r>
            <w:proofErr w:type="spellEnd"/>
            <w:r w:rsidRPr="00686EBD">
              <w:rPr>
                <w:rFonts w:ascii="Times New Roman" w:eastAsia="Times New Roman" w:hAnsi="Times New Roman" w:cs="Times New Roman"/>
                <w:b w:val="0"/>
                <w:color w:val="000000"/>
                <w:lang w:val="fr-CI"/>
              </w:rPr>
              <w:t xml:space="preserve"> T1 OR (95% CI)</w:t>
            </w:r>
            <w:r w:rsidRPr="00686EBD">
              <w:rPr>
                <w:rFonts w:ascii="Times New Roman" w:eastAsia="Times New Roman" w:hAnsi="Times New Roman" w:cs="Times New Roman"/>
                <w:b w:val="0"/>
                <w:color w:val="000000"/>
                <w:vertAlign w:val="superscript"/>
                <w:lang w:val="fr-CI"/>
              </w:rPr>
              <w:t>a</w:t>
            </w:r>
          </w:p>
        </w:tc>
        <w:tc>
          <w:tcPr>
            <w:tcW w:w="0" w:type="auto"/>
            <w:hideMark/>
          </w:tcPr>
          <w:p w:rsidR="005F4355" w:rsidRPr="00686EBD" w:rsidRDefault="005F4355" w:rsidP="005F4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fr-CI"/>
              </w:rPr>
            </w:pPr>
            <w:proofErr w:type="spellStart"/>
            <w:r w:rsidRPr="00686EBD">
              <w:rPr>
                <w:rFonts w:ascii="Times New Roman" w:eastAsia="Times New Roman" w:hAnsi="Times New Roman" w:cs="Times New Roman"/>
                <w:b w:val="0"/>
                <w:color w:val="000000"/>
                <w:lang w:val="fr-CI"/>
              </w:rPr>
              <w:t>Wantai</w:t>
            </w:r>
            <w:proofErr w:type="spellEnd"/>
            <w:r w:rsidRPr="00686EBD">
              <w:rPr>
                <w:rFonts w:ascii="Times New Roman" w:eastAsia="Times New Roman" w:hAnsi="Times New Roman" w:cs="Times New Roman"/>
                <w:b w:val="0"/>
                <w:color w:val="000000"/>
                <w:lang w:val="fr-CI"/>
              </w:rPr>
              <w:t xml:space="preserve"> T2 OR (95% CI)</w:t>
            </w:r>
            <w:r w:rsidRPr="00686EBD">
              <w:rPr>
                <w:rFonts w:ascii="Times New Roman" w:eastAsia="Times New Roman" w:hAnsi="Times New Roman" w:cs="Times New Roman"/>
                <w:b w:val="0"/>
                <w:color w:val="000000"/>
                <w:vertAlign w:val="superscript"/>
                <w:lang w:val="fr-CI"/>
              </w:rPr>
              <w:t>a</w:t>
            </w:r>
          </w:p>
        </w:tc>
        <w:tc>
          <w:tcPr>
            <w:tcW w:w="0" w:type="auto"/>
            <w:hideMark/>
          </w:tcPr>
          <w:p w:rsidR="005F4355" w:rsidRPr="00686EBD" w:rsidRDefault="005F4355" w:rsidP="005F4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fr-CI"/>
              </w:rPr>
            </w:pPr>
            <w:proofErr w:type="spellStart"/>
            <w:r w:rsidRPr="00686EBD">
              <w:rPr>
                <w:rFonts w:ascii="Times New Roman" w:eastAsia="Times New Roman" w:hAnsi="Times New Roman" w:cs="Times New Roman"/>
                <w:b w:val="0"/>
                <w:color w:val="000000"/>
                <w:lang w:val="fr-CI"/>
              </w:rPr>
              <w:t>Virotech</w:t>
            </w:r>
            <w:proofErr w:type="spellEnd"/>
            <w:r w:rsidRPr="00686EBD">
              <w:rPr>
                <w:rFonts w:ascii="Times New Roman" w:eastAsia="Times New Roman" w:hAnsi="Times New Roman" w:cs="Times New Roman"/>
                <w:b w:val="0"/>
                <w:color w:val="000000"/>
                <w:lang w:val="fr-CI"/>
              </w:rPr>
              <w:t xml:space="preserve"> T2 OR (95% CI)</w:t>
            </w:r>
            <w:r w:rsidRPr="00686EBD">
              <w:rPr>
                <w:rFonts w:ascii="Times New Roman" w:eastAsia="Times New Roman" w:hAnsi="Times New Roman" w:cs="Times New Roman"/>
                <w:b w:val="0"/>
                <w:color w:val="000000"/>
                <w:vertAlign w:val="superscript"/>
                <w:lang w:val="fr-CI"/>
              </w:rPr>
              <w:t>a</w:t>
            </w:r>
          </w:p>
        </w:tc>
      </w:tr>
      <w:tr w:rsidR="005F4355" w:rsidRPr="00686EBD" w:rsidTr="00C473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5F4355" w:rsidRPr="00686EBD" w:rsidRDefault="005F4355" w:rsidP="005F4355">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&lt; 25 years</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10.4%</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9.4%</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10.6%</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13.0%</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10.5%</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10.8%</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Reference</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Reference</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Reference</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Reference</w:t>
            </w:r>
          </w:p>
        </w:tc>
      </w:tr>
      <w:tr w:rsidR="005F4355" w:rsidRPr="00686EBD" w:rsidTr="00C47333">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5F4355" w:rsidRPr="00686EBD" w:rsidRDefault="005F4355" w:rsidP="005F4355">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25–49 years</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78.3%</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79.8%</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75.6%</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75.7%</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78.4%</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76.3%</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≈32 (18–58)</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≈42 (23–77)</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≈24 (14–41)</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≈30 (17–53)</w:t>
            </w:r>
          </w:p>
        </w:tc>
      </w:tr>
      <w:tr w:rsidR="005F4355" w:rsidRPr="00686EBD" w:rsidTr="00C473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5F4355" w:rsidRPr="00686EBD" w:rsidRDefault="005F4355" w:rsidP="005F4355">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50 years</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11.3%</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10.8%</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14.4%</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11.3%</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11.1%</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12.8%</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≈1.1 (0.6–2.0)</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 (0.5–1.8)</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≈0.9 (0.5–1.6)</w:t>
            </w:r>
          </w:p>
        </w:tc>
        <w:tc>
          <w:tcPr>
            <w:tcW w:w="0" w:type="auto"/>
            <w:hideMark/>
          </w:tcPr>
          <w:p w:rsidR="005F4355" w:rsidRPr="00686EBD" w:rsidRDefault="005F4355" w:rsidP="005F435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 (0.6–1.9)</w:t>
            </w:r>
          </w:p>
        </w:tc>
      </w:tr>
      <w:tr w:rsidR="005F4355" w:rsidRPr="00686EBD" w:rsidTr="00C47333">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5F4355" w:rsidRPr="00686EBD" w:rsidRDefault="005F4355" w:rsidP="005F4355">
            <w:pP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Comparison 25–49 vs ≥50</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≈29 (16–52)</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≈41 (22–76)</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≈26 (15–46)</w:t>
            </w:r>
          </w:p>
        </w:tc>
        <w:tc>
          <w:tcPr>
            <w:tcW w:w="0" w:type="auto"/>
            <w:hideMark/>
          </w:tcPr>
          <w:p w:rsidR="005F4355" w:rsidRPr="00686EBD" w:rsidRDefault="005F4355" w:rsidP="005F43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≈30 (17–54)</w:t>
            </w:r>
          </w:p>
        </w:tc>
      </w:tr>
    </w:tbl>
    <w:p w:rsidR="005F4355" w:rsidRPr="00686EBD" w:rsidRDefault="00957788" w:rsidP="003823CD">
      <w:pPr>
        <w:pStyle w:val="NormalWeb"/>
      </w:pPr>
      <w:proofErr w:type="spellStart"/>
      <w:proofErr w:type="gramStart"/>
      <w:r w:rsidRPr="00686EBD">
        <w:t>a</w:t>
      </w:r>
      <w:proofErr w:type="spellEnd"/>
      <w:proofErr w:type="gramEnd"/>
      <w:r w:rsidRPr="00686EBD">
        <w:t xml:space="preserve"> Odds ratios adjusted for sex, region, and age (multivariable logistic regression). Percentages represent the proportion within each age group. </w:t>
      </w:r>
      <w:proofErr w:type="gramStart"/>
      <w:r w:rsidRPr="00686EBD">
        <w:t>OR</w:t>
      </w:r>
      <w:proofErr w:type="gramEnd"/>
      <w:r w:rsidRPr="00686EBD">
        <w:t xml:space="preserve"> values are approximate (≈).</w:t>
      </w:r>
    </w:p>
    <w:p w:rsidR="000455BA" w:rsidRPr="00686EBD" w:rsidRDefault="00122F29" w:rsidP="00B14F3A">
      <w:pPr>
        <w:pStyle w:val="NormalWeb"/>
      </w:pPr>
      <w:r w:rsidRPr="00686EBD">
        <w:t>Table</w:t>
      </w:r>
      <w:r w:rsidR="00F64C79">
        <w:t xml:space="preserve"> 11</w:t>
      </w:r>
      <w:r w:rsidRPr="00686EBD">
        <w:t>. Immune profiles (</w:t>
      </w:r>
      <w:proofErr w:type="spellStart"/>
      <w:r w:rsidRPr="00686EBD">
        <w:t>seropositivity</w:t>
      </w:r>
      <w:proofErr w:type="spellEnd"/>
      <w:r w:rsidRPr="00686EBD">
        <w:t xml:space="preserve"> and vaccination coverage) by risk level at T1 and T2, with proportion changes and multivariate adjusted ORs</w:t>
      </w:r>
    </w:p>
    <w:tbl>
      <w:tblPr>
        <w:tblStyle w:val="Tableausimple2"/>
        <w:tblW w:w="0" w:type="auto"/>
        <w:tblLook w:val="04A0" w:firstRow="1" w:lastRow="0" w:firstColumn="1" w:lastColumn="0" w:noHBand="0" w:noVBand="1"/>
      </w:tblPr>
      <w:tblGrid>
        <w:gridCol w:w="2188"/>
        <w:gridCol w:w="1040"/>
        <w:gridCol w:w="1263"/>
        <w:gridCol w:w="644"/>
        <w:gridCol w:w="886"/>
        <w:gridCol w:w="1192"/>
        <w:gridCol w:w="1262"/>
        <w:gridCol w:w="644"/>
        <w:gridCol w:w="886"/>
        <w:gridCol w:w="1095"/>
        <w:gridCol w:w="1262"/>
        <w:gridCol w:w="644"/>
      </w:tblGrid>
      <w:tr w:rsidR="00BE315E" w:rsidRPr="00686EBD" w:rsidTr="00263BF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BE315E" w:rsidRPr="00686EBD" w:rsidRDefault="00BE315E" w:rsidP="00BE315E">
            <w:pPr>
              <w:jc w:val="center"/>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Risk level</w:t>
            </w:r>
          </w:p>
        </w:tc>
        <w:tc>
          <w:tcPr>
            <w:tcW w:w="0" w:type="auto"/>
            <w:hideMark/>
          </w:tcPr>
          <w:p w:rsidR="00BE315E" w:rsidRPr="00686EBD" w:rsidRDefault="00BE315E" w:rsidP="00BE3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proofErr w:type="spellStart"/>
            <w:r w:rsidRPr="00686EBD">
              <w:rPr>
                <w:rFonts w:ascii="Times New Roman" w:eastAsia="Times New Roman" w:hAnsi="Times New Roman" w:cs="Times New Roman"/>
                <w:b w:val="0"/>
                <w:color w:val="000000"/>
              </w:rPr>
              <w:t>Wantai</w:t>
            </w:r>
            <w:proofErr w:type="spellEnd"/>
            <w:r w:rsidRPr="00686EBD">
              <w:rPr>
                <w:rFonts w:ascii="Times New Roman" w:eastAsia="Times New Roman" w:hAnsi="Times New Roman" w:cs="Times New Roman"/>
                <w:b w:val="0"/>
                <w:color w:val="000000"/>
              </w:rPr>
              <w:t xml:space="preserve"> (anti-RBD)</w:t>
            </w:r>
          </w:p>
        </w:tc>
        <w:tc>
          <w:tcPr>
            <w:tcW w:w="0" w:type="auto"/>
            <w:hideMark/>
          </w:tcPr>
          <w:p w:rsidR="00BE315E" w:rsidRPr="00686EBD" w:rsidRDefault="00BE315E" w:rsidP="00BE3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c>
          <w:tcPr>
            <w:tcW w:w="0" w:type="auto"/>
            <w:hideMark/>
          </w:tcPr>
          <w:p w:rsidR="00BE315E" w:rsidRPr="00686EBD" w:rsidRDefault="00BE315E" w:rsidP="00BE3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c>
          <w:tcPr>
            <w:tcW w:w="0" w:type="auto"/>
            <w:hideMark/>
          </w:tcPr>
          <w:p w:rsidR="00BE315E" w:rsidRPr="00686EBD" w:rsidRDefault="00BE315E" w:rsidP="00BE3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c>
          <w:tcPr>
            <w:tcW w:w="0" w:type="auto"/>
            <w:hideMark/>
          </w:tcPr>
          <w:p w:rsidR="00BE315E" w:rsidRPr="00686EBD" w:rsidRDefault="00BE315E" w:rsidP="00BE3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proofErr w:type="spellStart"/>
            <w:r w:rsidRPr="00686EBD">
              <w:rPr>
                <w:rFonts w:ascii="Times New Roman" w:eastAsia="Times New Roman" w:hAnsi="Times New Roman" w:cs="Times New Roman"/>
                <w:b w:val="0"/>
                <w:color w:val="000000"/>
              </w:rPr>
              <w:t>Virotech</w:t>
            </w:r>
            <w:proofErr w:type="spellEnd"/>
            <w:r w:rsidRPr="00686EBD">
              <w:rPr>
                <w:rFonts w:ascii="Times New Roman" w:eastAsia="Times New Roman" w:hAnsi="Times New Roman" w:cs="Times New Roman"/>
                <w:b w:val="0"/>
                <w:color w:val="000000"/>
              </w:rPr>
              <w:t xml:space="preserve"> (IgG anti-N)</w:t>
            </w:r>
          </w:p>
        </w:tc>
        <w:tc>
          <w:tcPr>
            <w:tcW w:w="0" w:type="auto"/>
            <w:hideMark/>
          </w:tcPr>
          <w:p w:rsidR="00BE315E" w:rsidRPr="00686EBD" w:rsidRDefault="00BE315E" w:rsidP="00BE3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c>
          <w:tcPr>
            <w:tcW w:w="0" w:type="auto"/>
            <w:hideMark/>
          </w:tcPr>
          <w:p w:rsidR="00BE315E" w:rsidRPr="00686EBD" w:rsidRDefault="00BE315E" w:rsidP="00BE3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c>
          <w:tcPr>
            <w:tcW w:w="0" w:type="auto"/>
            <w:hideMark/>
          </w:tcPr>
          <w:p w:rsidR="00BE315E" w:rsidRPr="00686EBD" w:rsidRDefault="00BE315E" w:rsidP="00BE3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c>
          <w:tcPr>
            <w:tcW w:w="0" w:type="auto"/>
            <w:hideMark/>
          </w:tcPr>
          <w:p w:rsidR="00BE315E" w:rsidRPr="00686EBD" w:rsidRDefault="00BE315E" w:rsidP="00BE3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Vaccine (≥1 dose)</w:t>
            </w:r>
          </w:p>
        </w:tc>
        <w:tc>
          <w:tcPr>
            <w:tcW w:w="0" w:type="auto"/>
            <w:hideMark/>
          </w:tcPr>
          <w:p w:rsidR="00BE315E" w:rsidRPr="00686EBD" w:rsidRDefault="00BE315E" w:rsidP="00BE3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c>
          <w:tcPr>
            <w:tcW w:w="0" w:type="auto"/>
            <w:hideMark/>
          </w:tcPr>
          <w:p w:rsidR="00BE315E" w:rsidRPr="00686EBD" w:rsidRDefault="00BE315E" w:rsidP="00BE3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86EBD">
              <w:rPr>
                <w:rFonts w:ascii="Times New Roman" w:eastAsia="Times New Roman" w:hAnsi="Times New Roman" w:cs="Times New Roman"/>
                <w:b w:val="0"/>
                <w:color w:val="000000"/>
              </w:rPr>
              <w:t> </w:t>
            </w:r>
          </w:p>
        </w:tc>
      </w:tr>
      <w:tr w:rsidR="00BE315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BE315E" w:rsidRPr="00686EBD" w:rsidRDefault="00BE315E" w:rsidP="00BE315E">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 </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T1 (%)</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Evolution* (%)</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T2 (%)</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aOR</w:t>
            </w:r>
            <w:proofErr w:type="spellEnd"/>
            <w:r w:rsidRPr="00686EBD">
              <w:rPr>
                <w:rFonts w:ascii="Times New Roman" w:eastAsia="Times New Roman" w:hAnsi="Times New Roman" w:cs="Times New Roman"/>
                <w:color w:val="000000"/>
              </w:rPr>
              <w:t>† (95% CI)</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T1 (%)</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Evolution* (%)</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T2 (%)</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686EBD">
              <w:rPr>
                <w:rFonts w:ascii="Times New Roman" w:eastAsia="Times New Roman" w:hAnsi="Times New Roman" w:cs="Times New Roman"/>
                <w:color w:val="000000"/>
              </w:rPr>
              <w:t>aOR</w:t>
            </w:r>
            <w:proofErr w:type="spellEnd"/>
            <w:r w:rsidRPr="00686EBD">
              <w:rPr>
                <w:rFonts w:ascii="Times New Roman" w:eastAsia="Times New Roman" w:hAnsi="Times New Roman" w:cs="Times New Roman"/>
                <w:color w:val="000000"/>
              </w:rPr>
              <w:t>† (95% CI)</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T1 (%)</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Evolution* (%)</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T2 (%)</w:t>
            </w:r>
          </w:p>
        </w:tc>
      </w:tr>
      <w:tr w:rsidR="00BE315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BE315E" w:rsidRPr="00686EBD" w:rsidRDefault="00BE315E" w:rsidP="00BE315E">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Low risk (e.g., administration) (reference)</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26.3</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-8.9</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17.4</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 (ref)</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26.3</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-7.1</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19.2</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 (ref)</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27.0</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-10.6</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16.4</w:t>
            </w:r>
          </w:p>
        </w:tc>
      </w:tr>
      <w:tr w:rsidR="00BE315E" w:rsidRPr="00686EBD" w:rsidTr="00263B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BE315E" w:rsidRPr="00686EBD" w:rsidRDefault="00BE315E" w:rsidP="00BE315E">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Medium risk (e.g., indirect contact)</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13.4</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-1.5</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11.9</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0.5 (0.3–0.8)</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12.5</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-0.3</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12.2</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0.5 (0.3–0.8)</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15.5</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-1.9</w:t>
            </w:r>
          </w:p>
        </w:tc>
        <w:tc>
          <w:tcPr>
            <w:tcW w:w="0" w:type="auto"/>
            <w:hideMark/>
          </w:tcPr>
          <w:p w:rsidR="00BE315E" w:rsidRPr="00686EBD" w:rsidRDefault="00BE315E" w:rsidP="00BE3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13.6</w:t>
            </w:r>
          </w:p>
        </w:tc>
      </w:tr>
      <w:tr w:rsidR="00BE315E" w:rsidRPr="00686EBD" w:rsidTr="00263BF3">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00BE315E" w:rsidRPr="00686EBD" w:rsidRDefault="00BE315E" w:rsidP="00BE315E">
            <w:pPr>
              <w:rPr>
                <w:rFonts w:ascii="Times New Roman" w:eastAsia="Times New Roman" w:hAnsi="Times New Roman" w:cs="Times New Roman"/>
                <w:b w:val="0"/>
                <w:color w:val="000000"/>
              </w:rPr>
            </w:pPr>
            <w:r w:rsidRPr="00686EBD">
              <w:rPr>
                <w:rFonts w:ascii="Times New Roman" w:eastAsia="Times New Roman" w:hAnsi="Times New Roman" w:cs="Times New Roman"/>
                <w:b w:val="0"/>
                <w:color w:val="000000"/>
              </w:rPr>
              <w:t>High risk (e.g., direct contact with COVID-19 patients)</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59.4</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+9.0</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68.4</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4.2 (3.1–5.7)</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60.1</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+6.5</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66.6</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4.5 (3.3–6.2)</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58.3</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+9.0</w:t>
            </w:r>
          </w:p>
        </w:tc>
        <w:tc>
          <w:tcPr>
            <w:tcW w:w="0" w:type="auto"/>
            <w:hideMark/>
          </w:tcPr>
          <w:p w:rsidR="00BE315E" w:rsidRPr="00686EBD" w:rsidRDefault="00BE315E" w:rsidP="00BE3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86EBD">
              <w:rPr>
                <w:rFonts w:ascii="Times New Roman" w:eastAsia="Times New Roman" w:hAnsi="Times New Roman" w:cs="Times New Roman"/>
                <w:color w:val="000000"/>
              </w:rPr>
              <w:t>67.3</w:t>
            </w:r>
          </w:p>
        </w:tc>
      </w:tr>
    </w:tbl>
    <w:p w:rsidR="00BE315E" w:rsidRPr="00686EBD" w:rsidRDefault="00BE315E" w:rsidP="000455BA">
      <w:pPr>
        <w:rPr>
          <w:rFonts w:ascii="Times New Roman" w:hAnsi="Times New Roman" w:cs="Times New Roman"/>
          <w:sz w:val="20"/>
          <w:szCs w:val="20"/>
        </w:rPr>
      </w:pPr>
    </w:p>
    <w:p w:rsidR="006D0136" w:rsidRPr="00686EBD" w:rsidRDefault="006D0136" w:rsidP="006D0136">
      <w:pPr>
        <w:pStyle w:val="NormalWeb"/>
      </w:pPr>
      <w:r w:rsidRPr="00686EBD">
        <w:lastRenderedPageBreak/>
        <w:t xml:space="preserve">*Evolution calculated as percentage point difference (T2 </w:t>
      </w:r>
      <w:proofErr w:type="gramStart"/>
      <w:r w:rsidRPr="00686EBD">
        <w:t>%</w:t>
      </w:r>
      <w:proofErr w:type="gramEnd"/>
      <w:r w:rsidRPr="00686EBD">
        <w:t xml:space="preserve"> - T1 %). †Adjusted odds ratio (</w:t>
      </w:r>
      <w:proofErr w:type="spellStart"/>
      <w:r w:rsidRPr="00686EBD">
        <w:t>aOR</w:t>
      </w:r>
      <w:proofErr w:type="spellEnd"/>
      <w:r w:rsidRPr="00686EBD">
        <w:t xml:space="preserve">) for serological positivity, adjusted for sex, region, and age; reference category is low risk. ORs are provided for T1 and T2 separately in the respective columns for </w:t>
      </w:r>
      <w:proofErr w:type="spellStart"/>
      <w:r w:rsidRPr="00686EBD">
        <w:t>Wantai</w:t>
      </w:r>
      <w:proofErr w:type="spellEnd"/>
      <w:r w:rsidRPr="00686EBD">
        <w:t xml:space="preserve"> and </w:t>
      </w:r>
      <w:proofErr w:type="spellStart"/>
      <w:r w:rsidRPr="00686EBD">
        <w:t>Virotech</w:t>
      </w:r>
      <w:proofErr w:type="spellEnd"/>
      <w:proofErr w:type="gramStart"/>
      <w:r w:rsidRPr="00686EBD">
        <w:t>;</w:t>
      </w:r>
      <w:proofErr w:type="gramEnd"/>
      <w:r w:rsidRPr="00686EBD">
        <w:t xml:space="preserve"> no ORs available for vaccination coverage.</w:t>
      </w:r>
    </w:p>
    <w:p w:rsidR="000A027C" w:rsidRPr="00686EBD" w:rsidRDefault="006D0136" w:rsidP="00F3523F">
      <w:pPr>
        <w:pStyle w:val="NormalWeb"/>
      </w:pPr>
      <w:r w:rsidRPr="00686EBD">
        <w:t>This table presents a view of the distribution of risk levels among individuals with positive serological results (</w:t>
      </w:r>
      <w:proofErr w:type="spellStart"/>
      <w:r w:rsidRPr="00686EBD">
        <w:t>Wantai</w:t>
      </w:r>
      <w:proofErr w:type="spellEnd"/>
      <w:r w:rsidRPr="00686EBD">
        <w:t xml:space="preserve"> and </w:t>
      </w:r>
      <w:proofErr w:type="spellStart"/>
      <w:r w:rsidRPr="00686EBD">
        <w:t>Virotech</w:t>
      </w:r>
      <w:proofErr w:type="spellEnd"/>
      <w:r w:rsidRPr="00686EBD">
        <w:t>) and those with vaccination coverage (≥1 dose) at time points T1 and T2. It incorporates evolutions (changes in proportions), immune profiles implied by the serological and vaccination distributions across risk levels, and multivariate adjusted odds ratios for serological outcomes.</w:t>
      </w:r>
    </w:p>
    <w:sectPr w:rsidR="000A027C" w:rsidRPr="00686EBD" w:rsidSect="005162D3">
      <w:pgSz w:w="15840" w:h="1224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0BBA"/>
    <w:multiLevelType w:val="hybridMultilevel"/>
    <w:tmpl w:val="EAC4E794"/>
    <w:lvl w:ilvl="0" w:tplc="B516836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971CC"/>
    <w:multiLevelType w:val="hybridMultilevel"/>
    <w:tmpl w:val="78F4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941EB3"/>
    <w:multiLevelType w:val="multilevel"/>
    <w:tmpl w:val="ECEE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30D63"/>
    <w:multiLevelType w:val="multilevel"/>
    <w:tmpl w:val="628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A1DF5"/>
    <w:multiLevelType w:val="multilevel"/>
    <w:tmpl w:val="0D2A5BC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D3"/>
    <w:rsid w:val="00003719"/>
    <w:rsid w:val="00015A5A"/>
    <w:rsid w:val="00017C00"/>
    <w:rsid w:val="00035F48"/>
    <w:rsid w:val="000455BA"/>
    <w:rsid w:val="00046F87"/>
    <w:rsid w:val="000726F4"/>
    <w:rsid w:val="00097C85"/>
    <w:rsid w:val="000A027C"/>
    <w:rsid w:val="000F2537"/>
    <w:rsid w:val="0011577E"/>
    <w:rsid w:val="00120F16"/>
    <w:rsid w:val="00122F29"/>
    <w:rsid w:val="001315C2"/>
    <w:rsid w:val="001339FA"/>
    <w:rsid w:val="00182A0D"/>
    <w:rsid w:val="00186B88"/>
    <w:rsid w:val="001A0DB1"/>
    <w:rsid w:val="001D70F0"/>
    <w:rsid w:val="001F45F8"/>
    <w:rsid w:val="00263BF3"/>
    <w:rsid w:val="002A11A4"/>
    <w:rsid w:val="002D169C"/>
    <w:rsid w:val="00320C78"/>
    <w:rsid w:val="00331308"/>
    <w:rsid w:val="003823CD"/>
    <w:rsid w:val="0038344A"/>
    <w:rsid w:val="003A24F8"/>
    <w:rsid w:val="003B53B3"/>
    <w:rsid w:val="003E5798"/>
    <w:rsid w:val="003F1B1E"/>
    <w:rsid w:val="003F3AEB"/>
    <w:rsid w:val="004269B3"/>
    <w:rsid w:val="00426B4D"/>
    <w:rsid w:val="004364C6"/>
    <w:rsid w:val="00441986"/>
    <w:rsid w:val="00470AB7"/>
    <w:rsid w:val="004B01AA"/>
    <w:rsid w:val="004C0118"/>
    <w:rsid w:val="004C1111"/>
    <w:rsid w:val="005162D3"/>
    <w:rsid w:val="005364BB"/>
    <w:rsid w:val="00544565"/>
    <w:rsid w:val="00575310"/>
    <w:rsid w:val="005C4E10"/>
    <w:rsid w:val="005E2C04"/>
    <w:rsid w:val="005F4355"/>
    <w:rsid w:val="00610BD6"/>
    <w:rsid w:val="00630921"/>
    <w:rsid w:val="006758AC"/>
    <w:rsid w:val="00684684"/>
    <w:rsid w:val="00686EBD"/>
    <w:rsid w:val="006C234E"/>
    <w:rsid w:val="006D0136"/>
    <w:rsid w:val="00703F41"/>
    <w:rsid w:val="007539BF"/>
    <w:rsid w:val="0076084C"/>
    <w:rsid w:val="00784830"/>
    <w:rsid w:val="007A010F"/>
    <w:rsid w:val="007D3710"/>
    <w:rsid w:val="007D5260"/>
    <w:rsid w:val="007E1206"/>
    <w:rsid w:val="007F3DC1"/>
    <w:rsid w:val="00841336"/>
    <w:rsid w:val="00845301"/>
    <w:rsid w:val="00846257"/>
    <w:rsid w:val="00851B99"/>
    <w:rsid w:val="00864419"/>
    <w:rsid w:val="00865E0A"/>
    <w:rsid w:val="008E6BDD"/>
    <w:rsid w:val="008F5ED8"/>
    <w:rsid w:val="00900E4D"/>
    <w:rsid w:val="00937A03"/>
    <w:rsid w:val="00942F4B"/>
    <w:rsid w:val="00957788"/>
    <w:rsid w:val="009732E1"/>
    <w:rsid w:val="009744AC"/>
    <w:rsid w:val="00A14A80"/>
    <w:rsid w:val="00A37DE9"/>
    <w:rsid w:val="00A74E31"/>
    <w:rsid w:val="00AA730D"/>
    <w:rsid w:val="00AD57D6"/>
    <w:rsid w:val="00B0423F"/>
    <w:rsid w:val="00B14F3A"/>
    <w:rsid w:val="00B15529"/>
    <w:rsid w:val="00B40783"/>
    <w:rsid w:val="00B705A5"/>
    <w:rsid w:val="00BC1865"/>
    <w:rsid w:val="00BE315E"/>
    <w:rsid w:val="00BE63AC"/>
    <w:rsid w:val="00C47333"/>
    <w:rsid w:val="00C56E75"/>
    <w:rsid w:val="00CE3985"/>
    <w:rsid w:val="00CF6C33"/>
    <w:rsid w:val="00D10B62"/>
    <w:rsid w:val="00D4496A"/>
    <w:rsid w:val="00D470FA"/>
    <w:rsid w:val="00D66316"/>
    <w:rsid w:val="00D7059F"/>
    <w:rsid w:val="00DA20AC"/>
    <w:rsid w:val="00E31E3C"/>
    <w:rsid w:val="00E71E6C"/>
    <w:rsid w:val="00EE18D3"/>
    <w:rsid w:val="00EE5BE7"/>
    <w:rsid w:val="00EF55E3"/>
    <w:rsid w:val="00F03CD3"/>
    <w:rsid w:val="00F3523F"/>
    <w:rsid w:val="00F46AE3"/>
    <w:rsid w:val="00F47261"/>
    <w:rsid w:val="00F47945"/>
    <w:rsid w:val="00F64C79"/>
    <w:rsid w:val="00F81B4B"/>
    <w:rsid w:val="00F91751"/>
    <w:rsid w:val="00F9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6838"/>
  <w15:chartTrackingRefBased/>
  <w15:docId w15:val="{1C89194B-0BB2-41C8-9A7B-EAE43F97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2D3"/>
  </w:style>
  <w:style w:type="paragraph" w:styleId="Titre3">
    <w:name w:val="heading 3"/>
    <w:basedOn w:val="Normal"/>
    <w:link w:val="Titre3Car"/>
    <w:uiPriority w:val="9"/>
    <w:qFormat/>
    <w:rsid w:val="001315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1315C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simple2">
    <w:name w:val="Plain Table 2"/>
    <w:basedOn w:val="TableauNormal"/>
    <w:uiPriority w:val="42"/>
    <w:rsid w:val="005162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agraphedeliste">
    <w:name w:val="List Paragraph"/>
    <w:basedOn w:val="Normal"/>
    <w:uiPriority w:val="34"/>
    <w:qFormat/>
    <w:rsid w:val="005162D3"/>
    <w:pPr>
      <w:ind w:left="720"/>
      <w:contextualSpacing/>
    </w:pPr>
  </w:style>
  <w:style w:type="paragraph" w:styleId="NormalWeb">
    <w:name w:val="Normal (Web)"/>
    <w:basedOn w:val="Normal"/>
    <w:uiPriority w:val="99"/>
    <w:unhideWhenUsed/>
    <w:rsid w:val="00182A0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64419"/>
    <w:rPr>
      <w:b/>
      <w:bCs/>
    </w:rPr>
  </w:style>
  <w:style w:type="character" w:customStyle="1" w:styleId="Titre3Car">
    <w:name w:val="Titre 3 Car"/>
    <w:basedOn w:val="Policepardfaut"/>
    <w:link w:val="Titre3"/>
    <w:uiPriority w:val="9"/>
    <w:rsid w:val="001315C2"/>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1315C2"/>
    <w:rPr>
      <w:rFonts w:ascii="Times New Roman" w:eastAsia="Times New Roman" w:hAnsi="Times New Roman" w:cs="Times New Roman"/>
      <w:b/>
      <w:bCs/>
      <w:sz w:val="24"/>
      <w:szCs w:val="24"/>
    </w:rPr>
  </w:style>
  <w:style w:type="character" w:styleId="Accentuation">
    <w:name w:val="Emphasis"/>
    <w:basedOn w:val="Policepardfaut"/>
    <w:uiPriority w:val="20"/>
    <w:qFormat/>
    <w:rsid w:val="00BE63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5879">
      <w:bodyDiv w:val="1"/>
      <w:marLeft w:val="0"/>
      <w:marRight w:val="0"/>
      <w:marTop w:val="0"/>
      <w:marBottom w:val="0"/>
      <w:divBdr>
        <w:top w:val="none" w:sz="0" w:space="0" w:color="auto"/>
        <w:left w:val="none" w:sz="0" w:space="0" w:color="auto"/>
        <w:bottom w:val="none" w:sz="0" w:space="0" w:color="auto"/>
        <w:right w:val="none" w:sz="0" w:space="0" w:color="auto"/>
      </w:divBdr>
    </w:div>
    <w:div w:id="72944223">
      <w:bodyDiv w:val="1"/>
      <w:marLeft w:val="0"/>
      <w:marRight w:val="0"/>
      <w:marTop w:val="0"/>
      <w:marBottom w:val="0"/>
      <w:divBdr>
        <w:top w:val="none" w:sz="0" w:space="0" w:color="auto"/>
        <w:left w:val="none" w:sz="0" w:space="0" w:color="auto"/>
        <w:bottom w:val="none" w:sz="0" w:space="0" w:color="auto"/>
        <w:right w:val="none" w:sz="0" w:space="0" w:color="auto"/>
      </w:divBdr>
    </w:div>
    <w:div w:id="81998526">
      <w:bodyDiv w:val="1"/>
      <w:marLeft w:val="0"/>
      <w:marRight w:val="0"/>
      <w:marTop w:val="0"/>
      <w:marBottom w:val="0"/>
      <w:divBdr>
        <w:top w:val="none" w:sz="0" w:space="0" w:color="auto"/>
        <w:left w:val="none" w:sz="0" w:space="0" w:color="auto"/>
        <w:bottom w:val="none" w:sz="0" w:space="0" w:color="auto"/>
        <w:right w:val="none" w:sz="0" w:space="0" w:color="auto"/>
      </w:divBdr>
    </w:div>
    <w:div w:id="115756248">
      <w:bodyDiv w:val="1"/>
      <w:marLeft w:val="0"/>
      <w:marRight w:val="0"/>
      <w:marTop w:val="0"/>
      <w:marBottom w:val="0"/>
      <w:divBdr>
        <w:top w:val="none" w:sz="0" w:space="0" w:color="auto"/>
        <w:left w:val="none" w:sz="0" w:space="0" w:color="auto"/>
        <w:bottom w:val="none" w:sz="0" w:space="0" w:color="auto"/>
        <w:right w:val="none" w:sz="0" w:space="0" w:color="auto"/>
      </w:divBdr>
    </w:div>
    <w:div w:id="128016780">
      <w:bodyDiv w:val="1"/>
      <w:marLeft w:val="0"/>
      <w:marRight w:val="0"/>
      <w:marTop w:val="0"/>
      <w:marBottom w:val="0"/>
      <w:divBdr>
        <w:top w:val="none" w:sz="0" w:space="0" w:color="auto"/>
        <w:left w:val="none" w:sz="0" w:space="0" w:color="auto"/>
        <w:bottom w:val="none" w:sz="0" w:space="0" w:color="auto"/>
        <w:right w:val="none" w:sz="0" w:space="0" w:color="auto"/>
      </w:divBdr>
    </w:div>
    <w:div w:id="147862726">
      <w:bodyDiv w:val="1"/>
      <w:marLeft w:val="0"/>
      <w:marRight w:val="0"/>
      <w:marTop w:val="0"/>
      <w:marBottom w:val="0"/>
      <w:divBdr>
        <w:top w:val="none" w:sz="0" w:space="0" w:color="auto"/>
        <w:left w:val="none" w:sz="0" w:space="0" w:color="auto"/>
        <w:bottom w:val="none" w:sz="0" w:space="0" w:color="auto"/>
        <w:right w:val="none" w:sz="0" w:space="0" w:color="auto"/>
      </w:divBdr>
    </w:div>
    <w:div w:id="156460925">
      <w:bodyDiv w:val="1"/>
      <w:marLeft w:val="0"/>
      <w:marRight w:val="0"/>
      <w:marTop w:val="0"/>
      <w:marBottom w:val="0"/>
      <w:divBdr>
        <w:top w:val="none" w:sz="0" w:space="0" w:color="auto"/>
        <w:left w:val="none" w:sz="0" w:space="0" w:color="auto"/>
        <w:bottom w:val="none" w:sz="0" w:space="0" w:color="auto"/>
        <w:right w:val="none" w:sz="0" w:space="0" w:color="auto"/>
      </w:divBdr>
    </w:div>
    <w:div w:id="278532109">
      <w:bodyDiv w:val="1"/>
      <w:marLeft w:val="0"/>
      <w:marRight w:val="0"/>
      <w:marTop w:val="0"/>
      <w:marBottom w:val="0"/>
      <w:divBdr>
        <w:top w:val="none" w:sz="0" w:space="0" w:color="auto"/>
        <w:left w:val="none" w:sz="0" w:space="0" w:color="auto"/>
        <w:bottom w:val="none" w:sz="0" w:space="0" w:color="auto"/>
        <w:right w:val="none" w:sz="0" w:space="0" w:color="auto"/>
      </w:divBdr>
    </w:div>
    <w:div w:id="393085431">
      <w:bodyDiv w:val="1"/>
      <w:marLeft w:val="0"/>
      <w:marRight w:val="0"/>
      <w:marTop w:val="0"/>
      <w:marBottom w:val="0"/>
      <w:divBdr>
        <w:top w:val="none" w:sz="0" w:space="0" w:color="auto"/>
        <w:left w:val="none" w:sz="0" w:space="0" w:color="auto"/>
        <w:bottom w:val="none" w:sz="0" w:space="0" w:color="auto"/>
        <w:right w:val="none" w:sz="0" w:space="0" w:color="auto"/>
      </w:divBdr>
    </w:div>
    <w:div w:id="393743763">
      <w:bodyDiv w:val="1"/>
      <w:marLeft w:val="0"/>
      <w:marRight w:val="0"/>
      <w:marTop w:val="0"/>
      <w:marBottom w:val="0"/>
      <w:divBdr>
        <w:top w:val="none" w:sz="0" w:space="0" w:color="auto"/>
        <w:left w:val="none" w:sz="0" w:space="0" w:color="auto"/>
        <w:bottom w:val="none" w:sz="0" w:space="0" w:color="auto"/>
        <w:right w:val="none" w:sz="0" w:space="0" w:color="auto"/>
      </w:divBdr>
    </w:div>
    <w:div w:id="439112362">
      <w:bodyDiv w:val="1"/>
      <w:marLeft w:val="0"/>
      <w:marRight w:val="0"/>
      <w:marTop w:val="0"/>
      <w:marBottom w:val="0"/>
      <w:divBdr>
        <w:top w:val="none" w:sz="0" w:space="0" w:color="auto"/>
        <w:left w:val="none" w:sz="0" w:space="0" w:color="auto"/>
        <w:bottom w:val="none" w:sz="0" w:space="0" w:color="auto"/>
        <w:right w:val="none" w:sz="0" w:space="0" w:color="auto"/>
      </w:divBdr>
    </w:div>
    <w:div w:id="468398672">
      <w:bodyDiv w:val="1"/>
      <w:marLeft w:val="0"/>
      <w:marRight w:val="0"/>
      <w:marTop w:val="0"/>
      <w:marBottom w:val="0"/>
      <w:divBdr>
        <w:top w:val="none" w:sz="0" w:space="0" w:color="auto"/>
        <w:left w:val="none" w:sz="0" w:space="0" w:color="auto"/>
        <w:bottom w:val="none" w:sz="0" w:space="0" w:color="auto"/>
        <w:right w:val="none" w:sz="0" w:space="0" w:color="auto"/>
      </w:divBdr>
    </w:div>
    <w:div w:id="485632683">
      <w:bodyDiv w:val="1"/>
      <w:marLeft w:val="0"/>
      <w:marRight w:val="0"/>
      <w:marTop w:val="0"/>
      <w:marBottom w:val="0"/>
      <w:divBdr>
        <w:top w:val="none" w:sz="0" w:space="0" w:color="auto"/>
        <w:left w:val="none" w:sz="0" w:space="0" w:color="auto"/>
        <w:bottom w:val="none" w:sz="0" w:space="0" w:color="auto"/>
        <w:right w:val="none" w:sz="0" w:space="0" w:color="auto"/>
      </w:divBdr>
    </w:div>
    <w:div w:id="509756211">
      <w:bodyDiv w:val="1"/>
      <w:marLeft w:val="0"/>
      <w:marRight w:val="0"/>
      <w:marTop w:val="0"/>
      <w:marBottom w:val="0"/>
      <w:divBdr>
        <w:top w:val="none" w:sz="0" w:space="0" w:color="auto"/>
        <w:left w:val="none" w:sz="0" w:space="0" w:color="auto"/>
        <w:bottom w:val="none" w:sz="0" w:space="0" w:color="auto"/>
        <w:right w:val="none" w:sz="0" w:space="0" w:color="auto"/>
      </w:divBdr>
    </w:div>
    <w:div w:id="558175191">
      <w:bodyDiv w:val="1"/>
      <w:marLeft w:val="0"/>
      <w:marRight w:val="0"/>
      <w:marTop w:val="0"/>
      <w:marBottom w:val="0"/>
      <w:divBdr>
        <w:top w:val="none" w:sz="0" w:space="0" w:color="auto"/>
        <w:left w:val="none" w:sz="0" w:space="0" w:color="auto"/>
        <w:bottom w:val="none" w:sz="0" w:space="0" w:color="auto"/>
        <w:right w:val="none" w:sz="0" w:space="0" w:color="auto"/>
      </w:divBdr>
    </w:div>
    <w:div w:id="584454920">
      <w:bodyDiv w:val="1"/>
      <w:marLeft w:val="0"/>
      <w:marRight w:val="0"/>
      <w:marTop w:val="0"/>
      <w:marBottom w:val="0"/>
      <w:divBdr>
        <w:top w:val="none" w:sz="0" w:space="0" w:color="auto"/>
        <w:left w:val="none" w:sz="0" w:space="0" w:color="auto"/>
        <w:bottom w:val="none" w:sz="0" w:space="0" w:color="auto"/>
        <w:right w:val="none" w:sz="0" w:space="0" w:color="auto"/>
      </w:divBdr>
    </w:div>
    <w:div w:id="606618560">
      <w:bodyDiv w:val="1"/>
      <w:marLeft w:val="0"/>
      <w:marRight w:val="0"/>
      <w:marTop w:val="0"/>
      <w:marBottom w:val="0"/>
      <w:divBdr>
        <w:top w:val="none" w:sz="0" w:space="0" w:color="auto"/>
        <w:left w:val="none" w:sz="0" w:space="0" w:color="auto"/>
        <w:bottom w:val="none" w:sz="0" w:space="0" w:color="auto"/>
        <w:right w:val="none" w:sz="0" w:space="0" w:color="auto"/>
      </w:divBdr>
    </w:div>
    <w:div w:id="633557822">
      <w:bodyDiv w:val="1"/>
      <w:marLeft w:val="0"/>
      <w:marRight w:val="0"/>
      <w:marTop w:val="0"/>
      <w:marBottom w:val="0"/>
      <w:divBdr>
        <w:top w:val="none" w:sz="0" w:space="0" w:color="auto"/>
        <w:left w:val="none" w:sz="0" w:space="0" w:color="auto"/>
        <w:bottom w:val="none" w:sz="0" w:space="0" w:color="auto"/>
        <w:right w:val="none" w:sz="0" w:space="0" w:color="auto"/>
      </w:divBdr>
    </w:div>
    <w:div w:id="680737186">
      <w:bodyDiv w:val="1"/>
      <w:marLeft w:val="0"/>
      <w:marRight w:val="0"/>
      <w:marTop w:val="0"/>
      <w:marBottom w:val="0"/>
      <w:divBdr>
        <w:top w:val="none" w:sz="0" w:space="0" w:color="auto"/>
        <w:left w:val="none" w:sz="0" w:space="0" w:color="auto"/>
        <w:bottom w:val="none" w:sz="0" w:space="0" w:color="auto"/>
        <w:right w:val="none" w:sz="0" w:space="0" w:color="auto"/>
      </w:divBdr>
    </w:div>
    <w:div w:id="776481414">
      <w:bodyDiv w:val="1"/>
      <w:marLeft w:val="0"/>
      <w:marRight w:val="0"/>
      <w:marTop w:val="0"/>
      <w:marBottom w:val="0"/>
      <w:divBdr>
        <w:top w:val="none" w:sz="0" w:space="0" w:color="auto"/>
        <w:left w:val="none" w:sz="0" w:space="0" w:color="auto"/>
        <w:bottom w:val="none" w:sz="0" w:space="0" w:color="auto"/>
        <w:right w:val="none" w:sz="0" w:space="0" w:color="auto"/>
      </w:divBdr>
    </w:div>
    <w:div w:id="777332634">
      <w:bodyDiv w:val="1"/>
      <w:marLeft w:val="0"/>
      <w:marRight w:val="0"/>
      <w:marTop w:val="0"/>
      <w:marBottom w:val="0"/>
      <w:divBdr>
        <w:top w:val="none" w:sz="0" w:space="0" w:color="auto"/>
        <w:left w:val="none" w:sz="0" w:space="0" w:color="auto"/>
        <w:bottom w:val="none" w:sz="0" w:space="0" w:color="auto"/>
        <w:right w:val="none" w:sz="0" w:space="0" w:color="auto"/>
      </w:divBdr>
    </w:div>
    <w:div w:id="790902370">
      <w:bodyDiv w:val="1"/>
      <w:marLeft w:val="0"/>
      <w:marRight w:val="0"/>
      <w:marTop w:val="0"/>
      <w:marBottom w:val="0"/>
      <w:divBdr>
        <w:top w:val="none" w:sz="0" w:space="0" w:color="auto"/>
        <w:left w:val="none" w:sz="0" w:space="0" w:color="auto"/>
        <w:bottom w:val="none" w:sz="0" w:space="0" w:color="auto"/>
        <w:right w:val="none" w:sz="0" w:space="0" w:color="auto"/>
      </w:divBdr>
    </w:div>
    <w:div w:id="826550935">
      <w:bodyDiv w:val="1"/>
      <w:marLeft w:val="0"/>
      <w:marRight w:val="0"/>
      <w:marTop w:val="0"/>
      <w:marBottom w:val="0"/>
      <w:divBdr>
        <w:top w:val="none" w:sz="0" w:space="0" w:color="auto"/>
        <w:left w:val="none" w:sz="0" w:space="0" w:color="auto"/>
        <w:bottom w:val="none" w:sz="0" w:space="0" w:color="auto"/>
        <w:right w:val="none" w:sz="0" w:space="0" w:color="auto"/>
      </w:divBdr>
    </w:div>
    <w:div w:id="862397280">
      <w:bodyDiv w:val="1"/>
      <w:marLeft w:val="0"/>
      <w:marRight w:val="0"/>
      <w:marTop w:val="0"/>
      <w:marBottom w:val="0"/>
      <w:divBdr>
        <w:top w:val="none" w:sz="0" w:space="0" w:color="auto"/>
        <w:left w:val="none" w:sz="0" w:space="0" w:color="auto"/>
        <w:bottom w:val="none" w:sz="0" w:space="0" w:color="auto"/>
        <w:right w:val="none" w:sz="0" w:space="0" w:color="auto"/>
      </w:divBdr>
    </w:div>
    <w:div w:id="944313595">
      <w:bodyDiv w:val="1"/>
      <w:marLeft w:val="0"/>
      <w:marRight w:val="0"/>
      <w:marTop w:val="0"/>
      <w:marBottom w:val="0"/>
      <w:divBdr>
        <w:top w:val="none" w:sz="0" w:space="0" w:color="auto"/>
        <w:left w:val="none" w:sz="0" w:space="0" w:color="auto"/>
        <w:bottom w:val="none" w:sz="0" w:space="0" w:color="auto"/>
        <w:right w:val="none" w:sz="0" w:space="0" w:color="auto"/>
      </w:divBdr>
    </w:div>
    <w:div w:id="955872533">
      <w:bodyDiv w:val="1"/>
      <w:marLeft w:val="0"/>
      <w:marRight w:val="0"/>
      <w:marTop w:val="0"/>
      <w:marBottom w:val="0"/>
      <w:divBdr>
        <w:top w:val="none" w:sz="0" w:space="0" w:color="auto"/>
        <w:left w:val="none" w:sz="0" w:space="0" w:color="auto"/>
        <w:bottom w:val="none" w:sz="0" w:space="0" w:color="auto"/>
        <w:right w:val="none" w:sz="0" w:space="0" w:color="auto"/>
      </w:divBdr>
    </w:div>
    <w:div w:id="963124034">
      <w:bodyDiv w:val="1"/>
      <w:marLeft w:val="0"/>
      <w:marRight w:val="0"/>
      <w:marTop w:val="0"/>
      <w:marBottom w:val="0"/>
      <w:divBdr>
        <w:top w:val="none" w:sz="0" w:space="0" w:color="auto"/>
        <w:left w:val="none" w:sz="0" w:space="0" w:color="auto"/>
        <w:bottom w:val="none" w:sz="0" w:space="0" w:color="auto"/>
        <w:right w:val="none" w:sz="0" w:space="0" w:color="auto"/>
      </w:divBdr>
    </w:div>
    <w:div w:id="990445680">
      <w:bodyDiv w:val="1"/>
      <w:marLeft w:val="0"/>
      <w:marRight w:val="0"/>
      <w:marTop w:val="0"/>
      <w:marBottom w:val="0"/>
      <w:divBdr>
        <w:top w:val="none" w:sz="0" w:space="0" w:color="auto"/>
        <w:left w:val="none" w:sz="0" w:space="0" w:color="auto"/>
        <w:bottom w:val="none" w:sz="0" w:space="0" w:color="auto"/>
        <w:right w:val="none" w:sz="0" w:space="0" w:color="auto"/>
      </w:divBdr>
    </w:div>
    <w:div w:id="1006638447">
      <w:bodyDiv w:val="1"/>
      <w:marLeft w:val="0"/>
      <w:marRight w:val="0"/>
      <w:marTop w:val="0"/>
      <w:marBottom w:val="0"/>
      <w:divBdr>
        <w:top w:val="none" w:sz="0" w:space="0" w:color="auto"/>
        <w:left w:val="none" w:sz="0" w:space="0" w:color="auto"/>
        <w:bottom w:val="none" w:sz="0" w:space="0" w:color="auto"/>
        <w:right w:val="none" w:sz="0" w:space="0" w:color="auto"/>
      </w:divBdr>
    </w:div>
    <w:div w:id="1045909733">
      <w:bodyDiv w:val="1"/>
      <w:marLeft w:val="0"/>
      <w:marRight w:val="0"/>
      <w:marTop w:val="0"/>
      <w:marBottom w:val="0"/>
      <w:divBdr>
        <w:top w:val="none" w:sz="0" w:space="0" w:color="auto"/>
        <w:left w:val="none" w:sz="0" w:space="0" w:color="auto"/>
        <w:bottom w:val="none" w:sz="0" w:space="0" w:color="auto"/>
        <w:right w:val="none" w:sz="0" w:space="0" w:color="auto"/>
      </w:divBdr>
    </w:div>
    <w:div w:id="1202134000">
      <w:bodyDiv w:val="1"/>
      <w:marLeft w:val="0"/>
      <w:marRight w:val="0"/>
      <w:marTop w:val="0"/>
      <w:marBottom w:val="0"/>
      <w:divBdr>
        <w:top w:val="none" w:sz="0" w:space="0" w:color="auto"/>
        <w:left w:val="none" w:sz="0" w:space="0" w:color="auto"/>
        <w:bottom w:val="none" w:sz="0" w:space="0" w:color="auto"/>
        <w:right w:val="none" w:sz="0" w:space="0" w:color="auto"/>
      </w:divBdr>
    </w:div>
    <w:div w:id="1230581797">
      <w:bodyDiv w:val="1"/>
      <w:marLeft w:val="0"/>
      <w:marRight w:val="0"/>
      <w:marTop w:val="0"/>
      <w:marBottom w:val="0"/>
      <w:divBdr>
        <w:top w:val="none" w:sz="0" w:space="0" w:color="auto"/>
        <w:left w:val="none" w:sz="0" w:space="0" w:color="auto"/>
        <w:bottom w:val="none" w:sz="0" w:space="0" w:color="auto"/>
        <w:right w:val="none" w:sz="0" w:space="0" w:color="auto"/>
      </w:divBdr>
    </w:div>
    <w:div w:id="1253708536">
      <w:bodyDiv w:val="1"/>
      <w:marLeft w:val="0"/>
      <w:marRight w:val="0"/>
      <w:marTop w:val="0"/>
      <w:marBottom w:val="0"/>
      <w:divBdr>
        <w:top w:val="none" w:sz="0" w:space="0" w:color="auto"/>
        <w:left w:val="none" w:sz="0" w:space="0" w:color="auto"/>
        <w:bottom w:val="none" w:sz="0" w:space="0" w:color="auto"/>
        <w:right w:val="none" w:sz="0" w:space="0" w:color="auto"/>
      </w:divBdr>
    </w:div>
    <w:div w:id="1261571318">
      <w:bodyDiv w:val="1"/>
      <w:marLeft w:val="0"/>
      <w:marRight w:val="0"/>
      <w:marTop w:val="0"/>
      <w:marBottom w:val="0"/>
      <w:divBdr>
        <w:top w:val="none" w:sz="0" w:space="0" w:color="auto"/>
        <w:left w:val="none" w:sz="0" w:space="0" w:color="auto"/>
        <w:bottom w:val="none" w:sz="0" w:space="0" w:color="auto"/>
        <w:right w:val="none" w:sz="0" w:space="0" w:color="auto"/>
      </w:divBdr>
    </w:div>
    <w:div w:id="1266353074">
      <w:bodyDiv w:val="1"/>
      <w:marLeft w:val="0"/>
      <w:marRight w:val="0"/>
      <w:marTop w:val="0"/>
      <w:marBottom w:val="0"/>
      <w:divBdr>
        <w:top w:val="none" w:sz="0" w:space="0" w:color="auto"/>
        <w:left w:val="none" w:sz="0" w:space="0" w:color="auto"/>
        <w:bottom w:val="none" w:sz="0" w:space="0" w:color="auto"/>
        <w:right w:val="none" w:sz="0" w:space="0" w:color="auto"/>
      </w:divBdr>
    </w:div>
    <w:div w:id="1290207275">
      <w:bodyDiv w:val="1"/>
      <w:marLeft w:val="0"/>
      <w:marRight w:val="0"/>
      <w:marTop w:val="0"/>
      <w:marBottom w:val="0"/>
      <w:divBdr>
        <w:top w:val="none" w:sz="0" w:space="0" w:color="auto"/>
        <w:left w:val="none" w:sz="0" w:space="0" w:color="auto"/>
        <w:bottom w:val="none" w:sz="0" w:space="0" w:color="auto"/>
        <w:right w:val="none" w:sz="0" w:space="0" w:color="auto"/>
      </w:divBdr>
    </w:div>
    <w:div w:id="1329092949">
      <w:bodyDiv w:val="1"/>
      <w:marLeft w:val="0"/>
      <w:marRight w:val="0"/>
      <w:marTop w:val="0"/>
      <w:marBottom w:val="0"/>
      <w:divBdr>
        <w:top w:val="none" w:sz="0" w:space="0" w:color="auto"/>
        <w:left w:val="none" w:sz="0" w:space="0" w:color="auto"/>
        <w:bottom w:val="none" w:sz="0" w:space="0" w:color="auto"/>
        <w:right w:val="none" w:sz="0" w:space="0" w:color="auto"/>
      </w:divBdr>
    </w:div>
    <w:div w:id="1376660423">
      <w:bodyDiv w:val="1"/>
      <w:marLeft w:val="0"/>
      <w:marRight w:val="0"/>
      <w:marTop w:val="0"/>
      <w:marBottom w:val="0"/>
      <w:divBdr>
        <w:top w:val="none" w:sz="0" w:space="0" w:color="auto"/>
        <w:left w:val="none" w:sz="0" w:space="0" w:color="auto"/>
        <w:bottom w:val="none" w:sz="0" w:space="0" w:color="auto"/>
        <w:right w:val="none" w:sz="0" w:space="0" w:color="auto"/>
      </w:divBdr>
    </w:div>
    <w:div w:id="1387610419">
      <w:bodyDiv w:val="1"/>
      <w:marLeft w:val="0"/>
      <w:marRight w:val="0"/>
      <w:marTop w:val="0"/>
      <w:marBottom w:val="0"/>
      <w:divBdr>
        <w:top w:val="none" w:sz="0" w:space="0" w:color="auto"/>
        <w:left w:val="none" w:sz="0" w:space="0" w:color="auto"/>
        <w:bottom w:val="none" w:sz="0" w:space="0" w:color="auto"/>
        <w:right w:val="none" w:sz="0" w:space="0" w:color="auto"/>
      </w:divBdr>
    </w:div>
    <w:div w:id="1543401438">
      <w:bodyDiv w:val="1"/>
      <w:marLeft w:val="0"/>
      <w:marRight w:val="0"/>
      <w:marTop w:val="0"/>
      <w:marBottom w:val="0"/>
      <w:divBdr>
        <w:top w:val="none" w:sz="0" w:space="0" w:color="auto"/>
        <w:left w:val="none" w:sz="0" w:space="0" w:color="auto"/>
        <w:bottom w:val="none" w:sz="0" w:space="0" w:color="auto"/>
        <w:right w:val="none" w:sz="0" w:space="0" w:color="auto"/>
      </w:divBdr>
    </w:div>
    <w:div w:id="1555195508">
      <w:bodyDiv w:val="1"/>
      <w:marLeft w:val="0"/>
      <w:marRight w:val="0"/>
      <w:marTop w:val="0"/>
      <w:marBottom w:val="0"/>
      <w:divBdr>
        <w:top w:val="none" w:sz="0" w:space="0" w:color="auto"/>
        <w:left w:val="none" w:sz="0" w:space="0" w:color="auto"/>
        <w:bottom w:val="none" w:sz="0" w:space="0" w:color="auto"/>
        <w:right w:val="none" w:sz="0" w:space="0" w:color="auto"/>
      </w:divBdr>
    </w:div>
    <w:div w:id="1581132341">
      <w:bodyDiv w:val="1"/>
      <w:marLeft w:val="0"/>
      <w:marRight w:val="0"/>
      <w:marTop w:val="0"/>
      <w:marBottom w:val="0"/>
      <w:divBdr>
        <w:top w:val="none" w:sz="0" w:space="0" w:color="auto"/>
        <w:left w:val="none" w:sz="0" w:space="0" w:color="auto"/>
        <w:bottom w:val="none" w:sz="0" w:space="0" w:color="auto"/>
        <w:right w:val="none" w:sz="0" w:space="0" w:color="auto"/>
      </w:divBdr>
    </w:div>
    <w:div w:id="1586836993">
      <w:bodyDiv w:val="1"/>
      <w:marLeft w:val="0"/>
      <w:marRight w:val="0"/>
      <w:marTop w:val="0"/>
      <w:marBottom w:val="0"/>
      <w:divBdr>
        <w:top w:val="none" w:sz="0" w:space="0" w:color="auto"/>
        <w:left w:val="none" w:sz="0" w:space="0" w:color="auto"/>
        <w:bottom w:val="none" w:sz="0" w:space="0" w:color="auto"/>
        <w:right w:val="none" w:sz="0" w:space="0" w:color="auto"/>
      </w:divBdr>
    </w:div>
    <w:div w:id="1595475614">
      <w:bodyDiv w:val="1"/>
      <w:marLeft w:val="0"/>
      <w:marRight w:val="0"/>
      <w:marTop w:val="0"/>
      <w:marBottom w:val="0"/>
      <w:divBdr>
        <w:top w:val="none" w:sz="0" w:space="0" w:color="auto"/>
        <w:left w:val="none" w:sz="0" w:space="0" w:color="auto"/>
        <w:bottom w:val="none" w:sz="0" w:space="0" w:color="auto"/>
        <w:right w:val="none" w:sz="0" w:space="0" w:color="auto"/>
      </w:divBdr>
    </w:div>
    <w:div w:id="1617523180">
      <w:bodyDiv w:val="1"/>
      <w:marLeft w:val="0"/>
      <w:marRight w:val="0"/>
      <w:marTop w:val="0"/>
      <w:marBottom w:val="0"/>
      <w:divBdr>
        <w:top w:val="none" w:sz="0" w:space="0" w:color="auto"/>
        <w:left w:val="none" w:sz="0" w:space="0" w:color="auto"/>
        <w:bottom w:val="none" w:sz="0" w:space="0" w:color="auto"/>
        <w:right w:val="none" w:sz="0" w:space="0" w:color="auto"/>
      </w:divBdr>
    </w:div>
    <w:div w:id="1712419125">
      <w:bodyDiv w:val="1"/>
      <w:marLeft w:val="0"/>
      <w:marRight w:val="0"/>
      <w:marTop w:val="0"/>
      <w:marBottom w:val="0"/>
      <w:divBdr>
        <w:top w:val="none" w:sz="0" w:space="0" w:color="auto"/>
        <w:left w:val="none" w:sz="0" w:space="0" w:color="auto"/>
        <w:bottom w:val="none" w:sz="0" w:space="0" w:color="auto"/>
        <w:right w:val="none" w:sz="0" w:space="0" w:color="auto"/>
      </w:divBdr>
    </w:div>
    <w:div w:id="1727948712">
      <w:bodyDiv w:val="1"/>
      <w:marLeft w:val="0"/>
      <w:marRight w:val="0"/>
      <w:marTop w:val="0"/>
      <w:marBottom w:val="0"/>
      <w:divBdr>
        <w:top w:val="none" w:sz="0" w:space="0" w:color="auto"/>
        <w:left w:val="none" w:sz="0" w:space="0" w:color="auto"/>
        <w:bottom w:val="none" w:sz="0" w:space="0" w:color="auto"/>
        <w:right w:val="none" w:sz="0" w:space="0" w:color="auto"/>
      </w:divBdr>
    </w:div>
    <w:div w:id="1737901385">
      <w:bodyDiv w:val="1"/>
      <w:marLeft w:val="0"/>
      <w:marRight w:val="0"/>
      <w:marTop w:val="0"/>
      <w:marBottom w:val="0"/>
      <w:divBdr>
        <w:top w:val="none" w:sz="0" w:space="0" w:color="auto"/>
        <w:left w:val="none" w:sz="0" w:space="0" w:color="auto"/>
        <w:bottom w:val="none" w:sz="0" w:space="0" w:color="auto"/>
        <w:right w:val="none" w:sz="0" w:space="0" w:color="auto"/>
      </w:divBdr>
    </w:div>
    <w:div w:id="1745029707">
      <w:bodyDiv w:val="1"/>
      <w:marLeft w:val="0"/>
      <w:marRight w:val="0"/>
      <w:marTop w:val="0"/>
      <w:marBottom w:val="0"/>
      <w:divBdr>
        <w:top w:val="none" w:sz="0" w:space="0" w:color="auto"/>
        <w:left w:val="none" w:sz="0" w:space="0" w:color="auto"/>
        <w:bottom w:val="none" w:sz="0" w:space="0" w:color="auto"/>
        <w:right w:val="none" w:sz="0" w:space="0" w:color="auto"/>
      </w:divBdr>
    </w:div>
    <w:div w:id="1748073742">
      <w:bodyDiv w:val="1"/>
      <w:marLeft w:val="0"/>
      <w:marRight w:val="0"/>
      <w:marTop w:val="0"/>
      <w:marBottom w:val="0"/>
      <w:divBdr>
        <w:top w:val="none" w:sz="0" w:space="0" w:color="auto"/>
        <w:left w:val="none" w:sz="0" w:space="0" w:color="auto"/>
        <w:bottom w:val="none" w:sz="0" w:space="0" w:color="auto"/>
        <w:right w:val="none" w:sz="0" w:space="0" w:color="auto"/>
      </w:divBdr>
    </w:div>
    <w:div w:id="1821993865">
      <w:bodyDiv w:val="1"/>
      <w:marLeft w:val="0"/>
      <w:marRight w:val="0"/>
      <w:marTop w:val="0"/>
      <w:marBottom w:val="0"/>
      <w:divBdr>
        <w:top w:val="none" w:sz="0" w:space="0" w:color="auto"/>
        <w:left w:val="none" w:sz="0" w:space="0" w:color="auto"/>
        <w:bottom w:val="none" w:sz="0" w:space="0" w:color="auto"/>
        <w:right w:val="none" w:sz="0" w:space="0" w:color="auto"/>
      </w:divBdr>
    </w:div>
    <w:div w:id="1838036138">
      <w:bodyDiv w:val="1"/>
      <w:marLeft w:val="0"/>
      <w:marRight w:val="0"/>
      <w:marTop w:val="0"/>
      <w:marBottom w:val="0"/>
      <w:divBdr>
        <w:top w:val="none" w:sz="0" w:space="0" w:color="auto"/>
        <w:left w:val="none" w:sz="0" w:space="0" w:color="auto"/>
        <w:bottom w:val="none" w:sz="0" w:space="0" w:color="auto"/>
        <w:right w:val="none" w:sz="0" w:space="0" w:color="auto"/>
      </w:divBdr>
    </w:div>
    <w:div w:id="1872497653">
      <w:bodyDiv w:val="1"/>
      <w:marLeft w:val="0"/>
      <w:marRight w:val="0"/>
      <w:marTop w:val="0"/>
      <w:marBottom w:val="0"/>
      <w:divBdr>
        <w:top w:val="none" w:sz="0" w:space="0" w:color="auto"/>
        <w:left w:val="none" w:sz="0" w:space="0" w:color="auto"/>
        <w:bottom w:val="none" w:sz="0" w:space="0" w:color="auto"/>
        <w:right w:val="none" w:sz="0" w:space="0" w:color="auto"/>
      </w:divBdr>
    </w:div>
    <w:div w:id="1918787335">
      <w:bodyDiv w:val="1"/>
      <w:marLeft w:val="0"/>
      <w:marRight w:val="0"/>
      <w:marTop w:val="0"/>
      <w:marBottom w:val="0"/>
      <w:divBdr>
        <w:top w:val="none" w:sz="0" w:space="0" w:color="auto"/>
        <w:left w:val="none" w:sz="0" w:space="0" w:color="auto"/>
        <w:bottom w:val="none" w:sz="0" w:space="0" w:color="auto"/>
        <w:right w:val="none" w:sz="0" w:space="0" w:color="auto"/>
      </w:divBdr>
    </w:div>
    <w:div w:id="1983270517">
      <w:bodyDiv w:val="1"/>
      <w:marLeft w:val="0"/>
      <w:marRight w:val="0"/>
      <w:marTop w:val="0"/>
      <w:marBottom w:val="0"/>
      <w:divBdr>
        <w:top w:val="none" w:sz="0" w:space="0" w:color="auto"/>
        <w:left w:val="none" w:sz="0" w:space="0" w:color="auto"/>
        <w:bottom w:val="none" w:sz="0" w:space="0" w:color="auto"/>
        <w:right w:val="none" w:sz="0" w:space="0" w:color="auto"/>
      </w:divBdr>
    </w:div>
    <w:div w:id="1997490752">
      <w:bodyDiv w:val="1"/>
      <w:marLeft w:val="0"/>
      <w:marRight w:val="0"/>
      <w:marTop w:val="0"/>
      <w:marBottom w:val="0"/>
      <w:divBdr>
        <w:top w:val="none" w:sz="0" w:space="0" w:color="auto"/>
        <w:left w:val="none" w:sz="0" w:space="0" w:color="auto"/>
        <w:bottom w:val="none" w:sz="0" w:space="0" w:color="auto"/>
        <w:right w:val="none" w:sz="0" w:space="0" w:color="auto"/>
      </w:divBdr>
    </w:div>
    <w:div w:id="2026898882">
      <w:bodyDiv w:val="1"/>
      <w:marLeft w:val="0"/>
      <w:marRight w:val="0"/>
      <w:marTop w:val="0"/>
      <w:marBottom w:val="0"/>
      <w:divBdr>
        <w:top w:val="none" w:sz="0" w:space="0" w:color="auto"/>
        <w:left w:val="none" w:sz="0" w:space="0" w:color="auto"/>
        <w:bottom w:val="none" w:sz="0" w:space="0" w:color="auto"/>
        <w:right w:val="none" w:sz="0" w:space="0" w:color="auto"/>
      </w:divBdr>
    </w:div>
    <w:div w:id="205600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12</Pages>
  <Words>3018</Words>
  <Characters>17208</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Momou</dc:creator>
  <cp:keywords/>
  <dc:description/>
  <cp:lastModifiedBy>Momou</cp:lastModifiedBy>
  <cp:revision>206</cp:revision>
  <dcterms:created xsi:type="dcterms:W3CDTF">2025-12-31T21:12:00Z</dcterms:created>
  <dcterms:modified xsi:type="dcterms:W3CDTF">2026-01-22T21:25:00Z</dcterms:modified>
</cp:coreProperties>
</file>