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8362E" w14:textId="77777777" w:rsidR="00401E72" w:rsidRPr="00401E72" w:rsidRDefault="00401E72" w:rsidP="00D44092">
      <w:pPr>
        <w:pStyle w:val="Titre1"/>
        <w:jc w:val="center"/>
        <w:rPr>
          <w:lang w:val="en-GB"/>
        </w:rPr>
      </w:pPr>
      <w:r w:rsidRPr="00401E72">
        <w:rPr>
          <w:lang w:val="en-GB"/>
        </w:rPr>
        <w:t>Supplemental material</w:t>
      </w:r>
    </w:p>
    <w:p w14:paraId="64B34A58" w14:textId="77777777" w:rsidR="00401E72" w:rsidRPr="0098374C" w:rsidRDefault="00401E72" w:rsidP="00401E72">
      <w:pPr>
        <w:rPr>
          <w:b/>
          <w:bCs/>
          <w:lang w:val="en-US"/>
        </w:rPr>
      </w:pPr>
      <w:r w:rsidRPr="0098374C">
        <w:rPr>
          <w:b/>
          <w:bCs/>
          <w:lang w:val="en-US"/>
        </w:rPr>
        <w:t>Table S1: PRISMA checklist</w:t>
      </w:r>
    </w:p>
    <w:p w14:paraId="4D37F553" w14:textId="77777777" w:rsidR="00401E72" w:rsidRPr="0098374C" w:rsidRDefault="00401E72" w:rsidP="00401E72">
      <w:pPr>
        <w:rPr>
          <w:b/>
          <w:bCs/>
          <w:lang w:val="en-US"/>
        </w:rPr>
      </w:pPr>
      <w:r w:rsidRPr="0098374C">
        <w:rPr>
          <w:b/>
          <w:bCs/>
          <w:lang w:val="en-US"/>
        </w:rPr>
        <w:t>Table S2: Detailed search queries for PubMed, Scopus and IEEE</w:t>
      </w:r>
    </w:p>
    <w:p w14:paraId="76CB4572" w14:textId="77777777" w:rsidR="00401E72" w:rsidRPr="0098374C" w:rsidRDefault="00401E72" w:rsidP="00401E72">
      <w:pPr>
        <w:rPr>
          <w:b/>
          <w:bCs/>
          <w:lang w:val="en-US"/>
        </w:rPr>
      </w:pPr>
      <w:r w:rsidRPr="0098374C">
        <w:rPr>
          <w:b/>
          <w:bCs/>
          <w:lang w:val="en-US"/>
        </w:rPr>
        <w:t>Table S3: Q</w:t>
      </w:r>
      <w:r>
        <w:rPr>
          <w:b/>
          <w:bCs/>
          <w:lang w:val="en-US"/>
        </w:rPr>
        <w:t>u</w:t>
      </w:r>
      <w:r w:rsidRPr="0098374C">
        <w:rPr>
          <w:b/>
          <w:bCs/>
          <w:lang w:val="en-US"/>
        </w:rPr>
        <w:t>ADS criteria adapted for this review</w:t>
      </w:r>
    </w:p>
    <w:p w14:paraId="6F340D83" w14:textId="77777777" w:rsidR="00401E72" w:rsidRPr="0098374C" w:rsidRDefault="00401E72" w:rsidP="00401E72">
      <w:pPr>
        <w:rPr>
          <w:b/>
          <w:bCs/>
          <w:lang w:val="en-US"/>
        </w:rPr>
      </w:pPr>
      <w:r w:rsidRPr="0098374C">
        <w:rPr>
          <w:b/>
          <w:bCs/>
          <w:lang w:val="en-US"/>
        </w:rPr>
        <w:t>Table S4: List of networks and articles that presented them</w:t>
      </w:r>
    </w:p>
    <w:p w14:paraId="3AF75865" w14:textId="77777777" w:rsidR="00401E72" w:rsidRPr="00E274F8" w:rsidRDefault="00401E72" w:rsidP="00401E72">
      <w:pPr>
        <w:rPr>
          <w:b/>
          <w:bCs/>
          <w:lang w:val="en-GB"/>
        </w:rPr>
      </w:pPr>
      <w:r w:rsidRPr="00E274F8">
        <w:rPr>
          <w:b/>
          <w:lang w:val="en-GB"/>
        </w:rPr>
        <w:t>Table S</w:t>
      </w:r>
      <w:r>
        <w:rPr>
          <w:b/>
          <w:lang w:val="en-GB"/>
        </w:rPr>
        <w:t>5</w:t>
      </w:r>
      <w:r w:rsidRPr="00E274F8">
        <w:rPr>
          <w:b/>
          <w:lang w:val="en-GB"/>
        </w:rPr>
        <w:t xml:space="preserve">: </w:t>
      </w:r>
      <w:r w:rsidRPr="00E274F8">
        <w:rPr>
          <w:b/>
          <w:bCs/>
          <w:lang w:val="en-GB"/>
        </w:rPr>
        <w:t>Maximum delay between two consecutive hospital stays to be considered a patient</w:t>
      </w:r>
      <w:r>
        <w:rPr>
          <w:b/>
          <w:bCs/>
          <w:lang w:val="en-GB"/>
        </w:rPr>
        <w:t xml:space="preserve"> transfer</w:t>
      </w:r>
      <w:r w:rsidRPr="00E274F8">
        <w:rPr>
          <w:b/>
          <w:bCs/>
          <w:lang w:val="en-GB"/>
        </w:rPr>
        <w:t>.</w:t>
      </w:r>
    </w:p>
    <w:p w14:paraId="3E06F3A2" w14:textId="77777777" w:rsidR="00401E72" w:rsidRDefault="00401E72" w:rsidP="00401E72">
      <w:pPr>
        <w:rPr>
          <w:b/>
          <w:bCs/>
          <w:lang w:val="en-US"/>
        </w:rPr>
      </w:pPr>
      <w:r w:rsidRPr="0098374C">
        <w:rPr>
          <w:b/>
          <w:bCs/>
          <w:lang w:val="en-US"/>
        </w:rPr>
        <w:t>Table S</w:t>
      </w:r>
      <w:r>
        <w:rPr>
          <w:b/>
          <w:bCs/>
          <w:lang w:val="en-US"/>
        </w:rPr>
        <w:t>6</w:t>
      </w:r>
      <w:r w:rsidRPr="0098374C">
        <w:rPr>
          <w:b/>
          <w:bCs/>
          <w:lang w:val="en-US"/>
        </w:rPr>
        <w:t>: Metrics used in the articles to describe the networks</w:t>
      </w:r>
    </w:p>
    <w:p w14:paraId="2BBD58A2" w14:textId="77777777" w:rsidR="00401E72" w:rsidRPr="0098374C" w:rsidRDefault="00401E72" w:rsidP="00401E72">
      <w:pPr>
        <w:rPr>
          <w:b/>
          <w:bCs/>
          <w:lang w:val="en-US"/>
        </w:rPr>
      </w:pPr>
      <w:r>
        <w:rPr>
          <w:b/>
          <w:bCs/>
          <w:lang w:val="en-US"/>
        </w:rPr>
        <w:t xml:space="preserve">Table S7: </w:t>
      </w:r>
      <w:r w:rsidRPr="00FB461D">
        <w:rPr>
          <w:b/>
          <w:bCs/>
          <w:lang w:val="en-US"/>
        </w:rPr>
        <w:t>Confidence assessment scores of all included articles</w:t>
      </w:r>
    </w:p>
    <w:p w14:paraId="19FDFCF8" w14:textId="77777777" w:rsidR="00401E72" w:rsidRPr="0098374C" w:rsidRDefault="00401E72" w:rsidP="00401E72">
      <w:pPr>
        <w:rPr>
          <w:b/>
          <w:bCs/>
          <w:lang w:val="en-US"/>
        </w:rPr>
      </w:pPr>
      <w:r w:rsidRPr="0098374C">
        <w:rPr>
          <w:b/>
          <w:bCs/>
          <w:lang w:val="en-US"/>
        </w:rPr>
        <w:t>Figure S1: Types and duration of databases in the networks</w:t>
      </w:r>
    </w:p>
    <w:p w14:paraId="3FDE7FD3" w14:textId="77777777" w:rsidR="00401E72" w:rsidRPr="0098374C" w:rsidRDefault="00401E72" w:rsidP="00401E72">
      <w:pPr>
        <w:rPr>
          <w:b/>
          <w:bCs/>
          <w:lang w:val="en-US"/>
        </w:rPr>
      </w:pPr>
      <w:r w:rsidRPr="0098374C">
        <w:rPr>
          <w:b/>
          <w:bCs/>
          <w:lang w:val="en-US"/>
        </w:rPr>
        <w:t>Figure S2: Network characteristics for each network-article combination</w:t>
      </w:r>
    </w:p>
    <w:p w14:paraId="55DA914D" w14:textId="77777777" w:rsidR="00401E72" w:rsidRPr="00E11CE0" w:rsidRDefault="00401E72" w:rsidP="00401E72">
      <w:pPr>
        <w:rPr>
          <w:rFonts w:eastAsiaTheme="majorEastAsia" w:cstheme="minorHAnsi"/>
          <w:b/>
          <w:bCs/>
          <w:sz w:val="26"/>
          <w:szCs w:val="26"/>
          <w:lang w:val="en-US"/>
        </w:rPr>
      </w:pPr>
      <w:r w:rsidRPr="00E11CE0">
        <w:rPr>
          <w:lang w:val="en-US"/>
        </w:rPr>
        <w:br w:type="page"/>
      </w:r>
    </w:p>
    <w:p w14:paraId="06DE67AD" w14:textId="27954E23" w:rsidR="00401E72" w:rsidRDefault="00401E72" w:rsidP="0092625D">
      <w:pPr>
        <w:pStyle w:val="Titre2"/>
        <w:rPr>
          <w:lang w:val="en-US"/>
        </w:rPr>
      </w:pPr>
      <w:r>
        <w:rPr>
          <w:lang w:val="en-US"/>
        </w:rPr>
        <w:lastRenderedPageBreak/>
        <w:t>Table S1: PRISMA checklist</w:t>
      </w:r>
    </w:p>
    <w:tbl>
      <w:tblPr>
        <w:tblW w:w="0" w:type="auto"/>
        <w:tblBorders>
          <w:top w:val="nil"/>
          <w:left w:val="nil"/>
          <w:bottom w:val="nil"/>
          <w:right w:val="nil"/>
        </w:tblBorders>
        <w:tblLook w:val="0000" w:firstRow="0" w:lastRow="0" w:firstColumn="0" w:lastColumn="0" w:noHBand="0" w:noVBand="0"/>
      </w:tblPr>
      <w:tblGrid>
        <w:gridCol w:w="1752"/>
        <w:gridCol w:w="611"/>
        <w:gridCol w:w="5269"/>
        <w:gridCol w:w="1428"/>
      </w:tblGrid>
      <w:tr w:rsidR="00401E72" w:rsidRPr="00591E52" w14:paraId="6786F333" w14:textId="77777777" w:rsidTr="00A21BAE">
        <w:trPr>
          <w:trHeight w:val="65"/>
          <w:tblHeader/>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1D3C197D" w14:textId="77777777" w:rsidR="00401E72" w:rsidRPr="00930A31" w:rsidRDefault="00401E72" w:rsidP="00A21BAE">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25AA8862" w14:textId="77777777" w:rsidR="00401E72" w:rsidRPr="00930A31" w:rsidRDefault="00401E72" w:rsidP="00A21BAE">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1A3EE561" w14:textId="77777777" w:rsidR="00401E72" w:rsidRPr="00930A31" w:rsidRDefault="00401E72" w:rsidP="00A21BAE">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79F2828A" w14:textId="77777777" w:rsidR="00401E72" w:rsidRPr="00930A31" w:rsidRDefault="00401E72" w:rsidP="00A21BAE">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401E72" w:rsidRPr="004C1685" w14:paraId="266E62AF" w14:textId="77777777" w:rsidTr="00A21BAE">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F2CCA2A" w14:textId="77777777" w:rsidR="00401E72" w:rsidRPr="00930A31" w:rsidRDefault="00401E72" w:rsidP="00A21BAE">
            <w:pPr>
              <w:pStyle w:val="Default"/>
              <w:rPr>
                <w:rFonts w:ascii="Arial" w:hAnsi="Arial" w:cs="Arial"/>
                <w:sz w:val="18"/>
                <w:szCs w:val="18"/>
              </w:rPr>
            </w:pPr>
            <w:r w:rsidRPr="00930A31">
              <w:rPr>
                <w:rFonts w:ascii="Arial" w:hAnsi="Arial" w:cs="Arial"/>
                <w:b/>
                <w:bCs/>
                <w:sz w:val="18"/>
                <w:szCs w:val="18"/>
              </w:rPr>
              <w:t xml:space="preserve">TITLE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3454708B" w14:textId="77777777" w:rsidR="00401E72" w:rsidRPr="00930A31" w:rsidRDefault="00401E72" w:rsidP="00A21BAE">
            <w:pPr>
              <w:pStyle w:val="Default"/>
              <w:jc w:val="right"/>
              <w:rPr>
                <w:rFonts w:ascii="Arial" w:hAnsi="Arial" w:cs="Arial"/>
                <w:color w:val="auto"/>
                <w:sz w:val="18"/>
                <w:szCs w:val="18"/>
              </w:rPr>
            </w:pPr>
          </w:p>
        </w:tc>
      </w:tr>
      <w:tr w:rsidR="00401E72" w:rsidRPr="00836580" w14:paraId="48B60516" w14:textId="77777777" w:rsidTr="00A21BAE">
        <w:trPr>
          <w:trHeight w:val="48"/>
        </w:trPr>
        <w:tc>
          <w:tcPr>
            <w:tcW w:w="0" w:type="auto"/>
            <w:tcBorders>
              <w:top w:val="single" w:sz="5" w:space="0" w:color="000000"/>
              <w:left w:val="single" w:sz="5" w:space="0" w:color="000000"/>
              <w:bottom w:val="double" w:sz="2" w:space="0" w:color="FFFFCC"/>
              <w:right w:val="single" w:sz="5" w:space="0" w:color="000000"/>
            </w:tcBorders>
          </w:tcPr>
          <w:p w14:paraId="73CC936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0" w:type="auto"/>
            <w:tcBorders>
              <w:top w:val="single" w:sz="5" w:space="0" w:color="000000"/>
              <w:left w:val="single" w:sz="5" w:space="0" w:color="000000"/>
              <w:bottom w:val="double" w:sz="2" w:space="0" w:color="FFFFCC"/>
              <w:right w:val="single" w:sz="5" w:space="0" w:color="000000"/>
            </w:tcBorders>
          </w:tcPr>
          <w:p w14:paraId="0A401A0F"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w:t>
            </w:r>
          </w:p>
        </w:tc>
        <w:tc>
          <w:tcPr>
            <w:tcW w:w="0" w:type="auto"/>
            <w:tcBorders>
              <w:top w:val="single" w:sz="5" w:space="0" w:color="000000"/>
              <w:left w:val="single" w:sz="5" w:space="0" w:color="000000"/>
              <w:bottom w:val="double" w:sz="5" w:space="0" w:color="000000"/>
              <w:right w:val="single" w:sz="5" w:space="0" w:color="000000"/>
            </w:tcBorders>
          </w:tcPr>
          <w:p w14:paraId="58346F1D"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0" w:type="auto"/>
            <w:tcBorders>
              <w:top w:val="single" w:sz="5" w:space="0" w:color="000000"/>
              <w:left w:val="single" w:sz="5" w:space="0" w:color="000000"/>
              <w:bottom w:val="double" w:sz="5" w:space="0" w:color="000000"/>
              <w:right w:val="single" w:sz="5" w:space="0" w:color="000000"/>
            </w:tcBorders>
          </w:tcPr>
          <w:p w14:paraId="6E97982E"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T</w:t>
            </w:r>
            <w:r>
              <w:rPr>
                <w:rFonts w:ascii="Arial" w:hAnsi="Arial" w:cs="Arial"/>
                <w:sz w:val="18"/>
                <w:szCs w:val="18"/>
              </w:rPr>
              <w:t>itle</w:t>
            </w:r>
          </w:p>
        </w:tc>
      </w:tr>
      <w:tr w:rsidR="00401E72" w:rsidRPr="004C1685" w14:paraId="2AAB6595" w14:textId="77777777" w:rsidTr="00A21BAE">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EDF7E2" w14:textId="77777777" w:rsidR="00401E72" w:rsidRPr="00930A31" w:rsidRDefault="00401E72" w:rsidP="00A21BAE">
            <w:pPr>
              <w:pStyle w:val="Default"/>
              <w:rPr>
                <w:rFonts w:ascii="Arial" w:hAnsi="Arial" w:cs="Arial"/>
                <w:sz w:val="18"/>
                <w:szCs w:val="18"/>
              </w:rPr>
            </w:pPr>
            <w:r w:rsidRPr="00930A31">
              <w:rPr>
                <w:rFonts w:ascii="Arial" w:hAnsi="Arial" w:cs="Arial"/>
                <w:b/>
                <w:bCs/>
                <w:sz w:val="18"/>
                <w:szCs w:val="18"/>
              </w:rPr>
              <w:t xml:space="preserve">ABSTRACT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094B593E" w14:textId="77777777" w:rsidR="00401E72" w:rsidRPr="00930A31" w:rsidRDefault="00401E72" w:rsidP="00A21BAE">
            <w:pPr>
              <w:pStyle w:val="Default"/>
              <w:jc w:val="right"/>
              <w:rPr>
                <w:rFonts w:ascii="Arial" w:hAnsi="Arial" w:cs="Arial"/>
                <w:color w:val="auto"/>
                <w:sz w:val="18"/>
                <w:szCs w:val="18"/>
              </w:rPr>
            </w:pPr>
          </w:p>
        </w:tc>
      </w:tr>
      <w:tr w:rsidR="00401E72" w:rsidRPr="00836580" w14:paraId="3BFC9CCD" w14:textId="77777777" w:rsidTr="00A21BAE">
        <w:trPr>
          <w:trHeight w:val="48"/>
        </w:trPr>
        <w:tc>
          <w:tcPr>
            <w:tcW w:w="0" w:type="auto"/>
            <w:tcBorders>
              <w:top w:val="single" w:sz="5" w:space="0" w:color="000000"/>
              <w:left w:val="single" w:sz="5" w:space="0" w:color="000000"/>
              <w:bottom w:val="double" w:sz="2" w:space="0" w:color="FFFFCC"/>
              <w:right w:val="single" w:sz="5" w:space="0" w:color="000000"/>
            </w:tcBorders>
          </w:tcPr>
          <w:p w14:paraId="0C64D89A"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0" w:type="auto"/>
            <w:tcBorders>
              <w:top w:val="single" w:sz="5" w:space="0" w:color="000000"/>
              <w:left w:val="single" w:sz="5" w:space="0" w:color="000000"/>
              <w:bottom w:val="double" w:sz="2" w:space="0" w:color="FFFFCC"/>
              <w:right w:val="single" w:sz="5" w:space="0" w:color="000000"/>
            </w:tcBorders>
          </w:tcPr>
          <w:p w14:paraId="13D64CC3"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w:t>
            </w:r>
          </w:p>
        </w:tc>
        <w:tc>
          <w:tcPr>
            <w:tcW w:w="0" w:type="auto"/>
            <w:tcBorders>
              <w:top w:val="single" w:sz="5" w:space="0" w:color="000000"/>
              <w:left w:val="single" w:sz="5" w:space="0" w:color="000000"/>
              <w:bottom w:val="double" w:sz="5" w:space="0" w:color="000000"/>
              <w:right w:val="single" w:sz="5" w:space="0" w:color="000000"/>
            </w:tcBorders>
          </w:tcPr>
          <w:p w14:paraId="1F4B8CE3"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0" w:type="auto"/>
            <w:tcBorders>
              <w:top w:val="single" w:sz="5" w:space="0" w:color="000000"/>
              <w:left w:val="single" w:sz="5" w:space="0" w:color="000000"/>
              <w:bottom w:val="double" w:sz="5" w:space="0" w:color="000000"/>
              <w:right w:val="single" w:sz="5" w:space="0" w:color="000000"/>
            </w:tcBorders>
          </w:tcPr>
          <w:p w14:paraId="3068B536"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Abstract</w:t>
            </w:r>
          </w:p>
        </w:tc>
      </w:tr>
      <w:tr w:rsidR="00401E72" w:rsidRPr="004C1685" w14:paraId="46D09549" w14:textId="77777777" w:rsidTr="00A21BAE">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518498D" w14:textId="77777777" w:rsidR="00401E72" w:rsidRPr="00930A31" w:rsidRDefault="00401E72" w:rsidP="00A21BAE">
            <w:pPr>
              <w:pStyle w:val="Default"/>
              <w:rPr>
                <w:rFonts w:ascii="Arial" w:hAnsi="Arial" w:cs="Arial"/>
                <w:sz w:val="18"/>
                <w:szCs w:val="18"/>
              </w:rPr>
            </w:pPr>
            <w:r w:rsidRPr="00930A31">
              <w:rPr>
                <w:rFonts w:ascii="Arial" w:hAnsi="Arial" w:cs="Arial"/>
                <w:b/>
                <w:bCs/>
                <w:sz w:val="18"/>
                <w:szCs w:val="18"/>
              </w:rPr>
              <w:t xml:space="preserve">INTRODUCTION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6FCA8155" w14:textId="77777777" w:rsidR="00401E72" w:rsidRPr="00930A31" w:rsidRDefault="00401E72" w:rsidP="00A21BAE">
            <w:pPr>
              <w:pStyle w:val="Default"/>
              <w:jc w:val="right"/>
              <w:rPr>
                <w:rFonts w:ascii="Arial" w:hAnsi="Arial" w:cs="Arial"/>
                <w:color w:val="auto"/>
                <w:sz w:val="18"/>
                <w:szCs w:val="18"/>
              </w:rPr>
            </w:pPr>
          </w:p>
        </w:tc>
      </w:tr>
      <w:tr w:rsidR="00401E72" w:rsidRPr="000D6ECD" w14:paraId="19F823CE"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4AFBF1A7"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0" w:type="auto"/>
            <w:tcBorders>
              <w:top w:val="single" w:sz="5" w:space="0" w:color="000000"/>
              <w:left w:val="single" w:sz="5" w:space="0" w:color="000000"/>
              <w:bottom w:val="single" w:sz="5" w:space="0" w:color="000000"/>
              <w:right w:val="single" w:sz="5" w:space="0" w:color="000000"/>
            </w:tcBorders>
          </w:tcPr>
          <w:p w14:paraId="3E726F3B"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3</w:t>
            </w:r>
          </w:p>
        </w:tc>
        <w:tc>
          <w:tcPr>
            <w:tcW w:w="0" w:type="auto"/>
            <w:tcBorders>
              <w:top w:val="single" w:sz="5" w:space="0" w:color="000000"/>
              <w:left w:val="single" w:sz="5" w:space="0" w:color="000000"/>
              <w:bottom w:val="single" w:sz="5" w:space="0" w:color="000000"/>
              <w:right w:val="single" w:sz="5" w:space="0" w:color="000000"/>
            </w:tcBorders>
          </w:tcPr>
          <w:p w14:paraId="472202EC"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0" w:type="auto"/>
            <w:tcBorders>
              <w:top w:val="single" w:sz="5" w:space="0" w:color="000000"/>
              <w:left w:val="single" w:sz="5" w:space="0" w:color="000000"/>
              <w:bottom w:val="single" w:sz="5" w:space="0" w:color="000000"/>
              <w:right w:val="single" w:sz="5" w:space="0" w:color="000000"/>
            </w:tcBorders>
          </w:tcPr>
          <w:p w14:paraId="7ED7056D"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Context, §1</w:t>
            </w:r>
          </w:p>
        </w:tc>
      </w:tr>
      <w:tr w:rsidR="00401E72" w:rsidRPr="00836580" w14:paraId="4792CFE7" w14:textId="77777777" w:rsidTr="00A21BAE">
        <w:trPr>
          <w:trHeight w:val="48"/>
        </w:trPr>
        <w:tc>
          <w:tcPr>
            <w:tcW w:w="0" w:type="auto"/>
            <w:tcBorders>
              <w:top w:val="single" w:sz="5" w:space="0" w:color="000000"/>
              <w:left w:val="single" w:sz="5" w:space="0" w:color="000000"/>
              <w:bottom w:val="double" w:sz="2" w:space="0" w:color="FFFFCC"/>
              <w:right w:val="single" w:sz="5" w:space="0" w:color="000000"/>
            </w:tcBorders>
          </w:tcPr>
          <w:p w14:paraId="5F825D64"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0" w:type="auto"/>
            <w:tcBorders>
              <w:top w:val="single" w:sz="5" w:space="0" w:color="000000"/>
              <w:left w:val="single" w:sz="5" w:space="0" w:color="000000"/>
              <w:bottom w:val="double" w:sz="2" w:space="0" w:color="FFFFCC"/>
              <w:right w:val="single" w:sz="5" w:space="0" w:color="000000"/>
            </w:tcBorders>
          </w:tcPr>
          <w:p w14:paraId="2745B114"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4</w:t>
            </w:r>
          </w:p>
        </w:tc>
        <w:tc>
          <w:tcPr>
            <w:tcW w:w="0" w:type="auto"/>
            <w:tcBorders>
              <w:top w:val="single" w:sz="5" w:space="0" w:color="000000"/>
              <w:left w:val="single" w:sz="5" w:space="0" w:color="000000"/>
              <w:bottom w:val="double" w:sz="5" w:space="0" w:color="000000"/>
              <w:right w:val="single" w:sz="5" w:space="0" w:color="000000"/>
            </w:tcBorders>
          </w:tcPr>
          <w:p w14:paraId="37A70763"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0" w:type="auto"/>
            <w:tcBorders>
              <w:top w:val="single" w:sz="5" w:space="0" w:color="000000"/>
              <w:left w:val="single" w:sz="5" w:space="0" w:color="000000"/>
              <w:bottom w:val="double" w:sz="5" w:space="0" w:color="000000"/>
              <w:right w:val="single" w:sz="5" w:space="0" w:color="000000"/>
            </w:tcBorders>
          </w:tcPr>
          <w:p w14:paraId="1DD32082"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Context, §4</w:t>
            </w:r>
          </w:p>
        </w:tc>
      </w:tr>
      <w:tr w:rsidR="00401E72" w:rsidRPr="004C1685" w14:paraId="70A8E85B" w14:textId="77777777" w:rsidTr="00A21BAE">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63E9EFE" w14:textId="77777777" w:rsidR="00401E72" w:rsidRPr="00930A31" w:rsidRDefault="00401E72" w:rsidP="00A21BAE">
            <w:pPr>
              <w:pStyle w:val="Default"/>
              <w:rPr>
                <w:rFonts w:ascii="Arial" w:hAnsi="Arial" w:cs="Arial"/>
                <w:sz w:val="18"/>
                <w:szCs w:val="18"/>
              </w:rPr>
            </w:pPr>
            <w:r w:rsidRPr="00930A31">
              <w:rPr>
                <w:rFonts w:ascii="Arial" w:hAnsi="Arial" w:cs="Arial"/>
                <w:b/>
                <w:bCs/>
                <w:sz w:val="18"/>
                <w:szCs w:val="18"/>
              </w:rPr>
              <w:t xml:space="preserve">METHODS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0B665A75" w14:textId="77777777" w:rsidR="00401E72" w:rsidRPr="00930A31" w:rsidRDefault="00401E72" w:rsidP="00A21BAE">
            <w:pPr>
              <w:pStyle w:val="Default"/>
              <w:jc w:val="right"/>
              <w:rPr>
                <w:rFonts w:ascii="Arial" w:hAnsi="Arial" w:cs="Arial"/>
                <w:color w:val="auto"/>
                <w:sz w:val="18"/>
                <w:szCs w:val="18"/>
              </w:rPr>
            </w:pPr>
          </w:p>
        </w:tc>
      </w:tr>
      <w:tr w:rsidR="00401E72" w:rsidRPr="00836580" w14:paraId="0CA4A16B"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1AE6F18F"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0" w:type="auto"/>
            <w:tcBorders>
              <w:top w:val="single" w:sz="5" w:space="0" w:color="000000"/>
              <w:left w:val="single" w:sz="5" w:space="0" w:color="000000"/>
              <w:bottom w:val="single" w:sz="5" w:space="0" w:color="000000"/>
              <w:right w:val="single" w:sz="5" w:space="0" w:color="000000"/>
            </w:tcBorders>
          </w:tcPr>
          <w:p w14:paraId="28CDB03A"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5</w:t>
            </w:r>
          </w:p>
        </w:tc>
        <w:tc>
          <w:tcPr>
            <w:tcW w:w="0" w:type="auto"/>
            <w:tcBorders>
              <w:top w:val="single" w:sz="5" w:space="0" w:color="000000"/>
              <w:left w:val="single" w:sz="5" w:space="0" w:color="000000"/>
              <w:bottom w:val="single" w:sz="5" w:space="0" w:color="000000"/>
              <w:right w:val="single" w:sz="5" w:space="0" w:color="000000"/>
            </w:tcBorders>
          </w:tcPr>
          <w:p w14:paraId="75EE5A2A" w14:textId="77777777" w:rsidR="00401E72" w:rsidRDefault="00401E72" w:rsidP="00A21BAE">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p w14:paraId="5405E6D5"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017550AD"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§4</w:t>
            </w:r>
          </w:p>
        </w:tc>
      </w:tr>
      <w:tr w:rsidR="00401E72" w:rsidRPr="00836580" w14:paraId="617FAA85" w14:textId="77777777" w:rsidTr="00A21BAE">
        <w:trPr>
          <w:trHeight w:val="191"/>
        </w:trPr>
        <w:tc>
          <w:tcPr>
            <w:tcW w:w="0" w:type="auto"/>
            <w:tcBorders>
              <w:top w:val="single" w:sz="5" w:space="0" w:color="000000"/>
              <w:left w:val="single" w:sz="5" w:space="0" w:color="000000"/>
              <w:bottom w:val="single" w:sz="5" w:space="0" w:color="000000"/>
              <w:right w:val="single" w:sz="5" w:space="0" w:color="000000"/>
            </w:tcBorders>
          </w:tcPr>
          <w:p w14:paraId="22D12B90"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0" w:type="auto"/>
            <w:tcBorders>
              <w:top w:val="single" w:sz="5" w:space="0" w:color="000000"/>
              <w:left w:val="single" w:sz="5" w:space="0" w:color="000000"/>
              <w:bottom w:val="single" w:sz="5" w:space="0" w:color="000000"/>
              <w:right w:val="single" w:sz="5" w:space="0" w:color="000000"/>
            </w:tcBorders>
          </w:tcPr>
          <w:p w14:paraId="4D81004D"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6</w:t>
            </w:r>
          </w:p>
        </w:tc>
        <w:tc>
          <w:tcPr>
            <w:tcW w:w="0" w:type="auto"/>
            <w:tcBorders>
              <w:top w:val="single" w:sz="5" w:space="0" w:color="000000"/>
              <w:left w:val="single" w:sz="5" w:space="0" w:color="000000"/>
              <w:bottom w:val="single" w:sz="5" w:space="0" w:color="000000"/>
              <w:right w:val="single" w:sz="5" w:space="0" w:color="000000"/>
            </w:tcBorders>
          </w:tcPr>
          <w:p w14:paraId="68F56904"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top w:val="single" w:sz="5" w:space="0" w:color="000000"/>
              <w:left w:val="single" w:sz="5" w:space="0" w:color="000000"/>
              <w:bottom w:val="single" w:sz="5" w:space="0" w:color="000000"/>
              <w:right w:val="single" w:sz="5" w:space="0" w:color="000000"/>
            </w:tcBorders>
          </w:tcPr>
          <w:p w14:paraId="29CABB49"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§2</w:t>
            </w:r>
          </w:p>
        </w:tc>
      </w:tr>
      <w:tr w:rsidR="00401E72" w:rsidRPr="00836580" w14:paraId="3473A977"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79BDA9B2"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Search strategy</w:t>
            </w:r>
          </w:p>
        </w:tc>
        <w:tc>
          <w:tcPr>
            <w:tcW w:w="0" w:type="auto"/>
            <w:tcBorders>
              <w:top w:val="single" w:sz="5" w:space="0" w:color="000000"/>
              <w:left w:val="single" w:sz="5" w:space="0" w:color="000000"/>
              <w:bottom w:val="single" w:sz="5" w:space="0" w:color="000000"/>
              <w:right w:val="single" w:sz="5" w:space="0" w:color="000000"/>
            </w:tcBorders>
          </w:tcPr>
          <w:p w14:paraId="7C241BC1"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7</w:t>
            </w:r>
          </w:p>
        </w:tc>
        <w:tc>
          <w:tcPr>
            <w:tcW w:w="0" w:type="auto"/>
            <w:tcBorders>
              <w:top w:val="single" w:sz="5" w:space="0" w:color="000000"/>
              <w:left w:val="single" w:sz="5" w:space="0" w:color="000000"/>
              <w:bottom w:val="single" w:sz="5" w:space="0" w:color="000000"/>
              <w:right w:val="single" w:sz="5" w:space="0" w:color="000000"/>
            </w:tcBorders>
          </w:tcPr>
          <w:p w14:paraId="1049B254"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0" w:type="auto"/>
            <w:tcBorders>
              <w:top w:val="single" w:sz="5" w:space="0" w:color="000000"/>
              <w:left w:val="single" w:sz="5" w:space="0" w:color="000000"/>
              <w:bottom w:val="single" w:sz="5" w:space="0" w:color="000000"/>
              <w:right w:val="single" w:sz="5" w:space="0" w:color="000000"/>
            </w:tcBorders>
          </w:tcPr>
          <w:p w14:paraId="764AF3B0"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§2 ; Table S2</w:t>
            </w:r>
          </w:p>
        </w:tc>
      </w:tr>
      <w:tr w:rsidR="00401E72" w:rsidRPr="00836580" w14:paraId="6B47EA2B"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5438FDE4"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Selection process</w:t>
            </w:r>
          </w:p>
        </w:tc>
        <w:tc>
          <w:tcPr>
            <w:tcW w:w="0" w:type="auto"/>
            <w:tcBorders>
              <w:top w:val="single" w:sz="5" w:space="0" w:color="000000"/>
              <w:left w:val="single" w:sz="5" w:space="0" w:color="000000"/>
              <w:bottom w:val="single" w:sz="5" w:space="0" w:color="000000"/>
              <w:right w:val="single" w:sz="5" w:space="0" w:color="000000"/>
            </w:tcBorders>
          </w:tcPr>
          <w:p w14:paraId="2970EE7E"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8</w:t>
            </w:r>
          </w:p>
        </w:tc>
        <w:tc>
          <w:tcPr>
            <w:tcW w:w="0" w:type="auto"/>
            <w:tcBorders>
              <w:top w:val="single" w:sz="5" w:space="0" w:color="000000"/>
              <w:left w:val="single" w:sz="5" w:space="0" w:color="000000"/>
              <w:bottom w:val="single" w:sz="5" w:space="0" w:color="000000"/>
              <w:right w:val="single" w:sz="5" w:space="0" w:color="000000"/>
            </w:tcBorders>
          </w:tcPr>
          <w:p w14:paraId="6C7A295E"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top w:val="single" w:sz="5" w:space="0" w:color="000000"/>
              <w:left w:val="single" w:sz="5" w:space="0" w:color="000000"/>
              <w:bottom w:val="single" w:sz="5" w:space="0" w:color="000000"/>
              <w:right w:val="single" w:sz="5" w:space="0" w:color="000000"/>
            </w:tcBorders>
          </w:tcPr>
          <w:p w14:paraId="2591F3EF"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§3</w:t>
            </w:r>
          </w:p>
        </w:tc>
      </w:tr>
      <w:tr w:rsidR="00401E72" w:rsidRPr="00836580" w14:paraId="2EA20527" w14:textId="77777777" w:rsidTr="00A21BAE">
        <w:trPr>
          <w:trHeight w:val="152"/>
        </w:trPr>
        <w:tc>
          <w:tcPr>
            <w:tcW w:w="0" w:type="auto"/>
            <w:tcBorders>
              <w:top w:val="single" w:sz="5" w:space="0" w:color="000000"/>
              <w:left w:val="single" w:sz="5" w:space="0" w:color="000000"/>
              <w:bottom w:val="single" w:sz="5" w:space="0" w:color="000000"/>
              <w:right w:val="single" w:sz="5" w:space="0" w:color="000000"/>
            </w:tcBorders>
          </w:tcPr>
          <w:p w14:paraId="40EF655D"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0" w:type="auto"/>
            <w:tcBorders>
              <w:top w:val="single" w:sz="5" w:space="0" w:color="000000"/>
              <w:left w:val="single" w:sz="5" w:space="0" w:color="000000"/>
              <w:bottom w:val="single" w:sz="5" w:space="0" w:color="000000"/>
              <w:right w:val="single" w:sz="5" w:space="0" w:color="000000"/>
            </w:tcBorders>
          </w:tcPr>
          <w:p w14:paraId="3B10706F"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9</w:t>
            </w:r>
          </w:p>
        </w:tc>
        <w:tc>
          <w:tcPr>
            <w:tcW w:w="0" w:type="auto"/>
            <w:tcBorders>
              <w:top w:val="single" w:sz="5" w:space="0" w:color="000000"/>
              <w:left w:val="single" w:sz="5" w:space="0" w:color="000000"/>
              <w:bottom w:val="single" w:sz="5" w:space="0" w:color="000000"/>
              <w:right w:val="single" w:sz="5" w:space="0" w:color="000000"/>
            </w:tcBorders>
          </w:tcPr>
          <w:p w14:paraId="00B62F64"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0" w:type="auto"/>
            <w:tcBorders>
              <w:top w:val="single" w:sz="5" w:space="0" w:color="000000"/>
              <w:left w:val="single" w:sz="5" w:space="0" w:color="000000"/>
              <w:bottom w:val="single" w:sz="5" w:space="0" w:color="000000"/>
              <w:right w:val="single" w:sz="5" w:space="0" w:color="000000"/>
            </w:tcBorders>
          </w:tcPr>
          <w:p w14:paraId="6844B35E"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§7</w:t>
            </w:r>
          </w:p>
        </w:tc>
      </w:tr>
      <w:tr w:rsidR="00401E72" w:rsidRPr="00490436" w14:paraId="01458601" w14:textId="77777777" w:rsidTr="00A21BAE">
        <w:trPr>
          <w:trHeight w:val="48"/>
        </w:trPr>
        <w:tc>
          <w:tcPr>
            <w:tcW w:w="0" w:type="auto"/>
            <w:vMerge w:val="restart"/>
            <w:tcBorders>
              <w:top w:val="single" w:sz="5" w:space="0" w:color="000000"/>
              <w:left w:val="single" w:sz="5" w:space="0" w:color="000000"/>
              <w:right w:val="single" w:sz="5" w:space="0" w:color="000000"/>
            </w:tcBorders>
          </w:tcPr>
          <w:p w14:paraId="18AC6C9B"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0" w:type="auto"/>
            <w:tcBorders>
              <w:top w:val="single" w:sz="5" w:space="0" w:color="000000"/>
              <w:left w:val="single" w:sz="5" w:space="0" w:color="000000"/>
              <w:bottom w:val="single" w:sz="5" w:space="0" w:color="000000"/>
              <w:right w:val="single" w:sz="5" w:space="0" w:color="000000"/>
            </w:tcBorders>
          </w:tcPr>
          <w:p w14:paraId="29CF3C12"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10a</w:t>
            </w:r>
          </w:p>
        </w:tc>
        <w:tc>
          <w:tcPr>
            <w:tcW w:w="0" w:type="auto"/>
            <w:tcBorders>
              <w:top w:val="single" w:sz="5" w:space="0" w:color="000000"/>
              <w:left w:val="single" w:sz="5" w:space="0" w:color="000000"/>
              <w:bottom w:val="single" w:sz="5" w:space="0" w:color="000000"/>
              <w:right w:val="single" w:sz="5" w:space="0" w:color="000000"/>
            </w:tcBorders>
          </w:tcPr>
          <w:p w14:paraId="0E403624"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top w:val="single" w:sz="5" w:space="0" w:color="000000"/>
              <w:left w:val="single" w:sz="5" w:space="0" w:color="000000"/>
              <w:bottom w:val="single" w:sz="5" w:space="0" w:color="000000"/>
              <w:right w:val="single" w:sz="5" w:space="0" w:color="000000"/>
            </w:tcBorders>
          </w:tcPr>
          <w:p w14:paraId="5069AE03"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§6; Methods, §7</w:t>
            </w:r>
          </w:p>
        </w:tc>
      </w:tr>
      <w:tr w:rsidR="00401E72" w:rsidRPr="00490436" w14:paraId="0316F3C8" w14:textId="77777777" w:rsidTr="00A21BAE">
        <w:trPr>
          <w:trHeight w:val="48"/>
        </w:trPr>
        <w:tc>
          <w:tcPr>
            <w:tcW w:w="0" w:type="auto"/>
            <w:vMerge/>
            <w:tcBorders>
              <w:left w:val="single" w:sz="5" w:space="0" w:color="000000"/>
              <w:bottom w:val="single" w:sz="5" w:space="0" w:color="000000"/>
              <w:right w:val="single" w:sz="5" w:space="0" w:color="000000"/>
            </w:tcBorders>
          </w:tcPr>
          <w:p w14:paraId="633290D4"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25EB0543"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10b</w:t>
            </w:r>
          </w:p>
        </w:tc>
        <w:tc>
          <w:tcPr>
            <w:tcW w:w="0" w:type="auto"/>
            <w:tcBorders>
              <w:top w:val="single" w:sz="5" w:space="0" w:color="000000"/>
              <w:left w:val="single" w:sz="5" w:space="0" w:color="000000"/>
              <w:bottom w:val="single" w:sz="5" w:space="0" w:color="000000"/>
              <w:right w:val="single" w:sz="5" w:space="0" w:color="000000"/>
            </w:tcBorders>
          </w:tcPr>
          <w:p w14:paraId="44359E07"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top w:val="single" w:sz="5" w:space="0" w:color="000000"/>
              <w:left w:val="single" w:sz="5" w:space="0" w:color="000000"/>
              <w:bottom w:val="single" w:sz="5" w:space="0" w:color="000000"/>
              <w:right w:val="single" w:sz="5" w:space="0" w:color="000000"/>
            </w:tcBorders>
          </w:tcPr>
          <w:p w14:paraId="57FC3F58"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§7</w:t>
            </w:r>
          </w:p>
        </w:tc>
      </w:tr>
      <w:tr w:rsidR="00401E72" w:rsidRPr="00490436" w14:paraId="1EC67F60"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2292E6D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0" w:type="auto"/>
            <w:tcBorders>
              <w:top w:val="single" w:sz="5" w:space="0" w:color="000000"/>
              <w:left w:val="single" w:sz="5" w:space="0" w:color="000000"/>
              <w:bottom w:val="single" w:sz="5" w:space="0" w:color="000000"/>
              <w:right w:val="single" w:sz="5" w:space="0" w:color="000000"/>
            </w:tcBorders>
          </w:tcPr>
          <w:p w14:paraId="78AEC63B"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11</w:t>
            </w:r>
          </w:p>
        </w:tc>
        <w:tc>
          <w:tcPr>
            <w:tcW w:w="0" w:type="auto"/>
            <w:tcBorders>
              <w:top w:val="single" w:sz="5" w:space="0" w:color="000000"/>
              <w:left w:val="single" w:sz="5" w:space="0" w:color="000000"/>
              <w:bottom w:val="single" w:sz="5" w:space="0" w:color="000000"/>
              <w:right w:val="single" w:sz="5" w:space="0" w:color="000000"/>
            </w:tcBorders>
          </w:tcPr>
          <w:p w14:paraId="63F7CD80"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0" w:type="auto"/>
            <w:tcBorders>
              <w:top w:val="single" w:sz="5" w:space="0" w:color="000000"/>
              <w:left w:val="single" w:sz="5" w:space="0" w:color="000000"/>
              <w:bottom w:val="single" w:sz="5" w:space="0" w:color="000000"/>
              <w:right w:val="single" w:sz="5" w:space="0" w:color="000000"/>
            </w:tcBorders>
          </w:tcPr>
          <w:p w14:paraId="3493A24F"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§10</w:t>
            </w:r>
          </w:p>
        </w:tc>
      </w:tr>
      <w:tr w:rsidR="00401E72" w:rsidRPr="00490436" w14:paraId="39317D93"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40115513"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0" w:type="auto"/>
            <w:tcBorders>
              <w:top w:val="single" w:sz="5" w:space="0" w:color="000000"/>
              <w:left w:val="single" w:sz="5" w:space="0" w:color="000000"/>
              <w:bottom w:val="single" w:sz="5" w:space="0" w:color="000000"/>
              <w:right w:val="single" w:sz="5" w:space="0" w:color="000000"/>
            </w:tcBorders>
          </w:tcPr>
          <w:p w14:paraId="73F99384"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12</w:t>
            </w:r>
          </w:p>
        </w:tc>
        <w:tc>
          <w:tcPr>
            <w:tcW w:w="0" w:type="auto"/>
            <w:tcBorders>
              <w:top w:val="single" w:sz="5" w:space="0" w:color="000000"/>
              <w:left w:val="single" w:sz="5" w:space="0" w:color="000000"/>
              <w:bottom w:val="single" w:sz="5" w:space="0" w:color="000000"/>
              <w:right w:val="single" w:sz="5" w:space="0" w:color="000000"/>
            </w:tcBorders>
          </w:tcPr>
          <w:p w14:paraId="489D1215"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0" w:type="auto"/>
            <w:tcBorders>
              <w:top w:val="single" w:sz="5" w:space="0" w:color="000000"/>
              <w:left w:val="single" w:sz="5" w:space="0" w:color="000000"/>
              <w:bottom w:val="single" w:sz="5" w:space="0" w:color="000000"/>
              <w:right w:val="single" w:sz="5" w:space="0" w:color="000000"/>
            </w:tcBorders>
          </w:tcPr>
          <w:p w14:paraId="4CCB9575" w14:textId="77777777" w:rsidR="00401E72" w:rsidRPr="00DC7C61" w:rsidRDefault="00401E72" w:rsidP="00A21BAE">
            <w:pPr>
              <w:pStyle w:val="Default"/>
              <w:spacing w:before="40" w:after="40"/>
              <w:rPr>
                <w:rFonts w:ascii="Arial" w:hAnsi="Arial" w:cs="Arial"/>
                <w:color w:val="auto"/>
                <w:sz w:val="18"/>
                <w:szCs w:val="18"/>
              </w:rPr>
            </w:pPr>
            <w:r w:rsidRPr="00DC7C61">
              <w:rPr>
                <w:rFonts w:ascii="Arial" w:hAnsi="Arial" w:cs="Arial"/>
                <w:color w:val="auto"/>
                <w:sz w:val="18"/>
                <w:szCs w:val="18"/>
              </w:rPr>
              <w:t>Not applicable</w:t>
            </w:r>
          </w:p>
        </w:tc>
      </w:tr>
      <w:tr w:rsidR="00401E72" w:rsidRPr="00744AAC" w14:paraId="03B50DAE" w14:textId="77777777" w:rsidTr="00A21BAE">
        <w:trPr>
          <w:trHeight w:val="48"/>
        </w:trPr>
        <w:tc>
          <w:tcPr>
            <w:tcW w:w="0" w:type="auto"/>
            <w:vMerge w:val="restart"/>
            <w:tcBorders>
              <w:top w:val="single" w:sz="5" w:space="0" w:color="000000"/>
              <w:left w:val="single" w:sz="5" w:space="0" w:color="000000"/>
              <w:right w:val="single" w:sz="5" w:space="0" w:color="000000"/>
            </w:tcBorders>
          </w:tcPr>
          <w:p w14:paraId="3AAB429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Synthesis methods</w:t>
            </w:r>
          </w:p>
        </w:tc>
        <w:tc>
          <w:tcPr>
            <w:tcW w:w="0" w:type="auto"/>
            <w:tcBorders>
              <w:top w:val="single" w:sz="5" w:space="0" w:color="000000"/>
              <w:left w:val="single" w:sz="5" w:space="0" w:color="000000"/>
              <w:bottom w:val="single" w:sz="5" w:space="0" w:color="000000"/>
              <w:right w:val="single" w:sz="5" w:space="0" w:color="000000"/>
            </w:tcBorders>
          </w:tcPr>
          <w:p w14:paraId="5726CB63"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13a</w:t>
            </w:r>
          </w:p>
        </w:tc>
        <w:tc>
          <w:tcPr>
            <w:tcW w:w="0" w:type="auto"/>
            <w:tcBorders>
              <w:top w:val="single" w:sz="5" w:space="0" w:color="000000"/>
              <w:left w:val="single" w:sz="5" w:space="0" w:color="000000"/>
              <w:bottom w:val="single" w:sz="5" w:space="0" w:color="000000"/>
              <w:right w:val="single" w:sz="5" w:space="0" w:color="000000"/>
            </w:tcBorders>
          </w:tcPr>
          <w:p w14:paraId="06556CB6"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top w:val="single" w:sz="5" w:space="0" w:color="000000"/>
              <w:left w:val="single" w:sz="5" w:space="0" w:color="000000"/>
              <w:bottom w:val="single" w:sz="5" w:space="0" w:color="000000"/>
              <w:right w:val="single" w:sz="5" w:space="0" w:color="000000"/>
            </w:tcBorders>
          </w:tcPr>
          <w:p w14:paraId="16382A22"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§5-6</w:t>
            </w:r>
          </w:p>
        </w:tc>
      </w:tr>
      <w:tr w:rsidR="00401E72" w:rsidRPr="00744AAC" w14:paraId="6B6D0375" w14:textId="77777777" w:rsidTr="00A21BAE">
        <w:trPr>
          <w:trHeight w:val="48"/>
        </w:trPr>
        <w:tc>
          <w:tcPr>
            <w:tcW w:w="0" w:type="auto"/>
            <w:vMerge/>
            <w:tcBorders>
              <w:left w:val="single" w:sz="5" w:space="0" w:color="000000"/>
              <w:right w:val="single" w:sz="5" w:space="0" w:color="000000"/>
            </w:tcBorders>
          </w:tcPr>
          <w:p w14:paraId="53DA8FF2"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02D1188D"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13b</w:t>
            </w:r>
          </w:p>
        </w:tc>
        <w:tc>
          <w:tcPr>
            <w:tcW w:w="0" w:type="auto"/>
            <w:tcBorders>
              <w:top w:val="single" w:sz="5" w:space="0" w:color="000000"/>
              <w:left w:val="single" w:sz="5" w:space="0" w:color="000000"/>
              <w:bottom w:val="single" w:sz="5" w:space="0" w:color="000000"/>
              <w:right w:val="single" w:sz="5" w:space="0" w:color="000000"/>
            </w:tcBorders>
          </w:tcPr>
          <w:p w14:paraId="2AA78056"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0" w:type="auto"/>
            <w:tcBorders>
              <w:top w:val="single" w:sz="5" w:space="0" w:color="000000"/>
              <w:left w:val="single" w:sz="5" w:space="0" w:color="000000"/>
              <w:bottom w:val="single" w:sz="5" w:space="0" w:color="000000"/>
              <w:right w:val="single" w:sz="5" w:space="0" w:color="000000"/>
            </w:tcBorders>
          </w:tcPr>
          <w:p w14:paraId="76F3360A"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744AAC" w14:paraId="0E0EE4A1" w14:textId="77777777" w:rsidTr="00A21BAE">
        <w:trPr>
          <w:trHeight w:val="48"/>
        </w:trPr>
        <w:tc>
          <w:tcPr>
            <w:tcW w:w="0" w:type="auto"/>
            <w:vMerge/>
            <w:tcBorders>
              <w:left w:val="single" w:sz="5" w:space="0" w:color="000000"/>
              <w:right w:val="single" w:sz="5" w:space="0" w:color="000000"/>
            </w:tcBorders>
          </w:tcPr>
          <w:p w14:paraId="502A9A03"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0D633E55"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13c</w:t>
            </w:r>
          </w:p>
        </w:tc>
        <w:tc>
          <w:tcPr>
            <w:tcW w:w="0" w:type="auto"/>
            <w:tcBorders>
              <w:top w:val="single" w:sz="5" w:space="0" w:color="000000"/>
              <w:left w:val="single" w:sz="5" w:space="0" w:color="000000"/>
              <w:bottom w:val="single" w:sz="5" w:space="0" w:color="000000"/>
              <w:right w:val="single" w:sz="5" w:space="0" w:color="000000"/>
            </w:tcBorders>
          </w:tcPr>
          <w:p w14:paraId="335B032B"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Describe any methods used to tabulate or visually display </w:t>
            </w:r>
            <w:r w:rsidRPr="00930A31">
              <w:rPr>
                <w:rFonts w:ascii="Arial" w:hAnsi="Arial" w:cs="Arial"/>
                <w:sz w:val="18"/>
                <w:szCs w:val="18"/>
              </w:rPr>
              <w:lastRenderedPageBreak/>
              <w:t>results of individual studies and syntheses.</w:t>
            </w:r>
          </w:p>
        </w:tc>
        <w:tc>
          <w:tcPr>
            <w:tcW w:w="0" w:type="auto"/>
            <w:tcBorders>
              <w:top w:val="single" w:sz="5" w:space="0" w:color="000000"/>
              <w:left w:val="single" w:sz="5" w:space="0" w:color="000000"/>
              <w:bottom w:val="single" w:sz="5" w:space="0" w:color="000000"/>
              <w:right w:val="single" w:sz="5" w:space="0" w:color="000000"/>
            </w:tcBorders>
          </w:tcPr>
          <w:p w14:paraId="45955C9E"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lastRenderedPageBreak/>
              <w:t>Methods, §5-6</w:t>
            </w:r>
          </w:p>
        </w:tc>
      </w:tr>
      <w:tr w:rsidR="00401E72" w:rsidRPr="00744AAC" w14:paraId="62F1CD80" w14:textId="77777777" w:rsidTr="00A21BAE">
        <w:trPr>
          <w:trHeight w:val="48"/>
        </w:trPr>
        <w:tc>
          <w:tcPr>
            <w:tcW w:w="0" w:type="auto"/>
            <w:vMerge/>
            <w:tcBorders>
              <w:left w:val="single" w:sz="5" w:space="0" w:color="000000"/>
              <w:right w:val="single" w:sz="5" w:space="0" w:color="000000"/>
            </w:tcBorders>
          </w:tcPr>
          <w:p w14:paraId="6C65B60C"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1505E818"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13d</w:t>
            </w:r>
          </w:p>
        </w:tc>
        <w:tc>
          <w:tcPr>
            <w:tcW w:w="0" w:type="auto"/>
            <w:tcBorders>
              <w:top w:val="single" w:sz="5" w:space="0" w:color="000000"/>
              <w:left w:val="single" w:sz="5" w:space="0" w:color="000000"/>
              <w:bottom w:val="single" w:sz="5" w:space="0" w:color="000000"/>
              <w:right w:val="single" w:sz="5" w:space="0" w:color="000000"/>
            </w:tcBorders>
          </w:tcPr>
          <w:p w14:paraId="1EA58C68"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top w:val="single" w:sz="5" w:space="0" w:color="000000"/>
              <w:left w:val="single" w:sz="5" w:space="0" w:color="000000"/>
              <w:bottom w:val="single" w:sz="5" w:space="0" w:color="000000"/>
              <w:right w:val="single" w:sz="5" w:space="0" w:color="000000"/>
            </w:tcBorders>
          </w:tcPr>
          <w:p w14:paraId="50082149"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744AAC" w14:paraId="0128ED66" w14:textId="77777777" w:rsidTr="00A21BAE">
        <w:trPr>
          <w:trHeight w:val="48"/>
        </w:trPr>
        <w:tc>
          <w:tcPr>
            <w:tcW w:w="0" w:type="auto"/>
            <w:vMerge/>
            <w:tcBorders>
              <w:left w:val="single" w:sz="5" w:space="0" w:color="000000"/>
              <w:right w:val="single" w:sz="5" w:space="0" w:color="000000"/>
            </w:tcBorders>
          </w:tcPr>
          <w:p w14:paraId="71659B7C"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620AEB24"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13e</w:t>
            </w:r>
          </w:p>
        </w:tc>
        <w:tc>
          <w:tcPr>
            <w:tcW w:w="0" w:type="auto"/>
            <w:tcBorders>
              <w:top w:val="single" w:sz="5" w:space="0" w:color="000000"/>
              <w:left w:val="single" w:sz="5" w:space="0" w:color="000000"/>
              <w:bottom w:val="single" w:sz="5" w:space="0" w:color="000000"/>
              <w:right w:val="single" w:sz="5" w:space="0" w:color="000000"/>
            </w:tcBorders>
          </w:tcPr>
          <w:p w14:paraId="57EBB11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0" w:type="auto"/>
            <w:tcBorders>
              <w:top w:val="single" w:sz="5" w:space="0" w:color="000000"/>
              <w:left w:val="single" w:sz="5" w:space="0" w:color="000000"/>
              <w:bottom w:val="single" w:sz="5" w:space="0" w:color="000000"/>
              <w:right w:val="single" w:sz="5" w:space="0" w:color="000000"/>
            </w:tcBorders>
          </w:tcPr>
          <w:p w14:paraId="07F5F0F0"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§5-6</w:t>
            </w:r>
          </w:p>
        </w:tc>
      </w:tr>
      <w:tr w:rsidR="00401E72" w:rsidRPr="000D6ECD" w14:paraId="0D651138" w14:textId="77777777" w:rsidTr="00A21BAE">
        <w:trPr>
          <w:trHeight w:val="50"/>
        </w:trPr>
        <w:tc>
          <w:tcPr>
            <w:tcW w:w="0" w:type="auto"/>
            <w:vMerge/>
            <w:tcBorders>
              <w:left w:val="single" w:sz="5" w:space="0" w:color="000000"/>
              <w:bottom w:val="single" w:sz="5" w:space="0" w:color="000000"/>
              <w:right w:val="single" w:sz="5" w:space="0" w:color="000000"/>
            </w:tcBorders>
          </w:tcPr>
          <w:p w14:paraId="1A281D1A"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0FF12705"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13f</w:t>
            </w:r>
          </w:p>
        </w:tc>
        <w:tc>
          <w:tcPr>
            <w:tcW w:w="0" w:type="auto"/>
            <w:tcBorders>
              <w:top w:val="single" w:sz="5" w:space="0" w:color="000000"/>
              <w:left w:val="single" w:sz="5" w:space="0" w:color="000000"/>
              <w:bottom w:val="single" w:sz="5" w:space="0" w:color="000000"/>
              <w:right w:val="single" w:sz="5" w:space="0" w:color="000000"/>
            </w:tcBorders>
          </w:tcPr>
          <w:p w14:paraId="3172AF1D"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0" w:type="auto"/>
            <w:tcBorders>
              <w:top w:val="single" w:sz="5" w:space="0" w:color="000000"/>
              <w:left w:val="single" w:sz="5" w:space="0" w:color="000000"/>
              <w:bottom w:val="single" w:sz="5" w:space="0" w:color="000000"/>
              <w:right w:val="single" w:sz="5" w:space="0" w:color="000000"/>
            </w:tcBorders>
          </w:tcPr>
          <w:p w14:paraId="17B4C7E3"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490436" w14:paraId="3A12A8BE"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79524095"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0" w:type="auto"/>
            <w:tcBorders>
              <w:top w:val="single" w:sz="5" w:space="0" w:color="000000"/>
              <w:left w:val="single" w:sz="5" w:space="0" w:color="000000"/>
              <w:bottom w:val="single" w:sz="5" w:space="0" w:color="000000"/>
              <w:right w:val="single" w:sz="5" w:space="0" w:color="000000"/>
            </w:tcBorders>
          </w:tcPr>
          <w:p w14:paraId="63849544"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14</w:t>
            </w:r>
          </w:p>
        </w:tc>
        <w:tc>
          <w:tcPr>
            <w:tcW w:w="0" w:type="auto"/>
            <w:tcBorders>
              <w:top w:val="single" w:sz="5" w:space="0" w:color="000000"/>
              <w:left w:val="single" w:sz="5" w:space="0" w:color="000000"/>
              <w:bottom w:val="single" w:sz="5" w:space="0" w:color="000000"/>
              <w:right w:val="single" w:sz="5" w:space="0" w:color="000000"/>
            </w:tcBorders>
          </w:tcPr>
          <w:p w14:paraId="705F40F8"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0" w:type="auto"/>
            <w:tcBorders>
              <w:top w:val="single" w:sz="5" w:space="0" w:color="000000"/>
              <w:left w:val="single" w:sz="5" w:space="0" w:color="000000"/>
              <w:bottom w:val="single" w:sz="5" w:space="0" w:color="000000"/>
              <w:right w:val="single" w:sz="5" w:space="0" w:color="000000"/>
            </w:tcBorders>
          </w:tcPr>
          <w:p w14:paraId="114C602F"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490436" w14:paraId="42783EB5"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78E0474E"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0" w:type="auto"/>
            <w:tcBorders>
              <w:top w:val="single" w:sz="5" w:space="0" w:color="000000"/>
              <w:left w:val="single" w:sz="5" w:space="0" w:color="000000"/>
              <w:bottom w:val="single" w:sz="5" w:space="0" w:color="000000"/>
              <w:right w:val="single" w:sz="5" w:space="0" w:color="000000"/>
            </w:tcBorders>
          </w:tcPr>
          <w:p w14:paraId="4F1C63B6"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15</w:t>
            </w:r>
          </w:p>
        </w:tc>
        <w:tc>
          <w:tcPr>
            <w:tcW w:w="0" w:type="auto"/>
            <w:tcBorders>
              <w:top w:val="single" w:sz="5" w:space="0" w:color="000000"/>
              <w:left w:val="single" w:sz="5" w:space="0" w:color="000000"/>
              <w:bottom w:val="single" w:sz="5" w:space="0" w:color="000000"/>
              <w:right w:val="single" w:sz="5" w:space="0" w:color="000000"/>
            </w:tcBorders>
          </w:tcPr>
          <w:p w14:paraId="0F2A1802"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0" w:type="auto"/>
            <w:tcBorders>
              <w:top w:val="single" w:sz="5" w:space="0" w:color="000000"/>
              <w:left w:val="single" w:sz="5" w:space="0" w:color="000000"/>
              <w:bottom w:val="single" w:sz="5" w:space="0" w:color="000000"/>
              <w:right w:val="single" w:sz="5" w:space="0" w:color="000000"/>
            </w:tcBorders>
          </w:tcPr>
          <w:p w14:paraId="5CE7C4DD"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4C1685" w14:paraId="154CCA84" w14:textId="77777777" w:rsidTr="00A21BAE">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0A793A" w14:textId="77777777" w:rsidR="00401E72" w:rsidRPr="00930A31" w:rsidRDefault="00401E72" w:rsidP="00A21BAE">
            <w:pPr>
              <w:pStyle w:val="Default"/>
              <w:rPr>
                <w:rFonts w:ascii="Arial" w:hAnsi="Arial" w:cs="Arial"/>
                <w:sz w:val="18"/>
                <w:szCs w:val="18"/>
              </w:rPr>
            </w:pPr>
            <w:r w:rsidRPr="00930A31">
              <w:rPr>
                <w:rFonts w:ascii="Arial" w:hAnsi="Arial" w:cs="Arial"/>
                <w:b/>
                <w:bCs/>
                <w:sz w:val="18"/>
                <w:szCs w:val="18"/>
              </w:rPr>
              <w:t xml:space="preserve">RESULTS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1ED966E3" w14:textId="77777777" w:rsidR="00401E72" w:rsidRPr="00930A31" w:rsidRDefault="00401E72" w:rsidP="00A21BAE">
            <w:pPr>
              <w:pStyle w:val="Default"/>
              <w:jc w:val="center"/>
              <w:rPr>
                <w:rFonts w:ascii="Arial" w:hAnsi="Arial" w:cs="Arial"/>
                <w:color w:val="auto"/>
                <w:sz w:val="18"/>
                <w:szCs w:val="18"/>
              </w:rPr>
            </w:pPr>
          </w:p>
        </w:tc>
      </w:tr>
      <w:tr w:rsidR="00401E72" w:rsidRPr="00490436" w14:paraId="71F82268" w14:textId="77777777" w:rsidTr="00A21BAE">
        <w:trPr>
          <w:trHeight w:val="48"/>
        </w:trPr>
        <w:tc>
          <w:tcPr>
            <w:tcW w:w="0" w:type="auto"/>
            <w:vMerge w:val="restart"/>
            <w:tcBorders>
              <w:top w:val="single" w:sz="5" w:space="0" w:color="000000"/>
              <w:left w:val="single" w:sz="5" w:space="0" w:color="000000"/>
              <w:right w:val="single" w:sz="5" w:space="0" w:color="000000"/>
            </w:tcBorders>
          </w:tcPr>
          <w:p w14:paraId="3E01D856"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14:paraId="67D51F6D"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16a</w:t>
            </w:r>
          </w:p>
        </w:tc>
        <w:tc>
          <w:tcPr>
            <w:tcW w:w="0" w:type="auto"/>
            <w:tcBorders>
              <w:top w:val="single" w:sz="5" w:space="0" w:color="000000"/>
              <w:left w:val="single" w:sz="5" w:space="0" w:color="000000"/>
              <w:bottom w:val="single" w:sz="5" w:space="0" w:color="000000"/>
              <w:right w:val="single" w:sz="5" w:space="0" w:color="000000"/>
            </w:tcBorders>
          </w:tcPr>
          <w:p w14:paraId="76237DAC"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0" w:type="auto"/>
            <w:tcBorders>
              <w:top w:val="single" w:sz="5" w:space="0" w:color="000000"/>
              <w:left w:val="single" w:sz="5" w:space="0" w:color="000000"/>
              <w:bottom w:val="single" w:sz="5" w:space="0" w:color="000000"/>
              <w:right w:val="single" w:sz="5" w:space="0" w:color="000000"/>
            </w:tcBorders>
          </w:tcPr>
          <w:p w14:paraId="4A9930F6"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Results, §1; Figure 1</w:t>
            </w:r>
          </w:p>
        </w:tc>
      </w:tr>
      <w:tr w:rsidR="00401E72" w:rsidRPr="00490436" w14:paraId="24F11377" w14:textId="77777777" w:rsidTr="00A21BAE">
        <w:trPr>
          <w:trHeight w:val="48"/>
        </w:trPr>
        <w:tc>
          <w:tcPr>
            <w:tcW w:w="0" w:type="auto"/>
            <w:vMerge/>
            <w:tcBorders>
              <w:left w:val="single" w:sz="5" w:space="0" w:color="000000"/>
              <w:bottom w:val="single" w:sz="5" w:space="0" w:color="000000"/>
              <w:right w:val="single" w:sz="5" w:space="0" w:color="000000"/>
            </w:tcBorders>
          </w:tcPr>
          <w:p w14:paraId="574CF634"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3E8DFDA3"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16b</w:t>
            </w:r>
          </w:p>
        </w:tc>
        <w:tc>
          <w:tcPr>
            <w:tcW w:w="0" w:type="auto"/>
            <w:tcBorders>
              <w:top w:val="single" w:sz="5" w:space="0" w:color="000000"/>
              <w:left w:val="single" w:sz="5" w:space="0" w:color="000000"/>
              <w:bottom w:val="single" w:sz="5" w:space="0" w:color="000000"/>
              <w:right w:val="single" w:sz="5" w:space="0" w:color="000000"/>
            </w:tcBorders>
          </w:tcPr>
          <w:p w14:paraId="68481A66"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0" w:type="auto"/>
            <w:tcBorders>
              <w:top w:val="single" w:sz="5" w:space="0" w:color="000000"/>
              <w:left w:val="single" w:sz="5" w:space="0" w:color="000000"/>
              <w:bottom w:val="single" w:sz="5" w:space="0" w:color="000000"/>
              <w:right w:val="single" w:sz="5" w:space="0" w:color="000000"/>
            </w:tcBorders>
          </w:tcPr>
          <w:p w14:paraId="3129A022" w14:textId="77777777" w:rsidR="00401E72" w:rsidRPr="00527135" w:rsidRDefault="00401E72" w:rsidP="00A21BAE">
            <w:pPr>
              <w:pStyle w:val="Default"/>
              <w:spacing w:before="40" w:after="40"/>
              <w:rPr>
                <w:rFonts w:ascii="Arial" w:hAnsi="Arial" w:cs="Arial"/>
                <w:color w:val="auto"/>
                <w:sz w:val="18"/>
                <w:szCs w:val="18"/>
              </w:rPr>
            </w:pPr>
            <w:r w:rsidRPr="00527135">
              <w:rPr>
                <w:rFonts w:ascii="Arial" w:hAnsi="Arial" w:cs="Arial"/>
                <w:color w:val="auto"/>
                <w:sz w:val="18"/>
                <w:szCs w:val="18"/>
              </w:rPr>
              <w:t>Not applicable</w:t>
            </w:r>
          </w:p>
        </w:tc>
      </w:tr>
      <w:tr w:rsidR="00401E72" w:rsidRPr="00490436" w14:paraId="51FB61A8" w14:textId="77777777" w:rsidTr="00A21BAE">
        <w:trPr>
          <w:trHeight w:val="103"/>
        </w:trPr>
        <w:tc>
          <w:tcPr>
            <w:tcW w:w="0" w:type="auto"/>
            <w:tcBorders>
              <w:top w:val="single" w:sz="5" w:space="0" w:color="000000"/>
              <w:left w:val="single" w:sz="5" w:space="0" w:color="000000"/>
              <w:bottom w:val="single" w:sz="5" w:space="0" w:color="000000"/>
              <w:right w:val="single" w:sz="5" w:space="0" w:color="000000"/>
            </w:tcBorders>
          </w:tcPr>
          <w:p w14:paraId="4F849146"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0" w:type="auto"/>
            <w:tcBorders>
              <w:top w:val="single" w:sz="5" w:space="0" w:color="000000"/>
              <w:left w:val="single" w:sz="5" w:space="0" w:color="000000"/>
              <w:bottom w:val="single" w:sz="5" w:space="0" w:color="000000"/>
              <w:right w:val="single" w:sz="5" w:space="0" w:color="000000"/>
            </w:tcBorders>
          </w:tcPr>
          <w:p w14:paraId="2BC60A7D"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17</w:t>
            </w:r>
          </w:p>
        </w:tc>
        <w:tc>
          <w:tcPr>
            <w:tcW w:w="0" w:type="auto"/>
            <w:tcBorders>
              <w:top w:val="single" w:sz="5" w:space="0" w:color="000000"/>
              <w:left w:val="single" w:sz="5" w:space="0" w:color="000000"/>
              <w:bottom w:val="single" w:sz="5" w:space="0" w:color="000000"/>
              <w:right w:val="single" w:sz="5" w:space="0" w:color="000000"/>
            </w:tcBorders>
          </w:tcPr>
          <w:p w14:paraId="678D3201"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0" w:type="auto"/>
            <w:tcBorders>
              <w:top w:val="single" w:sz="5" w:space="0" w:color="000000"/>
              <w:left w:val="single" w:sz="5" w:space="0" w:color="000000"/>
              <w:bottom w:val="single" w:sz="5" w:space="0" w:color="000000"/>
              <w:right w:val="single" w:sz="5" w:space="0" w:color="000000"/>
            </w:tcBorders>
          </w:tcPr>
          <w:p w14:paraId="2EC42CFA" w14:textId="77777777" w:rsidR="00401E72"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Results, §2; Results, §3;</w:t>
            </w:r>
          </w:p>
          <w:p w14:paraId="36FE39C7"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Table S4</w:t>
            </w:r>
          </w:p>
        </w:tc>
      </w:tr>
      <w:tr w:rsidR="00401E72" w:rsidRPr="00490436" w14:paraId="00548DB3"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33DE461F"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0" w:type="auto"/>
            <w:tcBorders>
              <w:top w:val="single" w:sz="5" w:space="0" w:color="000000"/>
              <w:left w:val="single" w:sz="5" w:space="0" w:color="000000"/>
              <w:bottom w:val="single" w:sz="5" w:space="0" w:color="000000"/>
              <w:right w:val="single" w:sz="5" w:space="0" w:color="000000"/>
            </w:tcBorders>
          </w:tcPr>
          <w:p w14:paraId="7134CFCD"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18</w:t>
            </w:r>
          </w:p>
        </w:tc>
        <w:tc>
          <w:tcPr>
            <w:tcW w:w="0" w:type="auto"/>
            <w:tcBorders>
              <w:top w:val="single" w:sz="5" w:space="0" w:color="000000"/>
              <w:left w:val="single" w:sz="5" w:space="0" w:color="000000"/>
              <w:bottom w:val="single" w:sz="5" w:space="0" w:color="000000"/>
              <w:right w:val="single" w:sz="5" w:space="0" w:color="000000"/>
            </w:tcBorders>
          </w:tcPr>
          <w:p w14:paraId="1214E2B0"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0" w:type="auto"/>
            <w:tcBorders>
              <w:top w:val="single" w:sz="5" w:space="0" w:color="000000"/>
              <w:left w:val="single" w:sz="5" w:space="0" w:color="000000"/>
              <w:bottom w:val="single" w:sz="5" w:space="0" w:color="000000"/>
              <w:right w:val="single" w:sz="5" w:space="0" w:color="000000"/>
            </w:tcBorders>
          </w:tcPr>
          <w:p w14:paraId="46492D1D"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Table S3</w:t>
            </w:r>
          </w:p>
        </w:tc>
      </w:tr>
      <w:tr w:rsidR="00401E72" w:rsidRPr="00490436" w14:paraId="566D01FC"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46CCCF8A"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0" w:type="auto"/>
            <w:tcBorders>
              <w:top w:val="single" w:sz="5" w:space="0" w:color="000000"/>
              <w:left w:val="single" w:sz="5" w:space="0" w:color="000000"/>
              <w:bottom w:val="single" w:sz="5" w:space="0" w:color="000000"/>
              <w:right w:val="single" w:sz="5" w:space="0" w:color="000000"/>
            </w:tcBorders>
          </w:tcPr>
          <w:p w14:paraId="3A42ADDD"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19</w:t>
            </w:r>
          </w:p>
        </w:tc>
        <w:tc>
          <w:tcPr>
            <w:tcW w:w="0" w:type="auto"/>
            <w:tcBorders>
              <w:top w:val="single" w:sz="5" w:space="0" w:color="000000"/>
              <w:left w:val="single" w:sz="5" w:space="0" w:color="000000"/>
              <w:bottom w:val="single" w:sz="5" w:space="0" w:color="000000"/>
              <w:right w:val="single" w:sz="5" w:space="0" w:color="000000"/>
            </w:tcBorders>
          </w:tcPr>
          <w:p w14:paraId="2B14B926"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top w:val="single" w:sz="5" w:space="0" w:color="000000"/>
              <w:left w:val="single" w:sz="5" w:space="0" w:color="000000"/>
              <w:bottom w:val="single" w:sz="5" w:space="0" w:color="000000"/>
              <w:right w:val="single" w:sz="5" w:space="0" w:color="000000"/>
            </w:tcBorders>
          </w:tcPr>
          <w:p w14:paraId="550FB3AE"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490436" w14:paraId="2B960DA4" w14:textId="77777777" w:rsidTr="00A21BAE">
        <w:trPr>
          <w:trHeight w:val="48"/>
        </w:trPr>
        <w:tc>
          <w:tcPr>
            <w:tcW w:w="0" w:type="auto"/>
            <w:vMerge w:val="restart"/>
            <w:tcBorders>
              <w:top w:val="single" w:sz="5" w:space="0" w:color="000000"/>
              <w:left w:val="single" w:sz="5" w:space="0" w:color="000000"/>
              <w:right w:val="single" w:sz="5" w:space="0" w:color="000000"/>
            </w:tcBorders>
          </w:tcPr>
          <w:p w14:paraId="2EF21057"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0" w:type="auto"/>
            <w:tcBorders>
              <w:top w:val="single" w:sz="5" w:space="0" w:color="000000"/>
              <w:left w:val="single" w:sz="5" w:space="0" w:color="000000"/>
              <w:bottom w:val="single" w:sz="5" w:space="0" w:color="000000"/>
              <w:right w:val="single" w:sz="5" w:space="0" w:color="000000"/>
            </w:tcBorders>
          </w:tcPr>
          <w:p w14:paraId="1769B3BF"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20a</w:t>
            </w:r>
          </w:p>
        </w:tc>
        <w:tc>
          <w:tcPr>
            <w:tcW w:w="0" w:type="auto"/>
            <w:tcBorders>
              <w:top w:val="single" w:sz="5" w:space="0" w:color="000000"/>
              <w:left w:val="single" w:sz="5" w:space="0" w:color="000000"/>
              <w:bottom w:val="single" w:sz="5" w:space="0" w:color="000000"/>
              <w:right w:val="single" w:sz="5" w:space="0" w:color="000000"/>
            </w:tcBorders>
          </w:tcPr>
          <w:p w14:paraId="4D216D91"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0" w:type="auto"/>
            <w:tcBorders>
              <w:top w:val="single" w:sz="5" w:space="0" w:color="000000"/>
              <w:left w:val="single" w:sz="5" w:space="0" w:color="000000"/>
              <w:bottom w:val="single" w:sz="5" w:space="0" w:color="000000"/>
              <w:right w:val="single" w:sz="5" w:space="0" w:color="000000"/>
            </w:tcBorders>
          </w:tcPr>
          <w:p w14:paraId="167542F2"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Results, §1-11</w:t>
            </w:r>
          </w:p>
        </w:tc>
      </w:tr>
      <w:tr w:rsidR="00401E72" w:rsidRPr="004C1685" w14:paraId="6902664F" w14:textId="77777777" w:rsidTr="00A21BAE">
        <w:trPr>
          <w:trHeight w:val="203"/>
        </w:trPr>
        <w:tc>
          <w:tcPr>
            <w:tcW w:w="0" w:type="auto"/>
            <w:vMerge/>
            <w:tcBorders>
              <w:left w:val="single" w:sz="5" w:space="0" w:color="000000"/>
              <w:right w:val="single" w:sz="5" w:space="0" w:color="000000"/>
            </w:tcBorders>
          </w:tcPr>
          <w:p w14:paraId="36960A3F"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3513D92C"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20b</w:t>
            </w:r>
          </w:p>
        </w:tc>
        <w:tc>
          <w:tcPr>
            <w:tcW w:w="0" w:type="auto"/>
            <w:tcBorders>
              <w:top w:val="single" w:sz="5" w:space="0" w:color="000000"/>
              <w:left w:val="single" w:sz="5" w:space="0" w:color="000000"/>
              <w:bottom w:val="single" w:sz="5" w:space="0" w:color="000000"/>
              <w:right w:val="single" w:sz="5" w:space="0" w:color="000000"/>
            </w:tcBorders>
          </w:tcPr>
          <w:p w14:paraId="557F2EFF"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top w:val="single" w:sz="5" w:space="0" w:color="000000"/>
              <w:left w:val="single" w:sz="5" w:space="0" w:color="000000"/>
              <w:bottom w:val="single" w:sz="5" w:space="0" w:color="000000"/>
              <w:right w:val="single" w:sz="5" w:space="0" w:color="000000"/>
            </w:tcBorders>
          </w:tcPr>
          <w:p w14:paraId="0B3AC774"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Results, §1-11</w:t>
            </w:r>
          </w:p>
        </w:tc>
      </w:tr>
      <w:tr w:rsidR="00401E72" w:rsidRPr="00744AAC" w14:paraId="1B434C2C" w14:textId="77777777" w:rsidTr="00A21BAE">
        <w:trPr>
          <w:trHeight w:val="48"/>
        </w:trPr>
        <w:tc>
          <w:tcPr>
            <w:tcW w:w="0" w:type="auto"/>
            <w:vMerge/>
            <w:tcBorders>
              <w:left w:val="single" w:sz="5" w:space="0" w:color="000000"/>
              <w:right w:val="single" w:sz="5" w:space="0" w:color="000000"/>
            </w:tcBorders>
          </w:tcPr>
          <w:p w14:paraId="1C1BD53E"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72D07E9E"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20c</w:t>
            </w:r>
          </w:p>
        </w:tc>
        <w:tc>
          <w:tcPr>
            <w:tcW w:w="0" w:type="auto"/>
            <w:tcBorders>
              <w:top w:val="single" w:sz="5" w:space="0" w:color="000000"/>
              <w:left w:val="single" w:sz="5" w:space="0" w:color="000000"/>
              <w:bottom w:val="single" w:sz="5" w:space="0" w:color="000000"/>
              <w:right w:val="single" w:sz="5" w:space="0" w:color="000000"/>
            </w:tcBorders>
          </w:tcPr>
          <w:p w14:paraId="43965E1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0" w:type="auto"/>
            <w:tcBorders>
              <w:top w:val="single" w:sz="5" w:space="0" w:color="000000"/>
              <w:left w:val="single" w:sz="5" w:space="0" w:color="000000"/>
              <w:bottom w:val="single" w:sz="5" w:space="0" w:color="000000"/>
              <w:right w:val="single" w:sz="5" w:space="0" w:color="000000"/>
            </w:tcBorders>
          </w:tcPr>
          <w:p w14:paraId="7AA4B1BB"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744AAC" w14:paraId="0D2FD4A1" w14:textId="77777777" w:rsidTr="00A21BAE">
        <w:trPr>
          <w:trHeight w:val="48"/>
        </w:trPr>
        <w:tc>
          <w:tcPr>
            <w:tcW w:w="0" w:type="auto"/>
            <w:vMerge/>
            <w:tcBorders>
              <w:left w:val="single" w:sz="5" w:space="0" w:color="000000"/>
              <w:bottom w:val="single" w:sz="5" w:space="0" w:color="000000"/>
              <w:right w:val="single" w:sz="5" w:space="0" w:color="000000"/>
            </w:tcBorders>
          </w:tcPr>
          <w:p w14:paraId="7FCDE38F"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189FF244"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20d</w:t>
            </w:r>
          </w:p>
        </w:tc>
        <w:tc>
          <w:tcPr>
            <w:tcW w:w="0" w:type="auto"/>
            <w:tcBorders>
              <w:top w:val="single" w:sz="5" w:space="0" w:color="000000"/>
              <w:left w:val="single" w:sz="5" w:space="0" w:color="000000"/>
              <w:bottom w:val="single" w:sz="5" w:space="0" w:color="000000"/>
              <w:right w:val="single" w:sz="5" w:space="0" w:color="000000"/>
            </w:tcBorders>
          </w:tcPr>
          <w:p w14:paraId="4B1DE45B"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0" w:type="auto"/>
            <w:tcBorders>
              <w:top w:val="single" w:sz="5" w:space="0" w:color="000000"/>
              <w:left w:val="single" w:sz="5" w:space="0" w:color="000000"/>
              <w:bottom w:val="single" w:sz="5" w:space="0" w:color="000000"/>
              <w:right w:val="single" w:sz="5" w:space="0" w:color="000000"/>
            </w:tcBorders>
          </w:tcPr>
          <w:p w14:paraId="54CE661A"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744AAC" w14:paraId="6368A44F"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7EFCEE84"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Reporting biases</w:t>
            </w:r>
          </w:p>
        </w:tc>
        <w:tc>
          <w:tcPr>
            <w:tcW w:w="0" w:type="auto"/>
            <w:tcBorders>
              <w:top w:val="single" w:sz="5" w:space="0" w:color="000000"/>
              <w:left w:val="single" w:sz="5" w:space="0" w:color="000000"/>
              <w:bottom w:val="single" w:sz="5" w:space="0" w:color="000000"/>
              <w:right w:val="single" w:sz="5" w:space="0" w:color="000000"/>
            </w:tcBorders>
          </w:tcPr>
          <w:p w14:paraId="4857297A"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21</w:t>
            </w:r>
          </w:p>
        </w:tc>
        <w:tc>
          <w:tcPr>
            <w:tcW w:w="0" w:type="auto"/>
            <w:tcBorders>
              <w:top w:val="single" w:sz="5" w:space="0" w:color="000000"/>
              <w:left w:val="single" w:sz="5" w:space="0" w:color="000000"/>
              <w:bottom w:val="single" w:sz="5" w:space="0" w:color="000000"/>
              <w:right w:val="single" w:sz="5" w:space="0" w:color="000000"/>
            </w:tcBorders>
          </w:tcPr>
          <w:p w14:paraId="52DEF9F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0" w:type="auto"/>
            <w:tcBorders>
              <w:top w:val="single" w:sz="5" w:space="0" w:color="000000"/>
              <w:left w:val="single" w:sz="5" w:space="0" w:color="000000"/>
              <w:bottom w:val="single" w:sz="5" w:space="0" w:color="000000"/>
              <w:right w:val="single" w:sz="5" w:space="0" w:color="000000"/>
            </w:tcBorders>
          </w:tcPr>
          <w:p w14:paraId="4F289854"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01E72" w:rsidRPr="00744AAC" w14:paraId="38AB9806"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407443B7"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0" w:type="auto"/>
            <w:tcBorders>
              <w:top w:val="single" w:sz="5" w:space="0" w:color="000000"/>
              <w:left w:val="single" w:sz="5" w:space="0" w:color="000000"/>
              <w:bottom w:val="single" w:sz="5" w:space="0" w:color="000000"/>
              <w:right w:val="single" w:sz="5" w:space="0" w:color="000000"/>
            </w:tcBorders>
          </w:tcPr>
          <w:p w14:paraId="4756953A"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22</w:t>
            </w:r>
          </w:p>
        </w:tc>
        <w:tc>
          <w:tcPr>
            <w:tcW w:w="0" w:type="auto"/>
            <w:tcBorders>
              <w:top w:val="single" w:sz="5" w:space="0" w:color="000000"/>
              <w:left w:val="single" w:sz="5" w:space="0" w:color="000000"/>
              <w:bottom w:val="single" w:sz="5" w:space="0" w:color="000000"/>
              <w:right w:val="single" w:sz="5" w:space="0" w:color="000000"/>
            </w:tcBorders>
          </w:tcPr>
          <w:p w14:paraId="5FA7B26D"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0" w:type="auto"/>
            <w:tcBorders>
              <w:top w:val="single" w:sz="5" w:space="0" w:color="000000"/>
              <w:left w:val="single" w:sz="5" w:space="0" w:color="000000"/>
              <w:bottom w:val="single" w:sz="5" w:space="0" w:color="000000"/>
              <w:right w:val="single" w:sz="5" w:space="0" w:color="000000"/>
            </w:tcBorders>
          </w:tcPr>
          <w:p w14:paraId="3F74F011" w14:textId="77777777" w:rsidR="00401E72"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 xml:space="preserve">Figure 9; </w:t>
            </w:r>
          </w:p>
          <w:p w14:paraId="042A884F" w14:textId="77777777" w:rsidR="00401E72"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Results, §11;</w:t>
            </w:r>
          </w:p>
          <w:p w14:paraId="6EBBE0CA"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Table S4</w:t>
            </w:r>
          </w:p>
        </w:tc>
      </w:tr>
      <w:tr w:rsidR="00401E72" w:rsidRPr="004C1685" w14:paraId="151EC69D" w14:textId="77777777" w:rsidTr="00A21BAE">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F3F4B9" w14:textId="77777777" w:rsidR="00401E72" w:rsidRPr="00930A31" w:rsidRDefault="00401E72" w:rsidP="00A21BAE">
            <w:pPr>
              <w:pStyle w:val="Default"/>
              <w:rPr>
                <w:rFonts w:ascii="Arial" w:hAnsi="Arial" w:cs="Arial"/>
                <w:sz w:val="18"/>
                <w:szCs w:val="18"/>
              </w:rPr>
            </w:pPr>
            <w:r w:rsidRPr="00930A31">
              <w:rPr>
                <w:rFonts w:ascii="Arial" w:hAnsi="Arial" w:cs="Arial"/>
                <w:b/>
                <w:bCs/>
                <w:sz w:val="18"/>
                <w:szCs w:val="18"/>
              </w:rPr>
              <w:t xml:space="preserve">DISCUSSION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0F002F2F" w14:textId="77777777" w:rsidR="00401E72" w:rsidRPr="00930A31" w:rsidRDefault="00401E72" w:rsidP="00A21BAE">
            <w:pPr>
              <w:pStyle w:val="Default"/>
              <w:jc w:val="center"/>
              <w:rPr>
                <w:rFonts w:ascii="Arial" w:hAnsi="Arial" w:cs="Arial"/>
                <w:color w:val="auto"/>
                <w:sz w:val="18"/>
                <w:szCs w:val="18"/>
              </w:rPr>
            </w:pPr>
          </w:p>
        </w:tc>
      </w:tr>
      <w:tr w:rsidR="00401E72" w:rsidRPr="00744AAC" w14:paraId="7D4B5832" w14:textId="77777777" w:rsidTr="00A21BAE">
        <w:trPr>
          <w:trHeight w:val="48"/>
        </w:trPr>
        <w:tc>
          <w:tcPr>
            <w:tcW w:w="0" w:type="auto"/>
            <w:vMerge w:val="restart"/>
            <w:tcBorders>
              <w:top w:val="single" w:sz="5" w:space="0" w:color="000000"/>
              <w:left w:val="single" w:sz="5" w:space="0" w:color="000000"/>
              <w:right w:val="single" w:sz="5" w:space="0" w:color="000000"/>
            </w:tcBorders>
          </w:tcPr>
          <w:p w14:paraId="58B632C6"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0" w:type="auto"/>
            <w:tcBorders>
              <w:top w:val="single" w:sz="5" w:space="0" w:color="000000"/>
              <w:left w:val="single" w:sz="5" w:space="0" w:color="000000"/>
              <w:bottom w:val="single" w:sz="5" w:space="0" w:color="000000"/>
              <w:right w:val="single" w:sz="5" w:space="0" w:color="000000"/>
            </w:tcBorders>
          </w:tcPr>
          <w:p w14:paraId="60C6C98B"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23a</w:t>
            </w:r>
          </w:p>
        </w:tc>
        <w:tc>
          <w:tcPr>
            <w:tcW w:w="0" w:type="auto"/>
            <w:tcBorders>
              <w:top w:val="single" w:sz="5" w:space="0" w:color="000000"/>
              <w:left w:val="single" w:sz="5" w:space="0" w:color="000000"/>
              <w:bottom w:val="single" w:sz="5" w:space="0" w:color="000000"/>
              <w:right w:val="single" w:sz="5" w:space="0" w:color="000000"/>
            </w:tcBorders>
          </w:tcPr>
          <w:p w14:paraId="452EBDC0"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0" w:type="auto"/>
            <w:tcBorders>
              <w:top w:val="single" w:sz="5" w:space="0" w:color="000000"/>
              <w:left w:val="single" w:sz="5" w:space="0" w:color="000000"/>
              <w:bottom w:val="single" w:sz="5" w:space="0" w:color="000000"/>
              <w:right w:val="single" w:sz="5" w:space="0" w:color="000000"/>
            </w:tcBorders>
          </w:tcPr>
          <w:p w14:paraId="2D3249F0"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Discussion, §1</w:t>
            </w:r>
          </w:p>
        </w:tc>
      </w:tr>
      <w:tr w:rsidR="00401E72" w:rsidRPr="00744AAC" w14:paraId="25EBA1FA" w14:textId="77777777" w:rsidTr="00A21BAE">
        <w:trPr>
          <w:trHeight w:val="48"/>
        </w:trPr>
        <w:tc>
          <w:tcPr>
            <w:tcW w:w="0" w:type="auto"/>
            <w:vMerge/>
            <w:tcBorders>
              <w:left w:val="single" w:sz="5" w:space="0" w:color="000000"/>
              <w:right w:val="single" w:sz="5" w:space="0" w:color="000000"/>
            </w:tcBorders>
          </w:tcPr>
          <w:p w14:paraId="4E837877"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24B14247"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23b</w:t>
            </w:r>
          </w:p>
        </w:tc>
        <w:tc>
          <w:tcPr>
            <w:tcW w:w="0" w:type="auto"/>
            <w:tcBorders>
              <w:top w:val="single" w:sz="5" w:space="0" w:color="000000"/>
              <w:left w:val="single" w:sz="5" w:space="0" w:color="000000"/>
              <w:bottom w:val="single" w:sz="5" w:space="0" w:color="000000"/>
              <w:right w:val="single" w:sz="5" w:space="0" w:color="000000"/>
            </w:tcBorders>
          </w:tcPr>
          <w:p w14:paraId="3F48577D"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0" w:type="auto"/>
            <w:tcBorders>
              <w:top w:val="single" w:sz="5" w:space="0" w:color="000000"/>
              <w:left w:val="single" w:sz="5" w:space="0" w:color="000000"/>
              <w:bottom w:val="single" w:sz="5" w:space="0" w:color="000000"/>
              <w:right w:val="single" w:sz="5" w:space="0" w:color="000000"/>
            </w:tcBorders>
          </w:tcPr>
          <w:p w14:paraId="55512B01"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Discussion, §8</w:t>
            </w:r>
          </w:p>
        </w:tc>
      </w:tr>
      <w:tr w:rsidR="00401E72" w:rsidRPr="00744AAC" w14:paraId="618833AF" w14:textId="77777777" w:rsidTr="00A21BAE">
        <w:trPr>
          <w:trHeight w:val="48"/>
        </w:trPr>
        <w:tc>
          <w:tcPr>
            <w:tcW w:w="0" w:type="auto"/>
            <w:vMerge/>
            <w:tcBorders>
              <w:left w:val="single" w:sz="5" w:space="0" w:color="000000"/>
              <w:right w:val="single" w:sz="5" w:space="0" w:color="000000"/>
            </w:tcBorders>
          </w:tcPr>
          <w:p w14:paraId="5BB1BAC7"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4" w:space="0" w:color="auto"/>
              <w:right w:val="single" w:sz="5" w:space="0" w:color="000000"/>
            </w:tcBorders>
          </w:tcPr>
          <w:p w14:paraId="4C573EA8"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23c</w:t>
            </w:r>
          </w:p>
        </w:tc>
        <w:tc>
          <w:tcPr>
            <w:tcW w:w="0" w:type="auto"/>
            <w:tcBorders>
              <w:top w:val="single" w:sz="5" w:space="0" w:color="000000"/>
              <w:left w:val="single" w:sz="5" w:space="0" w:color="000000"/>
              <w:bottom w:val="single" w:sz="5" w:space="0" w:color="000000"/>
              <w:right w:val="single" w:sz="5" w:space="0" w:color="000000"/>
            </w:tcBorders>
          </w:tcPr>
          <w:p w14:paraId="4A0B8F1E"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0" w:type="auto"/>
            <w:tcBorders>
              <w:top w:val="single" w:sz="5" w:space="0" w:color="000000"/>
              <w:left w:val="single" w:sz="5" w:space="0" w:color="000000"/>
              <w:bottom w:val="single" w:sz="5" w:space="0" w:color="000000"/>
              <w:right w:val="single" w:sz="5" w:space="0" w:color="000000"/>
            </w:tcBorders>
          </w:tcPr>
          <w:p w14:paraId="387E54CE"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Discussion, §8</w:t>
            </w:r>
          </w:p>
        </w:tc>
      </w:tr>
      <w:tr w:rsidR="00401E72" w:rsidRPr="00744AAC" w14:paraId="6FB1D064" w14:textId="77777777" w:rsidTr="00A21BAE">
        <w:trPr>
          <w:trHeight w:val="48"/>
        </w:trPr>
        <w:tc>
          <w:tcPr>
            <w:tcW w:w="0" w:type="auto"/>
            <w:vMerge/>
            <w:tcBorders>
              <w:left w:val="single" w:sz="5" w:space="0" w:color="000000"/>
              <w:bottom w:val="single" w:sz="4" w:space="0" w:color="auto"/>
              <w:right w:val="single" w:sz="5" w:space="0" w:color="000000"/>
            </w:tcBorders>
          </w:tcPr>
          <w:p w14:paraId="41339A0A"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4" w:space="0" w:color="auto"/>
              <w:left w:val="single" w:sz="5" w:space="0" w:color="000000"/>
              <w:bottom w:val="single" w:sz="4" w:space="0" w:color="auto"/>
              <w:right w:val="single" w:sz="4" w:space="0" w:color="auto"/>
            </w:tcBorders>
          </w:tcPr>
          <w:p w14:paraId="73A946D3"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23d</w:t>
            </w:r>
          </w:p>
        </w:tc>
        <w:tc>
          <w:tcPr>
            <w:tcW w:w="0" w:type="auto"/>
            <w:tcBorders>
              <w:top w:val="single" w:sz="5" w:space="0" w:color="000000"/>
              <w:left w:val="single" w:sz="4" w:space="0" w:color="auto"/>
              <w:bottom w:val="double" w:sz="5" w:space="0" w:color="000000"/>
              <w:right w:val="single" w:sz="5" w:space="0" w:color="000000"/>
            </w:tcBorders>
          </w:tcPr>
          <w:p w14:paraId="400EFAA6"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0" w:type="auto"/>
            <w:tcBorders>
              <w:top w:val="single" w:sz="5" w:space="0" w:color="000000"/>
              <w:left w:val="single" w:sz="5" w:space="0" w:color="000000"/>
              <w:bottom w:val="double" w:sz="5" w:space="0" w:color="000000"/>
              <w:right w:val="single" w:sz="5" w:space="0" w:color="000000"/>
            </w:tcBorders>
          </w:tcPr>
          <w:p w14:paraId="19B27EA9"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Discussion, §2-6</w:t>
            </w:r>
          </w:p>
        </w:tc>
      </w:tr>
      <w:tr w:rsidR="00401E72" w:rsidRPr="004C1685" w14:paraId="57870D5B" w14:textId="77777777" w:rsidTr="00A21BAE">
        <w:trPr>
          <w:trHeight w:val="24"/>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394729C" w14:textId="77777777" w:rsidR="00401E72" w:rsidRPr="00930A31" w:rsidRDefault="00401E72" w:rsidP="00A21BAE">
            <w:pPr>
              <w:pStyle w:val="Default"/>
              <w:rPr>
                <w:rFonts w:ascii="Arial" w:hAnsi="Arial" w:cs="Arial"/>
                <w:sz w:val="18"/>
                <w:szCs w:val="18"/>
              </w:rPr>
            </w:pPr>
            <w:r w:rsidRPr="00930A31">
              <w:rPr>
                <w:rFonts w:ascii="Arial" w:hAnsi="Arial" w:cs="Arial"/>
                <w:b/>
                <w:bCs/>
                <w:sz w:val="18"/>
                <w:szCs w:val="18"/>
              </w:rPr>
              <w:t>OTHER INFORMATION</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40FD7BE6" w14:textId="77777777" w:rsidR="00401E72" w:rsidRPr="00930A31" w:rsidRDefault="00401E72" w:rsidP="00A21BAE">
            <w:pPr>
              <w:pStyle w:val="Default"/>
              <w:jc w:val="center"/>
              <w:rPr>
                <w:rFonts w:ascii="Arial" w:hAnsi="Arial" w:cs="Arial"/>
                <w:color w:val="auto"/>
                <w:sz w:val="18"/>
                <w:szCs w:val="18"/>
              </w:rPr>
            </w:pPr>
          </w:p>
        </w:tc>
      </w:tr>
      <w:tr w:rsidR="00401E72" w:rsidRPr="000D6ECD" w14:paraId="3CEF891B" w14:textId="77777777" w:rsidTr="00A21BAE">
        <w:trPr>
          <w:trHeight w:val="48"/>
        </w:trPr>
        <w:tc>
          <w:tcPr>
            <w:tcW w:w="0" w:type="auto"/>
            <w:vMerge w:val="restart"/>
            <w:tcBorders>
              <w:top w:val="single" w:sz="5" w:space="0" w:color="000000"/>
              <w:left w:val="single" w:sz="5" w:space="0" w:color="000000"/>
              <w:right w:val="single" w:sz="5" w:space="0" w:color="000000"/>
            </w:tcBorders>
          </w:tcPr>
          <w:p w14:paraId="73183DFD"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lastRenderedPageBreak/>
              <w:t>Registration and protocol</w:t>
            </w:r>
          </w:p>
        </w:tc>
        <w:tc>
          <w:tcPr>
            <w:tcW w:w="0" w:type="auto"/>
            <w:tcBorders>
              <w:top w:val="single" w:sz="5" w:space="0" w:color="000000"/>
              <w:left w:val="single" w:sz="5" w:space="0" w:color="000000"/>
              <w:bottom w:val="single" w:sz="5" w:space="0" w:color="000000"/>
              <w:right w:val="single" w:sz="5" w:space="0" w:color="000000"/>
            </w:tcBorders>
          </w:tcPr>
          <w:p w14:paraId="040EFC43"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24a</w:t>
            </w:r>
          </w:p>
        </w:tc>
        <w:tc>
          <w:tcPr>
            <w:tcW w:w="0" w:type="auto"/>
            <w:tcBorders>
              <w:top w:val="single" w:sz="5" w:space="0" w:color="000000"/>
              <w:left w:val="single" w:sz="5" w:space="0" w:color="000000"/>
              <w:bottom w:val="single" w:sz="5" w:space="0" w:color="000000"/>
              <w:right w:val="single" w:sz="5" w:space="0" w:color="000000"/>
            </w:tcBorders>
          </w:tcPr>
          <w:p w14:paraId="4DF058CD"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0" w:type="auto"/>
            <w:tcBorders>
              <w:top w:val="single" w:sz="5" w:space="0" w:color="000000"/>
              <w:left w:val="single" w:sz="5" w:space="0" w:color="000000"/>
              <w:bottom w:val="single" w:sz="5" w:space="0" w:color="000000"/>
              <w:right w:val="single" w:sz="5" w:space="0" w:color="000000"/>
            </w:tcBorders>
          </w:tcPr>
          <w:p w14:paraId="188B8EBC"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§1</w:t>
            </w:r>
          </w:p>
        </w:tc>
      </w:tr>
      <w:tr w:rsidR="00401E72" w:rsidRPr="00744AAC" w14:paraId="6B2CD32B" w14:textId="77777777" w:rsidTr="00A21BAE">
        <w:trPr>
          <w:trHeight w:val="57"/>
        </w:trPr>
        <w:tc>
          <w:tcPr>
            <w:tcW w:w="0" w:type="auto"/>
            <w:vMerge/>
            <w:tcBorders>
              <w:left w:val="single" w:sz="5" w:space="0" w:color="000000"/>
              <w:right w:val="single" w:sz="5" w:space="0" w:color="000000"/>
            </w:tcBorders>
          </w:tcPr>
          <w:p w14:paraId="4C6B9D3C"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577BEB20"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24b</w:t>
            </w:r>
          </w:p>
        </w:tc>
        <w:tc>
          <w:tcPr>
            <w:tcW w:w="0" w:type="auto"/>
            <w:tcBorders>
              <w:top w:val="single" w:sz="5" w:space="0" w:color="000000"/>
              <w:left w:val="single" w:sz="5" w:space="0" w:color="000000"/>
              <w:bottom w:val="single" w:sz="5" w:space="0" w:color="000000"/>
              <w:right w:val="single" w:sz="5" w:space="0" w:color="000000"/>
            </w:tcBorders>
          </w:tcPr>
          <w:p w14:paraId="47F80CC8"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0" w:type="auto"/>
            <w:tcBorders>
              <w:top w:val="single" w:sz="5" w:space="0" w:color="000000"/>
              <w:left w:val="single" w:sz="5" w:space="0" w:color="000000"/>
              <w:bottom w:val="single" w:sz="5" w:space="0" w:color="000000"/>
              <w:right w:val="single" w:sz="5" w:space="0" w:color="000000"/>
            </w:tcBorders>
          </w:tcPr>
          <w:p w14:paraId="120F2C8D"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§1</w:t>
            </w:r>
          </w:p>
        </w:tc>
      </w:tr>
      <w:tr w:rsidR="00401E72" w:rsidRPr="00744AAC" w14:paraId="24474E94" w14:textId="77777777" w:rsidTr="00A21BAE">
        <w:trPr>
          <w:trHeight w:val="48"/>
        </w:trPr>
        <w:tc>
          <w:tcPr>
            <w:tcW w:w="0" w:type="auto"/>
            <w:vMerge/>
            <w:tcBorders>
              <w:left w:val="single" w:sz="5" w:space="0" w:color="000000"/>
              <w:bottom w:val="single" w:sz="5" w:space="0" w:color="000000"/>
              <w:right w:val="single" w:sz="5" w:space="0" w:color="000000"/>
            </w:tcBorders>
          </w:tcPr>
          <w:p w14:paraId="31AE106F" w14:textId="77777777" w:rsidR="00401E72" w:rsidRPr="00930A31" w:rsidRDefault="00401E72" w:rsidP="00A21BAE">
            <w:pPr>
              <w:pStyle w:val="Default"/>
              <w:spacing w:before="40" w:after="40"/>
              <w:rPr>
                <w:rFonts w:ascii="Arial" w:hAnsi="Arial" w:cs="Arial"/>
                <w:sz w:val="18"/>
                <w:szCs w:val="18"/>
              </w:rPr>
            </w:pPr>
          </w:p>
        </w:tc>
        <w:tc>
          <w:tcPr>
            <w:tcW w:w="0" w:type="auto"/>
            <w:tcBorders>
              <w:top w:val="single" w:sz="5" w:space="0" w:color="000000"/>
              <w:left w:val="single" w:sz="5" w:space="0" w:color="000000"/>
              <w:bottom w:val="single" w:sz="5" w:space="0" w:color="000000"/>
              <w:right w:val="single" w:sz="5" w:space="0" w:color="000000"/>
            </w:tcBorders>
          </w:tcPr>
          <w:p w14:paraId="7DB936E1"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24c</w:t>
            </w:r>
          </w:p>
        </w:tc>
        <w:tc>
          <w:tcPr>
            <w:tcW w:w="0" w:type="auto"/>
            <w:tcBorders>
              <w:top w:val="single" w:sz="5" w:space="0" w:color="000000"/>
              <w:left w:val="single" w:sz="5" w:space="0" w:color="000000"/>
              <w:bottom w:val="single" w:sz="5" w:space="0" w:color="000000"/>
              <w:right w:val="single" w:sz="5" w:space="0" w:color="000000"/>
            </w:tcBorders>
          </w:tcPr>
          <w:p w14:paraId="457B5DA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0" w:type="auto"/>
            <w:tcBorders>
              <w:top w:val="single" w:sz="5" w:space="0" w:color="000000"/>
              <w:left w:val="single" w:sz="5" w:space="0" w:color="000000"/>
              <w:bottom w:val="single" w:sz="5" w:space="0" w:color="000000"/>
              <w:right w:val="single" w:sz="5" w:space="0" w:color="000000"/>
            </w:tcBorders>
          </w:tcPr>
          <w:p w14:paraId="28C4E30E"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Methods, §1</w:t>
            </w:r>
          </w:p>
        </w:tc>
      </w:tr>
      <w:tr w:rsidR="00401E72" w:rsidRPr="00744AAC" w14:paraId="578E8C6F"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5E9E49F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Support</w:t>
            </w:r>
          </w:p>
        </w:tc>
        <w:tc>
          <w:tcPr>
            <w:tcW w:w="0" w:type="auto"/>
            <w:tcBorders>
              <w:top w:val="single" w:sz="5" w:space="0" w:color="000000"/>
              <w:left w:val="single" w:sz="5" w:space="0" w:color="000000"/>
              <w:bottom w:val="single" w:sz="5" w:space="0" w:color="000000"/>
              <w:right w:val="single" w:sz="5" w:space="0" w:color="000000"/>
            </w:tcBorders>
          </w:tcPr>
          <w:p w14:paraId="7988B6DC"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25</w:t>
            </w:r>
          </w:p>
        </w:tc>
        <w:tc>
          <w:tcPr>
            <w:tcW w:w="0" w:type="auto"/>
            <w:tcBorders>
              <w:top w:val="single" w:sz="5" w:space="0" w:color="000000"/>
              <w:left w:val="single" w:sz="5" w:space="0" w:color="000000"/>
              <w:bottom w:val="single" w:sz="5" w:space="0" w:color="000000"/>
              <w:right w:val="single" w:sz="5" w:space="0" w:color="000000"/>
            </w:tcBorders>
          </w:tcPr>
          <w:p w14:paraId="0CDC1B39"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0" w:type="auto"/>
            <w:tcBorders>
              <w:top w:val="single" w:sz="5" w:space="0" w:color="000000"/>
              <w:left w:val="single" w:sz="5" w:space="0" w:color="000000"/>
              <w:bottom w:val="single" w:sz="5" w:space="0" w:color="000000"/>
              <w:right w:val="single" w:sz="5" w:space="0" w:color="000000"/>
            </w:tcBorders>
          </w:tcPr>
          <w:p w14:paraId="730D1293"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Declaration of interest</w:t>
            </w:r>
          </w:p>
        </w:tc>
      </w:tr>
      <w:tr w:rsidR="00401E72" w:rsidRPr="00744AAC" w14:paraId="7B523BB1" w14:textId="77777777" w:rsidTr="00A21BAE">
        <w:trPr>
          <w:trHeight w:val="48"/>
        </w:trPr>
        <w:tc>
          <w:tcPr>
            <w:tcW w:w="0" w:type="auto"/>
            <w:tcBorders>
              <w:top w:val="single" w:sz="5" w:space="0" w:color="000000"/>
              <w:left w:val="single" w:sz="5" w:space="0" w:color="000000"/>
              <w:bottom w:val="single" w:sz="5" w:space="0" w:color="000000"/>
              <w:right w:val="single" w:sz="5" w:space="0" w:color="000000"/>
            </w:tcBorders>
          </w:tcPr>
          <w:p w14:paraId="12AE620F"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0" w:type="auto"/>
            <w:tcBorders>
              <w:top w:val="single" w:sz="5" w:space="0" w:color="000000"/>
              <w:left w:val="single" w:sz="5" w:space="0" w:color="000000"/>
              <w:bottom w:val="single" w:sz="5" w:space="0" w:color="000000"/>
              <w:right w:val="single" w:sz="5" w:space="0" w:color="000000"/>
            </w:tcBorders>
          </w:tcPr>
          <w:p w14:paraId="46F483DC"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26</w:t>
            </w:r>
          </w:p>
        </w:tc>
        <w:tc>
          <w:tcPr>
            <w:tcW w:w="0" w:type="auto"/>
            <w:tcBorders>
              <w:top w:val="single" w:sz="5" w:space="0" w:color="000000"/>
              <w:left w:val="single" w:sz="5" w:space="0" w:color="000000"/>
              <w:bottom w:val="single" w:sz="5" w:space="0" w:color="000000"/>
              <w:right w:val="single" w:sz="5" w:space="0" w:color="000000"/>
            </w:tcBorders>
          </w:tcPr>
          <w:p w14:paraId="2D73616B"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0" w:type="auto"/>
            <w:tcBorders>
              <w:top w:val="single" w:sz="5" w:space="0" w:color="000000"/>
              <w:left w:val="single" w:sz="5" w:space="0" w:color="000000"/>
              <w:bottom w:val="single" w:sz="5" w:space="0" w:color="000000"/>
              <w:right w:val="single" w:sz="5" w:space="0" w:color="000000"/>
            </w:tcBorders>
          </w:tcPr>
          <w:p w14:paraId="3E6D1F30" w14:textId="77777777" w:rsidR="00401E72" w:rsidRPr="00930A31"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Declaration of interest</w:t>
            </w:r>
          </w:p>
        </w:tc>
      </w:tr>
      <w:tr w:rsidR="00401E72" w:rsidRPr="00744AAC" w14:paraId="18D46059" w14:textId="77777777" w:rsidTr="00A21BAE">
        <w:trPr>
          <w:trHeight w:val="219"/>
        </w:trPr>
        <w:tc>
          <w:tcPr>
            <w:tcW w:w="0" w:type="auto"/>
            <w:tcBorders>
              <w:top w:val="single" w:sz="5" w:space="0" w:color="000000"/>
              <w:left w:val="single" w:sz="5" w:space="0" w:color="000000"/>
              <w:bottom w:val="double" w:sz="5" w:space="0" w:color="000000"/>
              <w:right w:val="single" w:sz="5" w:space="0" w:color="000000"/>
            </w:tcBorders>
          </w:tcPr>
          <w:p w14:paraId="1CC8EB8A"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0" w:type="auto"/>
            <w:tcBorders>
              <w:top w:val="single" w:sz="5" w:space="0" w:color="000000"/>
              <w:left w:val="single" w:sz="5" w:space="0" w:color="000000"/>
              <w:bottom w:val="double" w:sz="5" w:space="0" w:color="000000"/>
              <w:right w:val="single" w:sz="5" w:space="0" w:color="000000"/>
            </w:tcBorders>
          </w:tcPr>
          <w:p w14:paraId="6300D8E2" w14:textId="77777777" w:rsidR="00401E72" w:rsidRPr="00930A31" w:rsidRDefault="00401E72" w:rsidP="00A21BAE">
            <w:pPr>
              <w:pStyle w:val="Default"/>
              <w:spacing w:before="40" w:after="40"/>
              <w:jc w:val="right"/>
              <w:rPr>
                <w:rFonts w:ascii="Arial" w:hAnsi="Arial" w:cs="Arial"/>
                <w:sz w:val="18"/>
                <w:szCs w:val="18"/>
              </w:rPr>
            </w:pPr>
            <w:r w:rsidRPr="00930A31">
              <w:rPr>
                <w:rFonts w:ascii="Arial" w:hAnsi="Arial" w:cs="Arial"/>
                <w:sz w:val="18"/>
                <w:szCs w:val="18"/>
              </w:rPr>
              <w:t>27</w:t>
            </w:r>
          </w:p>
        </w:tc>
        <w:tc>
          <w:tcPr>
            <w:tcW w:w="0" w:type="auto"/>
            <w:tcBorders>
              <w:top w:val="single" w:sz="5" w:space="0" w:color="000000"/>
              <w:left w:val="single" w:sz="5" w:space="0" w:color="000000"/>
              <w:bottom w:val="double" w:sz="5" w:space="0" w:color="000000"/>
              <w:right w:val="single" w:sz="5" w:space="0" w:color="000000"/>
            </w:tcBorders>
          </w:tcPr>
          <w:p w14:paraId="328D4871" w14:textId="77777777" w:rsidR="00401E72" w:rsidRPr="00930A31" w:rsidRDefault="00401E72" w:rsidP="00A21BAE">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top w:val="single" w:sz="5" w:space="0" w:color="000000"/>
              <w:left w:val="single" w:sz="5" w:space="0" w:color="000000"/>
              <w:bottom w:val="double" w:sz="5" w:space="0" w:color="000000"/>
              <w:right w:val="single" w:sz="5" w:space="0" w:color="000000"/>
            </w:tcBorders>
          </w:tcPr>
          <w:p w14:paraId="7120F7EE" w14:textId="77777777" w:rsidR="00401E72" w:rsidRPr="00930A31" w:rsidRDefault="00401E72" w:rsidP="00A21BAE">
            <w:pPr>
              <w:pStyle w:val="Default"/>
              <w:spacing w:before="40" w:after="40"/>
              <w:rPr>
                <w:rFonts w:ascii="Arial" w:hAnsi="Arial" w:cs="Arial"/>
                <w:color w:val="auto"/>
                <w:sz w:val="18"/>
                <w:szCs w:val="18"/>
              </w:rPr>
            </w:pPr>
            <w:r w:rsidRPr="00166E19">
              <w:rPr>
                <w:rFonts w:ascii="Arial" w:hAnsi="Arial" w:cs="Arial"/>
                <w:color w:val="auto"/>
                <w:sz w:val="18"/>
                <w:szCs w:val="18"/>
              </w:rPr>
              <w:t>Declaration of interests</w:t>
            </w:r>
          </w:p>
        </w:tc>
      </w:tr>
    </w:tbl>
    <w:p w14:paraId="2680E59D" w14:textId="77777777" w:rsidR="00401E72" w:rsidRPr="004C1685" w:rsidRDefault="00401E72" w:rsidP="00401E72">
      <w:pPr>
        <w:pStyle w:val="Default"/>
        <w:rPr>
          <w:rFonts w:ascii="Arial" w:hAnsi="Arial" w:cs="Arial"/>
          <w:color w:val="auto"/>
        </w:rPr>
      </w:pPr>
    </w:p>
    <w:p w14:paraId="39F5831D" w14:textId="77777777" w:rsidR="00401E72" w:rsidRDefault="00401E72" w:rsidP="00401E72">
      <w:pPr>
        <w:pStyle w:val="CM1"/>
        <w:spacing w:after="130"/>
        <w:jc w:val="center"/>
        <w:rPr>
          <w:rFonts w:ascii="Arial" w:hAnsi="Arial" w:cs="Arial"/>
          <w:color w:val="000000"/>
          <w:sz w:val="16"/>
          <w:szCs w:val="16"/>
          <w:lang w:val="da-DK"/>
        </w:rPr>
      </w:pPr>
      <w:r w:rsidRPr="37AAFCD6">
        <w:rPr>
          <w:rFonts w:ascii="Arial" w:hAnsi="Arial" w:cs="Arial"/>
          <w:sz w:val="18"/>
          <w:szCs w:val="18"/>
        </w:rPr>
        <w:t>Abstracts checklist</w:t>
      </w:r>
      <w:r w:rsidRPr="00C22710">
        <w:rPr>
          <w:rFonts w:ascii="Arial" w:hAnsi="Arial" w:cs="Arial"/>
          <w:color w:val="000000"/>
          <w:sz w:val="16"/>
          <w:szCs w:val="16"/>
          <w:lang w:val="da-DK"/>
        </w:rPr>
        <w:t xml:space="preserve"> </w:t>
      </w:r>
    </w:p>
    <w:tbl>
      <w:tblPr>
        <w:tblW w:w="0" w:type="auto"/>
        <w:tblBorders>
          <w:top w:val="nil"/>
          <w:left w:val="nil"/>
          <w:bottom w:val="nil"/>
          <w:right w:val="nil"/>
        </w:tblBorders>
        <w:tblLook w:val="0000" w:firstRow="0" w:lastRow="0" w:firstColumn="0" w:lastColumn="0" w:noHBand="0" w:noVBand="0"/>
      </w:tblPr>
      <w:tblGrid>
        <w:gridCol w:w="1424"/>
        <w:gridCol w:w="616"/>
        <w:gridCol w:w="5864"/>
        <w:gridCol w:w="1156"/>
      </w:tblGrid>
      <w:tr w:rsidR="00401E72" w:rsidRPr="006637FF" w14:paraId="2C65E4AF" w14:textId="77777777" w:rsidTr="00A21BAE">
        <w:trPr>
          <w:trHeight w:val="65"/>
          <w:tblHeader/>
        </w:trPr>
        <w:tc>
          <w:tcPr>
            <w:tcW w:w="0" w:type="auto"/>
            <w:tcBorders>
              <w:top w:val="double" w:sz="5"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1AB3C987" w14:textId="77777777" w:rsidR="00401E72" w:rsidRPr="00A91047" w:rsidRDefault="00401E72" w:rsidP="00A21BAE">
            <w:pPr>
              <w:pStyle w:val="Default"/>
              <w:rPr>
                <w:rFonts w:ascii="Arial" w:hAnsi="Arial" w:cs="Arial"/>
                <w:color w:val="FFFFFF"/>
                <w:sz w:val="18"/>
                <w:szCs w:val="18"/>
              </w:rPr>
            </w:pPr>
            <w:r w:rsidRPr="00A91047">
              <w:rPr>
                <w:rFonts w:ascii="Arial" w:hAnsi="Arial" w:cs="Arial"/>
                <w:b/>
                <w:bCs/>
                <w:color w:val="FFFFFF"/>
                <w:sz w:val="18"/>
                <w:szCs w:val="18"/>
              </w:rPr>
              <w:t xml:space="preserve">Section and Topic </w:t>
            </w:r>
          </w:p>
        </w:tc>
        <w:tc>
          <w:tcPr>
            <w:tcW w:w="0" w:type="auto"/>
            <w:tcBorders>
              <w:top w:val="double" w:sz="5"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7E46F949" w14:textId="77777777" w:rsidR="00401E72" w:rsidRPr="00A91047" w:rsidRDefault="00401E72" w:rsidP="00A21BAE">
            <w:pPr>
              <w:pStyle w:val="Default"/>
              <w:rPr>
                <w:rFonts w:ascii="Arial" w:hAnsi="Arial" w:cs="Arial"/>
                <w:b/>
                <w:bCs/>
                <w:color w:val="FFFFFF"/>
                <w:sz w:val="18"/>
                <w:szCs w:val="18"/>
              </w:rPr>
            </w:pPr>
            <w:r w:rsidRPr="00A91047">
              <w:rPr>
                <w:rFonts w:ascii="Arial" w:hAnsi="Arial" w:cs="Arial"/>
                <w:b/>
                <w:bCs/>
                <w:color w:val="FFFFFF"/>
                <w:sz w:val="18"/>
                <w:szCs w:val="18"/>
              </w:rPr>
              <w:t>Item #</w:t>
            </w:r>
          </w:p>
        </w:tc>
        <w:tc>
          <w:tcPr>
            <w:tcW w:w="0" w:type="auto"/>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03D65D09" w14:textId="77777777" w:rsidR="00401E72" w:rsidRPr="00A91047" w:rsidRDefault="00401E72" w:rsidP="00A21BAE">
            <w:pPr>
              <w:pStyle w:val="Default"/>
              <w:rPr>
                <w:rFonts w:ascii="Arial" w:hAnsi="Arial" w:cs="Arial"/>
                <w:color w:val="FFFFFF"/>
                <w:sz w:val="18"/>
                <w:szCs w:val="18"/>
              </w:rPr>
            </w:pPr>
            <w:r w:rsidRPr="00A91047">
              <w:rPr>
                <w:rFonts w:ascii="Arial" w:hAnsi="Arial" w:cs="Arial"/>
                <w:b/>
                <w:bCs/>
                <w:color w:val="FFFFFF"/>
                <w:sz w:val="18"/>
                <w:szCs w:val="18"/>
              </w:rPr>
              <w:t xml:space="preserve">Checklist item </w:t>
            </w:r>
          </w:p>
        </w:tc>
        <w:tc>
          <w:tcPr>
            <w:tcW w:w="0" w:type="auto"/>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51BBCAF4" w14:textId="77777777" w:rsidR="00401E72" w:rsidRPr="00A91047" w:rsidRDefault="00401E72" w:rsidP="00A21BAE">
            <w:pPr>
              <w:pStyle w:val="Default"/>
              <w:rPr>
                <w:rFonts w:ascii="Arial" w:hAnsi="Arial" w:cs="Arial"/>
                <w:color w:val="FFFFFF"/>
                <w:sz w:val="18"/>
                <w:szCs w:val="18"/>
              </w:rPr>
            </w:pPr>
            <w:r w:rsidRPr="00A91047">
              <w:rPr>
                <w:rFonts w:ascii="Arial" w:hAnsi="Arial" w:cs="Arial"/>
                <w:b/>
                <w:bCs/>
                <w:color w:val="FFFFFF"/>
                <w:sz w:val="18"/>
                <w:szCs w:val="18"/>
              </w:rPr>
              <w:t xml:space="preserve">Reported (Yes/No) </w:t>
            </w:r>
          </w:p>
        </w:tc>
      </w:tr>
      <w:tr w:rsidR="00401E72" w:rsidRPr="006637FF" w14:paraId="3294837F" w14:textId="77777777" w:rsidTr="00A21BAE">
        <w:trPr>
          <w:trHeight w:val="24"/>
        </w:trPr>
        <w:tc>
          <w:tcPr>
            <w:tcW w:w="0" w:type="auto"/>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5C02D295" w14:textId="77777777" w:rsidR="00401E72" w:rsidRPr="00A91047" w:rsidRDefault="00401E72" w:rsidP="00A21BAE">
            <w:pPr>
              <w:pStyle w:val="Default"/>
              <w:rPr>
                <w:rFonts w:ascii="Arial" w:hAnsi="Arial" w:cs="Arial"/>
                <w:sz w:val="18"/>
                <w:szCs w:val="18"/>
              </w:rPr>
            </w:pPr>
            <w:r w:rsidRPr="00A91047">
              <w:rPr>
                <w:rFonts w:ascii="Arial" w:hAnsi="Arial" w:cs="Arial"/>
                <w:b/>
                <w:bCs/>
                <w:sz w:val="18"/>
                <w:szCs w:val="18"/>
              </w:rPr>
              <w:t xml:space="preserve">TITLE </w:t>
            </w:r>
          </w:p>
        </w:tc>
        <w:tc>
          <w:tcPr>
            <w:tcW w:w="0" w:type="auto"/>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73558321" w14:textId="77777777" w:rsidR="00401E72" w:rsidRPr="00A91047" w:rsidRDefault="00401E72" w:rsidP="00A21BAE">
            <w:pPr>
              <w:pStyle w:val="Default"/>
              <w:jc w:val="right"/>
              <w:rPr>
                <w:rFonts w:ascii="Arial" w:hAnsi="Arial" w:cs="Arial"/>
                <w:color w:val="auto"/>
                <w:sz w:val="18"/>
                <w:szCs w:val="18"/>
              </w:rPr>
            </w:pPr>
          </w:p>
        </w:tc>
      </w:tr>
      <w:tr w:rsidR="00401E72" w:rsidRPr="00AF47E7" w14:paraId="7E31EDD8" w14:textId="77777777" w:rsidTr="00A21BAE">
        <w:trPr>
          <w:trHeight w:val="48"/>
        </w:trPr>
        <w:tc>
          <w:tcPr>
            <w:tcW w:w="0" w:type="auto"/>
            <w:tcBorders>
              <w:top w:val="single" w:sz="5" w:space="0" w:color="000000" w:themeColor="text1"/>
              <w:left w:val="single" w:sz="5" w:space="0" w:color="000000" w:themeColor="text1"/>
              <w:bottom w:val="double" w:sz="2" w:space="0" w:color="FFFFCC"/>
              <w:right w:val="single" w:sz="5" w:space="0" w:color="000000" w:themeColor="text1"/>
            </w:tcBorders>
          </w:tcPr>
          <w:p w14:paraId="06857861"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 xml:space="preserve">Title </w:t>
            </w:r>
          </w:p>
        </w:tc>
        <w:tc>
          <w:tcPr>
            <w:tcW w:w="0" w:type="auto"/>
            <w:tcBorders>
              <w:top w:val="single" w:sz="5" w:space="0" w:color="000000" w:themeColor="text1"/>
              <w:left w:val="single" w:sz="5" w:space="0" w:color="000000" w:themeColor="text1"/>
              <w:bottom w:val="double" w:sz="2" w:space="0" w:color="FFFFCC"/>
              <w:right w:val="single" w:sz="5" w:space="0" w:color="000000" w:themeColor="text1"/>
            </w:tcBorders>
          </w:tcPr>
          <w:p w14:paraId="4967E187"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1</w:t>
            </w:r>
          </w:p>
        </w:tc>
        <w:tc>
          <w:tcPr>
            <w:tcW w:w="0" w:type="auto"/>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3143CC0A"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Identify the report as a systematic review.</w:t>
            </w:r>
          </w:p>
        </w:tc>
        <w:tc>
          <w:tcPr>
            <w:tcW w:w="0" w:type="auto"/>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10F766DD"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Y</w:t>
            </w:r>
            <w:r>
              <w:rPr>
                <w:rFonts w:ascii="Arial" w:hAnsi="Arial" w:cs="Arial"/>
                <w:sz w:val="18"/>
                <w:szCs w:val="18"/>
              </w:rPr>
              <w:t>es</w:t>
            </w:r>
          </w:p>
        </w:tc>
      </w:tr>
      <w:tr w:rsidR="00401E72" w:rsidRPr="006637FF" w14:paraId="41C09845" w14:textId="77777777" w:rsidTr="00A21BAE">
        <w:trPr>
          <w:trHeight w:val="24"/>
        </w:trPr>
        <w:tc>
          <w:tcPr>
            <w:tcW w:w="0" w:type="auto"/>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5C7E7532" w14:textId="77777777" w:rsidR="00401E72" w:rsidRPr="00A91047" w:rsidRDefault="00401E72" w:rsidP="00A21BAE">
            <w:pPr>
              <w:pStyle w:val="Default"/>
              <w:rPr>
                <w:rFonts w:ascii="Arial" w:hAnsi="Arial" w:cs="Arial"/>
                <w:sz w:val="18"/>
                <w:szCs w:val="18"/>
              </w:rPr>
            </w:pPr>
            <w:r w:rsidRPr="00A91047">
              <w:rPr>
                <w:rFonts w:ascii="Arial" w:hAnsi="Arial" w:cs="Arial"/>
                <w:b/>
                <w:bCs/>
                <w:sz w:val="18"/>
                <w:szCs w:val="18"/>
              </w:rPr>
              <w:t xml:space="preserve">BACKGROUND </w:t>
            </w:r>
          </w:p>
        </w:tc>
        <w:tc>
          <w:tcPr>
            <w:tcW w:w="0" w:type="auto"/>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7A62F792" w14:textId="77777777" w:rsidR="00401E72" w:rsidRPr="00A91047" w:rsidRDefault="00401E72" w:rsidP="00A21BAE">
            <w:pPr>
              <w:pStyle w:val="Default"/>
              <w:jc w:val="right"/>
              <w:rPr>
                <w:rFonts w:ascii="Arial" w:hAnsi="Arial" w:cs="Arial"/>
                <w:color w:val="auto"/>
                <w:sz w:val="18"/>
                <w:szCs w:val="18"/>
              </w:rPr>
            </w:pPr>
          </w:p>
        </w:tc>
      </w:tr>
      <w:tr w:rsidR="00401E72" w:rsidRPr="00AF47E7" w14:paraId="2FA3F71A" w14:textId="77777777" w:rsidTr="00A21BAE">
        <w:trPr>
          <w:trHeight w:val="48"/>
        </w:trPr>
        <w:tc>
          <w:tcPr>
            <w:tcW w:w="0" w:type="auto"/>
            <w:tcBorders>
              <w:top w:val="single" w:sz="5" w:space="0" w:color="000000" w:themeColor="text1"/>
              <w:left w:val="single" w:sz="5" w:space="0" w:color="000000" w:themeColor="text1"/>
              <w:bottom w:val="double" w:sz="2" w:space="0" w:color="FFFFCC"/>
              <w:right w:val="single" w:sz="5" w:space="0" w:color="000000" w:themeColor="text1"/>
            </w:tcBorders>
          </w:tcPr>
          <w:p w14:paraId="149E6F34"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 xml:space="preserve">Objectives </w:t>
            </w:r>
          </w:p>
        </w:tc>
        <w:tc>
          <w:tcPr>
            <w:tcW w:w="0" w:type="auto"/>
            <w:tcBorders>
              <w:top w:val="single" w:sz="5" w:space="0" w:color="000000" w:themeColor="text1"/>
              <w:left w:val="single" w:sz="5" w:space="0" w:color="000000" w:themeColor="text1"/>
              <w:bottom w:val="double" w:sz="2" w:space="0" w:color="FFFFCC"/>
              <w:right w:val="single" w:sz="5" w:space="0" w:color="000000" w:themeColor="text1"/>
            </w:tcBorders>
          </w:tcPr>
          <w:p w14:paraId="1D1CD318"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2</w:t>
            </w:r>
          </w:p>
        </w:tc>
        <w:tc>
          <w:tcPr>
            <w:tcW w:w="0" w:type="auto"/>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75DAF1D8"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Provide an explicit statement of the main objective(s) or question(s) the review addresses.</w:t>
            </w:r>
          </w:p>
        </w:tc>
        <w:tc>
          <w:tcPr>
            <w:tcW w:w="0" w:type="auto"/>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6B7CD929"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Y</w:t>
            </w:r>
            <w:r>
              <w:rPr>
                <w:rFonts w:ascii="Arial" w:hAnsi="Arial" w:cs="Arial"/>
                <w:sz w:val="18"/>
                <w:szCs w:val="18"/>
              </w:rPr>
              <w:t>es</w:t>
            </w:r>
          </w:p>
        </w:tc>
      </w:tr>
      <w:tr w:rsidR="00401E72" w:rsidRPr="006637FF" w14:paraId="18B987DF" w14:textId="77777777" w:rsidTr="00A21BAE">
        <w:trPr>
          <w:trHeight w:val="24"/>
        </w:trPr>
        <w:tc>
          <w:tcPr>
            <w:tcW w:w="0" w:type="auto"/>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404B6801" w14:textId="77777777" w:rsidR="00401E72" w:rsidRPr="00A91047" w:rsidRDefault="00401E72" w:rsidP="00A21BAE">
            <w:pPr>
              <w:pStyle w:val="Default"/>
              <w:rPr>
                <w:rFonts w:ascii="Arial" w:hAnsi="Arial" w:cs="Arial"/>
                <w:sz w:val="18"/>
                <w:szCs w:val="18"/>
              </w:rPr>
            </w:pPr>
            <w:r w:rsidRPr="00A91047">
              <w:rPr>
                <w:rFonts w:ascii="Arial" w:hAnsi="Arial" w:cs="Arial"/>
                <w:b/>
                <w:bCs/>
                <w:sz w:val="18"/>
                <w:szCs w:val="18"/>
              </w:rPr>
              <w:t xml:space="preserve">METHODS </w:t>
            </w:r>
          </w:p>
        </w:tc>
        <w:tc>
          <w:tcPr>
            <w:tcW w:w="0" w:type="auto"/>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27E1B3C0" w14:textId="77777777" w:rsidR="00401E72" w:rsidRPr="00A91047" w:rsidRDefault="00401E72" w:rsidP="00A21BAE">
            <w:pPr>
              <w:pStyle w:val="Default"/>
              <w:jc w:val="right"/>
              <w:rPr>
                <w:rFonts w:ascii="Arial" w:hAnsi="Arial" w:cs="Arial"/>
                <w:color w:val="auto"/>
                <w:sz w:val="18"/>
                <w:szCs w:val="18"/>
              </w:rPr>
            </w:pPr>
          </w:p>
        </w:tc>
      </w:tr>
      <w:tr w:rsidR="00401E72" w:rsidRPr="000D6ECD" w14:paraId="3572AAF9" w14:textId="77777777" w:rsidTr="00A21BAE">
        <w:trPr>
          <w:trHeight w:val="48"/>
        </w:trPr>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09E358E"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 xml:space="preserve">Eligibility criteria </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0793D42"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3</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630016A"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Specify the inclusion and exclusion criteria for the review.</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AB323D7"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Yes</w:t>
            </w:r>
          </w:p>
        </w:tc>
      </w:tr>
      <w:tr w:rsidR="00401E72" w:rsidRPr="000D6ECD" w14:paraId="0AE52A79" w14:textId="77777777" w:rsidTr="00A21BAE">
        <w:trPr>
          <w:trHeight w:val="191"/>
        </w:trPr>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B15F152"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 xml:space="preserve">Information sources </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3D7889D"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4</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EA0E738"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Specify the information sources (e.g. databases, registers) used to identify studies and the date when each was last searched.</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DD336AB"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Yes</w:t>
            </w:r>
          </w:p>
        </w:tc>
      </w:tr>
      <w:tr w:rsidR="00401E72" w:rsidRPr="00490436" w14:paraId="4AEA59CA" w14:textId="77777777" w:rsidTr="00A21BAE">
        <w:trPr>
          <w:trHeight w:val="48"/>
        </w:trPr>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49B0A19"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Risk of bias</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ADF2605"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5</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DC2457C"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Specify the methods used to assess risk of bias in the included studies.</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0F0A4AE"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Y</w:t>
            </w:r>
            <w:r>
              <w:rPr>
                <w:rFonts w:ascii="Arial" w:hAnsi="Arial" w:cs="Arial"/>
                <w:sz w:val="18"/>
                <w:szCs w:val="18"/>
              </w:rPr>
              <w:t>es</w:t>
            </w:r>
          </w:p>
        </w:tc>
      </w:tr>
      <w:tr w:rsidR="00401E72" w:rsidRPr="000D6ECD" w14:paraId="41C00711" w14:textId="77777777" w:rsidTr="00A21BAE">
        <w:trPr>
          <w:trHeight w:val="48"/>
        </w:trPr>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B83652A"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 xml:space="preserve">Synthesis of results </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ACCBA60"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6</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B16BE9B"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Specify the methods used to present and synthesise results.</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29B0FF4"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No</w:t>
            </w:r>
            <w:r w:rsidRPr="004224D9">
              <w:rPr>
                <w:rFonts w:ascii="Arial" w:hAnsi="Arial" w:cs="Arial"/>
                <w:color w:val="EE0000"/>
                <w:sz w:val="18"/>
                <w:szCs w:val="18"/>
              </w:rPr>
              <w:t>*</w:t>
            </w:r>
          </w:p>
        </w:tc>
      </w:tr>
      <w:tr w:rsidR="00401E72" w:rsidRPr="006637FF" w14:paraId="57545B78" w14:textId="77777777" w:rsidTr="00A21BAE">
        <w:trPr>
          <w:trHeight w:val="24"/>
        </w:trPr>
        <w:tc>
          <w:tcPr>
            <w:tcW w:w="0" w:type="auto"/>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7EDBE1BA" w14:textId="77777777" w:rsidR="00401E72" w:rsidRPr="00A91047" w:rsidRDefault="00401E72" w:rsidP="00A21BAE">
            <w:pPr>
              <w:pStyle w:val="Default"/>
              <w:rPr>
                <w:rFonts w:ascii="Arial" w:hAnsi="Arial" w:cs="Arial"/>
                <w:sz w:val="18"/>
                <w:szCs w:val="18"/>
              </w:rPr>
            </w:pPr>
            <w:r w:rsidRPr="00A91047">
              <w:rPr>
                <w:rFonts w:ascii="Arial" w:hAnsi="Arial" w:cs="Arial"/>
                <w:b/>
                <w:bCs/>
                <w:sz w:val="18"/>
                <w:szCs w:val="18"/>
              </w:rPr>
              <w:t xml:space="preserve">RESULTS </w:t>
            </w:r>
          </w:p>
        </w:tc>
        <w:tc>
          <w:tcPr>
            <w:tcW w:w="0" w:type="auto"/>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546F9282" w14:textId="77777777" w:rsidR="00401E72" w:rsidRPr="00A91047" w:rsidRDefault="00401E72" w:rsidP="00A21BAE">
            <w:pPr>
              <w:pStyle w:val="Default"/>
              <w:jc w:val="center"/>
              <w:rPr>
                <w:rFonts w:ascii="Arial" w:hAnsi="Arial" w:cs="Arial"/>
                <w:color w:val="auto"/>
                <w:sz w:val="18"/>
                <w:szCs w:val="18"/>
              </w:rPr>
            </w:pPr>
          </w:p>
        </w:tc>
      </w:tr>
      <w:tr w:rsidR="00401E72" w:rsidRPr="00AF47E7" w14:paraId="07A9E850" w14:textId="77777777" w:rsidTr="00A21BAE">
        <w:trPr>
          <w:trHeight w:val="103"/>
        </w:trPr>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A45E70E"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 xml:space="preserve">Included studies </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6BDE378"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7</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DCC5532"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Give the total number of included studies and participants and summarise relevant characteristics of studies.</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2ED60DE"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Yes</w:t>
            </w:r>
          </w:p>
        </w:tc>
      </w:tr>
      <w:tr w:rsidR="00401E72" w:rsidRPr="000D6ECD" w14:paraId="4C58FE6C" w14:textId="77777777" w:rsidTr="00A21BAE">
        <w:trPr>
          <w:trHeight w:val="48"/>
        </w:trPr>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C41F95D"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 xml:space="preserve">Synthesis of results </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A083662"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8</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81B2007"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3A85886"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Y</w:t>
            </w:r>
            <w:r>
              <w:rPr>
                <w:rFonts w:ascii="Arial" w:hAnsi="Arial" w:cs="Arial"/>
                <w:sz w:val="18"/>
                <w:szCs w:val="18"/>
              </w:rPr>
              <w:t>es</w:t>
            </w:r>
          </w:p>
        </w:tc>
      </w:tr>
      <w:tr w:rsidR="00401E72" w:rsidRPr="006637FF" w14:paraId="1FB894E2" w14:textId="77777777" w:rsidTr="00A21BAE">
        <w:trPr>
          <w:trHeight w:val="24"/>
        </w:trPr>
        <w:tc>
          <w:tcPr>
            <w:tcW w:w="0" w:type="auto"/>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0D2544BD" w14:textId="77777777" w:rsidR="00401E72" w:rsidRPr="00A91047" w:rsidRDefault="00401E72" w:rsidP="00A21BAE">
            <w:pPr>
              <w:pStyle w:val="Default"/>
              <w:rPr>
                <w:rFonts w:ascii="Arial" w:hAnsi="Arial" w:cs="Arial"/>
                <w:sz w:val="18"/>
                <w:szCs w:val="18"/>
              </w:rPr>
            </w:pPr>
            <w:r w:rsidRPr="00A91047">
              <w:rPr>
                <w:rFonts w:ascii="Arial" w:hAnsi="Arial" w:cs="Arial"/>
                <w:b/>
                <w:bCs/>
                <w:sz w:val="18"/>
                <w:szCs w:val="18"/>
              </w:rPr>
              <w:t xml:space="preserve">DISCUSSION </w:t>
            </w:r>
          </w:p>
        </w:tc>
        <w:tc>
          <w:tcPr>
            <w:tcW w:w="0" w:type="auto"/>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69CAAF6B" w14:textId="77777777" w:rsidR="00401E72" w:rsidRPr="00A91047" w:rsidRDefault="00401E72" w:rsidP="00A21BAE">
            <w:pPr>
              <w:pStyle w:val="Default"/>
              <w:jc w:val="center"/>
              <w:rPr>
                <w:rFonts w:ascii="Arial" w:hAnsi="Arial" w:cs="Arial"/>
                <w:color w:val="auto"/>
                <w:sz w:val="18"/>
                <w:szCs w:val="18"/>
              </w:rPr>
            </w:pPr>
          </w:p>
        </w:tc>
      </w:tr>
      <w:tr w:rsidR="00401E72" w:rsidRPr="000D6ECD" w14:paraId="0F734FA8" w14:textId="77777777" w:rsidTr="00A21BAE">
        <w:trPr>
          <w:trHeight w:val="48"/>
        </w:trPr>
        <w:tc>
          <w:tcPr>
            <w:tcW w:w="0" w:type="auto"/>
            <w:tcBorders>
              <w:top w:val="single" w:sz="4" w:space="0" w:color="auto"/>
              <w:left w:val="single" w:sz="4" w:space="0" w:color="auto"/>
              <w:bottom w:val="single" w:sz="4" w:space="0" w:color="auto"/>
              <w:right w:val="single" w:sz="4" w:space="0" w:color="auto"/>
            </w:tcBorders>
          </w:tcPr>
          <w:p w14:paraId="073462FE"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Limitations of evidence</w:t>
            </w:r>
          </w:p>
        </w:tc>
        <w:tc>
          <w:tcPr>
            <w:tcW w:w="0" w:type="auto"/>
            <w:tcBorders>
              <w:top w:val="single" w:sz="5" w:space="0" w:color="000000" w:themeColor="text1"/>
              <w:left w:val="single" w:sz="4" w:space="0" w:color="auto"/>
              <w:bottom w:val="single" w:sz="5" w:space="0" w:color="000000" w:themeColor="text1"/>
              <w:right w:val="single" w:sz="5" w:space="0" w:color="000000" w:themeColor="text1"/>
            </w:tcBorders>
          </w:tcPr>
          <w:p w14:paraId="7FC66949"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9</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9C20C81"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Provide a brief summary of the limitations of the evidence included in the review (e.g. study risk of bias, inconsistency and imprecision).</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4669BCA" w14:textId="77777777" w:rsidR="00401E72" w:rsidRPr="00A91047" w:rsidRDefault="00401E72" w:rsidP="00A21BAE">
            <w:pPr>
              <w:pStyle w:val="Default"/>
              <w:spacing w:before="40" w:after="40"/>
              <w:rPr>
                <w:rFonts w:ascii="Arial" w:hAnsi="Arial" w:cs="Arial"/>
                <w:color w:val="FF0000"/>
                <w:sz w:val="18"/>
                <w:szCs w:val="18"/>
              </w:rPr>
            </w:pPr>
            <w:commentRangeStart w:id="0"/>
            <w:r w:rsidRPr="37AAFCD6">
              <w:rPr>
                <w:rFonts w:ascii="Arial" w:hAnsi="Arial" w:cs="Arial"/>
                <w:color w:val="auto"/>
                <w:sz w:val="18"/>
                <w:szCs w:val="18"/>
              </w:rPr>
              <w:t>Yes</w:t>
            </w:r>
            <w:commentRangeEnd w:id="0"/>
            <w:r w:rsidRPr="00A91047">
              <w:rPr>
                <w:rStyle w:val="Marquedecommentaire"/>
                <w:rFonts w:ascii="Arial" w:hAnsi="Arial" w:cs="Arial"/>
                <w:color w:val="FF0000"/>
                <w:sz w:val="18"/>
                <w:szCs w:val="18"/>
              </w:rPr>
              <w:commentReference w:id="0"/>
            </w:r>
          </w:p>
        </w:tc>
      </w:tr>
      <w:tr w:rsidR="00401E72" w:rsidRPr="000D6ECD" w14:paraId="70EE39F2" w14:textId="77777777" w:rsidTr="00A21BAE">
        <w:trPr>
          <w:trHeight w:val="48"/>
        </w:trPr>
        <w:tc>
          <w:tcPr>
            <w:tcW w:w="0" w:type="auto"/>
            <w:tcBorders>
              <w:top w:val="single" w:sz="4" w:space="0" w:color="auto"/>
              <w:left w:val="single" w:sz="4" w:space="0" w:color="auto"/>
              <w:bottom w:val="single" w:sz="4" w:space="0" w:color="auto"/>
              <w:right w:val="single" w:sz="4" w:space="0" w:color="auto"/>
            </w:tcBorders>
          </w:tcPr>
          <w:p w14:paraId="55C38725"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Interpretation</w:t>
            </w:r>
          </w:p>
        </w:tc>
        <w:tc>
          <w:tcPr>
            <w:tcW w:w="0" w:type="auto"/>
            <w:tcBorders>
              <w:top w:val="single" w:sz="5" w:space="0" w:color="000000" w:themeColor="text1"/>
              <w:left w:val="single" w:sz="4" w:space="0" w:color="auto"/>
              <w:bottom w:val="single" w:sz="5" w:space="0" w:color="000000" w:themeColor="text1"/>
              <w:right w:val="single" w:sz="5" w:space="0" w:color="000000" w:themeColor="text1"/>
            </w:tcBorders>
          </w:tcPr>
          <w:p w14:paraId="4924693D"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10</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4E617FD"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Provide a general interpretation of the results and important implications.</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A32FBAE"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Y</w:t>
            </w:r>
            <w:r>
              <w:rPr>
                <w:rFonts w:ascii="Arial" w:hAnsi="Arial" w:cs="Arial"/>
                <w:sz w:val="18"/>
                <w:szCs w:val="18"/>
              </w:rPr>
              <w:t>es</w:t>
            </w:r>
          </w:p>
        </w:tc>
      </w:tr>
      <w:tr w:rsidR="00401E72" w:rsidRPr="006637FF" w14:paraId="6F68D0B3" w14:textId="77777777" w:rsidTr="00A21BAE">
        <w:trPr>
          <w:trHeight w:val="24"/>
        </w:trPr>
        <w:tc>
          <w:tcPr>
            <w:tcW w:w="0" w:type="auto"/>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7E31DCCA" w14:textId="77777777" w:rsidR="00401E72" w:rsidRPr="00A91047" w:rsidRDefault="00401E72" w:rsidP="00A21BAE">
            <w:pPr>
              <w:pStyle w:val="Default"/>
              <w:rPr>
                <w:rFonts w:ascii="Arial" w:hAnsi="Arial" w:cs="Arial"/>
                <w:sz w:val="18"/>
                <w:szCs w:val="18"/>
              </w:rPr>
            </w:pPr>
            <w:r w:rsidRPr="00A91047">
              <w:rPr>
                <w:rFonts w:ascii="Arial" w:hAnsi="Arial" w:cs="Arial"/>
                <w:b/>
                <w:bCs/>
                <w:sz w:val="18"/>
                <w:szCs w:val="18"/>
              </w:rPr>
              <w:t xml:space="preserve">OTHER </w:t>
            </w:r>
          </w:p>
        </w:tc>
        <w:tc>
          <w:tcPr>
            <w:tcW w:w="0" w:type="auto"/>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59F03687" w14:textId="77777777" w:rsidR="00401E72" w:rsidRPr="00A91047" w:rsidRDefault="00401E72" w:rsidP="00A21BAE">
            <w:pPr>
              <w:pStyle w:val="Default"/>
              <w:jc w:val="center"/>
              <w:rPr>
                <w:rFonts w:ascii="Arial" w:hAnsi="Arial" w:cs="Arial"/>
                <w:color w:val="auto"/>
                <w:sz w:val="18"/>
                <w:szCs w:val="18"/>
              </w:rPr>
            </w:pPr>
          </w:p>
        </w:tc>
      </w:tr>
      <w:tr w:rsidR="00401E72" w:rsidRPr="000D6ECD" w14:paraId="6B454CCF" w14:textId="77777777" w:rsidTr="00A21BAE">
        <w:trPr>
          <w:trHeight w:val="48"/>
        </w:trPr>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31B664E"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Funding</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D307ACD"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11</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7E3FAB6"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Specify the primary source of funding for the review.</w:t>
            </w:r>
          </w:p>
        </w:tc>
        <w:tc>
          <w:tcPr>
            <w:tcW w:w="0" w:type="auto"/>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0161C38"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w:t>
            </w:r>
            <w:r>
              <w:rPr>
                <w:rFonts w:ascii="Arial" w:hAnsi="Arial" w:cs="Arial"/>
                <w:sz w:val="18"/>
                <w:szCs w:val="18"/>
              </w:rPr>
              <w:t>o</w:t>
            </w:r>
            <w:r>
              <w:rPr>
                <w:rFonts w:ascii="Arial" w:hAnsi="Arial" w:cs="Arial"/>
                <w:color w:val="FF0000"/>
                <w:sz w:val="18"/>
                <w:szCs w:val="18"/>
              </w:rPr>
              <w:t>*</w:t>
            </w:r>
          </w:p>
        </w:tc>
      </w:tr>
      <w:tr w:rsidR="00401E72" w:rsidRPr="000D6ECD" w14:paraId="43CEF880" w14:textId="77777777" w:rsidTr="00A21BAE">
        <w:trPr>
          <w:trHeight w:val="219"/>
        </w:trPr>
        <w:tc>
          <w:tcPr>
            <w:tcW w:w="0" w:type="auto"/>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5CA09171"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Registration</w:t>
            </w:r>
          </w:p>
        </w:tc>
        <w:tc>
          <w:tcPr>
            <w:tcW w:w="0" w:type="auto"/>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16F8876D" w14:textId="77777777" w:rsidR="00401E72" w:rsidRPr="00A91047" w:rsidRDefault="00401E72" w:rsidP="00A21BAE">
            <w:pPr>
              <w:pStyle w:val="Default"/>
              <w:spacing w:before="40" w:after="40"/>
              <w:jc w:val="right"/>
              <w:rPr>
                <w:rFonts w:ascii="Arial" w:hAnsi="Arial" w:cs="Arial"/>
                <w:sz w:val="18"/>
                <w:szCs w:val="18"/>
              </w:rPr>
            </w:pPr>
            <w:r w:rsidRPr="00A91047">
              <w:rPr>
                <w:rFonts w:ascii="Arial" w:hAnsi="Arial" w:cs="Arial"/>
                <w:sz w:val="18"/>
                <w:szCs w:val="18"/>
              </w:rPr>
              <w:t>12</w:t>
            </w:r>
          </w:p>
        </w:tc>
        <w:tc>
          <w:tcPr>
            <w:tcW w:w="0" w:type="auto"/>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57701F3D" w14:textId="77777777" w:rsidR="00401E72" w:rsidRPr="00A91047" w:rsidRDefault="00401E72" w:rsidP="00A21BAE">
            <w:pPr>
              <w:pStyle w:val="Default"/>
              <w:spacing w:before="40" w:after="40"/>
              <w:rPr>
                <w:rFonts w:ascii="Arial" w:hAnsi="Arial" w:cs="Arial"/>
                <w:sz w:val="18"/>
                <w:szCs w:val="18"/>
              </w:rPr>
            </w:pPr>
            <w:r w:rsidRPr="00A91047">
              <w:rPr>
                <w:rFonts w:ascii="Arial" w:hAnsi="Arial" w:cs="Arial"/>
                <w:sz w:val="18"/>
                <w:szCs w:val="18"/>
              </w:rPr>
              <w:t>Provide the register name and registration number.</w:t>
            </w:r>
          </w:p>
        </w:tc>
        <w:tc>
          <w:tcPr>
            <w:tcW w:w="0" w:type="auto"/>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036B3B4F" w14:textId="77777777" w:rsidR="00401E72" w:rsidRPr="00A91047" w:rsidRDefault="00401E72" w:rsidP="00A21BAE">
            <w:pPr>
              <w:pStyle w:val="Default"/>
              <w:spacing w:before="40" w:after="40"/>
              <w:rPr>
                <w:rFonts w:ascii="Arial" w:hAnsi="Arial" w:cs="Arial"/>
                <w:color w:val="auto"/>
                <w:sz w:val="18"/>
                <w:szCs w:val="18"/>
              </w:rPr>
            </w:pPr>
            <w:r>
              <w:rPr>
                <w:rFonts w:ascii="Arial" w:hAnsi="Arial" w:cs="Arial"/>
                <w:color w:val="auto"/>
                <w:sz w:val="18"/>
                <w:szCs w:val="18"/>
              </w:rPr>
              <w:t>N</w:t>
            </w:r>
            <w:r>
              <w:rPr>
                <w:rFonts w:ascii="Arial" w:hAnsi="Arial" w:cs="Arial"/>
                <w:sz w:val="18"/>
                <w:szCs w:val="18"/>
              </w:rPr>
              <w:t>o</w:t>
            </w:r>
            <w:r>
              <w:rPr>
                <w:rFonts w:ascii="Arial" w:hAnsi="Arial" w:cs="Arial"/>
                <w:color w:val="FF0000"/>
                <w:sz w:val="18"/>
                <w:szCs w:val="18"/>
              </w:rPr>
              <w:t>*</w:t>
            </w:r>
          </w:p>
        </w:tc>
      </w:tr>
    </w:tbl>
    <w:p w14:paraId="7620262E" w14:textId="77777777" w:rsidR="00401E72" w:rsidRPr="004224D9" w:rsidRDefault="00401E72" w:rsidP="00401E72">
      <w:pPr>
        <w:pStyle w:val="Default"/>
        <w:rPr>
          <w:rFonts w:ascii="Arial" w:hAnsi="Arial" w:cs="Arial"/>
          <w:color w:val="EE0000"/>
          <w:sz w:val="20"/>
          <w:szCs w:val="20"/>
          <w:lang w:val="en-GB"/>
        </w:rPr>
      </w:pPr>
      <w:r w:rsidRPr="004224D9">
        <w:rPr>
          <w:rFonts w:ascii="Arial" w:hAnsi="Arial" w:cs="Arial"/>
          <w:color w:val="EE0000"/>
          <w:sz w:val="20"/>
          <w:szCs w:val="20"/>
          <w:lang w:val="en-GB"/>
        </w:rPr>
        <w:t xml:space="preserve">*Not present in the abstract due to </w:t>
      </w:r>
      <w:r>
        <w:rPr>
          <w:rFonts w:ascii="Arial" w:hAnsi="Arial" w:cs="Arial"/>
          <w:color w:val="EE0000"/>
          <w:sz w:val="20"/>
          <w:szCs w:val="20"/>
          <w:lang w:val="en-GB"/>
        </w:rPr>
        <w:t xml:space="preserve">limited </w:t>
      </w:r>
      <w:r w:rsidRPr="004224D9">
        <w:rPr>
          <w:rFonts w:ascii="Arial" w:hAnsi="Arial" w:cs="Arial"/>
          <w:color w:val="EE0000"/>
          <w:sz w:val="20"/>
          <w:szCs w:val="20"/>
          <w:lang w:val="en-GB"/>
        </w:rPr>
        <w:t xml:space="preserve">word </w:t>
      </w:r>
      <w:r>
        <w:rPr>
          <w:rFonts w:ascii="Arial" w:hAnsi="Arial" w:cs="Arial"/>
          <w:color w:val="EE0000"/>
          <w:sz w:val="20"/>
          <w:szCs w:val="20"/>
          <w:lang w:val="en-GB"/>
        </w:rPr>
        <w:t xml:space="preserve">count </w:t>
      </w:r>
      <w:r w:rsidRPr="004224D9">
        <w:rPr>
          <w:rFonts w:ascii="Arial" w:hAnsi="Arial" w:cs="Arial"/>
          <w:color w:val="EE0000"/>
          <w:sz w:val="20"/>
          <w:szCs w:val="20"/>
          <w:lang w:val="en-GB"/>
        </w:rPr>
        <w:t>but developed in the text.</w:t>
      </w:r>
    </w:p>
    <w:p w14:paraId="4A65B131" w14:textId="77777777" w:rsidR="00401E72" w:rsidRPr="00EE40B5" w:rsidRDefault="00401E72" w:rsidP="00401E72">
      <w:pPr>
        <w:pStyle w:val="Default"/>
        <w:spacing w:line="183" w:lineRule="atLeast"/>
        <w:jc w:val="both"/>
        <w:rPr>
          <w:rFonts w:ascii="Arial" w:hAnsi="Arial" w:cs="Arial"/>
          <w:color w:val="auto"/>
          <w:sz w:val="22"/>
          <w:szCs w:val="22"/>
          <w:lang w:val="da-DK"/>
        </w:rPr>
      </w:pPr>
      <w:r w:rsidRPr="00EE40B5">
        <w:rPr>
          <w:rFonts w:ascii="Arial" w:hAnsi="Arial" w:cs="Arial"/>
          <w:i/>
          <w:iCs/>
          <w:color w:val="auto"/>
          <w:sz w:val="22"/>
          <w:szCs w:val="22"/>
        </w:rPr>
        <w:t xml:space="preserve">From: </w:t>
      </w:r>
      <w:r w:rsidRPr="00EE40B5">
        <w:rPr>
          <w:rFonts w:ascii="Arial" w:hAnsi="Arial" w:cs="Arial"/>
          <w:color w:val="auto"/>
          <w:sz w:val="22"/>
          <w:szCs w:val="22"/>
        </w:rPr>
        <w:t xml:space="preserve"> Page MJ, McKenzie JE, Bossuyt PM, Boutron I, Hoffmann TC, Mulrow CD, et al. The PRISMA 2020 statement: an updated guideline for reporting systematic reviews. BMJ 2021;372:n71. doi: 10.1136/bmj.n71</w:t>
      </w:r>
    </w:p>
    <w:p w14:paraId="3A4B6FA8" w14:textId="77777777" w:rsidR="00401E72" w:rsidRPr="00AA3304" w:rsidRDefault="00401E72" w:rsidP="00401E72">
      <w:pPr>
        <w:pStyle w:val="CM1"/>
        <w:spacing w:after="130"/>
        <w:rPr>
          <w:rFonts w:ascii="Arial" w:hAnsi="Arial" w:cs="Arial"/>
          <w:color w:val="000000"/>
          <w:sz w:val="22"/>
          <w:szCs w:val="22"/>
          <w:lang w:val="da-DK"/>
        </w:rPr>
      </w:pPr>
      <w:r w:rsidRPr="00EE40B5">
        <w:rPr>
          <w:rFonts w:ascii="Arial" w:hAnsi="Arial" w:cs="Arial"/>
          <w:color w:val="333399"/>
          <w:sz w:val="22"/>
          <w:szCs w:val="22"/>
        </w:rPr>
        <w:lastRenderedPageBreak/>
        <w:t>For more information, visit:</w:t>
      </w:r>
      <w:r w:rsidRPr="00EE40B5">
        <w:rPr>
          <w:rFonts w:ascii="Arial" w:hAnsi="Arial" w:cs="Arial"/>
          <w:color w:val="000000"/>
          <w:sz w:val="22"/>
          <w:szCs w:val="22"/>
          <w:lang w:val="da-DK"/>
        </w:rPr>
        <w:t xml:space="preserve"> </w:t>
      </w:r>
      <w:hyperlink r:id="rId9" w:history="1">
        <w:r w:rsidRPr="00EE40B5">
          <w:rPr>
            <w:rStyle w:val="Lienhypertexte"/>
            <w:rFonts w:ascii="Arial" w:eastAsiaTheme="majorEastAsia" w:hAnsi="Arial" w:cs="Arial"/>
            <w:sz w:val="22"/>
            <w:szCs w:val="22"/>
            <w:lang w:val="da-DK"/>
          </w:rPr>
          <w:t>http://www.prisma-statement.org/</w:t>
        </w:r>
      </w:hyperlink>
    </w:p>
    <w:p w14:paraId="7B07451D" w14:textId="77777777" w:rsidR="00401E72" w:rsidRPr="00401E72" w:rsidRDefault="00401E72" w:rsidP="00401E72">
      <w:pPr>
        <w:pStyle w:val="Titre2"/>
        <w:rPr>
          <w:lang w:val="en-GB"/>
        </w:rPr>
      </w:pPr>
      <w:r w:rsidRPr="00401E72">
        <w:rPr>
          <w:lang w:val="en-GB"/>
        </w:rPr>
        <w:t>Table S2: Detailed search queries for PubMed, Scopus and IEEE</w:t>
      </w:r>
    </w:p>
    <w:p w14:paraId="60F35581" w14:textId="77777777" w:rsidR="00401E72" w:rsidRDefault="00401E72" w:rsidP="00401E72">
      <w:pPr>
        <w:rPr>
          <w:b/>
          <w:bCs/>
          <w:lang w:val="en-US"/>
        </w:rPr>
      </w:pPr>
      <w:r>
        <w:rPr>
          <w:b/>
          <w:bCs/>
          <w:lang w:val="en-US"/>
        </w:rPr>
        <w:t>PubMed:</w:t>
      </w:r>
    </w:p>
    <w:tbl>
      <w:tblPr>
        <w:tblStyle w:val="Grilledutableau"/>
        <w:tblW w:w="0" w:type="auto"/>
        <w:tblLook w:val="04A0" w:firstRow="1" w:lastRow="0" w:firstColumn="1" w:lastColumn="0" w:noHBand="0" w:noVBand="1"/>
      </w:tblPr>
      <w:tblGrid>
        <w:gridCol w:w="2689"/>
        <w:gridCol w:w="6373"/>
      </w:tblGrid>
      <w:tr w:rsidR="00401E72" w:rsidRPr="00591E52" w14:paraId="5C1AC76F" w14:textId="77777777" w:rsidTr="00A21BAE">
        <w:tc>
          <w:tcPr>
            <w:tcW w:w="2689" w:type="dxa"/>
            <w:tcBorders>
              <w:top w:val="single" w:sz="4" w:space="0" w:color="auto"/>
              <w:left w:val="single" w:sz="4" w:space="0" w:color="auto"/>
              <w:bottom w:val="single" w:sz="4" w:space="0" w:color="auto"/>
              <w:right w:val="single" w:sz="4" w:space="0" w:color="auto"/>
            </w:tcBorders>
            <w:hideMark/>
          </w:tcPr>
          <w:p w14:paraId="72242C52" w14:textId="77777777" w:rsidR="00401E72" w:rsidRDefault="00401E72" w:rsidP="00A21BAE">
            <w:pPr>
              <w:rPr>
                <w:lang w:val="en-US"/>
              </w:rPr>
            </w:pPr>
            <w:r>
              <w:rPr>
                <w:lang w:val="en-US"/>
              </w:rPr>
              <w:t>Healthcare facilities</w:t>
            </w:r>
          </w:p>
        </w:tc>
        <w:tc>
          <w:tcPr>
            <w:tcW w:w="6373" w:type="dxa"/>
            <w:tcBorders>
              <w:top w:val="single" w:sz="4" w:space="0" w:color="auto"/>
              <w:left w:val="single" w:sz="4" w:space="0" w:color="auto"/>
              <w:bottom w:val="single" w:sz="4" w:space="0" w:color="auto"/>
              <w:right w:val="single" w:sz="4" w:space="0" w:color="auto"/>
            </w:tcBorders>
            <w:hideMark/>
          </w:tcPr>
          <w:p w14:paraId="70C54CA8" w14:textId="77777777" w:rsidR="00401E72" w:rsidRDefault="00401E72" w:rsidP="00A21BAE">
            <w:pPr>
              <w:rPr>
                <w:lang w:val="en-US"/>
              </w:rPr>
            </w:pPr>
            <w:r>
              <w:rPr>
                <w:lang w:val="en-US"/>
              </w:rPr>
              <w:t>("hospital*"[Title/Abstract] OR "healthcare"[Title/Abstract] OR "health care*"[Title/Abstract] OR "facility"[Title/Abstract] OR "facilities"[Title/Abstract] OR "nursing home*"[Title/Abstract] OR "institution*"[Title/Abstract])</w:t>
            </w:r>
          </w:p>
        </w:tc>
      </w:tr>
      <w:tr w:rsidR="00401E72" w:rsidRPr="00591E52" w14:paraId="5B7CEECC" w14:textId="77777777" w:rsidTr="00A21BAE">
        <w:tc>
          <w:tcPr>
            <w:tcW w:w="2689" w:type="dxa"/>
            <w:tcBorders>
              <w:top w:val="single" w:sz="4" w:space="0" w:color="auto"/>
              <w:left w:val="single" w:sz="4" w:space="0" w:color="auto"/>
              <w:bottom w:val="single" w:sz="4" w:space="0" w:color="auto"/>
              <w:right w:val="single" w:sz="4" w:space="0" w:color="auto"/>
            </w:tcBorders>
            <w:hideMark/>
          </w:tcPr>
          <w:p w14:paraId="0A61D7A7" w14:textId="77777777" w:rsidR="00401E72" w:rsidRDefault="00401E72" w:rsidP="00A21BAE">
            <w:pPr>
              <w:rPr>
                <w:lang w:val="en-US"/>
              </w:rPr>
            </w:pPr>
            <w:r>
              <w:t>Patient transfers</w:t>
            </w:r>
          </w:p>
        </w:tc>
        <w:tc>
          <w:tcPr>
            <w:tcW w:w="6373" w:type="dxa"/>
            <w:tcBorders>
              <w:top w:val="single" w:sz="4" w:space="0" w:color="auto"/>
              <w:left w:val="single" w:sz="4" w:space="0" w:color="auto"/>
              <w:bottom w:val="single" w:sz="4" w:space="0" w:color="auto"/>
              <w:right w:val="single" w:sz="4" w:space="0" w:color="auto"/>
            </w:tcBorders>
            <w:hideMark/>
          </w:tcPr>
          <w:p w14:paraId="669ACB7A" w14:textId="77777777" w:rsidR="00401E72" w:rsidRDefault="00401E72" w:rsidP="00A21BAE">
            <w:pPr>
              <w:rPr>
                <w:lang w:val="en-US"/>
              </w:rPr>
            </w:pPr>
            <w:r>
              <w:rPr>
                <w:lang w:val="en-US"/>
              </w:rPr>
              <w:t>AND ("patient transfer"[Title/Abstract:~1] OR "patient transferred"[Title/Abstract:~1] OR "patient transfers"[Title/Abstract:~1] OR "patients transfers"[Title/Abstract:~1] OR "patients transferred"[Title/Abstract:~1] OR "patient referral"[Title/Abstract:~1] OR "patient referrals"[Title/Abstract:~1] OR "patient referred"[Title/Abstract:~1] OR "patients referral"[Title/Abstract:~1] OR "patients referrals"[Title/Abstract:~1] OR "patients referred"[Title/Abstract:~1] OR "referral pattern"[Title/Abstract] OR "patient sharing"[Title/Abstract] OR "patient* move*"[Title/Abstract] OR "patient flow*"[Title/Abstract] OR "patient trajector*"[Title/Abstract] OR "care transfer*"[Title/Abstract] OR "patient pathway*"[Title/Abstract])</w:t>
            </w:r>
          </w:p>
        </w:tc>
      </w:tr>
      <w:tr w:rsidR="00401E72" w:rsidRPr="00591E52" w14:paraId="0891AE4F" w14:textId="77777777" w:rsidTr="00A21BAE">
        <w:tc>
          <w:tcPr>
            <w:tcW w:w="2689" w:type="dxa"/>
            <w:tcBorders>
              <w:top w:val="single" w:sz="4" w:space="0" w:color="auto"/>
              <w:left w:val="single" w:sz="4" w:space="0" w:color="auto"/>
              <w:bottom w:val="single" w:sz="4" w:space="0" w:color="auto"/>
              <w:right w:val="single" w:sz="4" w:space="0" w:color="auto"/>
            </w:tcBorders>
            <w:hideMark/>
          </w:tcPr>
          <w:p w14:paraId="62E1DC07" w14:textId="77777777" w:rsidR="00401E72" w:rsidRDefault="00401E72" w:rsidP="00A21BAE">
            <w:pPr>
              <w:rPr>
                <w:lang w:val="en-US"/>
              </w:rPr>
            </w:pPr>
            <w:r>
              <w:rPr>
                <w:lang w:val="en-US"/>
              </w:rPr>
              <w:t>Network of healthcare facilities</w:t>
            </w:r>
          </w:p>
        </w:tc>
        <w:tc>
          <w:tcPr>
            <w:tcW w:w="6373" w:type="dxa"/>
            <w:tcBorders>
              <w:top w:val="single" w:sz="4" w:space="0" w:color="auto"/>
              <w:left w:val="single" w:sz="4" w:space="0" w:color="auto"/>
              <w:bottom w:val="single" w:sz="4" w:space="0" w:color="auto"/>
              <w:right w:val="single" w:sz="4" w:space="0" w:color="auto"/>
            </w:tcBorders>
            <w:hideMark/>
          </w:tcPr>
          <w:p w14:paraId="0DC2E32B" w14:textId="77777777" w:rsidR="00401E72" w:rsidRDefault="00401E72" w:rsidP="00A21BAE">
            <w:pPr>
              <w:rPr>
                <w:lang w:val="en-US"/>
              </w:rPr>
            </w:pPr>
            <w:r>
              <w:rPr>
                <w:lang w:val="en-US"/>
              </w:rPr>
              <w:t>AND ("network*"[Title/Abstract] OR "graph*"[Title/Abstract] OR "multihospital*"[Title/Abstract] OR "multi institution*"[Title/Abstract] OR "inter institution*"[Title/Abstract] OR "inter hospital*"[Title/Abstract] OR "interinstitution*"[Title/Abstract] OR "interhospital*"[Title/Abstract] OR "connect*"[Title/Abstract] OR "interconnect*"[Title/Abstract] OR "between hospitals"[Title/Abstract:~0] OR "between-hospital"[Title/Abstract] OR “inter-ward”[Title/Abstract] OR “between wards”[Title/Abstract:~0] OR “between-ward”[Title/Abstract] OR ”inter-unit*”[tiab] OR “intra-hospital*”[tiab])</w:t>
            </w:r>
          </w:p>
        </w:tc>
      </w:tr>
      <w:tr w:rsidR="00401E72" w:rsidRPr="00591E52" w14:paraId="674F3CC6" w14:textId="77777777" w:rsidTr="00A21BAE">
        <w:tc>
          <w:tcPr>
            <w:tcW w:w="2689" w:type="dxa"/>
            <w:tcBorders>
              <w:top w:val="single" w:sz="4" w:space="0" w:color="auto"/>
              <w:left w:val="single" w:sz="4" w:space="0" w:color="auto"/>
              <w:bottom w:val="single" w:sz="4" w:space="0" w:color="auto"/>
              <w:right w:val="single" w:sz="4" w:space="0" w:color="auto"/>
            </w:tcBorders>
            <w:hideMark/>
          </w:tcPr>
          <w:p w14:paraId="57D8BD54" w14:textId="77777777" w:rsidR="00401E72" w:rsidRDefault="00401E72" w:rsidP="00A21BAE">
            <w:r>
              <w:t>Out of scope terms</w:t>
            </w:r>
          </w:p>
        </w:tc>
        <w:tc>
          <w:tcPr>
            <w:tcW w:w="6373" w:type="dxa"/>
            <w:tcBorders>
              <w:top w:val="single" w:sz="4" w:space="0" w:color="auto"/>
              <w:left w:val="single" w:sz="4" w:space="0" w:color="auto"/>
              <w:bottom w:val="single" w:sz="4" w:space="0" w:color="auto"/>
              <w:right w:val="single" w:sz="4" w:space="0" w:color="auto"/>
            </w:tcBorders>
          </w:tcPr>
          <w:p w14:paraId="30E414EF" w14:textId="77777777" w:rsidR="00401E72" w:rsidRDefault="00401E72" w:rsidP="00A21BAE">
            <w:pPr>
              <w:rPr>
                <w:lang w:val="en-US"/>
              </w:rPr>
            </w:pPr>
            <w:r>
              <w:rPr>
                <w:lang w:val="en-US"/>
              </w:rPr>
              <w:t>NOT ("case report"[Title/Abstract] OR "review"[Title/Abstract] OR "trial*"[Title/Abstract] OR "interview*"[Title/Abstract] OR "consultation*"[Title/Abstract] OR "comparative*"[Title/Abstract] OR "causal graph"[Title/Abstract] OR "neural"[Title/Abstract])</w:t>
            </w:r>
          </w:p>
          <w:p w14:paraId="3903F15D" w14:textId="77777777" w:rsidR="00401E72" w:rsidRDefault="00401E72" w:rsidP="00A21BAE">
            <w:pPr>
              <w:rPr>
                <w:lang w:val="en-US"/>
              </w:rPr>
            </w:pPr>
          </w:p>
        </w:tc>
      </w:tr>
    </w:tbl>
    <w:p w14:paraId="65DB566A" w14:textId="77777777" w:rsidR="00401E72" w:rsidRDefault="00401E72" w:rsidP="00401E72">
      <w:pPr>
        <w:rPr>
          <w:lang w:val="en-US"/>
        </w:rPr>
      </w:pPr>
    </w:p>
    <w:p w14:paraId="2A8EFC39" w14:textId="77777777" w:rsidR="00401E72" w:rsidRDefault="00401E72" w:rsidP="00401E72">
      <w:pPr>
        <w:rPr>
          <w:b/>
          <w:bCs/>
        </w:rPr>
      </w:pPr>
      <w:r>
        <w:rPr>
          <w:b/>
          <w:bCs/>
        </w:rPr>
        <w:t>Scopus:</w:t>
      </w:r>
    </w:p>
    <w:tbl>
      <w:tblPr>
        <w:tblStyle w:val="Grilledutableau"/>
        <w:tblW w:w="0" w:type="auto"/>
        <w:tblLook w:val="04A0" w:firstRow="1" w:lastRow="0" w:firstColumn="1" w:lastColumn="0" w:noHBand="0" w:noVBand="1"/>
      </w:tblPr>
      <w:tblGrid>
        <w:gridCol w:w="1980"/>
        <w:gridCol w:w="7082"/>
      </w:tblGrid>
      <w:tr w:rsidR="00401E72" w:rsidRPr="00591E52" w14:paraId="345C7C69" w14:textId="77777777" w:rsidTr="00A21BAE">
        <w:tc>
          <w:tcPr>
            <w:tcW w:w="1980" w:type="dxa"/>
            <w:tcBorders>
              <w:top w:val="single" w:sz="4" w:space="0" w:color="auto"/>
              <w:left w:val="single" w:sz="4" w:space="0" w:color="auto"/>
              <w:bottom w:val="single" w:sz="4" w:space="0" w:color="auto"/>
              <w:right w:val="single" w:sz="4" w:space="0" w:color="auto"/>
            </w:tcBorders>
            <w:hideMark/>
          </w:tcPr>
          <w:p w14:paraId="4A6ED6C5" w14:textId="77777777" w:rsidR="00401E72" w:rsidRDefault="00401E72" w:rsidP="00A21BAE">
            <w:r>
              <w:t>Healthcare facilities</w:t>
            </w:r>
          </w:p>
        </w:tc>
        <w:tc>
          <w:tcPr>
            <w:tcW w:w="7082" w:type="dxa"/>
            <w:tcBorders>
              <w:top w:val="single" w:sz="4" w:space="0" w:color="auto"/>
              <w:left w:val="single" w:sz="4" w:space="0" w:color="auto"/>
              <w:bottom w:val="single" w:sz="4" w:space="0" w:color="auto"/>
              <w:right w:val="single" w:sz="4" w:space="0" w:color="auto"/>
            </w:tcBorders>
            <w:hideMark/>
          </w:tcPr>
          <w:p w14:paraId="19322906" w14:textId="77777777" w:rsidR="00401E72" w:rsidRDefault="00401E72" w:rsidP="00A21BAE">
            <w:pPr>
              <w:rPr>
                <w:lang w:val="en-US"/>
              </w:rPr>
            </w:pPr>
            <w:r>
              <w:rPr>
                <w:lang w:val="en-US"/>
              </w:rPr>
              <w:t>TITLE</w:t>
            </w:r>
            <w:r>
              <w:rPr>
                <w:rStyle w:val="hljs-operator"/>
                <w:lang w:val="en-US"/>
              </w:rPr>
              <w:t>-</w:t>
            </w:r>
            <w:r>
              <w:rPr>
                <w:rStyle w:val="hljs-builtin"/>
                <w:lang w:val="en-US"/>
              </w:rPr>
              <w:t>ABS</w:t>
            </w:r>
            <w:r>
              <w:rPr>
                <w:lang w:val="en-US"/>
              </w:rPr>
              <w:t xml:space="preserve">("hospital*" </w:t>
            </w:r>
            <w:r>
              <w:rPr>
                <w:rStyle w:val="hljs-keyword"/>
                <w:lang w:val="en-US"/>
              </w:rPr>
              <w:t>OR</w:t>
            </w:r>
            <w:r>
              <w:rPr>
                <w:lang w:val="en-US"/>
              </w:rPr>
              <w:t xml:space="preserve"> "healthcare" </w:t>
            </w:r>
            <w:r>
              <w:rPr>
                <w:rStyle w:val="hljs-keyword"/>
                <w:lang w:val="en-US"/>
              </w:rPr>
              <w:t>OR</w:t>
            </w:r>
            <w:r>
              <w:rPr>
                <w:lang w:val="en-US"/>
              </w:rPr>
              <w:t xml:space="preserve"> "health care*" </w:t>
            </w:r>
            <w:r>
              <w:rPr>
                <w:rStyle w:val="hljs-keyword"/>
                <w:lang w:val="en-US"/>
              </w:rPr>
              <w:t>OR</w:t>
            </w:r>
            <w:r>
              <w:rPr>
                <w:lang w:val="en-US"/>
              </w:rPr>
              <w:t xml:space="preserve"> "facility" </w:t>
            </w:r>
            <w:r>
              <w:rPr>
                <w:rStyle w:val="hljs-keyword"/>
                <w:lang w:val="en-US"/>
              </w:rPr>
              <w:t>OR</w:t>
            </w:r>
            <w:r>
              <w:rPr>
                <w:lang w:val="en-US"/>
              </w:rPr>
              <w:t xml:space="preserve"> "facilities" </w:t>
            </w:r>
            <w:r>
              <w:rPr>
                <w:rStyle w:val="hljs-keyword"/>
                <w:lang w:val="en-US"/>
              </w:rPr>
              <w:t>OR</w:t>
            </w:r>
            <w:r>
              <w:rPr>
                <w:lang w:val="en-US"/>
              </w:rPr>
              <w:t xml:space="preserve"> "nursing home*" </w:t>
            </w:r>
            <w:r>
              <w:rPr>
                <w:rStyle w:val="hljs-keyword"/>
                <w:lang w:val="en-US"/>
              </w:rPr>
              <w:t>OR</w:t>
            </w:r>
            <w:r>
              <w:rPr>
                <w:lang w:val="en-US"/>
              </w:rPr>
              <w:t xml:space="preserve"> "institution*") </w:t>
            </w:r>
          </w:p>
        </w:tc>
      </w:tr>
      <w:tr w:rsidR="00401E72" w:rsidRPr="00591E52" w14:paraId="00758ECD" w14:textId="77777777" w:rsidTr="00A21BAE">
        <w:tc>
          <w:tcPr>
            <w:tcW w:w="1980" w:type="dxa"/>
            <w:tcBorders>
              <w:top w:val="single" w:sz="4" w:space="0" w:color="auto"/>
              <w:left w:val="single" w:sz="4" w:space="0" w:color="auto"/>
              <w:bottom w:val="single" w:sz="4" w:space="0" w:color="auto"/>
              <w:right w:val="single" w:sz="4" w:space="0" w:color="auto"/>
            </w:tcBorders>
            <w:hideMark/>
          </w:tcPr>
          <w:p w14:paraId="5B1D8895" w14:textId="77777777" w:rsidR="00401E72" w:rsidRDefault="00401E72" w:rsidP="00A21BAE">
            <w:r>
              <w:t>Patient transfers</w:t>
            </w:r>
          </w:p>
        </w:tc>
        <w:tc>
          <w:tcPr>
            <w:tcW w:w="7082" w:type="dxa"/>
            <w:tcBorders>
              <w:top w:val="single" w:sz="4" w:space="0" w:color="auto"/>
              <w:left w:val="single" w:sz="4" w:space="0" w:color="auto"/>
              <w:bottom w:val="single" w:sz="4" w:space="0" w:color="auto"/>
              <w:right w:val="single" w:sz="4" w:space="0" w:color="auto"/>
            </w:tcBorders>
            <w:hideMark/>
          </w:tcPr>
          <w:p w14:paraId="170D9E10" w14:textId="77777777" w:rsidR="00401E72" w:rsidRDefault="00401E72" w:rsidP="00A21BAE">
            <w:pPr>
              <w:rPr>
                <w:lang w:val="en-US"/>
              </w:rPr>
            </w:pPr>
            <w:r>
              <w:rPr>
                <w:rStyle w:val="hljs-keyword"/>
                <w:lang w:val="en-US"/>
              </w:rPr>
              <w:t>AND</w:t>
            </w:r>
            <w:r>
              <w:rPr>
                <w:lang w:val="en-US"/>
              </w:rPr>
              <w:t xml:space="preserve"> TITLE</w:t>
            </w:r>
            <w:r>
              <w:rPr>
                <w:rStyle w:val="hljs-operator"/>
                <w:lang w:val="en-US"/>
              </w:rPr>
              <w:t>-</w:t>
            </w:r>
            <w:r>
              <w:rPr>
                <w:rStyle w:val="hljs-builtin"/>
                <w:lang w:val="en-US"/>
              </w:rPr>
              <w:t>ABS</w:t>
            </w:r>
            <w:r>
              <w:rPr>
                <w:lang w:val="en-US"/>
              </w:rPr>
              <w:t xml:space="preserve">("patient transfer" </w:t>
            </w:r>
            <w:r>
              <w:rPr>
                <w:rStyle w:val="hljs-keyword"/>
                <w:lang w:val="en-US"/>
              </w:rPr>
              <w:t>OR</w:t>
            </w:r>
            <w:r>
              <w:rPr>
                <w:lang w:val="en-US"/>
              </w:rPr>
              <w:t xml:space="preserve"> "patient transferred" </w:t>
            </w:r>
            <w:r>
              <w:rPr>
                <w:rStyle w:val="hljs-keyword"/>
                <w:lang w:val="en-US"/>
              </w:rPr>
              <w:t>OR</w:t>
            </w:r>
            <w:r>
              <w:rPr>
                <w:lang w:val="en-US"/>
              </w:rPr>
              <w:t xml:space="preserve"> "patient transfers" </w:t>
            </w:r>
            <w:r>
              <w:rPr>
                <w:rStyle w:val="hljs-keyword"/>
                <w:lang w:val="en-US"/>
              </w:rPr>
              <w:t>OR</w:t>
            </w:r>
            <w:r>
              <w:rPr>
                <w:lang w:val="en-US"/>
              </w:rPr>
              <w:t xml:space="preserve"> "patients transfers" </w:t>
            </w:r>
            <w:r>
              <w:rPr>
                <w:rStyle w:val="hljs-keyword"/>
                <w:lang w:val="en-US"/>
              </w:rPr>
              <w:t>OR</w:t>
            </w:r>
            <w:r>
              <w:rPr>
                <w:lang w:val="en-US"/>
              </w:rPr>
              <w:t xml:space="preserve"> "patients transferred" </w:t>
            </w:r>
            <w:r>
              <w:rPr>
                <w:rStyle w:val="hljs-keyword"/>
                <w:lang w:val="en-US"/>
              </w:rPr>
              <w:t>OR</w:t>
            </w:r>
            <w:r>
              <w:rPr>
                <w:lang w:val="en-US"/>
              </w:rPr>
              <w:t xml:space="preserve"> "patient </w:t>
            </w:r>
            <w:r>
              <w:rPr>
                <w:lang w:val="en-US"/>
              </w:rPr>
              <w:lastRenderedPageBreak/>
              <w:t xml:space="preserve">referral" </w:t>
            </w:r>
            <w:r>
              <w:rPr>
                <w:rStyle w:val="hljs-keyword"/>
                <w:lang w:val="en-US"/>
              </w:rPr>
              <w:t>OR</w:t>
            </w:r>
            <w:r>
              <w:rPr>
                <w:lang w:val="en-US"/>
              </w:rPr>
              <w:t xml:space="preserve"> "patient referrals" </w:t>
            </w:r>
            <w:r>
              <w:rPr>
                <w:rStyle w:val="hljs-keyword"/>
                <w:lang w:val="en-US"/>
              </w:rPr>
              <w:t>OR</w:t>
            </w:r>
            <w:r>
              <w:rPr>
                <w:lang w:val="en-US"/>
              </w:rPr>
              <w:t xml:space="preserve"> "patient referred" </w:t>
            </w:r>
            <w:r>
              <w:rPr>
                <w:rStyle w:val="hljs-keyword"/>
                <w:lang w:val="en-US"/>
              </w:rPr>
              <w:t>OR</w:t>
            </w:r>
            <w:r>
              <w:rPr>
                <w:lang w:val="en-US"/>
              </w:rPr>
              <w:t xml:space="preserve"> "patients referral" </w:t>
            </w:r>
            <w:r>
              <w:rPr>
                <w:rStyle w:val="hljs-keyword"/>
                <w:lang w:val="en-US"/>
              </w:rPr>
              <w:t>OR</w:t>
            </w:r>
            <w:r>
              <w:rPr>
                <w:lang w:val="en-US"/>
              </w:rPr>
              <w:t xml:space="preserve"> "patients referrals" </w:t>
            </w:r>
            <w:r>
              <w:rPr>
                <w:rStyle w:val="hljs-keyword"/>
                <w:lang w:val="en-US"/>
              </w:rPr>
              <w:t>OR</w:t>
            </w:r>
            <w:r>
              <w:rPr>
                <w:lang w:val="en-US"/>
              </w:rPr>
              <w:t xml:space="preserve"> "patients referred" </w:t>
            </w:r>
            <w:r>
              <w:rPr>
                <w:rStyle w:val="hljs-keyword"/>
                <w:lang w:val="en-US"/>
              </w:rPr>
              <w:t>OR</w:t>
            </w:r>
            <w:r>
              <w:rPr>
                <w:lang w:val="en-US"/>
              </w:rPr>
              <w:t xml:space="preserve"> "referral pattern" </w:t>
            </w:r>
            <w:r>
              <w:rPr>
                <w:rStyle w:val="hljs-keyword"/>
                <w:lang w:val="en-US"/>
              </w:rPr>
              <w:t>OR</w:t>
            </w:r>
            <w:r>
              <w:rPr>
                <w:lang w:val="en-US"/>
              </w:rPr>
              <w:t xml:space="preserve"> "patient sharing" </w:t>
            </w:r>
            <w:r>
              <w:rPr>
                <w:rStyle w:val="hljs-keyword"/>
                <w:lang w:val="en-US"/>
              </w:rPr>
              <w:t>OR</w:t>
            </w:r>
            <w:r>
              <w:rPr>
                <w:lang w:val="en-US"/>
              </w:rPr>
              <w:t xml:space="preserve"> "patient* move*" </w:t>
            </w:r>
            <w:r>
              <w:rPr>
                <w:rStyle w:val="hljs-keyword"/>
                <w:lang w:val="en-US"/>
              </w:rPr>
              <w:t>OR</w:t>
            </w:r>
            <w:r>
              <w:rPr>
                <w:lang w:val="en-US"/>
              </w:rPr>
              <w:t xml:space="preserve"> "patient flow*" </w:t>
            </w:r>
            <w:r>
              <w:rPr>
                <w:rStyle w:val="hljs-keyword"/>
                <w:lang w:val="en-US"/>
              </w:rPr>
              <w:t>OR</w:t>
            </w:r>
            <w:r>
              <w:rPr>
                <w:lang w:val="en-US"/>
              </w:rPr>
              <w:t xml:space="preserve"> "patient trajector*" </w:t>
            </w:r>
            <w:r>
              <w:rPr>
                <w:rStyle w:val="hljs-keyword"/>
                <w:lang w:val="en-US"/>
              </w:rPr>
              <w:t>OR</w:t>
            </w:r>
            <w:r>
              <w:rPr>
                <w:lang w:val="en-US"/>
              </w:rPr>
              <w:t xml:space="preserve"> "care transfer*" </w:t>
            </w:r>
            <w:r>
              <w:rPr>
                <w:rStyle w:val="hljs-keyword"/>
                <w:lang w:val="en-US"/>
              </w:rPr>
              <w:t>OR</w:t>
            </w:r>
            <w:r>
              <w:rPr>
                <w:lang w:val="en-US"/>
              </w:rPr>
              <w:t xml:space="preserve"> "patient pathway*") </w:t>
            </w:r>
          </w:p>
        </w:tc>
      </w:tr>
      <w:tr w:rsidR="00401E72" w:rsidRPr="00591E52" w14:paraId="309D6D7C" w14:textId="77777777" w:rsidTr="00A21BAE">
        <w:tc>
          <w:tcPr>
            <w:tcW w:w="1980" w:type="dxa"/>
            <w:tcBorders>
              <w:top w:val="single" w:sz="4" w:space="0" w:color="auto"/>
              <w:left w:val="single" w:sz="4" w:space="0" w:color="auto"/>
              <w:bottom w:val="single" w:sz="4" w:space="0" w:color="auto"/>
              <w:right w:val="single" w:sz="4" w:space="0" w:color="auto"/>
            </w:tcBorders>
            <w:hideMark/>
          </w:tcPr>
          <w:p w14:paraId="38F410C9" w14:textId="77777777" w:rsidR="00401E72" w:rsidRDefault="00401E72" w:rsidP="00A21BAE">
            <w:r>
              <w:lastRenderedPageBreak/>
              <w:t>Network of healthcare facilities</w:t>
            </w:r>
          </w:p>
        </w:tc>
        <w:tc>
          <w:tcPr>
            <w:tcW w:w="7082" w:type="dxa"/>
            <w:tcBorders>
              <w:top w:val="single" w:sz="4" w:space="0" w:color="auto"/>
              <w:left w:val="single" w:sz="4" w:space="0" w:color="auto"/>
              <w:bottom w:val="single" w:sz="4" w:space="0" w:color="auto"/>
              <w:right w:val="single" w:sz="4" w:space="0" w:color="auto"/>
            </w:tcBorders>
            <w:hideMark/>
          </w:tcPr>
          <w:p w14:paraId="0634BF59" w14:textId="77777777" w:rsidR="00401E72" w:rsidRDefault="00401E72" w:rsidP="00A21BAE">
            <w:pPr>
              <w:rPr>
                <w:lang w:val="en-US"/>
              </w:rPr>
            </w:pPr>
            <w:r>
              <w:rPr>
                <w:rStyle w:val="hljs-keyword"/>
                <w:lang w:val="en-US"/>
              </w:rPr>
              <w:t>AND</w:t>
            </w:r>
            <w:r>
              <w:rPr>
                <w:lang w:val="en-US"/>
              </w:rPr>
              <w:t xml:space="preserve"> TITLE</w:t>
            </w:r>
            <w:r>
              <w:rPr>
                <w:rStyle w:val="hljs-operator"/>
                <w:lang w:val="en-US"/>
              </w:rPr>
              <w:t>-</w:t>
            </w:r>
            <w:r>
              <w:rPr>
                <w:rStyle w:val="hljs-builtin"/>
                <w:lang w:val="en-US"/>
              </w:rPr>
              <w:t>ABS</w:t>
            </w:r>
            <w:r>
              <w:rPr>
                <w:lang w:val="en-US"/>
              </w:rPr>
              <w:t xml:space="preserve">("network*" </w:t>
            </w:r>
            <w:r>
              <w:rPr>
                <w:rStyle w:val="hljs-keyword"/>
                <w:lang w:val="en-US"/>
              </w:rPr>
              <w:t>OR</w:t>
            </w:r>
            <w:r>
              <w:rPr>
                <w:lang w:val="en-US"/>
              </w:rPr>
              <w:t xml:space="preserve"> "graph*" </w:t>
            </w:r>
            <w:r>
              <w:rPr>
                <w:rStyle w:val="hljs-keyword"/>
                <w:lang w:val="en-US"/>
              </w:rPr>
              <w:t>OR</w:t>
            </w:r>
            <w:r>
              <w:rPr>
                <w:lang w:val="en-US"/>
              </w:rPr>
              <w:t xml:space="preserve"> "multihospital*" </w:t>
            </w:r>
            <w:r>
              <w:rPr>
                <w:rStyle w:val="hljs-keyword"/>
                <w:lang w:val="en-US"/>
              </w:rPr>
              <w:t>OR</w:t>
            </w:r>
            <w:r>
              <w:rPr>
                <w:lang w:val="en-US"/>
              </w:rPr>
              <w:t xml:space="preserve"> "multi institution*" </w:t>
            </w:r>
            <w:r>
              <w:rPr>
                <w:rStyle w:val="hljs-keyword"/>
                <w:lang w:val="en-US"/>
              </w:rPr>
              <w:t>OR</w:t>
            </w:r>
            <w:r>
              <w:rPr>
                <w:lang w:val="en-US"/>
              </w:rPr>
              <w:t xml:space="preserve"> "inter institution*" </w:t>
            </w:r>
            <w:r>
              <w:rPr>
                <w:rStyle w:val="hljs-keyword"/>
                <w:lang w:val="en-US"/>
              </w:rPr>
              <w:t>OR</w:t>
            </w:r>
            <w:r>
              <w:rPr>
                <w:lang w:val="en-US"/>
              </w:rPr>
              <w:t xml:space="preserve"> "inter hospital*" </w:t>
            </w:r>
            <w:r>
              <w:rPr>
                <w:rStyle w:val="hljs-keyword"/>
                <w:lang w:val="en-US"/>
              </w:rPr>
              <w:t>OR</w:t>
            </w:r>
            <w:r>
              <w:rPr>
                <w:lang w:val="en-US"/>
              </w:rPr>
              <w:t xml:space="preserve"> "interinstitution*" </w:t>
            </w:r>
            <w:r>
              <w:rPr>
                <w:rStyle w:val="hljs-keyword"/>
                <w:lang w:val="en-US"/>
              </w:rPr>
              <w:t>OR</w:t>
            </w:r>
            <w:r>
              <w:rPr>
                <w:lang w:val="en-US"/>
              </w:rPr>
              <w:t xml:space="preserve"> "interhospital*" </w:t>
            </w:r>
            <w:r>
              <w:rPr>
                <w:rStyle w:val="hljs-keyword"/>
                <w:lang w:val="en-US"/>
              </w:rPr>
              <w:t>OR</w:t>
            </w:r>
            <w:r>
              <w:rPr>
                <w:lang w:val="en-US"/>
              </w:rPr>
              <w:t xml:space="preserve"> "connect*" </w:t>
            </w:r>
            <w:r>
              <w:rPr>
                <w:rStyle w:val="hljs-keyword"/>
                <w:lang w:val="en-US"/>
              </w:rPr>
              <w:t>OR</w:t>
            </w:r>
            <w:r>
              <w:rPr>
                <w:lang w:val="en-US"/>
              </w:rPr>
              <w:t xml:space="preserve"> "interconnect*" </w:t>
            </w:r>
            <w:r>
              <w:rPr>
                <w:rStyle w:val="hljs-keyword"/>
                <w:lang w:val="en-US"/>
              </w:rPr>
              <w:t>OR</w:t>
            </w:r>
            <w:r>
              <w:rPr>
                <w:lang w:val="en-US"/>
              </w:rPr>
              <w:t xml:space="preserve"> "between hospitals" </w:t>
            </w:r>
            <w:r>
              <w:rPr>
                <w:rStyle w:val="hljs-keyword"/>
                <w:lang w:val="en-US"/>
              </w:rPr>
              <w:t>OR</w:t>
            </w:r>
            <w:r>
              <w:rPr>
                <w:lang w:val="en-US"/>
              </w:rPr>
              <w:t xml:space="preserve"> "between-hospital" </w:t>
            </w:r>
            <w:r>
              <w:rPr>
                <w:rStyle w:val="hljs-keyword"/>
                <w:lang w:val="en-US"/>
              </w:rPr>
              <w:t>OR</w:t>
            </w:r>
            <w:r>
              <w:rPr>
                <w:lang w:val="en-US"/>
              </w:rPr>
              <w:t xml:space="preserve"> "inter-ward" </w:t>
            </w:r>
            <w:r>
              <w:rPr>
                <w:rStyle w:val="hljs-keyword"/>
                <w:lang w:val="en-US"/>
              </w:rPr>
              <w:t>OR</w:t>
            </w:r>
            <w:r>
              <w:rPr>
                <w:lang w:val="en-US"/>
              </w:rPr>
              <w:t xml:space="preserve"> "between wards" </w:t>
            </w:r>
            <w:r>
              <w:rPr>
                <w:rStyle w:val="hljs-keyword"/>
                <w:lang w:val="en-US"/>
              </w:rPr>
              <w:t>OR</w:t>
            </w:r>
            <w:r>
              <w:rPr>
                <w:lang w:val="en-US"/>
              </w:rPr>
              <w:t xml:space="preserve"> "between-ward" </w:t>
            </w:r>
            <w:r>
              <w:rPr>
                <w:rStyle w:val="hljs-keyword"/>
                <w:lang w:val="en-US"/>
              </w:rPr>
              <w:t>OR</w:t>
            </w:r>
            <w:r>
              <w:rPr>
                <w:lang w:val="en-US"/>
              </w:rPr>
              <w:t xml:space="preserve"> "inter-unit*" </w:t>
            </w:r>
            <w:r>
              <w:rPr>
                <w:rStyle w:val="hljs-keyword"/>
                <w:lang w:val="en-US"/>
              </w:rPr>
              <w:t>OR</w:t>
            </w:r>
            <w:r>
              <w:rPr>
                <w:lang w:val="en-US"/>
              </w:rPr>
              <w:t xml:space="preserve"> "intra-hospital*") </w:t>
            </w:r>
          </w:p>
        </w:tc>
      </w:tr>
      <w:tr w:rsidR="00401E72" w:rsidRPr="00591E52" w14:paraId="468DE578" w14:textId="77777777" w:rsidTr="00A21BAE">
        <w:trPr>
          <w:trHeight w:val="305"/>
        </w:trPr>
        <w:tc>
          <w:tcPr>
            <w:tcW w:w="1980" w:type="dxa"/>
            <w:tcBorders>
              <w:top w:val="single" w:sz="4" w:space="0" w:color="auto"/>
              <w:left w:val="single" w:sz="4" w:space="0" w:color="auto"/>
              <w:bottom w:val="single" w:sz="4" w:space="0" w:color="auto"/>
              <w:right w:val="single" w:sz="4" w:space="0" w:color="auto"/>
            </w:tcBorders>
            <w:hideMark/>
          </w:tcPr>
          <w:p w14:paraId="227DF1B6" w14:textId="77777777" w:rsidR="00401E72" w:rsidRDefault="00401E72" w:rsidP="00A21BAE">
            <w:r>
              <w:t>Out of scope terms</w:t>
            </w:r>
          </w:p>
        </w:tc>
        <w:tc>
          <w:tcPr>
            <w:tcW w:w="7082" w:type="dxa"/>
            <w:tcBorders>
              <w:top w:val="single" w:sz="4" w:space="0" w:color="auto"/>
              <w:left w:val="single" w:sz="4" w:space="0" w:color="auto"/>
              <w:bottom w:val="single" w:sz="4" w:space="0" w:color="auto"/>
              <w:right w:val="single" w:sz="4" w:space="0" w:color="auto"/>
            </w:tcBorders>
            <w:hideMark/>
          </w:tcPr>
          <w:p w14:paraId="54AE876B" w14:textId="77777777" w:rsidR="00401E72" w:rsidRDefault="00401E72" w:rsidP="00A21BAE">
            <w:pPr>
              <w:rPr>
                <w:lang w:val="en-US"/>
              </w:rPr>
            </w:pPr>
            <w:r>
              <w:rPr>
                <w:rStyle w:val="hljs-keyword"/>
                <w:lang w:val="en-US"/>
              </w:rPr>
              <w:t>AND</w:t>
            </w:r>
            <w:r>
              <w:rPr>
                <w:lang w:val="en-US"/>
              </w:rPr>
              <w:t xml:space="preserve"> </w:t>
            </w:r>
            <w:r>
              <w:rPr>
                <w:rStyle w:val="hljs-keyword"/>
                <w:lang w:val="en-US"/>
              </w:rPr>
              <w:t>NOT</w:t>
            </w:r>
            <w:r>
              <w:rPr>
                <w:lang w:val="en-US"/>
              </w:rPr>
              <w:t xml:space="preserve"> TITLE</w:t>
            </w:r>
            <w:r>
              <w:rPr>
                <w:rStyle w:val="hljs-operator"/>
                <w:lang w:val="en-US"/>
              </w:rPr>
              <w:t>-</w:t>
            </w:r>
            <w:r>
              <w:rPr>
                <w:rStyle w:val="hljs-builtin"/>
                <w:lang w:val="en-US"/>
              </w:rPr>
              <w:t>ABS</w:t>
            </w:r>
            <w:r>
              <w:rPr>
                <w:lang w:val="en-US"/>
              </w:rPr>
              <w:t xml:space="preserve">("case report" </w:t>
            </w:r>
            <w:r>
              <w:rPr>
                <w:rStyle w:val="hljs-keyword"/>
                <w:lang w:val="en-US"/>
              </w:rPr>
              <w:t>OR</w:t>
            </w:r>
            <w:r>
              <w:rPr>
                <w:lang w:val="en-US"/>
              </w:rPr>
              <w:t xml:space="preserve"> "review" </w:t>
            </w:r>
            <w:r>
              <w:rPr>
                <w:rStyle w:val="hljs-keyword"/>
                <w:lang w:val="en-US"/>
              </w:rPr>
              <w:t>OR</w:t>
            </w:r>
            <w:r>
              <w:rPr>
                <w:lang w:val="en-US"/>
              </w:rPr>
              <w:t xml:space="preserve"> "trial*" </w:t>
            </w:r>
            <w:r>
              <w:rPr>
                <w:rStyle w:val="hljs-keyword"/>
                <w:lang w:val="en-US"/>
              </w:rPr>
              <w:t>OR</w:t>
            </w:r>
            <w:r>
              <w:rPr>
                <w:lang w:val="en-US"/>
              </w:rPr>
              <w:t xml:space="preserve"> "interview*" </w:t>
            </w:r>
            <w:r>
              <w:rPr>
                <w:rStyle w:val="hljs-keyword"/>
                <w:lang w:val="en-US"/>
              </w:rPr>
              <w:t>OR</w:t>
            </w:r>
            <w:r>
              <w:rPr>
                <w:lang w:val="en-US"/>
              </w:rPr>
              <w:t xml:space="preserve"> "consultation*" </w:t>
            </w:r>
            <w:r>
              <w:rPr>
                <w:rStyle w:val="hljs-keyword"/>
                <w:lang w:val="en-US"/>
              </w:rPr>
              <w:t>OR</w:t>
            </w:r>
            <w:r>
              <w:rPr>
                <w:lang w:val="en-US"/>
              </w:rPr>
              <w:t xml:space="preserve"> "comparative*" </w:t>
            </w:r>
            <w:r>
              <w:rPr>
                <w:rStyle w:val="hljs-keyword"/>
                <w:lang w:val="en-US"/>
              </w:rPr>
              <w:t>OR</w:t>
            </w:r>
            <w:r>
              <w:rPr>
                <w:lang w:val="en-US"/>
              </w:rPr>
              <w:t xml:space="preserve"> "causal graph" </w:t>
            </w:r>
            <w:r>
              <w:rPr>
                <w:rStyle w:val="hljs-keyword"/>
                <w:lang w:val="en-US"/>
              </w:rPr>
              <w:t>OR</w:t>
            </w:r>
            <w:r>
              <w:rPr>
                <w:lang w:val="en-US"/>
              </w:rPr>
              <w:t xml:space="preserve"> "neural")</w:t>
            </w:r>
          </w:p>
        </w:tc>
      </w:tr>
    </w:tbl>
    <w:p w14:paraId="4CA8FF04" w14:textId="77777777" w:rsidR="00401E72" w:rsidRDefault="00401E72" w:rsidP="00401E72">
      <w:pPr>
        <w:rPr>
          <w:lang w:val="en-US"/>
        </w:rPr>
      </w:pPr>
    </w:p>
    <w:p w14:paraId="0A4C0ECE" w14:textId="77777777" w:rsidR="00401E72" w:rsidRPr="00584658" w:rsidRDefault="00401E72" w:rsidP="00401E72">
      <w:pPr>
        <w:rPr>
          <w:b/>
          <w:bCs/>
          <w:lang w:val="en-US"/>
        </w:rPr>
      </w:pPr>
      <w:r w:rsidRPr="00E11CE0">
        <w:rPr>
          <w:b/>
          <w:bCs/>
          <w:lang w:val="en-US"/>
        </w:rPr>
        <w:t>Institute of Electrical and Electronics Engineers:</w:t>
      </w:r>
    </w:p>
    <w:tbl>
      <w:tblPr>
        <w:tblStyle w:val="Grilledutableau"/>
        <w:tblW w:w="0" w:type="auto"/>
        <w:tblLook w:val="04A0" w:firstRow="1" w:lastRow="0" w:firstColumn="1" w:lastColumn="0" w:noHBand="0" w:noVBand="1"/>
      </w:tblPr>
      <w:tblGrid>
        <w:gridCol w:w="1980"/>
        <w:gridCol w:w="7082"/>
      </w:tblGrid>
      <w:tr w:rsidR="00401E72" w:rsidRPr="00591E52" w14:paraId="5AFDFC59" w14:textId="77777777" w:rsidTr="00A21BAE">
        <w:tc>
          <w:tcPr>
            <w:tcW w:w="1980" w:type="dxa"/>
            <w:tcBorders>
              <w:top w:val="single" w:sz="4" w:space="0" w:color="auto"/>
              <w:left w:val="single" w:sz="4" w:space="0" w:color="auto"/>
              <w:bottom w:val="single" w:sz="4" w:space="0" w:color="auto"/>
              <w:right w:val="single" w:sz="4" w:space="0" w:color="auto"/>
            </w:tcBorders>
            <w:hideMark/>
          </w:tcPr>
          <w:p w14:paraId="22E099DA" w14:textId="77777777" w:rsidR="00401E72" w:rsidRDefault="00401E72" w:rsidP="00A21BAE">
            <w:r>
              <w:t>Healthcare facilities</w:t>
            </w:r>
          </w:p>
        </w:tc>
        <w:tc>
          <w:tcPr>
            <w:tcW w:w="7082" w:type="dxa"/>
            <w:tcBorders>
              <w:top w:val="single" w:sz="4" w:space="0" w:color="auto"/>
              <w:left w:val="single" w:sz="4" w:space="0" w:color="auto"/>
              <w:bottom w:val="single" w:sz="4" w:space="0" w:color="auto"/>
              <w:right w:val="single" w:sz="4" w:space="0" w:color="auto"/>
            </w:tcBorders>
            <w:hideMark/>
          </w:tcPr>
          <w:p w14:paraId="1D7B0FB2" w14:textId="77777777" w:rsidR="00401E72" w:rsidRDefault="00401E72" w:rsidP="00A21BAE">
            <w:pPr>
              <w:rPr>
                <w:lang w:val="en-US"/>
              </w:rPr>
            </w:pPr>
            <w:r>
              <w:rPr>
                <w:lang w:val="en-US"/>
              </w:rPr>
              <w:t>("Abstract": hospital OR "Document Title": hospital</w:t>
            </w:r>
          </w:p>
          <w:p w14:paraId="1515EECB" w14:textId="77777777" w:rsidR="00401E72" w:rsidRDefault="00401E72" w:rsidP="00A21BAE">
            <w:pPr>
              <w:rPr>
                <w:lang w:val="en-US"/>
              </w:rPr>
            </w:pPr>
            <w:r>
              <w:rPr>
                <w:lang w:val="en-US"/>
              </w:rPr>
              <w:t xml:space="preserve">  OR "Abstract": hospitals OR "Document Title": hospitals</w:t>
            </w:r>
          </w:p>
          <w:p w14:paraId="05768E08" w14:textId="77777777" w:rsidR="00401E72" w:rsidRDefault="00401E72" w:rsidP="00A21BAE">
            <w:pPr>
              <w:rPr>
                <w:lang w:val="en-US"/>
              </w:rPr>
            </w:pPr>
            <w:r>
              <w:rPr>
                <w:lang w:val="en-US"/>
              </w:rPr>
              <w:t xml:space="preserve">  OR "Abstract": healthcare OR "Document Title": healthcare</w:t>
            </w:r>
          </w:p>
          <w:p w14:paraId="303389CC" w14:textId="77777777" w:rsidR="00401E72" w:rsidRDefault="00401E72" w:rsidP="00A21BAE">
            <w:pPr>
              <w:rPr>
                <w:lang w:val="en-US"/>
              </w:rPr>
            </w:pPr>
            <w:r>
              <w:rPr>
                <w:lang w:val="en-US"/>
              </w:rPr>
              <w:t xml:space="preserve">  OR "Abstract": "health care" OR "Document Title": "health care"</w:t>
            </w:r>
          </w:p>
          <w:p w14:paraId="443A1620" w14:textId="77777777" w:rsidR="00401E72" w:rsidRDefault="00401E72" w:rsidP="00A21BAE">
            <w:pPr>
              <w:rPr>
                <w:lang w:val="en-US"/>
              </w:rPr>
            </w:pPr>
            <w:r>
              <w:rPr>
                <w:lang w:val="en-US"/>
              </w:rPr>
              <w:t xml:space="preserve">  OR "Abstract": facility OR "Document Title": facility</w:t>
            </w:r>
          </w:p>
          <w:p w14:paraId="036F9A40" w14:textId="77777777" w:rsidR="00401E72" w:rsidRDefault="00401E72" w:rsidP="00A21BAE">
            <w:pPr>
              <w:rPr>
                <w:lang w:val="en-US"/>
              </w:rPr>
            </w:pPr>
            <w:r>
              <w:rPr>
                <w:lang w:val="en-US"/>
              </w:rPr>
              <w:t xml:space="preserve">  OR "Abstract": facilities OR "Document Title": facilities</w:t>
            </w:r>
          </w:p>
          <w:p w14:paraId="6B7D4DCF" w14:textId="77777777" w:rsidR="00401E72" w:rsidRDefault="00401E72" w:rsidP="00A21BAE">
            <w:pPr>
              <w:rPr>
                <w:lang w:val="en-US"/>
              </w:rPr>
            </w:pPr>
            <w:r>
              <w:rPr>
                <w:lang w:val="en-US"/>
              </w:rPr>
              <w:t xml:space="preserve">  OR "Abstract": "nursing home" OR "Document Title": "nursing home"</w:t>
            </w:r>
          </w:p>
          <w:p w14:paraId="411EDFC2" w14:textId="77777777" w:rsidR="00401E72" w:rsidRDefault="00401E72" w:rsidP="00A21BAE">
            <w:pPr>
              <w:rPr>
                <w:lang w:val="en-US"/>
              </w:rPr>
            </w:pPr>
            <w:r>
              <w:rPr>
                <w:lang w:val="en-US"/>
              </w:rPr>
              <w:t xml:space="preserve">  OR "Abstract": "nursing homes" OR "Document Title": "nursing homes"</w:t>
            </w:r>
          </w:p>
          <w:p w14:paraId="587ADC22" w14:textId="77777777" w:rsidR="00401E72" w:rsidRDefault="00401E72" w:rsidP="00A21BAE">
            <w:pPr>
              <w:rPr>
                <w:lang w:val="en-US"/>
              </w:rPr>
            </w:pPr>
            <w:r>
              <w:rPr>
                <w:lang w:val="en-US"/>
              </w:rPr>
              <w:t xml:space="preserve">  OR "Abstract": institution OR "Document Title": institution</w:t>
            </w:r>
          </w:p>
          <w:p w14:paraId="7C5BE934" w14:textId="77777777" w:rsidR="00401E72" w:rsidRDefault="00401E72" w:rsidP="00A21BAE">
            <w:pPr>
              <w:rPr>
                <w:lang w:val="en-US"/>
              </w:rPr>
            </w:pPr>
            <w:r>
              <w:rPr>
                <w:lang w:val="en-US"/>
              </w:rPr>
              <w:t xml:space="preserve">  OR "Abstract": institutions OR "Document Title": institutions</w:t>
            </w:r>
          </w:p>
          <w:p w14:paraId="6D0E5C76" w14:textId="77777777" w:rsidR="00401E72" w:rsidRDefault="00401E72" w:rsidP="00A21BAE">
            <w:pPr>
              <w:rPr>
                <w:lang w:val="en-US"/>
              </w:rPr>
            </w:pPr>
            <w:r>
              <w:rPr>
                <w:lang w:val="en-US"/>
              </w:rPr>
              <w:t xml:space="preserve">  OR "Abstract": institutional OR "Document Title": institutional)</w:t>
            </w:r>
          </w:p>
        </w:tc>
      </w:tr>
      <w:tr w:rsidR="00401E72" w14:paraId="72615A6D" w14:textId="77777777" w:rsidTr="00A21BAE">
        <w:tc>
          <w:tcPr>
            <w:tcW w:w="1980" w:type="dxa"/>
            <w:tcBorders>
              <w:top w:val="single" w:sz="4" w:space="0" w:color="auto"/>
              <w:left w:val="single" w:sz="4" w:space="0" w:color="auto"/>
              <w:bottom w:val="single" w:sz="4" w:space="0" w:color="auto"/>
              <w:right w:val="single" w:sz="4" w:space="0" w:color="auto"/>
            </w:tcBorders>
            <w:hideMark/>
          </w:tcPr>
          <w:p w14:paraId="5CC6C84F" w14:textId="77777777" w:rsidR="00401E72" w:rsidRDefault="00401E72" w:rsidP="00A21BAE">
            <w:r>
              <w:t>Patient transfers</w:t>
            </w:r>
          </w:p>
        </w:tc>
        <w:tc>
          <w:tcPr>
            <w:tcW w:w="7082" w:type="dxa"/>
            <w:tcBorders>
              <w:top w:val="single" w:sz="4" w:space="0" w:color="auto"/>
              <w:left w:val="single" w:sz="4" w:space="0" w:color="auto"/>
              <w:bottom w:val="single" w:sz="4" w:space="0" w:color="auto"/>
              <w:right w:val="single" w:sz="4" w:space="0" w:color="auto"/>
            </w:tcBorders>
            <w:hideMark/>
          </w:tcPr>
          <w:p w14:paraId="50FF60B4" w14:textId="77777777" w:rsidR="00401E72" w:rsidRDefault="00401E72" w:rsidP="00A21BAE">
            <w:pPr>
              <w:rPr>
                <w:lang w:val="en-US"/>
              </w:rPr>
            </w:pPr>
            <w:r>
              <w:rPr>
                <w:lang w:val="en-US"/>
              </w:rPr>
              <w:t>AND</w:t>
            </w:r>
          </w:p>
          <w:p w14:paraId="702DC9B5" w14:textId="77777777" w:rsidR="00401E72" w:rsidRDefault="00401E72" w:rsidP="00A21BAE">
            <w:pPr>
              <w:rPr>
                <w:lang w:val="en-US"/>
              </w:rPr>
            </w:pPr>
            <w:r>
              <w:rPr>
                <w:lang w:val="en-US"/>
              </w:rPr>
              <w:t xml:space="preserve">  ("Abstract": "patient transfer" OR "Document Title": "patient transfer"</w:t>
            </w:r>
          </w:p>
          <w:p w14:paraId="27A0094F" w14:textId="77777777" w:rsidR="00401E72" w:rsidRDefault="00401E72" w:rsidP="00A21BAE">
            <w:pPr>
              <w:rPr>
                <w:lang w:val="en-US"/>
              </w:rPr>
            </w:pPr>
            <w:r>
              <w:rPr>
                <w:lang w:val="en-US"/>
              </w:rPr>
              <w:t xml:space="preserve">  OR "Abstract": "patient transferred" OR "Document Title": "patient transferred"</w:t>
            </w:r>
          </w:p>
          <w:p w14:paraId="4191EC8C" w14:textId="77777777" w:rsidR="00401E72" w:rsidRDefault="00401E72" w:rsidP="00A21BAE">
            <w:pPr>
              <w:rPr>
                <w:lang w:val="en-US"/>
              </w:rPr>
            </w:pPr>
            <w:r>
              <w:rPr>
                <w:lang w:val="en-US"/>
              </w:rPr>
              <w:t xml:space="preserve">  OR "Abstract": "patient transfers" OR "Document Title": "patient transfers"</w:t>
            </w:r>
          </w:p>
          <w:p w14:paraId="162C9054" w14:textId="77777777" w:rsidR="00401E72" w:rsidRDefault="00401E72" w:rsidP="00A21BAE">
            <w:pPr>
              <w:rPr>
                <w:lang w:val="en-US"/>
              </w:rPr>
            </w:pPr>
            <w:r>
              <w:rPr>
                <w:lang w:val="en-US"/>
              </w:rPr>
              <w:t xml:space="preserve">  OR "Abstract": "patients transfers" OR "Document Title": "patients transfers"</w:t>
            </w:r>
          </w:p>
          <w:p w14:paraId="46A99559" w14:textId="77777777" w:rsidR="00401E72" w:rsidRDefault="00401E72" w:rsidP="00A21BAE">
            <w:pPr>
              <w:rPr>
                <w:lang w:val="en-US"/>
              </w:rPr>
            </w:pPr>
            <w:r>
              <w:rPr>
                <w:lang w:val="en-US"/>
              </w:rPr>
              <w:t xml:space="preserve">  OR "Abstract": "patients transferred" OR "Document Title": "patients transferred"</w:t>
            </w:r>
          </w:p>
          <w:p w14:paraId="72D33EF6" w14:textId="77777777" w:rsidR="00401E72" w:rsidRDefault="00401E72" w:rsidP="00A21BAE">
            <w:pPr>
              <w:rPr>
                <w:lang w:val="en-US"/>
              </w:rPr>
            </w:pPr>
            <w:r>
              <w:rPr>
                <w:lang w:val="en-US"/>
              </w:rPr>
              <w:t xml:space="preserve">  OR "Abstract": "patient referral" OR "Document Title": "patient referral"</w:t>
            </w:r>
          </w:p>
          <w:p w14:paraId="2D235615" w14:textId="77777777" w:rsidR="00401E72" w:rsidRDefault="00401E72" w:rsidP="00A21BAE">
            <w:pPr>
              <w:rPr>
                <w:lang w:val="en-US"/>
              </w:rPr>
            </w:pPr>
            <w:r>
              <w:rPr>
                <w:lang w:val="en-US"/>
              </w:rPr>
              <w:t xml:space="preserve">  OR "Abstract": "patient referrals" OR "Document Title": "patient referrals"</w:t>
            </w:r>
          </w:p>
          <w:p w14:paraId="3FAA4111" w14:textId="77777777" w:rsidR="00401E72" w:rsidRDefault="00401E72" w:rsidP="00A21BAE">
            <w:pPr>
              <w:rPr>
                <w:lang w:val="en-US"/>
              </w:rPr>
            </w:pPr>
            <w:r>
              <w:rPr>
                <w:lang w:val="en-US"/>
              </w:rPr>
              <w:t xml:space="preserve">  OR "Abstract": "patient referred" OR "Document Title": "patient referred"</w:t>
            </w:r>
          </w:p>
          <w:p w14:paraId="018EF010" w14:textId="77777777" w:rsidR="00401E72" w:rsidRDefault="00401E72" w:rsidP="00A21BAE">
            <w:pPr>
              <w:rPr>
                <w:lang w:val="en-US"/>
              </w:rPr>
            </w:pPr>
            <w:r>
              <w:rPr>
                <w:lang w:val="en-US"/>
              </w:rPr>
              <w:t xml:space="preserve">  OR "Abstract": "patients referral" OR "Document Title": "patients referral"</w:t>
            </w:r>
          </w:p>
          <w:p w14:paraId="639C42D8" w14:textId="77777777" w:rsidR="00401E72" w:rsidRDefault="00401E72" w:rsidP="00A21BAE">
            <w:pPr>
              <w:rPr>
                <w:lang w:val="en-US"/>
              </w:rPr>
            </w:pPr>
            <w:r>
              <w:rPr>
                <w:lang w:val="en-US"/>
              </w:rPr>
              <w:t xml:space="preserve">  OR "Abstract": "patients referrals" OR "Document Title": "patients referrals"</w:t>
            </w:r>
          </w:p>
          <w:p w14:paraId="7CBD38AD" w14:textId="77777777" w:rsidR="00401E72" w:rsidRDefault="00401E72" w:rsidP="00A21BAE">
            <w:pPr>
              <w:rPr>
                <w:lang w:val="en-US"/>
              </w:rPr>
            </w:pPr>
            <w:r>
              <w:rPr>
                <w:lang w:val="en-US"/>
              </w:rPr>
              <w:t xml:space="preserve">  OR "Abstract": "patients referred" OR "Document Title": "patients referred"</w:t>
            </w:r>
          </w:p>
          <w:p w14:paraId="023432D9" w14:textId="77777777" w:rsidR="00401E72" w:rsidRDefault="00401E72" w:rsidP="00A21BAE">
            <w:pPr>
              <w:rPr>
                <w:lang w:val="en-US"/>
              </w:rPr>
            </w:pPr>
            <w:r>
              <w:rPr>
                <w:lang w:val="en-US"/>
              </w:rPr>
              <w:t xml:space="preserve">  OR "Abstract": "referral pattern" OR "Document Title": "referral pattern"</w:t>
            </w:r>
          </w:p>
          <w:p w14:paraId="278F54D3" w14:textId="77777777" w:rsidR="00401E72" w:rsidRDefault="00401E72" w:rsidP="00A21BAE">
            <w:pPr>
              <w:rPr>
                <w:lang w:val="en-US"/>
              </w:rPr>
            </w:pPr>
            <w:r>
              <w:rPr>
                <w:lang w:val="en-US"/>
              </w:rPr>
              <w:t xml:space="preserve">  OR "Abstract": "patient sharing" OR "Document Title": "patient sharing"</w:t>
            </w:r>
          </w:p>
          <w:p w14:paraId="40B5D9A7" w14:textId="77777777" w:rsidR="00401E72" w:rsidRDefault="00401E72" w:rsidP="00A21BAE">
            <w:pPr>
              <w:rPr>
                <w:lang w:val="en-US"/>
              </w:rPr>
            </w:pPr>
            <w:r>
              <w:rPr>
                <w:lang w:val="en-US"/>
              </w:rPr>
              <w:t xml:space="preserve">  OR "Abstract": "patient* move*" OR "Document Title": "patient* move*"</w:t>
            </w:r>
          </w:p>
          <w:p w14:paraId="1B6BB296" w14:textId="77777777" w:rsidR="00401E72" w:rsidRDefault="00401E72" w:rsidP="00A21BAE">
            <w:pPr>
              <w:rPr>
                <w:lang w:val="en-US"/>
              </w:rPr>
            </w:pPr>
            <w:r>
              <w:rPr>
                <w:lang w:val="en-US"/>
              </w:rPr>
              <w:t xml:space="preserve">  OR "Abstract": "patient flow" OR "Document Title": "patient flow"</w:t>
            </w:r>
          </w:p>
          <w:p w14:paraId="0DAEF2F2" w14:textId="77777777" w:rsidR="00401E72" w:rsidRDefault="00401E72" w:rsidP="00A21BAE">
            <w:pPr>
              <w:rPr>
                <w:lang w:val="en-US"/>
              </w:rPr>
            </w:pPr>
            <w:r>
              <w:rPr>
                <w:lang w:val="en-US"/>
              </w:rPr>
              <w:lastRenderedPageBreak/>
              <w:t xml:space="preserve">  OR "Abstract": "patient flowing" OR "Document Title": "patient flowing"</w:t>
            </w:r>
          </w:p>
          <w:p w14:paraId="0BAAE836" w14:textId="77777777" w:rsidR="00401E72" w:rsidRDefault="00401E72" w:rsidP="00A21BAE">
            <w:pPr>
              <w:rPr>
                <w:lang w:val="en-US"/>
              </w:rPr>
            </w:pPr>
            <w:r>
              <w:rPr>
                <w:lang w:val="en-US"/>
              </w:rPr>
              <w:t xml:space="preserve">  OR "Abstract": "patient trajectory" OR "Document Title": "patient trajectory"</w:t>
            </w:r>
          </w:p>
          <w:p w14:paraId="369B1F3B" w14:textId="77777777" w:rsidR="00401E72" w:rsidRDefault="00401E72" w:rsidP="00A21BAE">
            <w:pPr>
              <w:rPr>
                <w:lang w:val="en-US"/>
              </w:rPr>
            </w:pPr>
            <w:r>
              <w:rPr>
                <w:lang w:val="en-US"/>
              </w:rPr>
              <w:t xml:space="preserve">  OR "Abstract": "patient trajectories" OR "Document Title": "patient trajectories"</w:t>
            </w:r>
          </w:p>
          <w:p w14:paraId="7809FC70" w14:textId="77777777" w:rsidR="00401E72" w:rsidRDefault="00401E72" w:rsidP="00A21BAE">
            <w:pPr>
              <w:rPr>
                <w:lang w:val="en-US"/>
              </w:rPr>
            </w:pPr>
            <w:r>
              <w:rPr>
                <w:lang w:val="en-US"/>
              </w:rPr>
              <w:t xml:space="preserve">  OR "Abstract": "patients trajectories" OR "Document Title": "patients trajectories"</w:t>
            </w:r>
          </w:p>
          <w:p w14:paraId="32264502" w14:textId="77777777" w:rsidR="00401E72" w:rsidRDefault="00401E72" w:rsidP="00A21BAE">
            <w:pPr>
              <w:rPr>
                <w:lang w:val="en-US"/>
              </w:rPr>
            </w:pPr>
            <w:r>
              <w:rPr>
                <w:lang w:val="en-US"/>
              </w:rPr>
              <w:t xml:space="preserve">  OR "Abstract": "care transfer" OR "Document Title": "care transfer"</w:t>
            </w:r>
          </w:p>
          <w:p w14:paraId="01321BFF" w14:textId="77777777" w:rsidR="00401E72" w:rsidRDefault="00401E72" w:rsidP="00A21BAE">
            <w:pPr>
              <w:rPr>
                <w:lang w:val="en-US"/>
              </w:rPr>
            </w:pPr>
            <w:r>
              <w:rPr>
                <w:lang w:val="en-US"/>
              </w:rPr>
              <w:t xml:space="preserve">  OR "Abstract": "care transfers" OR "Document Title": "care transfers"</w:t>
            </w:r>
          </w:p>
          <w:p w14:paraId="7A68B6F0" w14:textId="77777777" w:rsidR="00401E72" w:rsidRDefault="00401E72" w:rsidP="00A21BAE">
            <w:r>
              <w:rPr>
                <w:lang w:val="en-US"/>
              </w:rPr>
              <w:t xml:space="preserve">  </w:t>
            </w:r>
            <w:r>
              <w:t>OR "Abstract": "patient pathway" OR "Document Title": "patient pathway"</w:t>
            </w:r>
          </w:p>
          <w:p w14:paraId="1E3F02F6" w14:textId="77777777" w:rsidR="00401E72" w:rsidRDefault="00401E72" w:rsidP="00A21BAE">
            <w:r>
              <w:t xml:space="preserve">  OR "Abstract": "patient pathways" OR "Document Title": "patient pathways")</w:t>
            </w:r>
          </w:p>
        </w:tc>
      </w:tr>
      <w:tr w:rsidR="00401E72" w:rsidRPr="00591E52" w14:paraId="4544EFAC" w14:textId="77777777" w:rsidTr="00A21BAE">
        <w:tc>
          <w:tcPr>
            <w:tcW w:w="1980" w:type="dxa"/>
            <w:tcBorders>
              <w:top w:val="single" w:sz="4" w:space="0" w:color="auto"/>
              <w:left w:val="single" w:sz="4" w:space="0" w:color="auto"/>
              <w:bottom w:val="single" w:sz="4" w:space="0" w:color="auto"/>
              <w:right w:val="single" w:sz="4" w:space="0" w:color="auto"/>
            </w:tcBorders>
            <w:hideMark/>
          </w:tcPr>
          <w:p w14:paraId="1BD6F73E" w14:textId="77777777" w:rsidR="00401E72" w:rsidRDefault="00401E72" w:rsidP="00A21BAE">
            <w:r>
              <w:lastRenderedPageBreak/>
              <w:t>Network of healthcare facilities</w:t>
            </w:r>
          </w:p>
        </w:tc>
        <w:tc>
          <w:tcPr>
            <w:tcW w:w="7082" w:type="dxa"/>
            <w:tcBorders>
              <w:top w:val="single" w:sz="4" w:space="0" w:color="auto"/>
              <w:left w:val="single" w:sz="4" w:space="0" w:color="auto"/>
              <w:bottom w:val="single" w:sz="4" w:space="0" w:color="auto"/>
              <w:right w:val="single" w:sz="4" w:space="0" w:color="auto"/>
            </w:tcBorders>
            <w:hideMark/>
          </w:tcPr>
          <w:p w14:paraId="20D7D1E1" w14:textId="77777777" w:rsidR="00401E72" w:rsidRDefault="00401E72" w:rsidP="00A21BAE">
            <w:pPr>
              <w:rPr>
                <w:lang w:val="en-US"/>
              </w:rPr>
            </w:pPr>
            <w:r>
              <w:rPr>
                <w:lang w:val="en-US"/>
              </w:rPr>
              <w:t>AND</w:t>
            </w:r>
          </w:p>
          <w:p w14:paraId="129B5BBD" w14:textId="77777777" w:rsidR="00401E72" w:rsidRDefault="00401E72" w:rsidP="00A21BAE">
            <w:pPr>
              <w:rPr>
                <w:lang w:val="en-US"/>
              </w:rPr>
            </w:pPr>
            <w:r>
              <w:rPr>
                <w:lang w:val="en-US"/>
              </w:rPr>
              <w:t xml:space="preserve">  ("Abstract": network OR "Document Title": network</w:t>
            </w:r>
          </w:p>
          <w:p w14:paraId="6D1B2192" w14:textId="77777777" w:rsidR="00401E72" w:rsidRDefault="00401E72" w:rsidP="00A21BAE">
            <w:pPr>
              <w:rPr>
                <w:lang w:val="en-US"/>
              </w:rPr>
            </w:pPr>
            <w:r>
              <w:rPr>
                <w:lang w:val="en-US"/>
              </w:rPr>
              <w:t xml:space="preserve">  OR "Abstract": networks OR "Document Title": networks</w:t>
            </w:r>
          </w:p>
          <w:p w14:paraId="44E3DBEB" w14:textId="77777777" w:rsidR="00401E72" w:rsidRDefault="00401E72" w:rsidP="00A21BAE">
            <w:pPr>
              <w:rPr>
                <w:lang w:val="en-US"/>
              </w:rPr>
            </w:pPr>
            <w:r>
              <w:rPr>
                <w:lang w:val="en-US"/>
              </w:rPr>
              <w:t xml:space="preserve">  OR "Abstract": graph OR "Document Title": graph</w:t>
            </w:r>
          </w:p>
          <w:p w14:paraId="7478A634" w14:textId="77777777" w:rsidR="00401E72" w:rsidRDefault="00401E72" w:rsidP="00A21BAE">
            <w:pPr>
              <w:rPr>
                <w:lang w:val="en-US"/>
              </w:rPr>
            </w:pPr>
            <w:r>
              <w:rPr>
                <w:lang w:val="en-US"/>
              </w:rPr>
              <w:t xml:space="preserve">  OR "Abstract": graphs OR "Document Title": graphs</w:t>
            </w:r>
          </w:p>
          <w:p w14:paraId="538CFEF1" w14:textId="77777777" w:rsidR="00401E72" w:rsidRDefault="00401E72" w:rsidP="00A21BAE">
            <w:pPr>
              <w:rPr>
                <w:lang w:val="en-US"/>
              </w:rPr>
            </w:pPr>
            <w:r>
              <w:rPr>
                <w:lang w:val="en-US"/>
              </w:rPr>
              <w:t xml:space="preserve">  OR "Abstract": multihospital OR "Document Title": multihospital</w:t>
            </w:r>
          </w:p>
          <w:p w14:paraId="631D4CAC" w14:textId="77777777" w:rsidR="00401E72" w:rsidRDefault="00401E72" w:rsidP="00A21BAE">
            <w:pPr>
              <w:rPr>
                <w:lang w:val="en-US"/>
              </w:rPr>
            </w:pPr>
            <w:r>
              <w:rPr>
                <w:lang w:val="en-US"/>
              </w:rPr>
              <w:t xml:space="preserve">  OR "Abstract": multihospitals OR "Document Title": multihospitals</w:t>
            </w:r>
          </w:p>
          <w:p w14:paraId="76135C9D" w14:textId="77777777" w:rsidR="00401E72" w:rsidRDefault="00401E72" w:rsidP="00A21BAE">
            <w:pPr>
              <w:rPr>
                <w:lang w:val="en-US"/>
              </w:rPr>
            </w:pPr>
            <w:r>
              <w:rPr>
                <w:lang w:val="en-US"/>
              </w:rPr>
              <w:t xml:space="preserve">  OR "Abstract": "multi institution" OR "Document Title": "multi institution"</w:t>
            </w:r>
          </w:p>
          <w:p w14:paraId="5FD4F615" w14:textId="77777777" w:rsidR="00401E72" w:rsidRDefault="00401E72" w:rsidP="00A21BAE">
            <w:pPr>
              <w:rPr>
                <w:lang w:val="en-US"/>
              </w:rPr>
            </w:pPr>
            <w:r>
              <w:rPr>
                <w:lang w:val="en-US"/>
              </w:rPr>
              <w:t xml:space="preserve">  OR "Abstract": "multi institutions" OR "Document Title": "multi institutions"</w:t>
            </w:r>
          </w:p>
          <w:p w14:paraId="07F177FF" w14:textId="77777777" w:rsidR="00401E72" w:rsidRDefault="00401E72" w:rsidP="00A21BAE">
            <w:pPr>
              <w:rPr>
                <w:lang w:val="en-US"/>
              </w:rPr>
            </w:pPr>
            <w:r>
              <w:rPr>
                <w:lang w:val="en-US"/>
              </w:rPr>
              <w:t xml:space="preserve">  OR "Abstract": "inter institution" OR "Document Title": "inter institution"</w:t>
            </w:r>
          </w:p>
          <w:p w14:paraId="5595287C" w14:textId="77777777" w:rsidR="00401E72" w:rsidRDefault="00401E72" w:rsidP="00A21BAE">
            <w:pPr>
              <w:rPr>
                <w:lang w:val="en-US"/>
              </w:rPr>
            </w:pPr>
            <w:r>
              <w:rPr>
                <w:lang w:val="en-US"/>
              </w:rPr>
              <w:t xml:space="preserve">  OR "Abstract": "inter institutions" OR "Document Title": "inter institutions"</w:t>
            </w:r>
          </w:p>
          <w:p w14:paraId="563EF563" w14:textId="77777777" w:rsidR="00401E72" w:rsidRDefault="00401E72" w:rsidP="00A21BAE">
            <w:pPr>
              <w:rPr>
                <w:lang w:val="en-US"/>
              </w:rPr>
            </w:pPr>
            <w:r>
              <w:rPr>
                <w:lang w:val="en-US"/>
              </w:rPr>
              <w:t xml:space="preserve">  OR "Abstract": "inter institutional" OR "Document Title": "inter institutional"</w:t>
            </w:r>
          </w:p>
          <w:p w14:paraId="4858B6B9" w14:textId="77777777" w:rsidR="00401E72" w:rsidRDefault="00401E72" w:rsidP="00A21BAE">
            <w:pPr>
              <w:rPr>
                <w:lang w:val="en-US"/>
              </w:rPr>
            </w:pPr>
            <w:r>
              <w:rPr>
                <w:lang w:val="en-US"/>
              </w:rPr>
              <w:t xml:space="preserve">  OR "Abstract": "inter hospital" OR "Document Title": "inter hospital"</w:t>
            </w:r>
          </w:p>
          <w:p w14:paraId="0E66B64B" w14:textId="77777777" w:rsidR="00401E72" w:rsidRDefault="00401E72" w:rsidP="00A21BAE">
            <w:pPr>
              <w:rPr>
                <w:lang w:val="en-US"/>
              </w:rPr>
            </w:pPr>
            <w:r>
              <w:rPr>
                <w:lang w:val="en-US"/>
              </w:rPr>
              <w:t xml:space="preserve">  OR "Abstract": "inter hospitals" OR "Document Title": "inter hospitals"</w:t>
            </w:r>
          </w:p>
          <w:p w14:paraId="156C21FB" w14:textId="77777777" w:rsidR="00401E72" w:rsidRDefault="00401E72" w:rsidP="00A21BAE">
            <w:pPr>
              <w:rPr>
                <w:lang w:val="en-US"/>
              </w:rPr>
            </w:pPr>
            <w:r>
              <w:rPr>
                <w:lang w:val="en-US"/>
              </w:rPr>
              <w:t xml:space="preserve">  OR "Abstract": interinstitution OR "Document Title": interinstitution</w:t>
            </w:r>
          </w:p>
          <w:p w14:paraId="70605FA4" w14:textId="77777777" w:rsidR="00401E72" w:rsidRDefault="00401E72" w:rsidP="00A21BAE">
            <w:pPr>
              <w:rPr>
                <w:lang w:val="en-US"/>
              </w:rPr>
            </w:pPr>
            <w:r>
              <w:rPr>
                <w:lang w:val="en-US"/>
              </w:rPr>
              <w:t xml:space="preserve">  OR "Abstract": interinstitutions OR "Document Title": interinstitutions</w:t>
            </w:r>
          </w:p>
          <w:p w14:paraId="3C41FF07" w14:textId="77777777" w:rsidR="00401E72" w:rsidRDefault="00401E72" w:rsidP="00A21BAE">
            <w:pPr>
              <w:rPr>
                <w:lang w:val="en-US"/>
              </w:rPr>
            </w:pPr>
            <w:r>
              <w:rPr>
                <w:lang w:val="en-US"/>
              </w:rPr>
              <w:t xml:space="preserve">  OR "Abstract": interinstitutional OR "Document Title": interinstitutional</w:t>
            </w:r>
          </w:p>
          <w:p w14:paraId="4AE19179" w14:textId="77777777" w:rsidR="00401E72" w:rsidRDefault="00401E72" w:rsidP="00A21BAE">
            <w:pPr>
              <w:rPr>
                <w:lang w:val="en-US"/>
              </w:rPr>
            </w:pPr>
            <w:r>
              <w:rPr>
                <w:lang w:val="en-US"/>
              </w:rPr>
              <w:t xml:space="preserve">  OR "Abstract": interhospital OR "Document Title": interhospital</w:t>
            </w:r>
          </w:p>
          <w:p w14:paraId="4A96B84E" w14:textId="77777777" w:rsidR="00401E72" w:rsidRDefault="00401E72" w:rsidP="00A21BAE">
            <w:pPr>
              <w:rPr>
                <w:lang w:val="en-US"/>
              </w:rPr>
            </w:pPr>
            <w:r>
              <w:rPr>
                <w:lang w:val="en-US"/>
              </w:rPr>
              <w:t xml:space="preserve">  OR "Abstract": interhospitals OR "Document Title": interhospitals</w:t>
            </w:r>
          </w:p>
          <w:p w14:paraId="13297104" w14:textId="77777777" w:rsidR="00401E72" w:rsidRDefault="00401E72" w:rsidP="00A21BAE">
            <w:pPr>
              <w:rPr>
                <w:lang w:val="en-US"/>
              </w:rPr>
            </w:pPr>
            <w:r>
              <w:rPr>
                <w:lang w:val="en-US"/>
              </w:rPr>
              <w:t xml:space="preserve">  OR "Abstract": connect* OR "Document Title": connect*</w:t>
            </w:r>
          </w:p>
          <w:p w14:paraId="37E1506A" w14:textId="77777777" w:rsidR="00401E72" w:rsidRDefault="00401E72" w:rsidP="00A21BAE">
            <w:pPr>
              <w:rPr>
                <w:lang w:val="en-US"/>
              </w:rPr>
            </w:pPr>
            <w:r>
              <w:rPr>
                <w:lang w:val="en-US"/>
              </w:rPr>
              <w:t xml:space="preserve">  OR "Abstract": interconnect* OR "Document Title": interconnect*</w:t>
            </w:r>
          </w:p>
          <w:p w14:paraId="59D6C18E" w14:textId="77777777" w:rsidR="00401E72" w:rsidRDefault="00401E72" w:rsidP="00A21BAE">
            <w:pPr>
              <w:rPr>
                <w:lang w:val="en-US"/>
              </w:rPr>
            </w:pPr>
            <w:r>
              <w:rPr>
                <w:lang w:val="en-US"/>
              </w:rPr>
              <w:t xml:space="preserve">  OR "Abstract": "between hospitals" OR "Document Title": "between hospitals"</w:t>
            </w:r>
          </w:p>
          <w:p w14:paraId="1ECC56A1" w14:textId="77777777" w:rsidR="00401E72" w:rsidRDefault="00401E72" w:rsidP="00A21BAE">
            <w:pPr>
              <w:rPr>
                <w:lang w:val="en-US"/>
              </w:rPr>
            </w:pPr>
            <w:r>
              <w:rPr>
                <w:lang w:val="en-US"/>
              </w:rPr>
              <w:t xml:space="preserve">  OR "Abstract": "between-hospital" OR "Document Title": "between-hospital"</w:t>
            </w:r>
          </w:p>
          <w:p w14:paraId="20242380" w14:textId="77777777" w:rsidR="00401E72" w:rsidRDefault="00401E72" w:rsidP="00A21BAE">
            <w:pPr>
              <w:rPr>
                <w:lang w:val="en-US"/>
              </w:rPr>
            </w:pPr>
            <w:r>
              <w:rPr>
                <w:lang w:val="en-US"/>
              </w:rPr>
              <w:t xml:space="preserve">  OR "Abstract": "inter-ward" OR "Document Title": "inter-ward"</w:t>
            </w:r>
          </w:p>
          <w:p w14:paraId="2572A424" w14:textId="77777777" w:rsidR="00401E72" w:rsidRDefault="00401E72" w:rsidP="00A21BAE">
            <w:pPr>
              <w:rPr>
                <w:lang w:val="en-US"/>
              </w:rPr>
            </w:pPr>
            <w:r>
              <w:rPr>
                <w:lang w:val="en-US"/>
              </w:rPr>
              <w:t xml:space="preserve">  OR "Abstract": "between wards" OR "Document Title": "between wards"</w:t>
            </w:r>
          </w:p>
          <w:p w14:paraId="3A0FCD39" w14:textId="77777777" w:rsidR="00401E72" w:rsidRDefault="00401E72" w:rsidP="00A21BAE">
            <w:pPr>
              <w:rPr>
                <w:lang w:val="en-US"/>
              </w:rPr>
            </w:pPr>
            <w:r>
              <w:rPr>
                <w:lang w:val="en-US"/>
              </w:rPr>
              <w:t xml:space="preserve">  OR "Abstract": "between-ward" OR "Document Title": "between-ward"</w:t>
            </w:r>
          </w:p>
          <w:p w14:paraId="0B40DCE0" w14:textId="77777777" w:rsidR="00401E72" w:rsidRDefault="00401E72" w:rsidP="00A21BAE">
            <w:pPr>
              <w:rPr>
                <w:lang w:val="en-US"/>
              </w:rPr>
            </w:pPr>
            <w:r>
              <w:rPr>
                <w:lang w:val="en-US"/>
              </w:rPr>
              <w:t xml:space="preserve">  OR "Abstract": "inter-unit" OR "Document Title": "inter-unit"</w:t>
            </w:r>
          </w:p>
          <w:p w14:paraId="526636B2" w14:textId="77777777" w:rsidR="00401E72" w:rsidRDefault="00401E72" w:rsidP="00A21BAE">
            <w:pPr>
              <w:rPr>
                <w:lang w:val="en-US"/>
              </w:rPr>
            </w:pPr>
            <w:r>
              <w:rPr>
                <w:lang w:val="en-US"/>
              </w:rPr>
              <w:t xml:space="preserve">  OR "Abstract": "inter-units" OR "Document Title": "inter-units"</w:t>
            </w:r>
          </w:p>
          <w:p w14:paraId="364D22C8" w14:textId="77777777" w:rsidR="00401E72" w:rsidRDefault="00401E72" w:rsidP="00A21BAE">
            <w:pPr>
              <w:rPr>
                <w:lang w:val="en-US"/>
              </w:rPr>
            </w:pPr>
            <w:r>
              <w:rPr>
                <w:lang w:val="en-US"/>
              </w:rPr>
              <w:t xml:space="preserve">  OR "Abstract": "intra-hospital" OR "Document Title": "intra-hospital"</w:t>
            </w:r>
          </w:p>
          <w:p w14:paraId="483C1D82" w14:textId="77777777" w:rsidR="00401E72" w:rsidRDefault="00401E72" w:rsidP="00A21BAE">
            <w:pPr>
              <w:rPr>
                <w:lang w:val="en-US"/>
              </w:rPr>
            </w:pPr>
            <w:r>
              <w:rPr>
                <w:lang w:val="en-US"/>
              </w:rPr>
              <w:t xml:space="preserve">  OR "Abstract": "intra-hospitals" OR "Document Title": "intra-hospitals")</w:t>
            </w:r>
          </w:p>
        </w:tc>
      </w:tr>
      <w:tr w:rsidR="00401E72" w14:paraId="73617B78" w14:textId="77777777" w:rsidTr="00A21BAE">
        <w:tc>
          <w:tcPr>
            <w:tcW w:w="1980" w:type="dxa"/>
            <w:tcBorders>
              <w:top w:val="single" w:sz="4" w:space="0" w:color="auto"/>
              <w:left w:val="single" w:sz="4" w:space="0" w:color="auto"/>
              <w:bottom w:val="single" w:sz="4" w:space="0" w:color="auto"/>
              <w:right w:val="single" w:sz="4" w:space="0" w:color="auto"/>
            </w:tcBorders>
            <w:hideMark/>
          </w:tcPr>
          <w:p w14:paraId="00AB8576" w14:textId="77777777" w:rsidR="00401E72" w:rsidRDefault="00401E72" w:rsidP="00A21BAE">
            <w:r>
              <w:lastRenderedPageBreak/>
              <w:t>Out of scope terms</w:t>
            </w:r>
          </w:p>
        </w:tc>
        <w:tc>
          <w:tcPr>
            <w:tcW w:w="7082" w:type="dxa"/>
            <w:tcBorders>
              <w:top w:val="single" w:sz="4" w:space="0" w:color="auto"/>
              <w:left w:val="single" w:sz="4" w:space="0" w:color="auto"/>
              <w:bottom w:val="single" w:sz="4" w:space="0" w:color="auto"/>
              <w:right w:val="single" w:sz="4" w:space="0" w:color="auto"/>
            </w:tcBorders>
          </w:tcPr>
          <w:p w14:paraId="4F2BA987" w14:textId="77777777" w:rsidR="00401E72" w:rsidRDefault="00401E72" w:rsidP="00A21BAE">
            <w:pPr>
              <w:rPr>
                <w:lang w:val="en-US"/>
              </w:rPr>
            </w:pPr>
            <w:r>
              <w:rPr>
                <w:lang w:val="en-US"/>
              </w:rPr>
              <w:t>NOT</w:t>
            </w:r>
          </w:p>
          <w:p w14:paraId="59137995" w14:textId="77777777" w:rsidR="00401E72" w:rsidRDefault="00401E72" w:rsidP="00A21BAE">
            <w:pPr>
              <w:rPr>
                <w:lang w:val="en-US"/>
              </w:rPr>
            </w:pPr>
            <w:r>
              <w:rPr>
                <w:lang w:val="en-US"/>
              </w:rPr>
              <w:t xml:space="preserve">  ("Abstract": "case report" OR "Document Title": "case report"</w:t>
            </w:r>
          </w:p>
          <w:p w14:paraId="5B2C30C1" w14:textId="77777777" w:rsidR="00401E72" w:rsidRDefault="00401E72" w:rsidP="00A21BAE">
            <w:pPr>
              <w:rPr>
                <w:lang w:val="en-US"/>
              </w:rPr>
            </w:pPr>
            <w:r>
              <w:rPr>
                <w:lang w:val="en-US"/>
              </w:rPr>
              <w:t xml:space="preserve">  OR "Abstract": review OR "Document Title": review</w:t>
            </w:r>
          </w:p>
          <w:p w14:paraId="49573DF8" w14:textId="77777777" w:rsidR="00401E72" w:rsidRDefault="00401E72" w:rsidP="00A21BAE">
            <w:pPr>
              <w:rPr>
                <w:lang w:val="en-US"/>
              </w:rPr>
            </w:pPr>
            <w:r>
              <w:rPr>
                <w:lang w:val="en-US"/>
              </w:rPr>
              <w:t xml:space="preserve">  OR "Abstract": trial OR "Document Title": trial</w:t>
            </w:r>
          </w:p>
          <w:p w14:paraId="32F1357A" w14:textId="77777777" w:rsidR="00401E72" w:rsidRDefault="00401E72" w:rsidP="00A21BAE">
            <w:pPr>
              <w:rPr>
                <w:lang w:val="en-US"/>
              </w:rPr>
            </w:pPr>
            <w:r>
              <w:rPr>
                <w:lang w:val="en-US"/>
              </w:rPr>
              <w:t xml:space="preserve">  OR "Abstract": trials OR "Document Title": trials</w:t>
            </w:r>
          </w:p>
          <w:p w14:paraId="6A9D4FC0" w14:textId="77777777" w:rsidR="00401E72" w:rsidRDefault="00401E72" w:rsidP="00A21BAE">
            <w:pPr>
              <w:rPr>
                <w:lang w:val="en-US"/>
              </w:rPr>
            </w:pPr>
            <w:r>
              <w:rPr>
                <w:lang w:val="en-US"/>
              </w:rPr>
              <w:t xml:space="preserve">  OR "Abstract": interview OR "Document Title": interview</w:t>
            </w:r>
          </w:p>
          <w:p w14:paraId="30096F10" w14:textId="77777777" w:rsidR="00401E72" w:rsidRDefault="00401E72" w:rsidP="00A21BAE">
            <w:pPr>
              <w:rPr>
                <w:lang w:val="en-US"/>
              </w:rPr>
            </w:pPr>
            <w:r>
              <w:rPr>
                <w:lang w:val="en-US"/>
              </w:rPr>
              <w:t xml:space="preserve">  OR "Abstract": interviews OR "Document Title": interviews</w:t>
            </w:r>
          </w:p>
          <w:p w14:paraId="74F68B61" w14:textId="77777777" w:rsidR="00401E72" w:rsidRDefault="00401E72" w:rsidP="00A21BAE">
            <w:pPr>
              <w:rPr>
                <w:lang w:val="en-US"/>
              </w:rPr>
            </w:pPr>
            <w:r>
              <w:rPr>
                <w:lang w:val="en-US"/>
              </w:rPr>
              <w:t xml:space="preserve">  OR "Abstract": interviewing OR "Document Title": interviewing</w:t>
            </w:r>
          </w:p>
          <w:p w14:paraId="314E0EE3" w14:textId="77777777" w:rsidR="00401E72" w:rsidRDefault="00401E72" w:rsidP="00A21BAE">
            <w:pPr>
              <w:rPr>
                <w:lang w:val="en-US"/>
              </w:rPr>
            </w:pPr>
          </w:p>
          <w:p w14:paraId="1A9DDDAE" w14:textId="77777777" w:rsidR="00401E72" w:rsidRDefault="00401E72" w:rsidP="00A21BAE">
            <w:pPr>
              <w:rPr>
                <w:lang w:val="en-US"/>
              </w:rPr>
            </w:pPr>
            <w:r>
              <w:rPr>
                <w:lang w:val="en-US"/>
              </w:rPr>
              <w:t xml:space="preserve">  OR "Abstract": consultation OR "Document Title": consultation</w:t>
            </w:r>
          </w:p>
          <w:p w14:paraId="354E0D11" w14:textId="77777777" w:rsidR="00401E72" w:rsidRDefault="00401E72" w:rsidP="00A21BAE">
            <w:pPr>
              <w:rPr>
                <w:lang w:val="en-US"/>
              </w:rPr>
            </w:pPr>
            <w:r>
              <w:rPr>
                <w:lang w:val="en-US"/>
              </w:rPr>
              <w:t xml:space="preserve">  OR "Abstract": consultations OR "Document Title": consultations</w:t>
            </w:r>
          </w:p>
          <w:p w14:paraId="0E580924" w14:textId="77777777" w:rsidR="00401E72" w:rsidRDefault="00401E72" w:rsidP="00A21BAE">
            <w:pPr>
              <w:rPr>
                <w:lang w:val="en-US"/>
              </w:rPr>
            </w:pPr>
            <w:r>
              <w:rPr>
                <w:lang w:val="en-US"/>
              </w:rPr>
              <w:t xml:space="preserve">  OR "Abstract": comparative OR "Document Title": comparative</w:t>
            </w:r>
          </w:p>
          <w:p w14:paraId="626353E3" w14:textId="77777777" w:rsidR="00401E72" w:rsidRDefault="00401E72" w:rsidP="00A21BAE">
            <w:pPr>
              <w:rPr>
                <w:lang w:val="en-US"/>
              </w:rPr>
            </w:pPr>
            <w:r>
              <w:rPr>
                <w:lang w:val="en-US"/>
              </w:rPr>
              <w:t xml:space="preserve">  OR "Abstract": "causal graph" OR "Document Title": "causal graph"</w:t>
            </w:r>
          </w:p>
          <w:p w14:paraId="179612F2" w14:textId="77777777" w:rsidR="00401E72" w:rsidRDefault="00401E72" w:rsidP="00A21BAE">
            <w:r>
              <w:rPr>
                <w:lang w:val="en-US"/>
              </w:rPr>
              <w:t xml:space="preserve">  </w:t>
            </w:r>
            <w:r>
              <w:t>OR "Abstract": neural OR "Document Title": neural)</w:t>
            </w:r>
          </w:p>
        </w:tc>
      </w:tr>
    </w:tbl>
    <w:p w14:paraId="7DCA9537" w14:textId="77777777" w:rsidR="00401E72" w:rsidRDefault="00401E72" w:rsidP="00401E72"/>
    <w:p w14:paraId="5FCB4B1A" w14:textId="77777777" w:rsidR="00401E72" w:rsidRDefault="00401E72" w:rsidP="00401E72">
      <w:pPr>
        <w:jc w:val="left"/>
        <w:rPr>
          <w:rFonts w:eastAsiaTheme="majorEastAsia" w:cstheme="minorHAnsi"/>
          <w:b/>
          <w:bCs/>
          <w:sz w:val="26"/>
          <w:szCs w:val="26"/>
        </w:rPr>
      </w:pPr>
      <w:r>
        <w:br w:type="page"/>
      </w:r>
    </w:p>
    <w:p w14:paraId="150D027C" w14:textId="77777777" w:rsidR="00401E72" w:rsidRPr="00401E72" w:rsidRDefault="00401E72" w:rsidP="00401E72">
      <w:pPr>
        <w:pStyle w:val="Titre2"/>
        <w:rPr>
          <w:lang w:val="en-GB"/>
        </w:rPr>
      </w:pPr>
      <w:r w:rsidRPr="00401E72">
        <w:rPr>
          <w:lang w:val="en-GB"/>
        </w:rPr>
        <w:lastRenderedPageBreak/>
        <w:t>Table S3: QuADS criteria adapted for this review</w:t>
      </w:r>
    </w:p>
    <w:tbl>
      <w:tblPr>
        <w:tblStyle w:val="Grilledutableau"/>
        <w:tblW w:w="0" w:type="auto"/>
        <w:tblLayout w:type="fixed"/>
        <w:tblLook w:val="04A0" w:firstRow="1" w:lastRow="0" w:firstColumn="1" w:lastColumn="0" w:noHBand="0" w:noVBand="1"/>
      </w:tblPr>
      <w:tblGrid>
        <w:gridCol w:w="1446"/>
        <w:gridCol w:w="1766"/>
        <w:gridCol w:w="1823"/>
        <w:gridCol w:w="1823"/>
        <w:gridCol w:w="1642"/>
      </w:tblGrid>
      <w:tr w:rsidR="00401E72" w14:paraId="7D2A3605"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2F2500F3" w14:textId="77777777" w:rsidR="00401E72" w:rsidRDefault="00401E72" w:rsidP="00A21BAE">
            <w:pPr>
              <w:rPr>
                <w:rFonts w:cstheme="minorHAnsi"/>
              </w:rPr>
            </w:pPr>
            <w:r>
              <w:rPr>
                <w:rFonts w:cstheme="minorHAnsi"/>
              </w:rPr>
              <w:t>Criteria</w:t>
            </w:r>
          </w:p>
        </w:tc>
        <w:tc>
          <w:tcPr>
            <w:tcW w:w="1766" w:type="dxa"/>
            <w:tcBorders>
              <w:top w:val="single" w:sz="4" w:space="0" w:color="auto"/>
              <w:left w:val="single" w:sz="4" w:space="0" w:color="auto"/>
              <w:bottom w:val="single" w:sz="4" w:space="0" w:color="auto"/>
              <w:right w:val="single" w:sz="4" w:space="0" w:color="auto"/>
            </w:tcBorders>
            <w:hideMark/>
          </w:tcPr>
          <w:p w14:paraId="39A24311" w14:textId="77777777" w:rsidR="00401E72" w:rsidRDefault="00401E72" w:rsidP="00A21BAE">
            <w:pPr>
              <w:rPr>
                <w:rFonts w:cstheme="minorHAnsi"/>
                <w:b/>
                <w:bCs/>
              </w:rPr>
            </w:pPr>
            <w:r>
              <w:rPr>
                <w:rFonts w:cstheme="minorHAnsi"/>
                <w:b/>
                <w:bCs/>
              </w:rPr>
              <w:t>0</w:t>
            </w:r>
          </w:p>
        </w:tc>
        <w:tc>
          <w:tcPr>
            <w:tcW w:w="1823" w:type="dxa"/>
            <w:tcBorders>
              <w:top w:val="single" w:sz="4" w:space="0" w:color="auto"/>
              <w:left w:val="single" w:sz="4" w:space="0" w:color="auto"/>
              <w:bottom w:val="single" w:sz="4" w:space="0" w:color="auto"/>
              <w:right w:val="single" w:sz="4" w:space="0" w:color="auto"/>
            </w:tcBorders>
            <w:hideMark/>
          </w:tcPr>
          <w:p w14:paraId="20F3C662" w14:textId="77777777" w:rsidR="00401E72" w:rsidRDefault="00401E72" w:rsidP="00A21BAE">
            <w:pPr>
              <w:rPr>
                <w:rFonts w:cstheme="minorHAnsi"/>
                <w:b/>
                <w:bCs/>
              </w:rPr>
            </w:pPr>
            <w:r>
              <w:rPr>
                <w:rFonts w:cstheme="minorHAnsi"/>
                <w:b/>
                <w:bCs/>
              </w:rPr>
              <w:t>1</w:t>
            </w:r>
          </w:p>
        </w:tc>
        <w:tc>
          <w:tcPr>
            <w:tcW w:w="1823" w:type="dxa"/>
            <w:tcBorders>
              <w:top w:val="single" w:sz="4" w:space="0" w:color="auto"/>
              <w:left w:val="single" w:sz="4" w:space="0" w:color="auto"/>
              <w:bottom w:val="single" w:sz="4" w:space="0" w:color="auto"/>
              <w:right w:val="single" w:sz="4" w:space="0" w:color="auto"/>
            </w:tcBorders>
            <w:hideMark/>
          </w:tcPr>
          <w:p w14:paraId="430E63F6" w14:textId="77777777" w:rsidR="00401E72" w:rsidRDefault="00401E72" w:rsidP="00A21BAE">
            <w:pPr>
              <w:rPr>
                <w:rFonts w:cstheme="minorHAnsi"/>
                <w:b/>
                <w:bCs/>
              </w:rPr>
            </w:pPr>
            <w:r>
              <w:rPr>
                <w:rFonts w:cstheme="minorHAnsi"/>
                <w:b/>
                <w:bCs/>
              </w:rPr>
              <w:t>2</w:t>
            </w:r>
          </w:p>
        </w:tc>
        <w:tc>
          <w:tcPr>
            <w:tcW w:w="1642" w:type="dxa"/>
            <w:tcBorders>
              <w:top w:val="single" w:sz="4" w:space="0" w:color="auto"/>
              <w:left w:val="single" w:sz="4" w:space="0" w:color="auto"/>
              <w:bottom w:val="single" w:sz="4" w:space="0" w:color="auto"/>
              <w:right w:val="single" w:sz="4" w:space="0" w:color="auto"/>
            </w:tcBorders>
            <w:hideMark/>
          </w:tcPr>
          <w:p w14:paraId="1A1D9D5A" w14:textId="77777777" w:rsidR="00401E72" w:rsidRDefault="00401E72" w:rsidP="00A21BAE">
            <w:pPr>
              <w:rPr>
                <w:rFonts w:cstheme="minorHAnsi"/>
                <w:b/>
                <w:bCs/>
              </w:rPr>
            </w:pPr>
            <w:r>
              <w:rPr>
                <w:rFonts w:cstheme="minorHAnsi"/>
                <w:b/>
                <w:bCs/>
              </w:rPr>
              <w:t>3</w:t>
            </w:r>
          </w:p>
        </w:tc>
      </w:tr>
      <w:tr w:rsidR="00401E72" w:rsidRPr="00591E52" w14:paraId="7AE42596"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57676416" w14:textId="77777777" w:rsidR="00401E72" w:rsidRDefault="00401E72" w:rsidP="00401E72">
            <w:pPr>
              <w:pStyle w:val="Paragraphedeliste"/>
              <w:numPr>
                <w:ilvl w:val="0"/>
                <w:numId w:val="32"/>
              </w:numPr>
              <w:spacing w:line="240" w:lineRule="auto"/>
              <w:rPr>
                <w:rFonts w:cstheme="minorHAnsi"/>
                <w:b/>
                <w:bCs/>
                <w:lang w:val="en-US"/>
              </w:rPr>
            </w:pPr>
            <w:r>
              <w:rPr>
                <w:rFonts w:cstheme="minorHAnsi"/>
                <w:b/>
                <w:bCs/>
                <w:lang w:val="en-US"/>
              </w:rPr>
              <w:t>Theoretical or conceptual underpinning to the research</w:t>
            </w:r>
          </w:p>
        </w:tc>
        <w:tc>
          <w:tcPr>
            <w:tcW w:w="1766" w:type="dxa"/>
            <w:tcBorders>
              <w:top w:val="single" w:sz="4" w:space="0" w:color="auto"/>
              <w:left w:val="single" w:sz="4" w:space="0" w:color="auto"/>
              <w:bottom w:val="single" w:sz="4" w:space="0" w:color="auto"/>
              <w:right w:val="single" w:sz="4" w:space="0" w:color="auto"/>
            </w:tcBorders>
            <w:hideMark/>
          </w:tcPr>
          <w:p w14:paraId="34778D04" w14:textId="77777777" w:rsidR="00401E72" w:rsidRPr="00E11CE0" w:rsidRDefault="00401E72" w:rsidP="00A21BAE">
            <w:pPr>
              <w:rPr>
                <w:rFonts w:cstheme="minorHAnsi"/>
                <w:lang w:val="en-US"/>
              </w:rPr>
            </w:pPr>
            <w:r w:rsidRPr="00E11CE0">
              <w:rPr>
                <w:rFonts w:cstheme="minorHAnsi"/>
                <w:lang w:val="en-US"/>
              </w:rPr>
              <w:t>No mention of theoretical concepts.</w:t>
            </w:r>
          </w:p>
        </w:tc>
        <w:tc>
          <w:tcPr>
            <w:tcW w:w="1823" w:type="dxa"/>
            <w:tcBorders>
              <w:top w:val="single" w:sz="4" w:space="0" w:color="auto"/>
              <w:left w:val="single" w:sz="4" w:space="0" w:color="auto"/>
              <w:bottom w:val="single" w:sz="4" w:space="0" w:color="auto"/>
              <w:right w:val="single" w:sz="4" w:space="0" w:color="auto"/>
            </w:tcBorders>
            <w:hideMark/>
          </w:tcPr>
          <w:p w14:paraId="696990F1" w14:textId="77777777" w:rsidR="00401E72" w:rsidRPr="00E11CE0" w:rsidRDefault="00401E72" w:rsidP="00A21BAE">
            <w:pPr>
              <w:rPr>
                <w:rFonts w:cstheme="minorHAnsi"/>
                <w:lang w:val="en-US"/>
              </w:rPr>
            </w:pPr>
            <w:r w:rsidRPr="00E11CE0">
              <w:rPr>
                <w:rFonts w:cstheme="minorHAnsi"/>
                <w:lang w:val="en-US"/>
              </w:rPr>
              <w:t>General reference to broad theories or concepts that frame the study</w:t>
            </w:r>
          </w:p>
          <w:p w14:paraId="11EA5A20" w14:textId="77777777" w:rsidR="00401E72" w:rsidRPr="00E11CE0" w:rsidRDefault="00401E72" w:rsidP="00A21BAE">
            <w:pPr>
              <w:rPr>
                <w:rFonts w:cstheme="minorHAnsi"/>
                <w:lang w:val="en-US"/>
              </w:rPr>
            </w:pPr>
            <w:r w:rsidRPr="00E11CE0">
              <w:rPr>
                <w:rFonts w:cstheme="minorHAnsi"/>
                <w:lang w:val="en-US"/>
              </w:rPr>
              <w:t>(e.g. key concepts were identified in the introduction section).</w:t>
            </w:r>
          </w:p>
        </w:tc>
        <w:tc>
          <w:tcPr>
            <w:tcW w:w="1823" w:type="dxa"/>
            <w:tcBorders>
              <w:top w:val="single" w:sz="4" w:space="0" w:color="auto"/>
              <w:left w:val="single" w:sz="4" w:space="0" w:color="auto"/>
              <w:bottom w:val="single" w:sz="4" w:space="0" w:color="auto"/>
              <w:right w:val="single" w:sz="4" w:space="0" w:color="auto"/>
            </w:tcBorders>
            <w:hideMark/>
          </w:tcPr>
          <w:p w14:paraId="669038AB" w14:textId="77777777" w:rsidR="00401E72" w:rsidRPr="00E11CE0" w:rsidRDefault="00401E72" w:rsidP="00A21BAE">
            <w:pPr>
              <w:rPr>
                <w:rFonts w:cstheme="minorHAnsi"/>
                <w:lang w:val="en-US"/>
              </w:rPr>
            </w:pPr>
            <w:r w:rsidRPr="00E11CE0">
              <w:rPr>
                <w:rFonts w:cstheme="minorHAnsi"/>
                <w:lang w:val="en-US"/>
              </w:rPr>
              <w:t>Identification of specific theories or concepts, with some indication of how they informed the work (e.g. key concepts were identified in the introduction section and applied to the study).</w:t>
            </w:r>
          </w:p>
        </w:tc>
        <w:tc>
          <w:tcPr>
            <w:tcW w:w="1642" w:type="dxa"/>
            <w:tcBorders>
              <w:top w:val="single" w:sz="4" w:space="0" w:color="auto"/>
              <w:left w:val="single" w:sz="4" w:space="0" w:color="auto"/>
              <w:bottom w:val="single" w:sz="4" w:space="0" w:color="auto"/>
              <w:right w:val="single" w:sz="4" w:space="0" w:color="auto"/>
            </w:tcBorders>
            <w:hideMark/>
          </w:tcPr>
          <w:p w14:paraId="45DAD70E" w14:textId="77777777" w:rsidR="00401E72" w:rsidRPr="00E11CE0" w:rsidRDefault="00401E72" w:rsidP="00A21BAE">
            <w:pPr>
              <w:rPr>
                <w:rFonts w:cstheme="minorHAnsi"/>
                <w:lang w:val="en-US"/>
              </w:rPr>
            </w:pPr>
            <w:r w:rsidRPr="00E11CE0">
              <w:rPr>
                <w:rFonts w:cstheme="minorHAnsi"/>
                <w:lang w:val="en-US"/>
              </w:rPr>
              <w:t>Explicit discussion of the theoretical or conceptual framework of the study, with clear evidence of its application in the design and outcomes explored (e.g. key concepts were identified in the introduction section and their application is apparent in each</w:t>
            </w:r>
          </w:p>
          <w:p w14:paraId="7779133E" w14:textId="77777777" w:rsidR="00401E72" w:rsidRPr="00E11CE0" w:rsidRDefault="00401E72" w:rsidP="00A21BAE">
            <w:pPr>
              <w:rPr>
                <w:rFonts w:cstheme="minorHAnsi"/>
                <w:lang w:val="en-US"/>
              </w:rPr>
            </w:pPr>
            <w:r w:rsidRPr="00E11CE0">
              <w:rPr>
                <w:rFonts w:cstheme="minorHAnsi"/>
                <w:lang w:val="en-US"/>
              </w:rPr>
              <w:t>element of the study design).</w:t>
            </w:r>
          </w:p>
        </w:tc>
      </w:tr>
      <w:tr w:rsidR="00401E72" w:rsidRPr="00591E52" w14:paraId="0E0A84AB"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1D82D345" w14:textId="77777777" w:rsidR="00401E72" w:rsidRDefault="00401E72" w:rsidP="00401E72">
            <w:pPr>
              <w:pStyle w:val="Paragraphedeliste"/>
              <w:numPr>
                <w:ilvl w:val="0"/>
                <w:numId w:val="32"/>
              </w:numPr>
              <w:spacing w:line="240" w:lineRule="auto"/>
              <w:rPr>
                <w:rFonts w:cstheme="minorHAnsi"/>
                <w:b/>
                <w:bCs/>
                <w:lang w:val="en-US"/>
              </w:rPr>
            </w:pPr>
            <w:r>
              <w:rPr>
                <w:rFonts w:cstheme="minorHAnsi"/>
                <w:b/>
                <w:bCs/>
                <w:lang w:val="en-US"/>
              </w:rPr>
              <w:t>Statement of research aim/s</w:t>
            </w:r>
          </w:p>
        </w:tc>
        <w:tc>
          <w:tcPr>
            <w:tcW w:w="1766" w:type="dxa"/>
            <w:tcBorders>
              <w:top w:val="single" w:sz="4" w:space="0" w:color="auto"/>
              <w:left w:val="single" w:sz="4" w:space="0" w:color="auto"/>
              <w:bottom w:val="single" w:sz="4" w:space="0" w:color="auto"/>
              <w:right w:val="single" w:sz="4" w:space="0" w:color="auto"/>
            </w:tcBorders>
            <w:hideMark/>
          </w:tcPr>
          <w:p w14:paraId="3EEFC792" w14:textId="77777777" w:rsidR="00401E72" w:rsidRPr="00E11CE0" w:rsidRDefault="00401E72" w:rsidP="00A21BAE">
            <w:pPr>
              <w:rPr>
                <w:rFonts w:cstheme="minorHAnsi"/>
                <w:lang w:val="en-US"/>
              </w:rPr>
            </w:pPr>
            <w:r w:rsidRPr="00E11CE0">
              <w:rPr>
                <w:rFonts w:cstheme="minorHAnsi"/>
                <w:lang w:val="en-US"/>
              </w:rPr>
              <w:t>No mention of aims or hypotheses.</w:t>
            </w:r>
          </w:p>
        </w:tc>
        <w:tc>
          <w:tcPr>
            <w:tcW w:w="1823" w:type="dxa"/>
            <w:tcBorders>
              <w:top w:val="single" w:sz="4" w:space="0" w:color="auto"/>
              <w:left w:val="single" w:sz="4" w:space="0" w:color="auto"/>
              <w:bottom w:val="single" w:sz="4" w:space="0" w:color="auto"/>
              <w:right w:val="single" w:sz="4" w:space="0" w:color="auto"/>
            </w:tcBorders>
            <w:hideMark/>
          </w:tcPr>
          <w:p w14:paraId="0FC80D26" w14:textId="77777777" w:rsidR="00401E72" w:rsidRPr="00E11CE0" w:rsidRDefault="00401E72" w:rsidP="00A21BAE">
            <w:pPr>
              <w:rPr>
                <w:rFonts w:cstheme="minorHAnsi"/>
                <w:lang w:val="en-US"/>
              </w:rPr>
            </w:pPr>
            <w:r w:rsidRPr="00E11CE0">
              <w:rPr>
                <w:rFonts w:cstheme="minorHAnsi"/>
                <w:lang w:val="en-US"/>
              </w:rPr>
              <w:t>Reference to what the study sought to achieve, without an explicit aim statement.</w:t>
            </w:r>
          </w:p>
        </w:tc>
        <w:tc>
          <w:tcPr>
            <w:tcW w:w="1823" w:type="dxa"/>
            <w:tcBorders>
              <w:top w:val="single" w:sz="4" w:space="0" w:color="auto"/>
              <w:left w:val="single" w:sz="4" w:space="0" w:color="auto"/>
              <w:bottom w:val="single" w:sz="4" w:space="0" w:color="auto"/>
              <w:right w:val="single" w:sz="4" w:space="0" w:color="auto"/>
            </w:tcBorders>
            <w:hideMark/>
          </w:tcPr>
          <w:p w14:paraId="08AD2DDF" w14:textId="77777777" w:rsidR="00401E72" w:rsidRPr="00E11CE0" w:rsidRDefault="00401E72" w:rsidP="00A21BAE">
            <w:pPr>
              <w:rPr>
                <w:rFonts w:cstheme="minorHAnsi"/>
                <w:lang w:val="en-US"/>
              </w:rPr>
            </w:pPr>
            <w:r w:rsidRPr="00E11CE0">
              <w:rPr>
                <w:rFonts w:cstheme="minorHAnsi"/>
                <w:lang w:val="en-US"/>
              </w:rPr>
              <w:t>Aim(s) stated but only briefly (e.g. in the abstract) or lacking detail.</w:t>
            </w:r>
          </w:p>
        </w:tc>
        <w:tc>
          <w:tcPr>
            <w:tcW w:w="1642" w:type="dxa"/>
            <w:tcBorders>
              <w:top w:val="single" w:sz="4" w:space="0" w:color="auto"/>
              <w:left w:val="single" w:sz="4" w:space="0" w:color="auto"/>
              <w:bottom w:val="single" w:sz="4" w:space="0" w:color="auto"/>
              <w:right w:val="single" w:sz="4" w:space="0" w:color="auto"/>
            </w:tcBorders>
            <w:hideMark/>
          </w:tcPr>
          <w:p w14:paraId="76C566ED" w14:textId="77777777" w:rsidR="00401E72" w:rsidRPr="00E11CE0" w:rsidRDefault="00401E72" w:rsidP="00A21BAE">
            <w:pPr>
              <w:rPr>
                <w:rFonts w:cstheme="minorHAnsi"/>
                <w:lang w:val="en-US"/>
              </w:rPr>
            </w:pPr>
            <w:r w:rsidRPr="00E11CE0">
              <w:rPr>
                <w:rFonts w:cstheme="minorHAnsi"/>
                <w:lang w:val="en-US"/>
              </w:rPr>
              <w:t>Explicit and detailed statement of aim(s) in the main body of the article.</w:t>
            </w:r>
          </w:p>
        </w:tc>
      </w:tr>
      <w:tr w:rsidR="00401E72" w:rsidRPr="00591E52" w14:paraId="35A6F274"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44903D42" w14:textId="77777777" w:rsidR="00401E72" w:rsidRDefault="00401E72" w:rsidP="00401E72">
            <w:pPr>
              <w:pStyle w:val="Paragraphedeliste"/>
              <w:numPr>
                <w:ilvl w:val="0"/>
                <w:numId w:val="32"/>
              </w:numPr>
              <w:spacing w:line="240" w:lineRule="auto"/>
              <w:rPr>
                <w:rFonts w:cstheme="minorHAnsi"/>
                <w:b/>
                <w:bCs/>
                <w:lang w:val="en-US"/>
              </w:rPr>
            </w:pPr>
            <w:r>
              <w:rPr>
                <w:rFonts w:cstheme="minorHAnsi"/>
                <w:b/>
                <w:bCs/>
                <w:lang w:val="en-US"/>
              </w:rPr>
              <w:t>Description of research setting and target population</w:t>
            </w:r>
          </w:p>
        </w:tc>
        <w:tc>
          <w:tcPr>
            <w:tcW w:w="1766" w:type="dxa"/>
            <w:tcBorders>
              <w:top w:val="single" w:sz="4" w:space="0" w:color="auto"/>
              <w:left w:val="single" w:sz="4" w:space="0" w:color="auto"/>
              <w:bottom w:val="single" w:sz="4" w:space="0" w:color="auto"/>
              <w:right w:val="single" w:sz="4" w:space="0" w:color="auto"/>
            </w:tcBorders>
            <w:hideMark/>
          </w:tcPr>
          <w:p w14:paraId="6C8ADC19" w14:textId="77777777" w:rsidR="00401E72" w:rsidRPr="00E11CE0" w:rsidRDefault="00401E72" w:rsidP="00A21BAE">
            <w:pPr>
              <w:rPr>
                <w:rFonts w:cstheme="minorHAnsi"/>
                <w:lang w:val="en-US"/>
              </w:rPr>
            </w:pPr>
            <w:r w:rsidRPr="00E11CE0">
              <w:rPr>
                <w:rFonts w:cstheme="minorHAnsi"/>
                <w:lang w:val="en-US"/>
              </w:rPr>
              <w:t>No description of research setting and target population.</w:t>
            </w:r>
          </w:p>
        </w:tc>
        <w:tc>
          <w:tcPr>
            <w:tcW w:w="1823" w:type="dxa"/>
            <w:tcBorders>
              <w:top w:val="single" w:sz="4" w:space="0" w:color="auto"/>
              <w:left w:val="single" w:sz="4" w:space="0" w:color="auto"/>
              <w:bottom w:val="single" w:sz="4" w:space="0" w:color="auto"/>
              <w:right w:val="single" w:sz="4" w:space="0" w:color="auto"/>
            </w:tcBorders>
            <w:hideMark/>
          </w:tcPr>
          <w:p w14:paraId="262AA418" w14:textId="77777777" w:rsidR="00401E72" w:rsidRPr="00E11CE0" w:rsidRDefault="00401E72" w:rsidP="00A21BAE">
            <w:pPr>
              <w:rPr>
                <w:rFonts w:cstheme="minorHAnsi"/>
                <w:lang w:val="en-US"/>
              </w:rPr>
            </w:pPr>
            <w:r w:rsidRPr="00E11CE0">
              <w:rPr>
                <w:rFonts w:cstheme="minorHAnsi"/>
                <w:lang w:val="en-US"/>
              </w:rPr>
              <w:t>General description of the research area, but no specific information on the research environment (e.g. region studied) or target population</w:t>
            </w:r>
          </w:p>
        </w:tc>
        <w:tc>
          <w:tcPr>
            <w:tcW w:w="1823" w:type="dxa"/>
            <w:tcBorders>
              <w:top w:val="single" w:sz="4" w:space="0" w:color="auto"/>
              <w:left w:val="single" w:sz="4" w:space="0" w:color="auto"/>
              <w:bottom w:val="single" w:sz="4" w:space="0" w:color="auto"/>
              <w:right w:val="single" w:sz="4" w:space="0" w:color="auto"/>
            </w:tcBorders>
            <w:hideMark/>
          </w:tcPr>
          <w:p w14:paraId="4CE5EDAE" w14:textId="77777777" w:rsidR="00401E72" w:rsidRPr="00E11CE0" w:rsidRDefault="00401E72" w:rsidP="00A21BAE">
            <w:pPr>
              <w:rPr>
                <w:rFonts w:cstheme="minorHAnsi"/>
                <w:lang w:val="en-US"/>
              </w:rPr>
            </w:pPr>
            <w:r w:rsidRPr="00E11CE0">
              <w:rPr>
                <w:rFonts w:cstheme="minorHAnsi"/>
                <w:lang w:val="en-US"/>
              </w:rPr>
              <w:t xml:space="preserve">Some description of the research setting, but lacking detail. </w:t>
            </w:r>
          </w:p>
        </w:tc>
        <w:tc>
          <w:tcPr>
            <w:tcW w:w="1642" w:type="dxa"/>
            <w:tcBorders>
              <w:top w:val="single" w:sz="4" w:space="0" w:color="auto"/>
              <w:left w:val="single" w:sz="4" w:space="0" w:color="auto"/>
              <w:bottom w:val="single" w:sz="4" w:space="0" w:color="auto"/>
              <w:right w:val="single" w:sz="4" w:space="0" w:color="auto"/>
            </w:tcBorders>
            <w:hideMark/>
          </w:tcPr>
          <w:p w14:paraId="2BDC188F" w14:textId="77777777" w:rsidR="00401E72" w:rsidRDefault="00401E72" w:rsidP="00A21BAE">
            <w:pPr>
              <w:pStyle w:val="TableParagraph"/>
              <w:ind w:left="0" w:right="132"/>
              <w:rPr>
                <w:rFonts w:asciiTheme="minorHAnsi" w:hAnsiTheme="minorHAnsi" w:cstheme="minorHAnsi"/>
              </w:rPr>
            </w:pPr>
            <w:r>
              <w:rPr>
                <w:rFonts w:asciiTheme="minorHAnsi" w:hAnsiTheme="minorHAnsi" w:cstheme="minorHAnsi"/>
              </w:rPr>
              <w:t>Clear description of the research setting (e.g. region, types of healthcare facilities included) and of the target population.</w:t>
            </w:r>
          </w:p>
        </w:tc>
      </w:tr>
      <w:tr w:rsidR="00401E72" w:rsidRPr="00591E52" w14:paraId="06892A53"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60B01113" w14:textId="77777777" w:rsidR="00401E72" w:rsidRDefault="00401E72" w:rsidP="00401E72">
            <w:pPr>
              <w:pStyle w:val="Paragraphedeliste"/>
              <w:numPr>
                <w:ilvl w:val="0"/>
                <w:numId w:val="32"/>
              </w:numPr>
              <w:spacing w:line="240" w:lineRule="auto"/>
              <w:rPr>
                <w:rFonts w:cstheme="minorHAnsi"/>
                <w:b/>
                <w:bCs/>
                <w:lang w:val="en-US"/>
              </w:rPr>
            </w:pPr>
            <w:r>
              <w:rPr>
                <w:rFonts w:cstheme="minorHAnsi"/>
                <w:b/>
                <w:bCs/>
                <w:lang w:val="en-US"/>
              </w:rPr>
              <w:t xml:space="preserve">Appropriateness of study design in relation to </w:t>
            </w:r>
            <w:r>
              <w:rPr>
                <w:rFonts w:cstheme="minorHAnsi"/>
                <w:b/>
                <w:bCs/>
                <w:lang w:val="en-US"/>
              </w:rPr>
              <w:lastRenderedPageBreak/>
              <w:t>the research aim(s)</w:t>
            </w:r>
          </w:p>
        </w:tc>
        <w:tc>
          <w:tcPr>
            <w:tcW w:w="1766" w:type="dxa"/>
            <w:tcBorders>
              <w:top w:val="single" w:sz="4" w:space="0" w:color="auto"/>
              <w:left w:val="single" w:sz="4" w:space="0" w:color="auto"/>
              <w:bottom w:val="single" w:sz="4" w:space="0" w:color="auto"/>
              <w:right w:val="single" w:sz="4" w:space="0" w:color="auto"/>
            </w:tcBorders>
          </w:tcPr>
          <w:p w14:paraId="5D8BE3F0" w14:textId="77777777" w:rsidR="00401E72" w:rsidRPr="00E11CE0" w:rsidRDefault="00401E72" w:rsidP="00A21BAE">
            <w:pPr>
              <w:rPr>
                <w:rFonts w:cstheme="minorHAnsi"/>
                <w:lang w:val="en-US"/>
              </w:rPr>
            </w:pPr>
            <w:r w:rsidRPr="00E11CE0">
              <w:rPr>
                <w:rFonts w:cstheme="minorHAnsi"/>
                <w:lang w:val="en-US"/>
              </w:rPr>
              <w:lastRenderedPageBreak/>
              <w:t xml:space="preserve">No research aim(s) stated, or </w:t>
            </w:r>
            <w:r w:rsidRPr="00E11CE0">
              <w:rPr>
                <w:rFonts w:cstheme="minorHAnsi"/>
                <w:lang w:val="en-US"/>
              </w:rPr>
              <w:lastRenderedPageBreak/>
              <w:t xml:space="preserve">design entirely unsuitable </w:t>
            </w:r>
          </w:p>
          <w:p w14:paraId="5AB44674" w14:textId="77777777" w:rsidR="00401E72" w:rsidRPr="00E11CE0" w:rsidRDefault="00401E72" w:rsidP="00A21BAE">
            <w:pPr>
              <w:rPr>
                <w:rFonts w:cstheme="minorHAnsi"/>
                <w:lang w:val="en-US"/>
              </w:rPr>
            </w:pPr>
          </w:p>
        </w:tc>
        <w:tc>
          <w:tcPr>
            <w:tcW w:w="1823" w:type="dxa"/>
            <w:tcBorders>
              <w:top w:val="single" w:sz="4" w:space="0" w:color="auto"/>
              <w:left w:val="single" w:sz="4" w:space="0" w:color="auto"/>
              <w:bottom w:val="single" w:sz="4" w:space="0" w:color="auto"/>
              <w:right w:val="single" w:sz="4" w:space="0" w:color="auto"/>
            </w:tcBorders>
            <w:hideMark/>
          </w:tcPr>
          <w:p w14:paraId="50FFA8EE" w14:textId="77777777" w:rsidR="00401E72" w:rsidRDefault="00401E72" w:rsidP="00A21BAE">
            <w:pPr>
              <w:pStyle w:val="TableParagraph"/>
              <w:ind w:left="0" w:right="157"/>
              <w:rPr>
                <w:rFonts w:asciiTheme="minorHAnsi" w:hAnsiTheme="minorHAnsi" w:cstheme="minorHAnsi"/>
                <w:lang w:val="en-GB"/>
              </w:rPr>
            </w:pPr>
            <w:r>
              <w:rPr>
                <w:rFonts w:asciiTheme="minorHAnsi" w:hAnsiTheme="minorHAnsi" w:cstheme="minorHAnsi"/>
                <w:lang w:val="en-GB"/>
              </w:rPr>
              <w:lastRenderedPageBreak/>
              <w:t xml:space="preserve">Study design partially addresses the research </w:t>
            </w:r>
            <w:r>
              <w:rPr>
                <w:rFonts w:asciiTheme="minorHAnsi" w:hAnsiTheme="minorHAnsi" w:cstheme="minorHAnsi"/>
                <w:lang w:val="en-GB"/>
              </w:rPr>
              <w:lastRenderedPageBreak/>
              <w:t>aim(s) (e.g. data on a small number of hospitals to investigate a national issue, …)</w:t>
            </w:r>
          </w:p>
        </w:tc>
        <w:tc>
          <w:tcPr>
            <w:tcW w:w="1823" w:type="dxa"/>
            <w:tcBorders>
              <w:top w:val="single" w:sz="4" w:space="0" w:color="auto"/>
              <w:left w:val="single" w:sz="4" w:space="0" w:color="auto"/>
              <w:bottom w:val="single" w:sz="4" w:space="0" w:color="auto"/>
              <w:right w:val="single" w:sz="4" w:space="0" w:color="auto"/>
            </w:tcBorders>
          </w:tcPr>
          <w:p w14:paraId="7B0095AA" w14:textId="77777777" w:rsidR="00401E72" w:rsidRDefault="00401E72" w:rsidP="00A21BAE">
            <w:pPr>
              <w:pStyle w:val="TableParagraph"/>
              <w:ind w:left="0" w:right="129"/>
              <w:rPr>
                <w:rFonts w:asciiTheme="minorHAnsi" w:hAnsiTheme="minorHAnsi" w:cstheme="minorHAnsi"/>
              </w:rPr>
            </w:pPr>
            <w:r>
              <w:rPr>
                <w:rFonts w:asciiTheme="minorHAnsi" w:hAnsiTheme="minorHAnsi" w:cstheme="minorHAnsi"/>
              </w:rPr>
              <w:lastRenderedPageBreak/>
              <w:t xml:space="preserve">Study design can address the stated research aim/s </w:t>
            </w:r>
            <w:r>
              <w:rPr>
                <w:rFonts w:asciiTheme="minorHAnsi" w:hAnsiTheme="minorHAnsi" w:cstheme="minorHAnsi"/>
              </w:rPr>
              <w:lastRenderedPageBreak/>
              <w:t>but there is a more suitable alternative that could have been used or used in addition</w:t>
            </w:r>
          </w:p>
          <w:p w14:paraId="607A877A" w14:textId="77777777" w:rsidR="00401E72" w:rsidRPr="00AF7115" w:rsidRDefault="00401E72" w:rsidP="00A21BAE">
            <w:pPr>
              <w:rPr>
                <w:rFonts w:cstheme="minorHAnsi"/>
                <w:lang w:val="en-US"/>
              </w:rPr>
            </w:pPr>
            <w:r w:rsidRPr="00AF7115">
              <w:rPr>
                <w:lang w:val="en-US"/>
              </w:rPr>
              <w:t>(e.g., a single-region study for a national question, or a temporal aim assessed with static data)</w:t>
            </w:r>
          </w:p>
        </w:tc>
        <w:tc>
          <w:tcPr>
            <w:tcW w:w="1642" w:type="dxa"/>
            <w:tcBorders>
              <w:top w:val="single" w:sz="4" w:space="0" w:color="auto"/>
              <w:left w:val="single" w:sz="4" w:space="0" w:color="auto"/>
              <w:bottom w:val="single" w:sz="4" w:space="0" w:color="auto"/>
              <w:right w:val="single" w:sz="4" w:space="0" w:color="auto"/>
            </w:tcBorders>
            <w:hideMark/>
          </w:tcPr>
          <w:p w14:paraId="57AC42BD" w14:textId="77777777" w:rsidR="00401E72" w:rsidRDefault="00401E72" w:rsidP="00A21BAE">
            <w:pPr>
              <w:pStyle w:val="TableParagraph"/>
              <w:ind w:left="0" w:right="132"/>
              <w:rPr>
                <w:rFonts w:asciiTheme="minorHAnsi" w:hAnsiTheme="minorHAnsi" w:cstheme="minorHAnsi"/>
              </w:rPr>
            </w:pPr>
            <w:r>
              <w:rPr>
                <w:rFonts w:asciiTheme="minorHAnsi" w:hAnsiTheme="minorHAnsi" w:cstheme="minorHAnsi"/>
              </w:rPr>
              <w:lastRenderedPageBreak/>
              <w:t xml:space="preserve">The study design appears to be the most </w:t>
            </w:r>
            <w:r>
              <w:rPr>
                <w:rFonts w:asciiTheme="minorHAnsi" w:hAnsiTheme="minorHAnsi" w:cstheme="minorHAnsi"/>
              </w:rPr>
              <w:lastRenderedPageBreak/>
              <w:t>suitable approach to answer the stated research aim/s (e.g. exhaustive data on target population; facilities types directly aligned with the research aims such as inclusion of long-term care facilities for studying pathogen transmission in a region).</w:t>
            </w:r>
          </w:p>
        </w:tc>
      </w:tr>
      <w:tr w:rsidR="00401E72" w:rsidRPr="00591E52" w14:paraId="44221E20"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57296793" w14:textId="77777777" w:rsidR="00401E72" w:rsidRDefault="00401E72" w:rsidP="00401E72">
            <w:pPr>
              <w:pStyle w:val="Paragraphedeliste"/>
              <w:numPr>
                <w:ilvl w:val="0"/>
                <w:numId w:val="32"/>
              </w:numPr>
              <w:spacing w:line="240" w:lineRule="auto"/>
              <w:rPr>
                <w:rFonts w:cstheme="minorHAnsi"/>
                <w:b/>
                <w:lang w:val="en-US"/>
              </w:rPr>
            </w:pPr>
            <w:r>
              <w:rPr>
                <w:rFonts w:cstheme="minorHAnsi"/>
                <w:b/>
                <w:lang w:val="en-US"/>
              </w:rPr>
              <w:lastRenderedPageBreak/>
              <w:t xml:space="preserve">Rationale for choice of data collection tool/s. </w:t>
            </w:r>
          </w:p>
        </w:tc>
        <w:tc>
          <w:tcPr>
            <w:tcW w:w="1766" w:type="dxa"/>
            <w:tcBorders>
              <w:top w:val="single" w:sz="4" w:space="0" w:color="auto"/>
              <w:left w:val="single" w:sz="4" w:space="0" w:color="auto"/>
              <w:bottom w:val="single" w:sz="4" w:space="0" w:color="auto"/>
              <w:right w:val="single" w:sz="4" w:space="0" w:color="auto"/>
            </w:tcBorders>
            <w:hideMark/>
          </w:tcPr>
          <w:p w14:paraId="6A775FCC" w14:textId="77777777" w:rsidR="00401E72" w:rsidRPr="00E11CE0" w:rsidRDefault="00401E72" w:rsidP="00A21BAE">
            <w:pPr>
              <w:rPr>
                <w:rFonts w:cstheme="minorHAnsi"/>
                <w:lang w:val="en-US"/>
              </w:rPr>
            </w:pPr>
            <w:r w:rsidRPr="00E11CE0">
              <w:rPr>
                <w:rFonts w:cstheme="minorHAnsi"/>
                <w:lang w:val="en-US"/>
              </w:rPr>
              <w:t>No rationale provided for the choice of data collection tool.</w:t>
            </w:r>
          </w:p>
        </w:tc>
        <w:tc>
          <w:tcPr>
            <w:tcW w:w="1823" w:type="dxa"/>
            <w:tcBorders>
              <w:top w:val="single" w:sz="4" w:space="0" w:color="auto"/>
              <w:left w:val="single" w:sz="4" w:space="0" w:color="auto"/>
              <w:bottom w:val="single" w:sz="4" w:space="0" w:color="auto"/>
              <w:right w:val="single" w:sz="4" w:space="0" w:color="auto"/>
            </w:tcBorders>
            <w:hideMark/>
          </w:tcPr>
          <w:p w14:paraId="00A2F672" w14:textId="77777777" w:rsidR="00401E72" w:rsidRPr="00E11CE0" w:rsidRDefault="00401E72" w:rsidP="00A21BAE">
            <w:pPr>
              <w:rPr>
                <w:rFonts w:cstheme="minorHAnsi"/>
                <w:lang w:val="en-US"/>
              </w:rPr>
            </w:pPr>
            <w:r w:rsidRPr="00E11CE0">
              <w:rPr>
                <w:rFonts w:cstheme="minorHAnsi"/>
                <w:lang w:val="en-US"/>
              </w:rPr>
              <w:t>Very limited explanation for choice of data collection tool/s. (e.g. mentioning that the chosen patient transfer database was the only one available)</w:t>
            </w:r>
          </w:p>
        </w:tc>
        <w:tc>
          <w:tcPr>
            <w:tcW w:w="1823" w:type="dxa"/>
            <w:tcBorders>
              <w:top w:val="single" w:sz="4" w:space="0" w:color="auto"/>
              <w:left w:val="single" w:sz="4" w:space="0" w:color="auto"/>
              <w:bottom w:val="single" w:sz="4" w:space="0" w:color="auto"/>
              <w:right w:val="single" w:sz="4" w:space="0" w:color="auto"/>
            </w:tcBorders>
            <w:hideMark/>
          </w:tcPr>
          <w:p w14:paraId="06D52505" w14:textId="77777777" w:rsidR="00401E72" w:rsidRPr="00E11CE0" w:rsidRDefault="00401E72" w:rsidP="00A21BAE">
            <w:pPr>
              <w:rPr>
                <w:rFonts w:cstheme="minorHAnsi"/>
                <w:lang w:val="en-US"/>
              </w:rPr>
            </w:pPr>
            <w:r w:rsidRPr="00E11CE0">
              <w:rPr>
                <w:rFonts w:cstheme="minorHAnsi"/>
                <w:lang w:val="en-US"/>
              </w:rPr>
              <w:t xml:space="preserve">Brief explanation of rationale for choice of data collection tool/s. </w:t>
            </w:r>
          </w:p>
        </w:tc>
        <w:tc>
          <w:tcPr>
            <w:tcW w:w="1642" w:type="dxa"/>
            <w:tcBorders>
              <w:top w:val="single" w:sz="4" w:space="0" w:color="auto"/>
              <w:left w:val="single" w:sz="4" w:space="0" w:color="auto"/>
              <w:bottom w:val="single" w:sz="4" w:space="0" w:color="auto"/>
              <w:right w:val="single" w:sz="4" w:space="0" w:color="auto"/>
            </w:tcBorders>
            <w:hideMark/>
          </w:tcPr>
          <w:p w14:paraId="39F9EDBC" w14:textId="77777777" w:rsidR="00401E72" w:rsidRDefault="00401E72" w:rsidP="00A21BAE">
            <w:pPr>
              <w:pStyle w:val="TableParagraph"/>
              <w:ind w:left="0" w:right="115"/>
              <w:rPr>
                <w:rFonts w:asciiTheme="minorHAnsi" w:hAnsiTheme="minorHAnsi" w:cstheme="minorHAnsi"/>
              </w:rPr>
            </w:pPr>
            <w:r>
              <w:rPr>
                <w:rFonts w:asciiTheme="minorHAnsi" w:hAnsiTheme="minorHAnsi" w:cstheme="minorHAnsi"/>
              </w:rPr>
              <w:t>Detailed explanation of rationale for choice of data collection tool(s) (e.g. database chosen for being automated, exhaustive, reliable and appropriate for the research aim(s)).</w:t>
            </w:r>
          </w:p>
        </w:tc>
      </w:tr>
      <w:tr w:rsidR="00401E72" w:rsidRPr="00591E52" w14:paraId="7F248F53"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6BEA8518" w14:textId="77777777" w:rsidR="00401E72" w:rsidRDefault="00401E72" w:rsidP="00401E72">
            <w:pPr>
              <w:pStyle w:val="Paragraphedeliste"/>
              <w:numPr>
                <w:ilvl w:val="0"/>
                <w:numId w:val="32"/>
              </w:numPr>
              <w:spacing w:line="240" w:lineRule="auto"/>
              <w:rPr>
                <w:rFonts w:cstheme="minorHAnsi"/>
                <w:b/>
                <w:lang w:val="en-US"/>
              </w:rPr>
            </w:pPr>
            <w:r>
              <w:rPr>
                <w:rFonts w:cstheme="minorHAnsi"/>
                <w:b/>
                <w:bCs/>
                <w:lang w:val="en-US"/>
              </w:rPr>
              <w:t xml:space="preserve">Appropriateness of data collection tool </w:t>
            </w:r>
            <w:r>
              <w:rPr>
                <w:rFonts w:cstheme="minorHAnsi"/>
                <w:b/>
                <w:lang w:val="en-US"/>
              </w:rPr>
              <w:t>in relation to research aim(s).</w:t>
            </w:r>
          </w:p>
        </w:tc>
        <w:tc>
          <w:tcPr>
            <w:tcW w:w="1766" w:type="dxa"/>
            <w:tcBorders>
              <w:top w:val="single" w:sz="4" w:space="0" w:color="auto"/>
              <w:left w:val="single" w:sz="4" w:space="0" w:color="auto"/>
              <w:bottom w:val="single" w:sz="4" w:space="0" w:color="auto"/>
              <w:right w:val="single" w:sz="4" w:space="0" w:color="auto"/>
            </w:tcBorders>
            <w:hideMark/>
          </w:tcPr>
          <w:p w14:paraId="1F00D0E6" w14:textId="77777777" w:rsidR="00401E72" w:rsidRDefault="00401E72" w:rsidP="00A21BAE">
            <w:pPr>
              <w:pStyle w:val="TableParagraph"/>
              <w:ind w:left="0" w:right="390"/>
              <w:rPr>
                <w:rFonts w:asciiTheme="minorHAnsi" w:hAnsiTheme="minorHAnsi" w:cstheme="minorHAnsi"/>
                <w:lang w:val="en-US"/>
              </w:rPr>
            </w:pPr>
            <w:r>
              <w:rPr>
                <w:rFonts w:asciiTheme="minorHAnsi" w:hAnsiTheme="minorHAnsi" w:cstheme="minorHAnsi"/>
              </w:rPr>
              <w:t xml:space="preserve">No research aim(s) stated and/or data collection tool not detailed </w:t>
            </w:r>
            <w:r>
              <w:rPr>
                <w:rFonts w:asciiTheme="minorHAnsi" w:hAnsiTheme="minorHAnsi" w:cstheme="minorHAnsi"/>
                <w:lang w:val="en-US"/>
              </w:rPr>
              <w:t xml:space="preserve">(e.g. no information provided on patient transfer data </w:t>
            </w:r>
            <w:r>
              <w:rPr>
                <w:rFonts w:asciiTheme="minorHAnsi" w:hAnsiTheme="minorHAnsi" w:cstheme="minorHAnsi"/>
                <w:lang w:val="en-US"/>
              </w:rPr>
              <w:lastRenderedPageBreak/>
              <w:t>collection procedures, database format, or duration of data collection).</w:t>
            </w:r>
          </w:p>
        </w:tc>
        <w:tc>
          <w:tcPr>
            <w:tcW w:w="1823" w:type="dxa"/>
            <w:tcBorders>
              <w:top w:val="single" w:sz="4" w:space="0" w:color="auto"/>
              <w:left w:val="single" w:sz="4" w:space="0" w:color="auto"/>
              <w:bottom w:val="single" w:sz="4" w:space="0" w:color="auto"/>
              <w:right w:val="single" w:sz="4" w:space="0" w:color="auto"/>
            </w:tcBorders>
            <w:hideMark/>
          </w:tcPr>
          <w:p w14:paraId="7D5ABFAC" w14:textId="77777777" w:rsidR="00401E72" w:rsidRPr="00E11CE0" w:rsidRDefault="00401E72" w:rsidP="00A21BAE">
            <w:pPr>
              <w:rPr>
                <w:rFonts w:cstheme="minorHAnsi"/>
                <w:lang w:val="en-US"/>
              </w:rPr>
            </w:pPr>
            <w:r w:rsidRPr="00E11CE0">
              <w:rPr>
                <w:rFonts w:cstheme="minorHAnsi"/>
                <w:lang w:val="en-US"/>
              </w:rPr>
              <w:lastRenderedPageBreak/>
              <w:t>Format and/or content suitable to address some aspects of the aim(s) (e.g. unverified survey data, very short data collection period).</w:t>
            </w:r>
          </w:p>
        </w:tc>
        <w:tc>
          <w:tcPr>
            <w:tcW w:w="1823" w:type="dxa"/>
            <w:tcBorders>
              <w:top w:val="single" w:sz="4" w:space="0" w:color="auto"/>
              <w:left w:val="single" w:sz="4" w:space="0" w:color="auto"/>
              <w:bottom w:val="single" w:sz="4" w:space="0" w:color="auto"/>
              <w:right w:val="single" w:sz="4" w:space="0" w:color="auto"/>
            </w:tcBorders>
            <w:hideMark/>
          </w:tcPr>
          <w:p w14:paraId="1D782B90" w14:textId="77777777" w:rsidR="00401E72" w:rsidRDefault="00401E72" w:rsidP="00A21BAE">
            <w:pPr>
              <w:pStyle w:val="TableParagraph"/>
              <w:ind w:left="0" w:right="110"/>
              <w:rPr>
                <w:rFonts w:asciiTheme="minorHAnsi" w:hAnsiTheme="minorHAnsi" w:cstheme="minorHAnsi"/>
              </w:rPr>
            </w:pPr>
            <w:r>
              <w:rPr>
                <w:rFonts w:asciiTheme="minorHAnsi" w:hAnsiTheme="minorHAnsi" w:cstheme="minorHAnsi"/>
              </w:rPr>
              <w:t>Format and/or content broadly suitable but limited in scope or quality (e.g. verified survey with adequate duration; automated but unverified data).</w:t>
            </w:r>
          </w:p>
        </w:tc>
        <w:tc>
          <w:tcPr>
            <w:tcW w:w="1642" w:type="dxa"/>
            <w:tcBorders>
              <w:top w:val="single" w:sz="4" w:space="0" w:color="auto"/>
              <w:left w:val="single" w:sz="4" w:space="0" w:color="auto"/>
              <w:bottom w:val="single" w:sz="4" w:space="0" w:color="auto"/>
              <w:right w:val="single" w:sz="4" w:space="0" w:color="auto"/>
            </w:tcBorders>
            <w:hideMark/>
          </w:tcPr>
          <w:p w14:paraId="262BF361" w14:textId="77777777" w:rsidR="00401E72" w:rsidRPr="00E11CE0" w:rsidRDefault="00401E72" w:rsidP="00A21BAE">
            <w:pPr>
              <w:rPr>
                <w:rFonts w:cstheme="minorHAnsi"/>
                <w:lang w:val="en-US"/>
              </w:rPr>
            </w:pPr>
            <w:r w:rsidRPr="00E11CE0">
              <w:rPr>
                <w:rFonts w:cstheme="minorHAnsi"/>
                <w:lang w:val="en-US"/>
              </w:rPr>
              <w:t>Format and/or content appropriate to address all aspects of the aim(s) (e.g. verified automated data collected over a large period).</w:t>
            </w:r>
          </w:p>
        </w:tc>
      </w:tr>
      <w:tr w:rsidR="00401E72" w:rsidRPr="00591E52" w14:paraId="603ED44B" w14:textId="77777777" w:rsidTr="00A21BAE">
        <w:tc>
          <w:tcPr>
            <w:tcW w:w="1446" w:type="dxa"/>
            <w:tcBorders>
              <w:top w:val="single" w:sz="4" w:space="0" w:color="auto"/>
              <w:left w:val="single" w:sz="4" w:space="0" w:color="auto"/>
              <w:bottom w:val="single" w:sz="4" w:space="0" w:color="auto"/>
              <w:right w:val="single" w:sz="4" w:space="0" w:color="auto"/>
            </w:tcBorders>
          </w:tcPr>
          <w:p w14:paraId="389B611C" w14:textId="77777777" w:rsidR="00401E72" w:rsidRDefault="00401E72" w:rsidP="00401E72">
            <w:pPr>
              <w:pStyle w:val="Paragraphedeliste"/>
              <w:numPr>
                <w:ilvl w:val="0"/>
                <w:numId w:val="32"/>
              </w:numPr>
              <w:spacing w:line="240" w:lineRule="auto"/>
              <w:rPr>
                <w:rFonts w:cstheme="minorHAnsi"/>
                <w:b/>
                <w:bCs/>
              </w:rPr>
            </w:pPr>
            <w:r>
              <w:rPr>
                <w:rFonts w:cstheme="minorHAnsi"/>
                <w:b/>
                <w:bCs/>
              </w:rPr>
              <w:lastRenderedPageBreak/>
              <w:t>Recruitment data provided</w:t>
            </w:r>
          </w:p>
          <w:p w14:paraId="3BE92FB0" w14:textId="77777777" w:rsidR="00401E72" w:rsidRDefault="00401E72" w:rsidP="00A21BAE">
            <w:pPr>
              <w:rPr>
                <w:rFonts w:cstheme="minorHAnsi"/>
              </w:rPr>
            </w:pPr>
          </w:p>
        </w:tc>
        <w:tc>
          <w:tcPr>
            <w:tcW w:w="1766" w:type="dxa"/>
            <w:tcBorders>
              <w:top w:val="single" w:sz="4" w:space="0" w:color="auto"/>
              <w:left w:val="single" w:sz="4" w:space="0" w:color="auto"/>
              <w:bottom w:val="single" w:sz="4" w:space="0" w:color="auto"/>
              <w:right w:val="single" w:sz="4" w:space="0" w:color="auto"/>
            </w:tcBorders>
            <w:hideMark/>
          </w:tcPr>
          <w:p w14:paraId="7BD73578" w14:textId="77777777" w:rsidR="00401E72" w:rsidRPr="00E11CE0" w:rsidRDefault="00401E72" w:rsidP="00A21BAE">
            <w:pPr>
              <w:rPr>
                <w:rFonts w:cstheme="minorHAnsi"/>
                <w:lang w:val="en-US"/>
              </w:rPr>
            </w:pPr>
            <w:r w:rsidRPr="00E11CE0">
              <w:rPr>
                <w:rFonts w:cstheme="minorHAnsi"/>
                <w:lang w:val="en-US"/>
              </w:rPr>
              <w:t>No mention of recruitment data (e.g. little or no descriptive statistics on patient transfer database)</w:t>
            </w:r>
          </w:p>
        </w:tc>
        <w:tc>
          <w:tcPr>
            <w:tcW w:w="1823" w:type="dxa"/>
            <w:tcBorders>
              <w:top w:val="single" w:sz="4" w:space="0" w:color="auto"/>
              <w:left w:val="single" w:sz="4" w:space="0" w:color="auto"/>
              <w:bottom w:val="single" w:sz="4" w:space="0" w:color="auto"/>
              <w:right w:val="single" w:sz="4" w:space="0" w:color="auto"/>
            </w:tcBorders>
            <w:hideMark/>
          </w:tcPr>
          <w:p w14:paraId="0A2B4830" w14:textId="77777777" w:rsidR="00401E72" w:rsidRDefault="00401E72" w:rsidP="00A21BAE">
            <w:pPr>
              <w:pStyle w:val="TableParagraph"/>
              <w:ind w:left="102"/>
              <w:rPr>
                <w:rFonts w:asciiTheme="minorHAnsi" w:hAnsiTheme="minorHAnsi" w:cstheme="minorHAnsi"/>
                <w:lang w:val="en-US"/>
              </w:rPr>
            </w:pPr>
            <w:r>
              <w:rPr>
                <w:rFonts w:asciiTheme="minorHAnsi" w:hAnsiTheme="minorHAnsi" w:cstheme="minorHAnsi"/>
                <w:lang w:val="en-US"/>
              </w:rPr>
              <w:t>Minimal description of recruitment data (e.g. very limited descriptive statistics: number of hospitals, patient transfers, …)</w:t>
            </w:r>
          </w:p>
        </w:tc>
        <w:tc>
          <w:tcPr>
            <w:tcW w:w="1823" w:type="dxa"/>
            <w:tcBorders>
              <w:top w:val="single" w:sz="4" w:space="0" w:color="auto"/>
              <w:left w:val="single" w:sz="4" w:space="0" w:color="auto"/>
              <w:bottom w:val="single" w:sz="4" w:space="0" w:color="auto"/>
              <w:right w:val="single" w:sz="4" w:space="0" w:color="auto"/>
            </w:tcBorders>
            <w:hideMark/>
          </w:tcPr>
          <w:p w14:paraId="397D1C33" w14:textId="77777777" w:rsidR="00401E72" w:rsidRPr="00E11CE0" w:rsidRDefault="00401E72" w:rsidP="00A21BAE">
            <w:pPr>
              <w:rPr>
                <w:rFonts w:cstheme="minorHAnsi"/>
                <w:lang w:val="en-US"/>
              </w:rPr>
            </w:pPr>
            <w:r w:rsidRPr="00E11CE0">
              <w:rPr>
                <w:rFonts w:cstheme="minorHAnsi"/>
                <w:lang w:val="en-US"/>
              </w:rPr>
              <w:t>Partial description of recruitment data (e.g. aggregated matrix of transitions between hospital pairs).</w:t>
            </w:r>
          </w:p>
        </w:tc>
        <w:tc>
          <w:tcPr>
            <w:tcW w:w="1642" w:type="dxa"/>
            <w:tcBorders>
              <w:top w:val="single" w:sz="4" w:space="0" w:color="auto"/>
              <w:left w:val="single" w:sz="4" w:space="0" w:color="auto"/>
              <w:bottom w:val="single" w:sz="4" w:space="0" w:color="auto"/>
              <w:right w:val="single" w:sz="4" w:space="0" w:color="auto"/>
            </w:tcBorders>
            <w:hideMark/>
          </w:tcPr>
          <w:p w14:paraId="0FAFA44D" w14:textId="77777777" w:rsidR="00401E72" w:rsidRDefault="00401E72" w:rsidP="00A21BAE">
            <w:pPr>
              <w:pStyle w:val="TableParagraph"/>
              <w:ind w:left="0" w:right="426"/>
              <w:rPr>
                <w:rFonts w:asciiTheme="minorHAnsi" w:hAnsiTheme="minorHAnsi" w:cstheme="minorHAnsi"/>
              </w:rPr>
            </w:pPr>
            <w:r>
              <w:rPr>
                <w:rFonts w:asciiTheme="minorHAnsi" w:hAnsiTheme="minorHAnsi" w:cstheme="minorHAnsi"/>
              </w:rPr>
              <w:t>Complete data allowing for full picture of recruitment outcome (e.g. raw database available)</w:t>
            </w:r>
          </w:p>
        </w:tc>
      </w:tr>
      <w:tr w:rsidR="00401E72" w:rsidRPr="00591E52" w14:paraId="55F67258"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65633588" w14:textId="77777777" w:rsidR="00401E72" w:rsidRDefault="00401E72" w:rsidP="00401E72">
            <w:pPr>
              <w:pStyle w:val="Paragraphedeliste"/>
              <w:numPr>
                <w:ilvl w:val="0"/>
                <w:numId w:val="32"/>
              </w:numPr>
              <w:spacing w:line="240" w:lineRule="auto"/>
              <w:rPr>
                <w:rFonts w:cstheme="minorHAnsi"/>
                <w:b/>
                <w:bCs/>
                <w:lang w:val="en-US"/>
              </w:rPr>
            </w:pPr>
            <w:r>
              <w:rPr>
                <w:rFonts w:cstheme="minorHAnsi"/>
                <w:b/>
                <w:bCs/>
                <w:lang w:val="en-US"/>
              </w:rPr>
              <w:t xml:space="preserve">Justification for analytic method selected. </w:t>
            </w:r>
          </w:p>
        </w:tc>
        <w:tc>
          <w:tcPr>
            <w:tcW w:w="1766" w:type="dxa"/>
            <w:tcBorders>
              <w:top w:val="single" w:sz="4" w:space="0" w:color="auto"/>
              <w:left w:val="single" w:sz="4" w:space="0" w:color="auto"/>
              <w:bottom w:val="single" w:sz="4" w:space="0" w:color="auto"/>
              <w:right w:val="single" w:sz="4" w:space="0" w:color="auto"/>
            </w:tcBorders>
            <w:hideMark/>
          </w:tcPr>
          <w:p w14:paraId="2A099F03" w14:textId="77777777" w:rsidR="00401E72" w:rsidRPr="00E11CE0" w:rsidRDefault="00401E72" w:rsidP="00A21BAE">
            <w:pPr>
              <w:rPr>
                <w:rFonts w:cstheme="minorHAnsi"/>
                <w:lang w:val="en-US"/>
              </w:rPr>
            </w:pPr>
            <w:r w:rsidRPr="00E11CE0">
              <w:rPr>
                <w:rFonts w:cstheme="minorHAnsi"/>
                <w:lang w:val="en-US"/>
              </w:rPr>
              <w:t>No mention of the rationale for the analytic method chosen, or no analysis made on the network (no metrics to characterize the network, no regression analysis, no mathematical model developed for studying pathogen transmission, …).</w:t>
            </w:r>
          </w:p>
        </w:tc>
        <w:tc>
          <w:tcPr>
            <w:tcW w:w="1823" w:type="dxa"/>
            <w:tcBorders>
              <w:top w:val="single" w:sz="4" w:space="0" w:color="auto"/>
              <w:left w:val="single" w:sz="4" w:space="0" w:color="auto"/>
              <w:bottom w:val="single" w:sz="4" w:space="0" w:color="auto"/>
              <w:right w:val="single" w:sz="4" w:space="0" w:color="auto"/>
            </w:tcBorders>
            <w:hideMark/>
          </w:tcPr>
          <w:p w14:paraId="4E26128D" w14:textId="77777777" w:rsidR="00401E72" w:rsidRPr="00E11CE0" w:rsidRDefault="00401E72" w:rsidP="00A21BAE">
            <w:pPr>
              <w:rPr>
                <w:rFonts w:cstheme="minorHAnsi"/>
                <w:lang w:val="en-US"/>
              </w:rPr>
            </w:pPr>
            <w:r w:rsidRPr="00E11CE0">
              <w:rPr>
                <w:rFonts w:cstheme="minorHAnsi"/>
                <w:lang w:val="en-US"/>
              </w:rPr>
              <w:t>Very limited justification for the choice of the analytic method (e.g. method already used in another article)</w:t>
            </w:r>
          </w:p>
        </w:tc>
        <w:tc>
          <w:tcPr>
            <w:tcW w:w="1823" w:type="dxa"/>
            <w:tcBorders>
              <w:top w:val="single" w:sz="4" w:space="0" w:color="auto"/>
              <w:left w:val="single" w:sz="4" w:space="0" w:color="auto"/>
              <w:bottom w:val="single" w:sz="4" w:space="0" w:color="auto"/>
              <w:right w:val="single" w:sz="4" w:space="0" w:color="auto"/>
            </w:tcBorders>
            <w:hideMark/>
          </w:tcPr>
          <w:p w14:paraId="25A28A9C" w14:textId="77777777" w:rsidR="00401E72" w:rsidRPr="00E11CE0" w:rsidRDefault="00401E72" w:rsidP="00A21BAE">
            <w:pPr>
              <w:rPr>
                <w:rFonts w:cstheme="minorHAnsi"/>
                <w:lang w:val="en-US"/>
              </w:rPr>
            </w:pPr>
            <w:r w:rsidRPr="00E11CE0">
              <w:rPr>
                <w:rFonts w:cstheme="minorHAnsi"/>
                <w:lang w:val="en-US"/>
              </w:rPr>
              <w:t>Basic justification for the choice of the analytic method (e.g. reference to use I similar prior research with some discussion on the method)</w:t>
            </w:r>
          </w:p>
        </w:tc>
        <w:tc>
          <w:tcPr>
            <w:tcW w:w="1642" w:type="dxa"/>
            <w:tcBorders>
              <w:top w:val="single" w:sz="4" w:space="0" w:color="auto"/>
              <w:left w:val="single" w:sz="4" w:space="0" w:color="auto"/>
              <w:bottom w:val="single" w:sz="4" w:space="0" w:color="auto"/>
              <w:right w:val="single" w:sz="4" w:space="0" w:color="auto"/>
            </w:tcBorders>
            <w:hideMark/>
          </w:tcPr>
          <w:p w14:paraId="67AC3EEA" w14:textId="77777777" w:rsidR="00401E72" w:rsidRDefault="00401E72" w:rsidP="00A21BAE">
            <w:pPr>
              <w:pStyle w:val="TableParagraph"/>
              <w:ind w:left="0" w:right="105"/>
              <w:rPr>
                <w:rFonts w:asciiTheme="minorHAnsi" w:hAnsiTheme="minorHAnsi" w:cstheme="minorHAnsi"/>
              </w:rPr>
            </w:pPr>
            <w:r>
              <w:rPr>
                <w:rFonts w:asciiTheme="minorHAnsi" w:hAnsiTheme="minorHAnsi" w:cstheme="minorHAnsi"/>
              </w:rPr>
              <w:t>Detailed justification for the choice of the analytic method (e.g. discussions on why this method is appropriate, explanation on strengths and weaknesses).</w:t>
            </w:r>
          </w:p>
        </w:tc>
      </w:tr>
      <w:tr w:rsidR="00401E72" w:rsidRPr="00591E52" w14:paraId="5A3E1921"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6A8D83EA" w14:textId="77777777" w:rsidR="00401E72" w:rsidRDefault="00401E72" w:rsidP="00401E72">
            <w:pPr>
              <w:pStyle w:val="Paragraphedeliste"/>
              <w:numPr>
                <w:ilvl w:val="0"/>
                <w:numId w:val="32"/>
              </w:numPr>
              <w:spacing w:line="240" w:lineRule="auto"/>
              <w:rPr>
                <w:rFonts w:cstheme="minorHAnsi"/>
                <w:b/>
                <w:bCs/>
                <w:lang w:val="en-US"/>
              </w:rPr>
            </w:pPr>
            <w:r>
              <w:rPr>
                <w:rFonts w:cstheme="minorHAnsi"/>
                <w:b/>
                <w:bCs/>
                <w:lang w:val="en-US"/>
              </w:rPr>
              <w:t>Appropriateness of the method of analysis in relation to the research aim/s.</w:t>
            </w:r>
          </w:p>
        </w:tc>
        <w:tc>
          <w:tcPr>
            <w:tcW w:w="1766" w:type="dxa"/>
            <w:tcBorders>
              <w:top w:val="single" w:sz="4" w:space="0" w:color="auto"/>
              <w:left w:val="single" w:sz="4" w:space="0" w:color="auto"/>
              <w:bottom w:val="single" w:sz="4" w:space="0" w:color="auto"/>
              <w:right w:val="single" w:sz="4" w:space="0" w:color="auto"/>
            </w:tcBorders>
          </w:tcPr>
          <w:p w14:paraId="520AA211" w14:textId="77777777" w:rsidR="00401E72" w:rsidRDefault="00401E72" w:rsidP="00A21BAE">
            <w:pPr>
              <w:pStyle w:val="TableParagraph"/>
              <w:ind w:left="0"/>
              <w:rPr>
                <w:rFonts w:asciiTheme="minorHAnsi" w:hAnsiTheme="minorHAnsi" w:cstheme="minorHAnsi"/>
                <w:lang w:val="en-US"/>
              </w:rPr>
            </w:pPr>
            <w:r>
              <w:rPr>
                <w:rFonts w:asciiTheme="minorHAnsi" w:hAnsiTheme="minorHAnsi" w:cstheme="minorHAnsi"/>
                <w:lang w:val="en-US"/>
              </w:rPr>
              <w:t>No mention at all (no metrics to characterize the network, no regression analysis, no mathematical model developed for studying pathogen transmission, …).</w:t>
            </w:r>
          </w:p>
          <w:p w14:paraId="7CF83BE4" w14:textId="77777777" w:rsidR="00401E72" w:rsidRDefault="00401E72" w:rsidP="00A21BAE">
            <w:pPr>
              <w:pStyle w:val="TableParagraph"/>
              <w:ind w:left="0"/>
              <w:rPr>
                <w:rFonts w:asciiTheme="minorHAnsi" w:hAnsiTheme="minorHAnsi" w:cstheme="minorHAnsi"/>
                <w:lang w:val="en-US"/>
              </w:rPr>
            </w:pPr>
          </w:p>
          <w:p w14:paraId="5A1E923D" w14:textId="77777777" w:rsidR="00401E72" w:rsidRDefault="00401E72" w:rsidP="00A21BAE">
            <w:pPr>
              <w:rPr>
                <w:rFonts w:cstheme="minorHAnsi"/>
                <w:lang w:val="en-US"/>
              </w:rPr>
            </w:pPr>
          </w:p>
        </w:tc>
        <w:tc>
          <w:tcPr>
            <w:tcW w:w="1823" w:type="dxa"/>
            <w:tcBorders>
              <w:top w:val="single" w:sz="4" w:space="0" w:color="auto"/>
              <w:left w:val="single" w:sz="4" w:space="0" w:color="auto"/>
              <w:bottom w:val="single" w:sz="4" w:space="0" w:color="auto"/>
              <w:right w:val="single" w:sz="4" w:space="0" w:color="auto"/>
            </w:tcBorders>
            <w:hideMark/>
          </w:tcPr>
          <w:p w14:paraId="61DD041A" w14:textId="77777777" w:rsidR="00401E72" w:rsidRPr="00E11CE0" w:rsidRDefault="00401E72" w:rsidP="00A21BAE">
            <w:pPr>
              <w:rPr>
                <w:rFonts w:cstheme="minorHAnsi"/>
                <w:lang w:val="en-US"/>
              </w:rPr>
            </w:pPr>
            <w:r w:rsidRPr="00E11CE0">
              <w:rPr>
                <w:rFonts w:cstheme="minorHAnsi"/>
                <w:lang w:val="en-US"/>
              </w:rPr>
              <w:lastRenderedPageBreak/>
              <w:t xml:space="preserve">Method of analysis can only address superficially the research aim(s) (e.g. use of one or two metrics to characterize the network) </w:t>
            </w:r>
          </w:p>
        </w:tc>
        <w:tc>
          <w:tcPr>
            <w:tcW w:w="1823" w:type="dxa"/>
            <w:tcBorders>
              <w:top w:val="single" w:sz="4" w:space="0" w:color="auto"/>
              <w:left w:val="single" w:sz="4" w:space="0" w:color="auto"/>
              <w:bottom w:val="single" w:sz="4" w:space="0" w:color="auto"/>
              <w:right w:val="single" w:sz="4" w:space="0" w:color="auto"/>
            </w:tcBorders>
            <w:hideMark/>
          </w:tcPr>
          <w:p w14:paraId="76F34065" w14:textId="77777777" w:rsidR="00401E72" w:rsidRDefault="00401E72" w:rsidP="00A21BAE">
            <w:pPr>
              <w:pStyle w:val="TableParagraph"/>
              <w:ind w:left="100" w:right="120"/>
              <w:rPr>
                <w:rFonts w:asciiTheme="minorHAnsi" w:hAnsiTheme="minorHAnsi" w:cstheme="minorHAnsi"/>
                <w:lang w:val="en-US"/>
              </w:rPr>
            </w:pPr>
            <w:r>
              <w:rPr>
                <w:rFonts w:asciiTheme="minorHAnsi" w:hAnsiTheme="minorHAnsi" w:cstheme="minorHAnsi"/>
              </w:rPr>
              <w:t xml:space="preserve">Method of analysis can address the research aim/s but there is a more suitable alternative that could have been used or used in addition to offer a stronger </w:t>
            </w:r>
            <w:r>
              <w:rPr>
                <w:rFonts w:asciiTheme="minorHAnsi" w:hAnsiTheme="minorHAnsi" w:cstheme="minorHAnsi"/>
              </w:rPr>
              <w:lastRenderedPageBreak/>
              <w:t xml:space="preserve">analysis. </w:t>
            </w:r>
            <w:r>
              <w:rPr>
                <w:rFonts w:asciiTheme="minorHAnsi" w:hAnsiTheme="minorHAnsi" w:cstheme="minorHAnsi"/>
                <w:lang w:val="en-US"/>
              </w:rPr>
              <w:t xml:space="preserve">(e.g. use of several network analysis tools capturing multiple aspects of the network, though further refinement would strengthen the analysis). </w:t>
            </w:r>
          </w:p>
        </w:tc>
        <w:tc>
          <w:tcPr>
            <w:tcW w:w="1642" w:type="dxa"/>
            <w:tcBorders>
              <w:top w:val="single" w:sz="4" w:space="0" w:color="auto"/>
              <w:left w:val="single" w:sz="4" w:space="0" w:color="auto"/>
              <w:bottom w:val="single" w:sz="4" w:space="0" w:color="auto"/>
              <w:right w:val="single" w:sz="4" w:space="0" w:color="auto"/>
            </w:tcBorders>
            <w:hideMark/>
          </w:tcPr>
          <w:p w14:paraId="6CFA528F" w14:textId="77777777" w:rsidR="00401E72" w:rsidRDefault="00401E72" w:rsidP="00A21BAE">
            <w:pPr>
              <w:pStyle w:val="TableParagraph"/>
              <w:ind w:left="0" w:right="177"/>
              <w:rPr>
                <w:rFonts w:asciiTheme="minorHAnsi" w:hAnsiTheme="minorHAnsi" w:cstheme="minorHAnsi"/>
              </w:rPr>
            </w:pPr>
            <w:r>
              <w:rPr>
                <w:rFonts w:asciiTheme="minorHAnsi" w:hAnsiTheme="minorHAnsi" w:cstheme="minorHAnsi"/>
              </w:rPr>
              <w:lastRenderedPageBreak/>
              <w:t>Method of analysis selected is the most suitable approach to attempt answering the research aim/s in</w:t>
            </w:r>
            <w:r>
              <w:rPr>
                <w:rFonts w:asciiTheme="minorHAnsi" w:hAnsiTheme="minorHAnsi" w:cstheme="minorHAnsi"/>
                <w:spacing w:val="-21"/>
              </w:rPr>
              <w:t xml:space="preserve"> </w:t>
            </w:r>
            <w:r>
              <w:rPr>
                <w:rFonts w:asciiTheme="minorHAnsi" w:hAnsiTheme="minorHAnsi" w:cstheme="minorHAnsi"/>
              </w:rPr>
              <w:t>detail.</w:t>
            </w:r>
          </w:p>
        </w:tc>
      </w:tr>
      <w:tr w:rsidR="00401E72" w:rsidRPr="00591E52" w14:paraId="74E720E7"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1B56F775" w14:textId="77777777" w:rsidR="00401E72" w:rsidRDefault="00401E72" w:rsidP="00401E72">
            <w:pPr>
              <w:pStyle w:val="Paragraphedeliste"/>
              <w:numPr>
                <w:ilvl w:val="0"/>
                <w:numId w:val="32"/>
              </w:numPr>
              <w:spacing w:line="240" w:lineRule="auto"/>
              <w:rPr>
                <w:rFonts w:cstheme="minorHAnsi"/>
                <w:b/>
                <w:bCs/>
                <w:lang w:val="en-US"/>
              </w:rPr>
            </w:pPr>
            <w:r>
              <w:rPr>
                <w:rFonts w:cstheme="minorHAnsi"/>
                <w:b/>
                <w:bCs/>
                <w:lang w:val="en-US"/>
              </w:rPr>
              <w:lastRenderedPageBreak/>
              <w:t xml:space="preserve">Evidence that the research stakeholders have been considered in research design or conduct. </w:t>
            </w:r>
          </w:p>
        </w:tc>
        <w:tc>
          <w:tcPr>
            <w:tcW w:w="1766" w:type="dxa"/>
            <w:tcBorders>
              <w:top w:val="single" w:sz="4" w:space="0" w:color="auto"/>
              <w:left w:val="single" w:sz="4" w:space="0" w:color="auto"/>
              <w:bottom w:val="single" w:sz="4" w:space="0" w:color="auto"/>
              <w:right w:val="single" w:sz="4" w:space="0" w:color="auto"/>
            </w:tcBorders>
            <w:hideMark/>
          </w:tcPr>
          <w:p w14:paraId="72600FA1" w14:textId="77777777" w:rsidR="00401E72" w:rsidRDefault="00401E72" w:rsidP="00A21BAE">
            <w:pPr>
              <w:rPr>
                <w:rFonts w:cstheme="minorHAnsi"/>
                <w:lang w:val="en-US"/>
              </w:rPr>
            </w:pPr>
            <w:r>
              <w:rPr>
                <w:rFonts w:cstheme="minorHAnsi"/>
                <w:lang w:val="en-US"/>
              </w:rPr>
              <w:t>No mention of stakeholders (e.g. policy makers, health authorities, hospital administrators, …)</w:t>
            </w:r>
          </w:p>
        </w:tc>
        <w:tc>
          <w:tcPr>
            <w:tcW w:w="1823" w:type="dxa"/>
            <w:tcBorders>
              <w:top w:val="single" w:sz="4" w:space="0" w:color="auto"/>
              <w:left w:val="single" w:sz="4" w:space="0" w:color="auto"/>
              <w:bottom w:val="single" w:sz="4" w:space="0" w:color="auto"/>
              <w:right w:val="single" w:sz="4" w:space="0" w:color="auto"/>
            </w:tcBorders>
            <w:hideMark/>
          </w:tcPr>
          <w:p w14:paraId="6A44824E" w14:textId="77777777" w:rsidR="00401E72" w:rsidRDefault="00401E72" w:rsidP="00A21BAE">
            <w:pPr>
              <w:rPr>
                <w:rFonts w:cstheme="minorHAnsi"/>
                <w:lang w:val="en-US"/>
              </w:rPr>
            </w:pPr>
            <w:r w:rsidRPr="00E11CE0">
              <w:rPr>
                <w:rFonts w:cstheme="minorHAnsi"/>
                <w:lang w:val="en-US"/>
              </w:rPr>
              <w:t>Stakeholders considered in a limited way (e.g. consultation to access data or advise on data use).</w:t>
            </w:r>
          </w:p>
        </w:tc>
        <w:tc>
          <w:tcPr>
            <w:tcW w:w="1823" w:type="dxa"/>
            <w:tcBorders>
              <w:top w:val="single" w:sz="4" w:space="0" w:color="auto"/>
              <w:left w:val="single" w:sz="4" w:space="0" w:color="auto"/>
              <w:bottom w:val="single" w:sz="4" w:space="0" w:color="auto"/>
              <w:right w:val="single" w:sz="4" w:space="0" w:color="auto"/>
            </w:tcBorders>
            <w:hideMark/>
          </w:tcPr>
          <w:p w14:paraId="6147DD0D" w14:textId="77777777" w:rsidR="00401E72" w:rsidRDefault="00401E72" w:rsidP="00A21BAE">
            <w:pPr>
              <w:rPr>
                <w:rFonts w:cstheme="minorHAnsi"/>
                <w:lang w:val="en-US"/>
              </w:rPr>
            </w:pPr>
            <w:r>
              <w:rPr>
                <w:lang w:val="en-US"/>
              </w:rPr>
              <w:t>Evidence of stakeholder input informing the research (e.g. consultation to obtain feedback on results).</w:t>
            </w:r>
          </w:p>
        </w:tc>
        <w:tc>
          <w:tcPr>
            <w:tcW w:w="1642" w:type="dxa"/>
            <w:tcBorders>
              <w:top w:val="single" w:sz="4" w:space="0" w:color="auto"/>
              <w:left w:val="single" w:sz="4" w:space="0" w:color="auto"/>
              <w:bottom w:val="single" w:sz="4" w:space="0" w:color="auto"/>
              <w:right w:val="single" w:sz="4" w:space="0" w:color="auto"/>
            </w:tcBorders>
            <w:hideMark/>
          </w:tcPr>
          <w:p w14:paraId="1CF81916" w14:textId="77777777" w:rsidR="00401E72" w:rsidRDefault="00401E72" w:rsidP="00A21BAE">
            <w:pPr>
              <w:pStyle w:val="TableParagraph"/>
              <w:spacing w:before="124"/>
              <w:ind w:left="0"/>
              <w:rPr>
                <w:rFonts w:asciiTheme="minorHAnsi" w:hAnsiTheme="minorHAnsi" w:cstheme="minorHAnsi"/>
                <w:b/>
                <w:bCs/>
                <w:lang w:val="en-US"/>
              </w:rPr>
            </w:pPr>
            <w:r>
              <w:rPr>
                <w:rFonts w:asciiTheme="minorHAnsi" w:hAnsiTheme="minorHAnsi" w:cstheme="minorHAnsi"/>
              </w:rPr>
              <w:t>Substantial stakeholder involvement in study planning and conduct (e.g. input during conceptualisation, advisory group involvement).</w:t>
            </w:r>
          </w:p>
        </w:tc>
      </w:tr>
      <w:tr w:rsidR="00401E72" w:rsidRPr="00591E52" w14:paraId="5E98E655" w14:textId="77777777" w:rsidTr="00A21BAE">
        <w:tc>
          <w:tcPr>
            <w:tcW w:w="1446" w:type="dxa"/>
            <w:tcBorders>
              <w:top w:val="single" w:sz="4" w:space="0" w:color="auto"/>
              <w:left w:val="single" w:sz="4" w:space="0" w:color="auto"/>
              <w:bottom w:val="single" w:sz="4" w:space="0" w:color="auto"/>
              <w:right w:val="single" w:sz="4" w:space="0" w:color="auto"/>
            </w:tcBorders>
            <w:hideMark/>
          </w:tcPr>
          <w:p w14:paraId="61E63BCC" w14:textId="77777777" w:rsidR="00401E72" w:rsidRDefault="00401E72" w:rsidP="00401E72">
            <w:pPr>
              <w:pStyle w:val="Paragraphedeliste"/>
              <w:numPr>
                <w:ilvl w:val="0"/>
                <w:numId w:val="32"/>
              </w:numPr>
              <w:spacing w:line="240" w:lineRule="auto"/>
              <w:rPr>
                <w:rFonts w:cstheme="minorHAnsi"/>
                <w:b/>
                <w:bCs/>
                <w:lang w:val="en-US"/>
              </w:rPr>
            </w:pPr>
            <w:r>
              <w:rPr>
                <w:rFonts w:cstheme="minorHAnsi"/>
                <w:b/>
                <w:bCs/>
                <w:lang w:val="en-US"/>
              </w:rPr>
              <w:t>Strengths and limitations critically discussed</w:t>
            </w:r>
          </w:p>
        </w:tc>
        <w:tc>
          <w:tcPr>
            <w:tcW w:w="1766" w:type="dxa"/>
            <w:tcBorders>
              <w:top w:val="single" w:sz="4" w:space="0" w:color="auto"/>
              <w:left w:val="single" w:sz="4" w:space="0" w:color="auto"/>
              <w:bottom w:val="single" w:sz="4" w:space="0" w:color="auto"/>
              <w:right w:val="single" w:sz="4" w:space="0" w:color="auto"/>
            </w:tcBorders>
            <w:hideMark/>
          </w:tcPr>
          <w:p w14:paraId="5890E0F1" w14:textId="77777777" w:rsidR="00401E72" w:rsidRDefault="00401E72" w:rsidP="00A21BAE">
            <w:pPr>
              <w:rPr>
                <w:rFonts w:cstheme="minorHAnsi"/>
                <w:lang w:val="en-US"/>
              </w:rPr>
            </w:pPr>
            <w:r>
              <w:rPr>
                <w:rFonts w:cstheme="minorHAnsi"/>
                <w:lang w:val="en-US"/>
              </w:rPr>
              <w:t>No discussion of strengths and weaknesses.</w:t>
            </w:r>
          </w:p>
        </w:tc>
        <w:tc>
          <w:tcPr>
            <w:tcW w:w="1823" w:type="dxa"/>
            <w:tcBorders>
              <w:top w:val="single" w:sz="4" w:space="0" w:color="auto"/>
              <w:left w:val="single" w:sz="4" w:space="0" w:color="auto"/>
              <w:bottom w:val="single" w:sz="4" w:space="0" w:color="auto"/>
              <w:right w:val="single" w:sz="4" w:space="0" w:color="auto"/>
            </w:tcBorders>
            <w:hideMark/>
          </w:tcPr>
          <w:p w14:paraId="4912639A" w14:textId="77777777" w:rsidR="00401E72" w:rsidRPr="00E11CE0" w:rsidRDefault="00401E72" w:rsidP="00A21BAE">
            <w:pPr>
              <w:rPr>
                <w:rFonts w:cstheme="minorHAnsi"/>
                <w:lang w:val="en-US"/>
              </w:rPr>
            </w:pPr>
            <w:r w:rsidRPr="00E11CE0">
              <w:rPr>
                <w:rFonts w:cstheme="minorHAnsi"/>
                <w:lang w:val="en-US"/>
              </w:rPr>
              <w:t xml:space="preserve">Very limited mention of strengths and limitations with major omissions of key issues. </w:t>
            </w:r>
          </w:p>
        </w:tc>
        <w:tc>
          <w:tcPr>
            <w:tcW w:w="1823" w:type="dxa"/>
            <w:tcBorders>
              <w:top w:val="single" w:sz="4" w:space="0" w:color="auto"/>
              <w:left w:val="single" w:sz="4" w:space="0" w:color="auto"/>
              <w:bottom w:val="single" w:sz="4" w:space="0" w:color="auto"/>
              <w:right w:val="single" w:sz="4" w:space="0" w:color="auto"/>
            </w:tcBorders>
          </w:tcPr>
          <w:p w14:paraId="6183F3EB" w14:textId="77777777" w:rsidR="00401E72" w:rsidRDefault="00401E72" w:rsidP="00A21BAE">
            <w:pPr>
              <w:rPr>
                <w:lang w:val="en-US"/>
              </w:rPr>
            </w:pPr>
            <w:r>
              <w:rPr>
                <w:lang w:val="en-US"/>
              </w:rPr>
              <w:t>Discussion of some strengths and weaknesses, but incomplete.</w:t>
            </w:r>
          </w:p>
          <w:p w14:paraId="1E316A92" w14:textId="77777777" w:rsidR="00401E72" w:rsidRDefault="00401E72" w:rsidP="00A21BAE">
            <w:pPr>
              <w:rPr>
                <w:rFonts w:cstheme="minorHAnsi"/>
                <w:lang w:val="en-US"/>
              </w:rPr>
            </w:pPr>
          </w:p>
        </w:tc>
        <w:tc>
          <w:tcPr>
            <w:tcW w:w="1642" w:type="dxa"/>
            <w:tcBorders>
              <w:top w:val="single" w:sz="4" w:space="0" w:color="auto"/>
              <w:left w:val="single" w:sz="4" w:space="0" w:color="auto"/>
              <w:bottom w:val="single" w:sz="4" w:space="0" w:color="auto"/>
              <w:right w:val="single" w:sz="4" w:space="0" w:color="auto"/>
            </w:tcBorders>
          </w:tcPr>
          <w:p w14:paraId="68D2219A" w14:textId="77777777" w:rsidR="00401E72" w:rsidRDefault="00401E72" w:rsidP="00A21BAE">
            <w:pPr>
              <w:rPr>
                <w:lang w:val="en-US"/>
              </w:rPr>
            </w:pPr>
            <w:r>
              <w:rPr>
                <w:lang w:val="en-US"/>
              </w:rPr>
              <w:t>Comprehensive discussion covering all key aspects (design, methods, data, sample, analysis).</w:t>
            </w:r>
          </w:p>
          <w:p w14:paraId="6060047C" w14:textId="77777777" w:rsidR="00401E72" w:rsidRDefault="00401E72" w:rsidP="00A21BAE">
            <w:pPr>
              <w:rPr>
                <w:rFonts w:cstheme="minorHAnsi"/>
                <w:lang w:val="en-US"/>
              </w:rPr>
            </w:pPr>
          </w:p>
        </w:tc>
      </w:tr>
    </w:tbl>
    <w:p w14:paraId="2AC92A30" w14:textId="77777777" w:rsidR="00401E72" w:rsidRPr="00B25D19" w:rsidRDefault="00401E72" w:rsidP="00401E72">
      <w:pPr>
        <w:rPr>
          <w:lang w:val="en-GB"/>
        </w:rPr>
      </w:pPr>
    </w:p>
    <w:p w14:paraId="02644F14" w14:textId="77777777" w:rsidR="00401E72" w:rsidRPr="00D44092" w:rsidRDefault="00401E72" w:rsidP="00401E72">
      <w:pPr>
        <w:pStyle w:val="Titre2"/>
        <w:rPr>
          <w:lang w:val="en-GB"/>
        </w:rPr>
      </w:pPr>
      <w:r w:rsidRPr="00D44092">
        <w:rPr>
          <w:lang w:val="en-GB"/>
        </w:rPr>
        <w:t>Table S4: List of networks and articles that presented them</w:t>
      </w:r>
    </w:p>
    <w:tbl>
      <w:tblPr>
        <w:tblStyle w:val="Grilledutableau"/>
        <w:tblW w:w="0" w:type="auto"/>
        <w:tblLook w:val="04A0" w:firstRow="1" w:lastRow="0" w:firstColumn="1" w:lastColumn="0" w:noHBand="0" w:noVBand="1"/>
      </w:tblPr>
      <w:tblGrid>
        <w:gridCol w:w="5933"/>
        <w:gridCol w:w="3129"/>
      </w:tblGrid>
      <w:tr w:rsidR="00401E72" w14:paraId="132ED1DC"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5D3A6B5C" w14:textId="77777777" w:rsidR="00401E72" w:rsidRPr="006057B4" w:rsidRDefault="00401E72" w:rsidP="00A21BAE">
            <w:pPr>
              <w:rPr>
                <w:b/>
                <w:bCs/>
              </w:rPr>
            </w:pPr>
            <w:r w:rsidRPr="006057B4">
              <w:rPr>
                <w:b/>
                <w:bCs/>
              </w:rPr>
              <w:t>Network</w:t>
            </w:r>
          </w:p>
        </w:tc>
        <w:tc>
          <w:tcPr>
            <w:tcW w:w="2546" w:type="dxa"/>
            <w:tcBorders>
              <w:top w:val="single" w:sz="4" w:space="0" w:color="auto"/>
              <w:left w:val="single" w:sz="4" w:space="0" w:color="auto"/>
              <w:bottom w:val="single" w:sz="4" w:space="0" w:color="auto"/>
              <w:right w:val="single" w:sz="4" w:space="0" w:color="auto"/>
            </w:tcBorders>
            <w:hideMark/>
          </w:tcPr>
          <w:p w14:paraId="25359200" w14:textId="77777777" w:rsidR="00401E72" w:rsidRPr="006057B4" w:rsidRDefault="00401E72" w:rsidP="00A21BAE">
            <w:pPr>
              <w:rPr>
                <w:b/>
                <w:bCs/>
              </w:rPr>
            </w:pPr>
            <w:r w:rsidRPr="006057B4">
              <w:rPr>
                <w:b/>
                <w:bCs/>
              </w:rPr>
              <w:t>References</w:t>
            </w:r>
          </w:p>
        </w:tc>
      </w:tr>
      <w:tr w:rsidR="00401E72" w14:paraId="1EC17623"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06359FD2" w14:textId="77777777" w:rsidR="00401E72" w:rsidRDefault="00401E72" w:rsidP="00A21BAE">
            <w:r>
              <w:t>Abruzzo</w:t>
            </w:r>
          </w:p>
        </w:tc>
        <w:tc>
          <w:tcPr>
            <w:tcW w:w="2546" w:type="dxa"/>
            <w:tcBorders>
              <w:top w:val="single" w:sz="4" w:space="0" w:color="auto"/>
              <w:left w:val="single" w:sz="4" w:space="0" w:color="auto"/>
              <w:bottom w:val="single" w:sz="4" w:space="0" w:color="auto"/>
              <w:right w:val="single" w:sz="4" w:space="0" w:color="auto"/>
            </w:tcBorders>
            <w:hideMark/>
          </w:tcPr>
          <w:p w14:paraId="5240E5EC" w14:textId="77777777" w:rsidR="00401E72" w:rsidRDefault="00401E72" w:rsidP="00A21BAE">
            <w:r>
              <w:fldChar w:fldCharType="begin"/>
            </w:r>
            <w:r>
              <w:instrText xml:space="preserve"> ADDIN ZOTERO_ITEM CSL_CITATION {"citationID":"SPwxwhzR","properties":{"formattedCitation":"(48,66\\uc0\\u8211{}73)","plainCitation":"(48,66–73)","noteIndex":0},"citationItems":[{"id":1548,"uris":["http://zotero.org/users/9294180/items/GF3QPIQR"],"itemData":{"id":1548,"type":"article-journal","container-title":"Academy of Management Proceedings","DOI":"10.5465/ambpp.2010.54494818","ISSN":"0065-0668, 2151-6561","issue":"1","journalAbbreviation":"AMPROC","language":"en","page":"1-6","source":"DOI.org (Crossref)","title":"UNDERSTANDING HOSPITAL PERFORMANCE: THE ROLE OF NETWORK TIES AND PATTERNS OF COMPETITION.","title-short":"UNDERSTANDING HOSPITAL PERFORMANCE","volume":"2011","author":[{"family":"Mascia","given":"Daniele"},{"family":"Di","given":"Fausto"}],"issued":{"date-parts":[["2011",8]]}}},{"id":1564,"uris":["http://zotero.org/users/9294180/items/2QP83N89"],"itemData":{"id":1564,"type":"article-journal","abstract":"Background: Policymakers stimulate competition in universalistic health-care systems while encouraging the formation of service provision networks among hospital organizations. This article addresses a gap in the extant literature by empirically analyzing simultaneous collaboration and competition between hospitals within the Italian National Health Service, where important procompetition reforms have been implemented.\nPurpose: To explore how rising competition between hospitals relates to their propensity to collaborate with other local providers.\nMethods: Longitudinal data on interhospital collaboration and competition collected in an Italian region from 2003 to 2007 are analyzed. Social network analysis techniques are applied to study the structure and dynamics of interhospital collaboration. Negative binomial regressions are employed to explore how interhospital competition relates to the collaborative network over time.\nResults: Competition among providers does not hinder interhospital collaboration. Collaboration is primarily local, with resource complementarity and differentials in the volume of activity and hospital performance explaining the propensity to collaborate.\nConclusions: Formation of collaborative networks among hospitals is not hampered by reforms aimed at fostering market forces. Because procompetition reforms elicit peculiar forms of managed competition in universalistic health systems, studies are needed to clarify whether the positive association between interhospital competition and collaboration can be generalized to other health-care settings.","container-title":"Health Policy","DOI":"10.1016/j.healthpol.2012.02.011","ISSN":"01688510","issue":"2-3","journalAbbreviation":"Health Policy","language":"en","license":"https://www.elsevier.com/tdm/userlicense/1.0/","page":"273-281","source":"DOI.org (Crossref)","title":"Dynamic analysis of interhospital collaboration and competition: Empirical evidence from an Italian regional health system","title-short":"Dynamic analysis of interhospital collaboration and competition","volume":"105","author":[{"family":"Mascia","given":"Daniele"},{"family":"Di Vincenzo","given":"Fausto"},{"family":"Cicchetti","given":"Americo"}],"issued":{"date-parts":[["2012",5]]}}},{"id":1563,"uris":["http://zotero.org/users/9294180/items/NJIR4H27"],"itemData":{"id":1563,"type":"article-journal","container-title":"Health Care Management Review","DOI":"10.1097/HMR.0b013e31824ccab8","ISSN":"0361-6274","issue":"3","language":"en","page":"234-247","source":"DOI.org (Crossref)","title":"Dynamics of hospital competition: Social network analysis in the Italian National Health Service","title-short":"Dynamics of hospital competition","volume":"38","author":[{"family":"Mascia","given":"Daniele"},{"family":"Di Vincenzo","given":"Fausto"}],"issued":{"date-parts":[["2013",7]]}}},{"id":1566,"uris":["http://zotero.org/users/9294180/items/EQ37JWB5"],"itemData":{"id":1566,"type":"article-journal","abstract":"Objectives: We examine the dynamics of patient-sharing relations within an Italian regional community of 35 hospitals serving approximately 1,300,000 people. We test whether interorganizational relations provide individual patients access to higher quality providers of care. Research Design and Methods: We reconstruct the complete temporal sequence of the 3461 consecutive interhospital patientsharing events observed between each pair of hospitals in the community during 2005–2008. We distinguish between transfers occurring between and within different medical specialties. We estimate newly derived models for relational event sequences that allow us to control for the most common forms of network-like dependencies that are known to characterize collaborative relations between hospitals. We use 45-day risk-adjusted readmission rate as a proxy for hospital quality.\nResults: After controls (eg, geographical distance, size, and the existence of prior collaborative relations), we ﬁnd that patients ﬂow from less to more capable hospitals. We show that this result holds for patient being shared both between as well as within medical specialties. Nonetheless there are strong and persistent other organizational and relational effects driving transfers.\nConclusions: Decentralized patient-sharing decisions taken by the 35 hospitals give rise to a system of collaborative interorganizational arrangements that allow the patient to access hospitals de-","container-title":"Medical Care","DOI":"10.1097/MLR.0000000000000107","ISSN":"0025-7079","issue":"5","language":"en","page":"407-414","source":"DOI.org (Crossref)","title":"Quality of Care and Interhospital Collaboration: A Study of Patient Transfers in Italy","title-short":"Quality of Care and Interhospital Collaboration","volume":"52","author":[{"family":"Lomi","given":"Alessandro"},{"family":"Mascia","given":"Daniele"},{"family":"Vu","given":"Duy Quang"},{"family":"Pallotti","given":"Francesca"},{"family":"Conaldi","given":"Guido"},{"family":"Iwashyna","given":"Theodore J."}],"issued":{"date-parts":[["2014",5]]}}},{"id":1562,"uris":["http://zotero.org/users/9294180/items/6A3JAYDJ"],"itemData":{"id":1562,"type":"article-journal","abstract":"Previous studies have shown that referral networks encompass important mechanisms of coordination and integration among hospitals, which enhance numerous organizational-level beneﬁts, such as productivity, efﬁciency, and quality of care. The present study advances previous research by demonstrating how hospital referral networks inﬂuence patient readmissions. Data include 360,697 hospitalization events within a regional community of hospitals in the Italian National Health Service. Multilevel hierarchical regression analysis tests the impacts of referral networks' structural characteristics on patient hospital readmissions. The results demonstrate that organizational centrality in the overall referral network and ego-network density have opposing effects on the likelihood of readmission events within hospitals; greater centrality is negatively associated with readmissions, whereas greater ego-network density increases the likelihood of readmission events. Our ﬁndings support the (re)organization of healthcare systems and provide important indications for policymakers and practitioners.","container-title":"Social Science &amp; Medicine","DOI":"10.1016/j.socscimed.2015.03.029","ISSN":"02779536","journalAbbreviation":"Social Science &amp; Medicine","language":"en","page":"113-121","source":"DOI.org (Crossref)","title":"Effect of hospital referral networks on patient readmissions","volume":"132","author":[{"family":"Mascia","given":"Daniele"},{"family":"Angeli","given":"Federica"},{"family":"Di Vincenzo","given":"Fausto"}],"issued":{"date-parts":[["2015",5]]}}},{"id":1547,"uris":["http://zotero.org/users/9294180/items/CB6UG7AG"],"itemData":{"id":1547,"type":"article-journal","abstract":"Patients transfers are an essential routine in care supplying and are considered a crucial form of inter-hospital collaboration in any Regional Health System. Previous organizational studies about the phenomenon adopted the resource dependency theory, demonstrating that transfers occur for because resources are not homogenously distributed between hospitals. More recently, it has been observed that patient transfers are driven by complex system of determinants and not only by the lack of resources. This paper, adopting a geographical view, observed that the theoretical lens of proximity are useful to better understand the phenomenon. Analyzing data on the patients transfers between the 35 hospitals of Abruzzo (Italy) Regional Health System through Multiple Regression-Quadratic Assignment Procedure, the study demonstrated that the different dimensions of proximity have a signiﬁcant impact on the inter-hospitals patients transfers. Policy makers, health care executives and health geographers may take into account these logics in designing the territorial system of care.","container-title":"GeoJournal","DOI":"10.1007/s10708-015-9662-2","ISSN":"0343-2521, 1572-9893","issue":"5","journalAbbreviation":"GeoJournal","language":"en","page":"771-778","source":"DOI.org (Crossref)","title":"The geographics of patients transfers: the case of an Italian Regional Health System","title-short":"The geographics of patients transfers","volume":"81","author":[{"family":"Evangelista","given":"Valentina"}],"issued":{"date-parts":[["2015"]]}}},{"id":1577,"uris":["http://zotero.org/users/9294180/items/TD59GFHC"],"itemData":{"id":1577,"type":"article-journal","container-title":"American Journal of Sociology","DOI":"10.1086/693704","ISSN":"0002-9602, 1537-5390","issue":"3","journalAbbreviation":"American Journal of Sociology","language":"en","page":"850-910","source":"DOI.org (Crossref)","title":"Investigating the Temporal Dynamics of Interorganizational Exchange: Patient Transfers among Italian Hospitals","title-short":"Investigating the Temporal Dynamics of Interorganizational Exchange","volume":"123","author":[{"family":"Kitts","given":"James A."},{"family":"Lomi","given":"Alessandro"},{"family":"Mascia","given":"Daniele"},{"family":"Pallotti","given":"Francesca"},{"family":"Quintane","given":"Eric"}],"issued":{"date-parts":[["2017",11]]}},"locator":"201"},{"id":1610,"uris":["http://zotero.org/users/9294180/items/9Z2IDX5W"],"itemData":{"id":1610,"type":"article-journal","abstract":"The main objective of this paper is to introduce and illustrate relational event models, a new class of statistical models for the analysis of time‐stamped data with complex temporal and relational dependencies. We outline the main differences between recently proposed relational event models and more conventional network models based on the graph‐theoretic formalism typically adopted in empirical studies of social networks. Our main contribution involves the definition and implementation of a marked point process extension of currently available models. According to this approach, the sequence of events of interest is decomposed into two components: (a) event time and (b) event destination. This decomposition transforms the problem of selection of event destination in relational event models into a conditional multinomial logistic regression problem. The main advantages of this formulation are the possibility of controlling for the effect of event‐specific data and a significant reduction in the estimation time of currently available relational event models. We demonstrate the empirical value of the model in an analysis of interhospital patient transfers within a regional community of health care organizations. We conclude with a discussion of how the models we presented help to overcome some the limitations of statistical models for networks that are currently available. Copyright © 2017 John Wiley &amp; Sons, Ltd.","container-title":"Statistics in Medicine","DOI":"10.1002/sim.7247","ISSN":"0277-6715, 1097-0258","issue":"14","journalAbbreviation":"Statistics in Medicine","language":"en","license":"http://onlinelibrary.wiley.com/termsAndConditions#am","page":"2265-2287","source":"DOI.org (Crossref)","title":"Relational event models for longitudinal network data with an application to interhospital patient transfers","volume":"36","author":[{"family":"Vu","given":"Duy"},{"family":"Lomi","given":"Alessandro"},{"family":"Mascia","given":"Daniele"},{"family":"Pallotti","given":"Francesca"}],"issued":{"date-parts":[["2017",6,30]]}}},{"id":1590,"uris":["http://zotero.org/users/9294180/items/IFYSNUR3"],"itemData":{"id":1590,"type":"article-journal","abstract":"Background: Despite an extensive body of knowledge exists on network outcomes and on how hospital network structures may contribute to the creation of outcomes at different levels of analysis, less attention has been paid to understanding how and why hospital organizational networks evolve and change. The aim of this paper is to study the dynamics of networking behaviors of hospital organizations.\nMethods: Stochastic actor-based model for network dynamics was used to quantitatively examine data covering six-years of patient transfer relations among 35 hospital organizations. Specifically, the study investigated about determinants of patient transfer evolution modeling partner selection choice as a combination of multiple organizational attributes and endogenous network-based processes.\nResults: The results indicate that having overlapping specialties and treating patients with the same case-mix decrease the likelihood of observing network ties between hospitals. Also, results revealed as geographical proximity and membership of the same LHA have a positive impact on the networking behavior of hospitals organizations, there is a propensity in the network to choose larger hospitals as partners, and to transfer patients between hospitals facing similar levels of operational uncertainty.\nConclusions: Organizational attributes (overlapping specialties and case-mix), institutional factors (LHA), and geographical proximity matter in the formation and shaping of hospital networks over time. Managers can benefit from the use of these findings by clearly identifying the role and strategic positioning of their hospital with respect to the entire network. Social network analysis can yield novel information and also aid policy makers in the formation of interventions, encouraging alliances among providers as well as planning health system restructuring.","container-title":"BMC Health Services Research","DOI":"10.1186/s12913-018-3144-4","ISSN":"1472-6963","issue":"1","journalAbbreviation":"BMC Health Serv Res","language":"en","page":"334","source":"DOI.org (Crossref)","title":"Exploring the networking behaviors of hospital organizations","volume":"18","author":[{"family":"Di Vincenzo","given":"Fausto"}],"issued":{"date-parts":[["2018",12]]}}}],"schema":"https://github.com/citation-style-language/schema/raw/master/csl-citation.json"} </w:instrText>
            </w:r>
            <w:r>
              <w:fldChar w:fldCharType="separate"/>
            </w:r>
            <w:r w:rsidRPr="00EF2F5A">
              <w:rPr>
                <w:rFonts w:cs="Calibri"/>
              </w:rPr>
              <w:t>(48,66–73)</w:t>
            </w:r>
            <w:r>
              <w:fldChar w:fldCharType="end"/>
            </w:r>
          </w:p>
        </w:tc>
      </w:tr>
      <w:tr w:rsidR="00401E72" w14:paraId="73C4D352"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7EDDE9AA" w14:textId="77777777" w:rsidR="00401E72" w:rsidRDefault="00401E72" w:rsidP="00A21BAE">
            <w:r>
              <w:t>Atlanta</w:t>
            </w:r>
          </w:p>
        </w:tc>
        <w:tc>
          <w:tcPr>
            <w:tcW w:w="2546" w:type="dxa"/>
            <w:tcBorders>
              <w:top w:val="single" w:sz="4" w:space="0" w:color="auto"/>
              <w:left w:val="single" w:sz="4" w:space="0" w:color="auto"/>
              <w:bottom w:val="single" w:sz="4" w:space="0" w:color="auto"/>
              <w:right w:val="single" w:sz="4" w:space="0" w:color="auto"/>
            </w:tcBorders>
            <w:hideMark/>
          </w:tcPr>
          <w:p w14:paraId="225A0D81" w14:textId="77777777" w:rsidR="00401E72" w:rsidRDefault="00401E72" w:rsidP="00A21BAE">
            <w:r>
              <w:fldChar w:fldCharType="begin"/>
            </w:r>
            <w:r>
              <w:instrText xml:space="preserve"> ADDIN ZOTERO_ITEM CSL_CITATION {"citationID":"UVpjiswL","properties":{"formattedCitation":"(49)","plainCitation":"(49)","noteIndex":0},"citationItems":[{"id":1598,"uris":["http://zotero.org/users/9294180/items/HJ7CXERZ"],"itemData":{"id":1598,"type":"article-journal","abstract":"Background. Carbapenem-resistant Enterobacteriaceae (CRE) are an urgent threat with potential for rapid spread. We evaluated the role of Medicare patient movement between facilities to model the spread of CRE within a region.\nMethods.  Through population-based CRE surveillance in the 8-county Atlanta (GA) metropolitan area, all Escherichia coli, Enterobacter spp., or Klebsiella spp. resistant to ≥1 carbapenem were reported from residents. CRE was attributed to a facility based on timing of culture and facility exposures. Centrality metrics were calculated from 2016 Medicare data and compared to CREtransfer derived centrality metrics by Spearman correlation.\nResults.  During 2016, 283 incident CRE cases with concurrent or prior year facility stays were identified; cases were attributed mostly to acute care hospitals (ACHs; 141, 50%) and skilled nursing facilities (SNFs; 113, 40%), and less frequently to long-term acute care hospitals (LTACHs; 29, 10%). Attribution was widespread, originating at 17 of 20 ACHs (85%), 7 of 8 (88%) LTACHs, but only 35 of 65 (54%) SNFs. Betweenness of Medicare patient transfers strongly correlated with betweenness of CRE case-transfer data in ACHs (r = 0.75; P &lt; .01) and LTACHs (r = 0.77; P = .03), but not in SNFs (r = 0.02; P = 0.85). We noted 6 SNFs with high CREderived betweenness but low Medicare-derived betweenness.\nConclusions.  CRE infections originate from almost all ACHs and half of SNFs. We identified a subset of SNFs central to the CRE transfer network but not the Medicare transfer network; other factors may explain CRE patient movement in these facilities.","container-title":"Clinical Infectious Diseases","DOI":"10.1093/cid/ciz154","ISSN":"1058-4838, 1537-6591","issue":"1","language":"en","license":"https://academic.oup.com/journals/pages/open_access/funder_policies/chorus/standard_publication_model","page":"75-81","source":"DOI.org (Crossref)","title":"Evaluating Movement of Patients With Carbapenem-resistant &lt;i&gt;Enterobacteriaceae&lt;/i&gt; Infections in the Greater Atlanta Metropolitan Area Using Social Network Analysis","volume":"70","author":[{"family":"Bower","given":"Chris W"},{"family":"Fridkin","given":"Cass"},{"family":"Wolford","given":"Hannah M"},{"family":"Slayton","given":"Rachel B"},{"family":"Kubes","given":"Julianne N"},{"family":"Jacob","given":"Jesse T"},{"family":"Ray","given":"Susan M"},{"family":"Fridkin","given":"Scott K"}],"issued":{"date-parts":[["2020",1,1]]}}}],"schema":"https://github.com/citation-style-language/schema/raw/master/csl-citation.json"} </w:instrText>
            </w:r>
            <w:r>
              <w:fldChar w:fldCharType="separate"/>
            </w:r>
            <w:r w:rsidRPr="00735B0C">
              <w:t>(49)</w:t>
            </w:r>
            <w:r>
              <w:fldChar w:fldCharType="end"/>
            </w:r>
          </w:p>
        </w:tc>
      </w:tr>
      <w:tr w:rsidR="00401E72" w14:paraId="5656EAB4"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60EBD93D" w14:textId="77777777" w:rsidR="00401E72" w:rsidRDefault="00401E72" w:rsidP="00A21BAE">
            <w:r>
              <w:t>Bavaria</w:t>
            </w:r>
          </w:p>
        </w:tc>
        <w:tc>
          <w:tcPr>
            <w:tcW w:w="2546" w:type="dxa"/>
            <w:tcBorders>
              <w:top w:val="single" w:sz="4" w:space="0" w:color="auto"/>
              <w:left w:val="single" w:sz="4" w:space="0" w:color="auto"/>
              <w:bottom w:val="single" w:sz="4" w:space="0" w:color="auto"/>
              <w:right w:val="single" w:sz="4" w:space="0" w:color="auto"/>
            </w:tcBorders>
            <w:hideMark/>
          </w:tcPr>
          <w:p w14:paraId="52F9DB17" w14:textId="77777777" w:rsidR="00401E72" w:rsidRDefault="00401E72" w:rsidP="00A21BAE">
            <w:r>
              <w:fldChar w:fldCharType="begin"/>
            </w:r>
            <w:r>
              <w:instrText xml:space="preserve"> ADDIN ZOTERO_ITEM CSL_CITATION {"citationID":"yPNfEVoU","properties":{"formattedCitation":"(27,28)","plainCitation":"(27,28)","noteIndex":0},"citationItems":[{"id":1609,"uris":["http://zotero.org/users/9294180/items/IJRM8Y3L"],"itemData":{"id":1609,"type":"article-journal","abstract":"In the year 2020, there were 105 different statutory insurance companies in Germany with heterogeneous regional coverage. Obtaining data from all insurance companies is challenging, so that it is likely that projects will have to rely on data not covering the whole population. Consequently, the study of epidemic spread in hospital referral networks using data-driven models may be biased. We studied this bias using data from three German regional insurance companies covering four federal states: AOK (historically “general local health insurance company”, but currently only the abbreviation is used) Lower Saxony (in Federal State of Lower Saxony), AOK Bavaria (in Bavaria), and AOK PLUS (in Thuringia and Saxony). To understand how incomplete data influence network characteristics and related epidemic simulations, we created sampled datasets by randomly dropping a proportion of patients from the full datasets and replacing them with random copies of the remaining patients to obtain scale-up datasets to the original size. For the sampled and scale-up datasets, we calculated several commonly used network measures, and compared them to those derived from the original data. We found that the network measures (degree, strength and closeness) were rather sensitive to incompleteness. Infection prevalence as an outcome from the applied susceptible-infectious-susceptible (SIS) model was fairly robust against incompleteness. At incompleteness levels as high as 90% of the original datasets the prevalence estimation bias was below 5% in scale-up datasets. Consequently, a coverage as low as 10% of the local population of the federal state population was sufficient to maintain the relative bias in prevalence below 10% for a wide range of transmission parameters as encountered in clinical settings. Our findings are reassuring that despite incomplete coverage of the population, German health insurance data can be used to study effects of patient traffic between institutions on the spread of pathogens within healthcare networks.","container-title":"PLOS Computational Biology","DOI":"10.1371/journal.pcbi.1008941","ISSN":"1553-7358","issue":"5","journalAbbreviation":"PLoS Comput Biol","language":"en","page":"e1008941","source":"DOI.org (Crossref)","title":"Effects of incomplete inter-hospital network data on the assessment of transmission dynamics of hospital-acquired infections","volume":"17","author":[{"family":"Xia","given":"Hanjue"},{"family":"Horn","given":"Johannes"},{"family":"Piotrowska","given":"Monika J."},{"family":"Sakowski","given":"Konrad"},{"family":"Karch","given":"André"},{"family":"Tahir","given":"Hannan"},{"family":"Kretzschmar","given":"Mirjam"},{"family":"Mikolajczyk","given":"Rafael"}],"editor":[{"family":"Althouse","given":"Benjamin Muir"}],"issued":{"date-parts":[["2021",5,6]]}}},{"id":1608,"uris":["http://zotero.org/users/9294180/items/QVDJUTFV"],"itemData":{"id":1608,"type":"article-journal","abstract":"Abstract\n            Pathogens typically responsible for hospital-acquired infections (HAIs) constitute a major threat to healthcare systems worldwide. They spread via hospital (or hospital-community) networks by readmissions or patient transfers. Therefore, knowledge of these networks is essential to develop and test strategies to mitigate and control the HAI spread. Until now, no methods for comparing healthcare networks across different systems were proposed. Based on healthcare insurance data from four German federal states (Bavaria, Lower Saxony, Saxony and Thuringia), we constructed hospital networks and compared them in a systematic approach regarding population, hospital characteristics, and patient transfer patterns. Direct patient transfers between hospitals had only a limited impact on HAI spread. Whereas, with low colonization clearance rates, readmissions to the same hospitals posed the biggest transmission risk of all inter-hospital transfers. We then generated hospital-community networks, in which patients either stay in communities or in hospitals. We found that network characteristics affect the final prevalence and the time to reach it. However, depending on the characteristics of the pathogen (colonization clearance rate and transmission rate or even the relationship between transmission rate in hospitals and in the community), the studied networks performed differently. The differences were not large, but justify further studies.","container-title":"Scientific Reports","DOI":"10.1038/s41598-023-50873-z","ISSN":"2045-2322","issue":"1","journalAbbreviation":"Sci Rep","language":"en","page":"929","source":"DOI.org (Crossref)","title":"Regional patient transfer patterns matter for the spread of hospital-acquired pathogens","volume":"14","author":[{"family":"Xia","given":"Hanjue"},{"family":"Horn","given":"Johannes"},{"family":"Piotrowska","given":"Monika J."},{"family":"Sakowski","given":"Konrad"},{"family":"Karch","given":"André"},{"family":"Kretzschmar","given":"Mirjam"},{"family":"Mikolajczyk","given":"Rafael"}],"issued":{"date-parts":[["2024",1,9]]}}}],"schema":"https://github.com/citation-style-language/schema/raw/master/csl-citation.json"} </w:instrText>
            </w:r>
            <w:r>
              <w:fldChar w:fldCharType="separate"/>
            </w:r>
            <w:r w:rsidRPr="00374BD7">
              <w:rPr>
                <w:rFonts w:cs="Calibri"/>
              </w:rPr>
              <w:t>(27,28)</w:t>
            </w:r>
            <w:r>
              <w:fldChar w:fldCharType="end"/>
            </w:r>
          </w:p>
        </w:tc>
      </w:tr>
      <w:tr w:rsidR="00401E72" w14:paraId="0E096D8D"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5F76E410" w14:textId="77777777" w:rsidR="00401E72" w:rsidRDefault="00401E72" w:rsidP="00A21BAE">
            <w:r>
              <w:t>Berlin</w:t>
            </w:r>
          </w:p>
        </w:tc>
        <w:tc>
          <w:tcPr>
            <w:tcW w:w="2546" w:type="dxa"/>
            <w:tcBorders>
              <w:top w:val="single" w:sz="4" w:space="0" w:color="auto"/>
              <w:left w:val="single" w:sz="4" w:space="0" w:color="auto"/>
              <w:bottom w:val="single" w:sz="4" w:space="0" w:color="auto"/>
              <w:right w:val="single" w:sz="4" w:space="0" w:color="auto"/>
            </w:tcBorders>
            <w:hideMark/>
          </w:tcPr>
          <w:p w14:paraId="6F18307F" w14:textId="77777777" w:rsidR="00401E72" w:rsidRDefault="00401E72" w:rsidP="00A21BAE">
            <w:r>
              <w:fldChar w:fldCharType="begin"/>
            </w:r>
            <w:r>
              <w:instrText xml:space="preserve"> ADDIN ZOTERO_ITEM CSL_CITATION {"citationID":"3qV2lxzb","properties":{"formattedCitation":"(26)","plainCitation":"(26)","noteIndex":0},"citationItems":[{"id":1617,"uris":["http://zotero.org/users/9294180/items/7BP7YMFD"],"itemData":{"id":1617,"type":"article-journal","abstract":"The aim of this study is to analyze patient movement patterns between hospital departments to derive the underlying intra-hospital movement network, and to assess if movement patterns differ between patients at high or low risk of colonization. For that purpose, we analyzed patient electronic medical record data from five hospitals to extract information on risk stratification and patient intra-hospital movements. Movement patterns were visualized as networks, and network centrality measures were calculated. Next, using an agent-based model where agents represent patients and intra-hospital patient movements were explicitly modeled, we simulated the spread of multidrug resistant enterobacteriacae (MDR-E) inside a hospital. Risk stratification of patients according to certain ICD-10 codes revealed that length of stay, patient age, and mean number of movements per admission were higher in the high-risk groups. Movement networks in all hospitals displayed a high variability among departments concerning their network centrality and connectedness with a few highly connected departments and many weakly connected peripheral departments. Simulating the spread of a pathogen in one hospital network showed positive correlation between department prevalence and network centrality measures. This study highlights the importance of intra-hospital patient movements and their possible impact on pathogen spread. Targeting interventions to departments of higher (weighted) degree may help to control the spread of MDR-E. Moreover, when the colonization status of patients coming from different departments is unknown, a ranking system based on department centralities may be used to design more effective interventions that mitigate pathogen spread.","container-title":"PLOS Computational Biology","DOI":"10.1371/journal.pcbi.1008600","ISSN":"1553-7358","issue":"2","journalAbbreviation":"PLoS Comput Biol","language":"en","page":"e1008600","source":"DOI.org (Crossref)","title":"Relevance of intra-hospital patient movements for the spread of healthcare-associated infections within hospitals - a mathematical modeling study","volume":"17","author":[{"family":"Tahir","given":"Hannan"},{"family":"López-Cortés","given":"Luis Eduardo"},{"family":"Kola","given":"Axel"},{"family":"Yahav","given":"Dafna"},{"family":"Karch","given":"André"},{"family":"Xia","given":"Hanjue"},{"family":"Horn","given":"Johannes"},{"family":"Sakowski","given":"Konrad"},{"family":"Piotrowska","given":"Monika J."},{"family":"Leibovici","given":"Leonard"},{"family":"Mikolajczyk","given":"Rafael T."},{"family":"Kretzschmar","given":"Mirjam E."}],"editor":[{"family":"Kouyos","given":"Roger Dimitri"}],"issued":{"date-parts":[["2021",2,3]]}}}],"schema":"https://github.com/citation-style-language/schema/raw/master/csl-citation.json"} </w:instrText>
            </w:r>
            <w:r>
              <w:fldChar w:fldCharType="separate"/>
            </w:r>
            <w:r w:rsidRPr="00374BD7">
              <w:rPr>
                <w:rFonts w:cs="Calibri"/>
              </w:rPr>
              <w:t>(26)</w:t>
            </w:r>
            <w:r>
              <w:fldChar w:fldCharType="end"/>
            </w:r>
          </w:p>
        </w:tc>
      </w:tr>
      <w:tr w:rsidR="00401E72" w14:paraId="596ED9FE"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1ABC85FA" w14:textId="77777777" w:rsidR="00401E72" w:rsidRDefault="00401E72" w:rsidP="00A21BAE">
            <w:pPr>
              <w:rPr>
                <w:lang w:val="en-US"/>
              </w:rPr>
            </w:pPr>
            <w:r>
              <w:rPr>
                <w:lang w:val="en-US"/>
              </w:rPr>
              <w:t>California-a</w:t>
            </w:r>
          </w:p>
        </w:tc>
        <w:tc>
          <w:tcPr>
            <w:tcW w:w="2546" w:type="dxa"/>
            <w:tcBorders>
              <w:top w:val="single" w:sz="4" w:space="0" w:color="auto"/>
              <w:left w:val="single" w:sz="4" w:space="0" w:color="auto"/>
              <w:bottom w:val="single" w:sz="4" w:space="0" w:color="auto"/>
              <w:right w:val="single" w:sz="4" w:space="0" w:color="auto"/>
            </w:tcBorders>
            <w:hideMark/>
          </w:tcPr>
          <w:p w14:paraId="4D6C93CC" w14:textId="77777777" w:rsidR="00401E72" w:rsidRDefault="00401E72" w:rsidP="00A21BAE">
            <w:r>
              <w:fldChar w:fldCharType="begin"/>
            </w:r>
            <w:r>
              <w:rPr>
                <w:lang w:val="en-US"/>
              </w:rPr>
              <w:instrText xml:space="preserve"> ADDIN ZOTERO_ITEM CSL_CITATION {"citationID":"IAUOpUqe","properties":{"formattedCitation":"(23,74,75)","plainCitation":"(23,74,75)","noteIndex":0},"citationItems":[{"id":1551,"uris":["http://zotero.org/users/9294180/items/6ZYY4H2Y"],"itemData":{"id":1551,"type":"article-journal","abstract":"OBJECTIVE\n              \n                To determine the effect of interhospital patient sharing via transfers on the rate of\n                Clostridium difficile\n                infections in a hospital.\n              \n            \n            \n              DESIGN\n              Retrospective cohort.\n            \n            \n              METHODS\n              \n                Using data from the Healthcare Cost and Utilization Project California State Inpatient Database, 2005–2011, we identified 2,752,639 transfers. We then constructed a series of networks detailing the connections formed by hospitals. We computed 2 measures of connectivity, indegree and weighted indegree, measuring the number of hospitals from which transfers into a hospital arrive, and the total number of incoming transfers, respectively. Next, we estimated a multivariate model of\n                C. difficile\n                infection cases using the log-transformed network measures as well as covariates for hospital fixed effects, log median length of stay, log fraction of patients aged 65 or older, and quarter and year indicators as predictors.\n              \n            \n            \n              RESULTS\n              \n                We found an increase of 1 in the log indegree was associated with a 4.8% increase in incidence of\n                C. difficile\n                infection (95% CI, 2.3%–7.4%) and an increase of 1 in log weighted indegree was associated with a 3.3% increase in\n                C. difficile\n                infection incidence (1.5%–5.2%). Moreover, including measures of connectivity in our models greatly improved their fit.\n              \n            \n            \n              CONCLUSIONS\n              Our results suggest infection control is not under the exclusive control of a given hospital but is also influenced by the connections and number of connections that hospitals have with other hospitals.\n              \n                Infect. Control Hosp. Epidemiol.\n                2015;36(9):1031–1037","container-title":"Infection Control &amp; Hospital Epidemiology","DOI":"10.1017/ice.2015.130","ISSN":"0899-823X, 1559-6834","issue":"9","journalAbbreviation":"Infect. Control Hosp. Epidemiol.","language":"en","license":"https://www.cambridge.org/core/terms","page":"1031-1037","source":"DOI.org (Crossref)","title":"Hospital Transfer Network Structure as a Risk Factor for &lt;i&gt;Clostridium difficile&lt;/i&gt; Infection","volume":"36","author":[{"family":"Simmering","given":"Jacob E."},{"family":"Polgreen","given":"Linnea A."},{"family":"Campbell","given":"David R."},{"family":"Cavanaugh","given":"Joseph E."},{"family":"Polgreen","given":"Philip M."}],"issued":{"date-parts":[["2015",9]]}}},{"id":1552,"uris":["http://zotero.org/users/9294180/items/46EXJ4TG"],"itemData":{"id":1552,"type":"article-journal","abstract":"Objective: To estimate the burden of Clostridium difficile infections (CDIs) due to interfacility patient sharing at regional and hospital levels. Design: Retrospective observational study.\nMethods: We used data from the Healthcare Cost and Utilization Project California State Inpatient Database (2005–2011) to identify 26,878,498 admissions and 532,925 patient transfers. We constructed a weighted, directed network among the hospitals by defining an edge between 2 hospitals to be the monthly average number of patients discharged from one hospital and admitted to another on the same day. We then used a network autocorrelation model to study the effect of the patient sharing network on the monthly average number of CDI cases per hospital, and we estimated the proportion of CDI cases attributable to the network.\nResults: We found that 13% (95% confidence interval [CI], 7.6%–18%) of CDI cases were due to diffusion through the patient-sharing network. The network autocorrelation parameter was estimated at 5.0 (95% CI, 3.0–6.9). An increase in the number of patients transferred into and/or an increased CDI rate at the hospitals from which those patients originated led to an increase in the number of CDIs in the receiving hospital.\nConclusions: A minority but substantial burden of CDI infections are attributable to hospital transfers. A hospital’s infection control may thus be nontrivially influenced by its neighboring hospitals. This work adds to the growing body of evidence that intervention strategies designed to minimize HAIs should be done at the regional rather than local level.","container-title":"Infection Control &amp; Hospital Epidemiology","DOI":"10.1017/ice.2019.73","ISSN":"0899-823X, 1559-6834","issue":"6","journalAbbreviation":"Infect. Control Hosp. Epidemiol.","language":"en","license":"https://www.cambridge.org/core/terms","page":"656-661","source":"DOI.org (Crossref)","title":"Estimating the Attributable Disease Burden and Effects of Interhospital Patient Sharing on &lt;i&gt;Clostridium difficile&lt;/i&gt; Infections","volume":"40","author":[{"family":"Sewell","given":"Daniel K."},{"family":"Simmering","given":"Jacob E."},{"family":"Justice","given":"Samuel"},{"family":"Pemmaraju","given":"Sriram V."},{"family":"Segre","given":"Alberto M."},{"family":"Polgreen","given":"Philip M."}],"issued":{"date-parts":[["2019",6]]}}},{"id":1410,"uris":["http://zotero.org/users/9294180/items/ZI9436LR"],"itemData":{"id":1410,"type":"article-journal","abstract":"Constructing accurate patient transfer networks between hospitals is critical for understanding the spread of healthcare associated infections through statistical and mathematical modeling, and for determining optimal screening and treatment strategies. The Healthcare Cost &amp; Utilization Project (HCUP) State Inpatient Databases (SID) provide valuable information on patient transfers from publicly obtainable claims databases, yet often give an incomplete picture due to missingness of patient tracking identifiers. We designed a novel imputation algorithm that enabled us to estimate the true number of patient transfers between each pair of hospitals in a state over a specified time period and age group in the presence of these missing identifiers. We then validated the algorithm’s performance through a series of simulation experiments using the HCUP SID, and finally tested the algorithm on multiple states’ genuine data. Our proposed method significantly reduced the total mean squared error in predicting the true number of transfers amongst hospitals for all simulation experiments, and it also yielded epidemic simulations that more closely approximated those corresponding to the true patient transfer network.","container-title":"Health Services and Outcomes Research Methodology","DOI":"10.1007/s10742-021-00249-5","ISSN":"1572-9400","issue":"1","journalAbbreviation":"Health Serv Outcomes Res Method","language":"en","page":"1-15","source":"Springer Link","title":"Inferring patient transfer networks between healthcare facilities","volume":"22","author":[{"family":"Justice","given":"Samuel A."},{"family":"Sewell","given":"Daniel K."},{"family":"Miller","given":"Aaron C."},{"family":"Simmering","given":"Jacob E."},{"family":"Polgreen","given":"Philip M."},{"literal":"For the CDC MInD-Healthcare Program"}],"issued":{"date-parts":[["2022",3,1]]}}}],"schema":"https://github.com/citation-style-language/schema/raw/master/csl-citation.json"} </w:instrText>
            </w:r>
            <w:r>
              <w:fldChar w:fldCharType="separate"/>
            </w:r>
            <w:r w:rsidRPr="00EF2F5A">
              <w:rPr>
                <w:rFonts w:cs="Calibri"/>
              </w:rPr>
              <w:t>(23,74,75)</w:t>
            </w:r>
            <w:r>
              <w:fldChar w:fldCharType="end"/>
            </w:r>
          </w:p>
        </w:tc>
      </w:tr>
      <w:tr w:rsidR="00401E72" w14:paraId="2273A569"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0CADB9CC" w14:textId="77777777" w:rsidR="00401E72" w:rsidRDefault="00401E72" w:rsidP="00A21BAE">
            <w:r>
              <w:t>California-b</w:t>
            </w:r>
          </w:p>
        </w:tc>
        <w:tc>
          <w:tcPr>
            <w:tcW w:w="2546" w:type="dxa"/>
            <w:tcBorders>
              <w:top w:val="single" w:sz="4" w:space="0" w:color="auto"/>
              <w:left w:val="single" w:sz="4" w:space="0" w:color="auto"/>
              <w:bottom w:val="single" w:sz="4" w:space="0" w:color="auto"/>
              <w:right w:val="single" w:sz="4" w:space="0" w:color="auto"/>
            </w:tcBorders>
            <w:hideMark/>
          </w:tcPr>
          <w:p w14:paraId="7FBD7663" w14:textId="77777777" w:rsidR="00401E72" w:rsidRDefault="00401E72" w:rsidP="00A21BAE">
            <w:r>
              <w:fldChar w:fldCharType="begin"/>
            </w:r>
            <w:r>
              <w:instrText xml:space="preserve"> ADDIN ZOTERO_ITEM CSL_CITATION {"citationID":"x9iM93tl","properties":{"formattedCitation":"(76)","plainCitation":"(76)","noteIndex":0},"citationItems":[{"id":1581,"uris":["http://zotero.org/users/9294180/items/C8BVHNP9"],"itemData":{"id":1581,"type":"article-journal","abstract":"Carbapenem-resistant Klebsiella pneumoniae (CRKP) is an antibiotic resistance threat of the highest priority. Given the limited treatment options for this multidrug-resistant organism (MDRO), there is an urgent need for targeted strategies to prevent transmission. Here, we applied whole-genome sequencing to a comprehensive collection of clinical isolates to reconstruct regional transmission pathways and analyzed this transmission network in the context of statewide patient transfer data and patient-level clinical data to identify drivers of regional transmission. We found that high regional CRKP burdens were due to a small number of regional introductions, with subsequent regional proliferation occurring via patient transfers among health care facilities. While CRKP was predicted to have been imported into each facility multiple times, there was substantial variation in the ratio of intrafacility transmission events per importation, indicating that ampliﬁcation occurs unevenly across regional facilities. While myriad factors likely inﬂuence intrafacility transmission rates, an understudied one is the potential for clinical characteristics of colonized and infected patients to inﬂuence their propensity for transmission. Supporting the contribution of highrisk patients to elevated transmission rates, we observed that patients colonized and infected with CRKP in high-transmission facilities had higher rates of carbapenem use, malnutrition, and dialysis and were older. This report highlights the potential for regional infection prevention efforts that are grounded in genomic epidemiology to identify the patients and facilities that make the greatest contribution to regional MDRO prevalence, thereby facilitating the design of precision interventions of maximal impact.","container-title":"Antimicrobial Agents and Chemotherapy","DOI":"10.1128/AAC.01622-19","ISSN":"0066-4804, 1098-6596","issue":"11","journalAbbreviation":"Antimicrob Agents Chemother","language":"en","page":"e01622-19","source":"DOI.org (Crossref)","title":"Whole-Genome Sequencing To Identify Drivers of Carbapenem-Resistant Klebsiella pneumoniae Transmission within and between Regional Long-Term Acute-Care Hospitals","volume":"63","author":[{"family":"Han","given":"Jennifer H."},{"family":"Lapp","given":"Zena"},{"family":"Bushman","given":"Frederic"},{"family":"Lautenbach","given":"Ebbing"},{"family":"Goldstein","given":"Ellie J. C."},{"family":"Mattei","given":"Lisa"},{"family":"Hofstaedter","given":"Casey E."},{"family":"Kim","given":"Dorothy"},{"family":"Nachamkin","given":"Irving"},{"family":"Garrigan","given":"Charles"},{"family":"Jain","given":"Tanya"},{"family":"Bilker","given":"Warren"},{"family":"Wolford","given":"Hannah M."},{"family":"Slayton","given":"Rachel B."},{"family":"Wise","given":"Jacqueleen"},{"family":"Tolomeo","given":"Pam"},{"family":"Snitkin","given":"Evan S."}],"issued":{"date-parts":[["2019",11]]}}}],"schema":"https://github.com/citation-style-language/schema/raw/master/csl-citation.json"} </w:instrText>
            </w:r>
            <w:r>
              <w:fldChar w:fldCharType="separate"/>
            </w:r>
            <w:r w:rsidRPr="00EF2F5A">
              <w:rPr>
                <w:rFonts w:cs="Calibri"/>
              </w:rPr>
              <w:t>(76)</w:t>
            </w:r>
            <w:r>
              <w:fldChar w:fldCharType="end"/>
            </w:r>
          </w:p>
        </w:tc>
      </w:tr>
      <w:tr w:rsidR="00401E72" w14:paraId="3D757447"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499D60EB" w14:textId="77777777" w:rsidR="00401E72" w:rsidRDefault="00401E72" w:rsidP="00A21BAE">
            <w:pPr>
              <w:rPr>
                <w:highlight w:val="yellow"/>
              </w:rPr>
            </w:pPr>
            <w:r>
              <w:t>California-c</w:t>
            </w:r>
          </w:p>
        </w:tc>
        <w:tc>
          <w:tcPr>
            <w:tcW w:w="2546" w:type="dxa"/>
            <w:tcBorders>
              <w:top w:val="single" w:sz="4" w:space="0" w:color="auto"/>
              <w:left w:val="single" w:sz="4" w:space="0" w:color="auto"/>
              <w:bottom w:val="single" w:sz="4" w:space="0" w:color="auto"/>
              <w:right w:val="single" w:sz="4" w:space="0" w:color="auto"/>
            </w:tcBorders>
            <w:hideMark/>
          </w:tcPr>
          <w:p w14:paraId="359C04EB" w14:textId="77777777" w:rsidR="00401E72" w:rsidRDefault="00401E72" w:rsidP="00A21BAE">
            <w:r>
              <w:fldChar w:fldCharType="begin"/>
            </w:r>
            <w:r>
              <w:instrText xml:space="preserve"> ADDIN ZOTERO_ITEM CSL_CITATION {"citationID":"LrQszkrY","properties":{"formattedCitation":"(22)","plainCitation":"(22)","noteIndex":0},"citationItems":[{"id":1600,"uris":["http://zotero.org/users/9294180/items/IA9QGTA8"],"itemData":{"id":1600,"type":"article-journal","abstract":"Objective The interdependence of hospitals is underappreciated in patient outcomes studies. We used a network science approach to foreground this interdependence. Specifically, within two large state-based interhospital networks, we examined the relationship of a hospital’s network position with in-hospital mortality and length of stay.","container-title":"PLOS ONE","DOI":"10.1371/journal.pone.0281871","ISSN":"1932-6203","issue":"3","journalAbbreviation":"PLoS ONE","language":"en","page":"e0281871","source":"DOI.org (Crossref)","title":"Association of hospital centrality in inter-hospital patient-sharing networks with patient mortality and length of stay","volume":"18","author":[{"family":"Bergmark","given":"Regan W."},{"family":"Jin","given":"Ginger"},{"family":"Semco","given":"Robert S."},{"family":"Santolini","given":"Marc"},{"family":"Olsen","given":"Margaret A."},{"family":"Dhand","given":"Amar"}],"editor":[{"family":"Santulli","given":"Gaetano"}],"issued":{"date-parts":[["2023",3,15]]}}}],"schema":"https://github.com/citation-style-language/schema/raw/master/csl-citation.json"} </w:instrText>
            </w:r>
            <w:r>
              <w:fldChar w:fldCharType="separate"/>
            </w:r>
            <w:r w:rsidRPr="00374BD7">
              <w:rPr>
                <w:rFonts w:cs="Calibri"/>
              </w:rPr>
              <w:t>(22)</w:t>
            </w:r>
            <w:r>
              <w:fldChar w:fldCharType="end"/>
            </w:r>
          </w:p>
        </w:tc>
      </w:tr>
      <w:tr w:rsidR="00401E72" w14:paraId="43AE37D4"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5DFA9784" w14:textId="77777777" w:rsidR="00401E72" w:rsidRDefault="00401E72" w:rsidP="00A21BAE">
            <w:r>
              <w:t>Central Florida</w:t>
            </w:r>
          </w:p>
        </w:tc>
        <w:tc>
          <w:tcPr>
            <w:tcW w:w="2546" w:type="dxa"/>
            <w:tcBorders>
              <w:top w:val="single" w:sz="4" w:space="0" w:color="auto"/>
              <w:left w:val="single" w:sz="4" w:space="0" w:color="auto"/>
              <w:bottom w:val="single" w:sz="4" w:space="0" w:color="auto"/>
              <w:right w:val="single" w:sz="4" w:space="0" w:color="auto"/>
            </w:tcBorders>
            <w:hideMark/>
          </w:tcPr>
          <w:p w14:paraId="719386FB" w14:textId="77777777" w:rsidR="00401E72" w:rsidRDefault="00401E72" w:rsidP="00A21BAE">
            <w:r>
              <w:fldChar w:fldCharType="begin"/>
            </w:r>
            <w:r>
              <w:instrText xml:space="preserve"> ADDIN ZOTERO_ITEM CSL_CITATION {"citationID":"pXn2TPNp","properties":{"formattedCitation":"(25)","plainCitation":"(25)","noteIndex":0},"citationItems":[{"id":1427,"uris":["http://zotero.org/users/9294180/items/84VYZQV8"],"itemData":{"id":1427,"type":"article-journal","abstract":"OBJECTIVE: Multidrug-resistant organisms (MDROs) are continually emerging and threatening health care systems. Little attention has been paid to the effect of patient transfers on MDRO dissemination among health care entities in health care systems. In this study, the Florida Department of Health in Orange County (DOH-Orange) developed a baseline social network analysis of patient movement across health care entities in Orange County, Florida, and regionally, within 6 surrounding counties in Central Florida.\nMATERIALS AND METHODS: DOH-Orange constructed 2 directed network sociograms-graphic visualizations that show the direction of relationships (ie, county and regional)-by using 2016 health insurance data from the Centers for Medicare &amp; Medicaid Services, which include metrics that could be useful for local public health interventions, such as MDRO outbreaks.\nRESULTS: We found that both our county and regional networks were sparse and centralized. The county-level network showed that acute-care hospitals had the highest influence on controlling the flow of patients between health care entities that would otherwise not be connected. The regional-level network showed that post-acute-care hospitals and other facilities (behavioral hospitals and mental health/substance abuse facilities) served as the primary controls for flow of patients between health care entities. The most prominent health care entities in both networks were the same 2 acute-care hospitals.\nPRACTICE IMPLICATIONS: Social network analysis can help local public health officials respond to MDRO outbreak investigations by determining which health care facilities are the main contributors of dissemination of MDROs or are at high risk of receiving patients with MDROs. This information can help epidemiologists prioritize prevention efforts and develop county- or regional-specific interventions to control and halt MDRO transmission across a health care network.","container-title":"Public Health Reports (Washington, D.C.: 1974)","DOI":"10.1177/0033354920930213","ISSN":"1468-2877","issue":"4","journalAbbreviation":"Public Health Rep","language":"eng","note":"PMID: 32511940\nPMCID: PMC7383754","page":"452-460","source":"PubMed","title":"Social Network Analysis of Patient Movement Across Health Care Entities in Orange County, Florida","volume":"135","author":[{"family":"Rankin","given":"Danielle A."},{"family":"Matthews","given":"Sarah D."}],"issued":{"date-parts":[["2020"]]}}}],"schema":"https://github.com/citation-style-language/schema/raw/master/csl-citation.json"} </w:instrText>
            </w:r>
            <w:r>
              <w:fldChar w:fldCharType="separate"/>
            </w:r>
            <w:r w:rsidRPr="00374BD7">
              <w:rPr>
                <w:rFonts w:cs="Calibri"/>
              </w:rPr>
              <w:t>(25)</w:t>
            </w:r>
            <w:r>
              <w:fldChar w:fldCharType="end"/>
            </w:r>
          </w:p>
        </w:tc>
      </w:tr>
      <w:tr w:rsidR="00401E72" w:rsidRPr="00BF7426" w14:paraId="19D21B65" w14:textId="77777777" w:rsidTr="00A21BAE">
        <w:tc>
          <w:tcPr>
            <w:tcW w:w="6516" w:type="dxa"/>
            <w:tcBorders>
              <w:top w:val="single" w:sz="4" w:space="0" w:color="auto"/>
              <w:left w:val="single" w:sz="4" w:space="0" w:color="auto"/>
              <w:bottom w:val="single" w:sz="4" w:space="0" w:color="auto"/>
              <w:right w:val="single" w:sz="4" w:space="0" w:color="auto"/>
            </w:tcBorders>
          </w:tcPr>
          <w:p w14:paraId="0DA0A88B" w14:textId="77777777" w:rsidR="00401E72" w:rsidRDefault="00401E72" w:rsidP="00A21BAE">
            <w:r>
              <w:t>Connecticut</w:t>
            </w:r>
          </w:p>
        </w:tc>
        <w:tc>
          <w:tcPr>
            <w:tcW w:w="2546" w:type="dxa"/>
            <w:tcBorders>
              <w:top w:val="single" w:sz="4" w:space="0" w:color="auto"/>
              <w:left w:val="single" w:sz="4" w:space="0" w:color="auto"/>
              <w:bottom w:val="single" w:sz="4" w:space="0" w:color="auto"/>
              <w:right w:val="single" w:sz="4" w:space="0" w:color="auto"/>
            </w:tcBorders>
          </w:tcPr>
          <w:p w14:paraId="676E9EE1" w14:textId="77777777" w:rsidR="00401E72" w:rsidRPr="00BF7426" w:rsidRDefault="00401E72" w:rsidP="00A21BAE">
            <w:pPr>
              <w:rPr>
                <w:lang w:val="en-GB"/>
              </w:rPr>
            </w:pPr>
            <w:r>
              <w:fldChar w:fldCharType="begin"/>
            </w:r>
            <w:r>
              <w:instrText xml:space="preserve"> ADDIN ZOTERO_ITEM CSL_CITATION {"citationID":"F28rhuci","properties":{"formattedCitation":"(77)","plainCitation":"(77)","noteIndex":0},"citationItems":[{"id":2461,"uris":["http://zotero.org/users/9294180/items/DPINVMQC"],"itemData":{"id":2461,"type":"article-journal","abstract":"Carbapenem-resistant Enterobacterales (CRE) are among the most concerning antibiotic resistance threats due to high rates of multidrug resistance, transmissibility in health care settings, and high mortality rates. We evaluated the potential for regional genomic surveillance to track the spread of bla&lt;inf&gt;KPC&lt;/inf&gt;-carrying CRE (KPC-CRE) by using isolate collections from health care facilities in three U.S. states. Clinical isolates were collected from Connecticut (2017 to 2018), Minnesota (2012 to 2018), and Tennessee (2016 to 2017) through the U.S. Centers for Disease Control and Prevention’s Multi-site Gram-negative Surveillance Initiative (MuGSI) and additional surveillance. KPC-CRE isolates were whole-genome sequenced, yielding 255 isolates from 214 patients across 96 facilities. Case report data on patient comorbidities, facility exposures, and interfacility patient transfer were extracted. We observed that in Connecticut, most KPC-CRE isolates showed evidence of importation from outside the state, with limited local transmission. In Minnesota, cases were mainly from sporadic importation and transmission of bla&lt;inf&gt;KPC&lt;/inf&gt;-carrying Klebsiella pneumoniae ST258, and clonal expansion of bla&lt;inf&gt;KPC&lt;/inf&gt;-carrying Enterobacter hormaechei ST171, primarily at a single focal facility and its satellite facilities. In Tennessee, we observed transmission of diverse strains of bla&lt;inf&gt;KPC&lt;/inf&gt;-carrying Enterobacter and Klesbiella, with evidence that most derived from the local acquisition of bla&lt;inf&gt;KPC&lt;/inf&gt; plasmids circulating in an interconnected regional health care network. Thus, the underlying processes driving KPC-CRE burden can differ substantially across regions and can be discerned through regional genomic surveillance. This study provides proof of concept that integrating genomic data with information on interfacility patient transfers can provide insights into locations and drivers of regional KPC-CRE burden that can enable targeted interventions. © 2023 Elsevier B.V., All rights reserved.","archive":"Scopus","container-title":"Journal of Clinical Microbiology","DOI":"10.1128/jcm.00259-23","issue":"8","title":"Distinct Origins and Transmission Pathways of blaKPC Enterobacterales across Three U.S. States","URL":"https://www.scopus.com/inward/record.uri?eid=2-s2.0-85168788323&amp;doi=10.1128%2Fjcm.00259-23&amp;partnerID=40&amp;md5=08926a243e8980555510e5aafa00f032","volume":"61","author":[{"family":"Lapp","given":"Z."},{"family":"Octaria","given":"R."},{"family":"O’Malley","given":"S.M."},{"family":"Nguyen","given":"T.N."},{"family":"Wolford","given":"H."},{"family":"Crawford","given":"R."},{"family":"Moore","given":"C."},{"family":"Vagnone","given":"P.S."},{"family":"Noel","given":"D."},{"family":"Duffy","given":"N."}],"issued":{"date-parts":[["2023"]]}}}],"schema":"https://github.com/citation-style-language/schema/raw/master/csl-citation.json"} </w:instrText>
            </w:r>
            <w:r>
              <w:fldChar w:fldCharType="separate"/>
            </w:r>
            <w:r w:rsidRPr="00EF2F5A">
              <w:rPr>
                <w:rFonts w:cs="Calibri"/>
              </w:rPr>
              <w:t>(77)</w:t>
            </w:r>
            <w:r>
              <w:fldChar w:fldCharType="end"/>
            </w:r>
          </w:p>
        </w:tc>
      </w:tr>
      <w:tr w:rsidR="00401E72" w14:paraId="082C726B"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C71BC9F" w14:textId="77777777" w:rsidR="00401E72" w:rsidRDefault="00401E72" w:rsidP="00A21BAE">
            <w:r>
              <w:t>Debrecen</w:t>
            </w:r>
          </w:p>
        </w:tc>
        <w:tc>
          <w:tcPr>
            <w:tcW w:w="2546" w:type="dxa"/>
            <w:tcBorders>
              <w:top w:val="single" w:sz="4" w:space="0" w:color="auto"/>
              <w:left w:val="single" w:sz="4" w:space="0" w:color="auto"/>
              <w:bottom w:val="single" w:sz="4" w:space="0" w:color="auto"/>
              <w:right w:val="single" w:sz="4" w:space="0" w:color="auto"/>
            </w:tcBorders>
            <w:hideMark/>
          </w:tcPr>
          <w:p w14:paraId="225DEBD1" w14:textId="77777777" w:rsidR="00401E72" w:rsidRDefault="00401E72" w:rsidP="00A21BAE">
            <w:r>
              <w:fldChar w:fldCharType="begin"/>
            </w:r>
            <w:r>
              <w:instrText xml:space="preserve"> ADDIN ZOTERO_ITEM CSL_CITATION {"citationID":"q1ZmeUgE","properties":{"formattedCitation":"(56)","plainCitation":"(56)","noteIndex":0},"citationItems":[{"id":1558,"uris":["http://zotero.org/users/9294180/items/7LUMQ3ZT"],"itemData":{"id":1558,"type":"article-journal","abstract":"BACKGROUND: Hospital re-engineering initiatives aiming to meet the requirement for patient-centered care often face significant barriers. Opportunities from the optimization of patient flow logistics are often overlooked due to the perception that patient transport related services are ancillary. OBJECTIVES: To reorganize patient pathways by optimizing inpatient assignment and outpatient unit relocation. METHODS: Our analysis was conducted in a campus-based hospital hosting 1694 inpatient beds. Patient flow data was used for algorithm-based optimization to minimize the sum of the distances due to visits to outpatient units and visits by consulting physicians. Inpatients were reordered and outpatient units were relocated to minimize transport need. Optimized schemes were analyzed using graph- and spectral graph theory. RESULTS: Both optimizations yielded an altered hospital layout in which the need for patient transfers decreased (over 30% and 23% in terms of total distance and transfer episodes, respectively). The optimized systems gave rise to buildings with greater specialization, higher importance in terms of contributing to the network architecture, greater synchronization and robustness. CONCLUSIONS: The top-down algorithm-based optimization scheme yielded a system in which the need for cross-building patient transfer decreased. We suggest that network analysis may be a useful tool for capacity planning.","container-title":"Technology and Health Care","DOI":"10.3233/THC-191782","ISSN":"09287329, 18787401","issue":"2","journalAbbreviation":"THC","language":"en","page":"199-211","source":"DOI.org (Crossref)","title":"Assessment of patient flow and optimized use of lean thinking transformation from the perspective of graph theory and spectral graph theory: A case study","title-short":"Assessment of patient flow and optimized use of lean thinking transformation from the perspective of graph theory and spectral graph theory","volume":"29","author":[{"family":"Papp","given":"Csaba"},{"family":"Harsanyi","given":"Szilvia"},{"family":"Gesztelyi","given":"Rudolf"},{"family":"Emri","given":"Miklos"},{"family":"Zsuga","given":"Judit"}],"issued":{"date-parts":[["2021",3,12]]}}}],"schema":"https://github.com/citation-style-language/schema/raw/master/csl-citation.json"} </w:instrText>
            </w:r>
            <w:r>
              <w:fldChar w:fldCharType="separate"/>
            </w:r>
            <w:r w:rsidRPr="00735B0C">
              <w:t>(56)</w:t>
            </w:r>
            <w:r>
              <w:fldChar w:fldCharType="end"/>
            </w:r>
          </w:p>
        </w:tc>
      </w:tr>
      <w:tr w:rsidR="00401E72" w14:paraId="2B1F3F88"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C2E1CE8" w14:textId="77777777" w:rsidR="00401E72" w:rsidRDefault="00401E72" w:rsidP="00A21BAE">
            <w:r>
              <w:t>Drenthe</w:t>
            </w:r>
          </w:p>
        </w:tc>
        <w:tc>
          <w:tcPr>
            <w:tcW w:w="2546" w:type="dxa"/>
            <w:tcBorders>
              <w:top w:val="single" w:sz="4" w:space="0" w:color="auto"/>
              <w:left w:val="single" w:sz="4" w:space="0" w:color="auto"/>
              <w:bottom w:val="single" w:sz="4" w:space="0" w:color="auto"/>
              <w:right w:val="single" w:sz="4" w:space="0" w:color="auto"/>
            </w:tcBorders>
            <w:hideMark/>
          </w:tcPr>
          <w:p w14:paraId="0017C64E" w14:textId="77777777" w:rsidR="00401E72" w:rsidRDefault="00401E72" w:rsidP="00A21BAE">
            <w:r>
              <w:fldChar w:fldCharType="begin"/>
            </w:r>
            <w:r>
              <w:instrText xml:space="preserve"> ADDIN ZOTERO_ITEM CSL_CITATION {"citationID":"f6q2GT0x","properties":{"formattedCitation":"(78)","plainCitation":"(78)","noteIndex":0},"citationItems":[{"id":1777,"uris":["http://zotero.org/users/9294180/items/ZD6RD8ET"],"itemData":{"id":1777,"type":"article-journal","abstract":"OBJECTIVES: Interhospital patient transfers have become routine. Known drivers are access to specialty care and non-clinical reasons, such as limited capacity. While emergency medical services (EMS) providers act as main patient transfer operators, the impact of interhospital transfers on EMS service demand and fleet management remains understudied. This study aims to identify patterns in regional interhospital patient transfer volumes and their spatial distribution, and to discuss their potential implications for EMS service demand and fleet management.\nDESIGN: A retrospective study was performed analysing EMS transport data from the province of Drenthe in the Netherlands between 2013 and 2019 and public hospital listings. Yearly volume changes in urgent and planned interhospital transfers were quantified. Further network analysis, including geomapping, was used to study how transfer volumes and their spatial distribution relate to hospital specialisation, and servicing multihospital systems. Organisational data were considered for relating transfer patterns to fleet changes.\nSETTING: EMS in the province of Drenthe, the Netherlands, 492 167 inhabitants.\nPARTICIPANTS: Analyses are based on routinely collected patient data from EMS records, entailing all 248 114 transports (137 168 patients) of the Drenthe EMS provider (2013-2019). From these interhospital transports were selected (24 311 transports).\nRESULTS: Interhospital transfers represented a considerable (9.8%) and increasing share of transports (from 8.6% in 2013 to 11.3% in 2019). Most transfers were related to multihospital systems (47.3%, 11 509 transports), resulting in a considerable growth of planned EMS transports (from 2093 in 2013 to 3511 in 2019). Geomapping suggests increasing transfer distances and diminishing resource efficiencies due to lacking follow-up rides. Organisational data clarify how EMS fleets were adjusted by expanding resources and reorganising fleet operation.\nCONCLUSIONS: Emerging interhospital network transfers play an important role in EMS service demand. Increased interhospital transport volumes and geographical spread require a redesign of current EMS fleets and management along regional lines.","container-title":"BMJ open","DOI":"10.1136/bmjopen-2023-077181","ISSN":"2044-6055","issue":"6","journalAbbreviation":"BMJ Open","language":"eng","note":"PMID: 38871665\nPMCID: PMC11177669","page":"e077181","source":"PubMed","title":"Implications of interhospital patient transfers for emergency medical services transportation systems in the Netherlands: a retrospective study","title-short":"Implications of interhospital patient transfers for emergency medical services transportation systems in the Netherlands","volume":"14","author":[{"family":"Zee","given":"Durk-Jouke","non-dropping-particle":"van der"},{"family":"Maruster","given":"Laura"},{"family":"Buijs","given":"Paul"},{"family":"Aerts-Veenstra","given":"Marjolein"},{"family":"Hatenboer","given":"Jaap"},{"family":"Buskens","given":"Erik"}],"issued":{"date-parts":[["2024",6,13]]}}}],"schema":"https://github.com/citation-style-language/schema/raw/master/csl-citation.json"} </w:instrText>
            </w:r>
            <w:r>
              <w:fldChar w:fldCharType="separate"/>
            </w:r>
            <w:r w:rsidRPr="00EF2F5A">
              <w:rPr>
                <w:rFonts w:cs="Calibri"/>
              </w:rPr>
              <w:t>(78)</w:t>
            </w:r>
            <w:r>
              <w:fldChar w:fldCharType="end"/>
            </w:r>
          </w:p>
        </w:tc>
      </w:tr>
      <w:tr w:rsidR="00401E72" w14:paraId="31730BA7"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68D509CA" w14:textId="77777777" w:rsidR="00401E72" w:rsidRDefault="00401E72" w:rsidP="00A21BAE">
            <w:r>
              <w:lastRenderedPageBreak/>
              <w:t>England-a</w:t>
            </w:r>
          </w:p>
        </w:tc>
        <w:tc>
          <w:tcPr>
            <w:tcW w:w="2546" w:type="dxa"/>
            <w:tcBorders>
              <w:top w:val="single" w:sz="4" w:space="0" w:color="auto"/>
              <w:left w:val="single" w:sz="4" w:space="0" w:color="auto"/>
              <w:bottom w:val="single" w:sz="4" w:space="0" w:color="auto"/>
              <w:right w:val="single" w:sz="4" w:space="0" w:color="auto"/>
            </w:tcBorders>
            <w:hideMark/>
          </w:tcPr>
          <w:p w14:paraId="4FE57980" w14:textId="77777777" w:rsidR="00401E72" w:rsidRDefault="00401E72" w:rsidP="00A21BAE">
            <w:r>
              <w:fldChar w:fldCharType="begin"/>
            </w:r>
            <w:r>
              <w:instrText xml:space="preserve"> ADDIN ZOTERO_ITEM CSL_CITATION {"citationID":"geG5RGo2","properties":{"formattedCitation":"(9,13,47,79\\uc0\\u8211{}81)","plainCitation":"(9,13,47,79–81)","noteIndex":0},"citationItems":[{"id":427,"uris":["http://zotero.org/users/9294180/items/IHHYR2ZH"],"itemData":{"id":427,"type":"article-journal","abstract":"Hospital-acquired infections (HAI) are often seen as preventable incidents that result from unsafe practices or poor hospital hygiene. This however ignores the fact that transmissibility is not only a property of the causative organisms but also of the hosts who can translocate bacteria when moving between hospitals. In an epidemiological sense, hospitals become connected through the patients they share. We here postulate that the degree of hospital connectedness crucially influences the rates of infections caused by hospital-acquired bacteria. To test this hypothesis, we mapped the movement of patients based on the UK-NHS Hospital Episode Statistics and observed that the proportion of patients admitted to a hospital after a recent episode in another hospital correlates with the hospital-specific incidence rate of MRSA bacteraemia as recorded by mandatory reporting. We observed a positive correlation between hospital connectedness and MRSA bacteraemia incidence rate that is significant for all financial years since 2001 except for 2008–09. All years combined, this correlation is positive and significantly different from zero (partial correlation coefficient r = 0.33 (0.28 to 0.38)). When comparing the referral pattern for English hospitals with referral patterns observed in the Netherlands, we predict that English hospitals more likely see a swifter and more sustained spread of HAIs. Our results indicate that hospitals cannot be viewed as individual units but rather should be viewed as connected elements of larger modular networks. Our findings stress the importance of cooperative effects that will have a bearing on the planning of health care systems, patient management and hospital infection control.","container-title":"PLOS ONE","DOI":"10.1371/journal.pone.0035002","ISSN":"1932-6203","issue":"4","journalAbbreviation":"PLOS ONE","language":"en","note":"publisher: Public Library of Science","page":"e35002","source":"PLoS Journals","title":"Hospital Networks and the Dispersal of Hospital-Acquired Pathogens by Patient Transfer","volume":"7","author":[{"family":"Donker","given":"Tjibbe"},{"family":"Wallinga","given":"Jacco"},{"family":"Slack","given":"Richard"},{"family":"Grundmann","given":"Hajo"}],"issued":{"date-parts":[["2012",4,25]]}}},{"id":1583,"uris":["http://zotero.org/users/9294180/items/PDLY9YNI"],"itemData":{"id":1583,"type":"article-journal","abstract":"Hospital performance is often measured using self-reported statistics, such as the incidence of hospital-transmitted micro-organisms or those exhibiting antimicrobial resistance (AMR), encouraging hospitals with high levels to improve their performance. However, hospitals that increase screening efforts will appear to have a higher incidence and perform poorly, undermining comparison between hospitals and disincentivising testing, thus hampering infection control. We propose a surveillance system in which hospitals test patients previously discharged from other hospitals and report observed cases. Using English National Health Service (NHS) Hospital Episode Statistics data, we analysed patient movements across England and assessed the number of hospitals required to participate in such a reporting scheme to deliver robust estimates of incidence. With over 1.2 million admissions to English hospitals previously discharged from other hospitals annually, even when only a fraction of hospitals (41/155) participate (each screening at least 1000 of these admissions), the proposed surveillance system can estimate incidence across all hospitals. By reporting on other hospitals, the reporting of incidence is separated from the task of improving own performance. Therefore the incentives for increasing performance can be aligned to increase (rather than decrease) screening efforts, thus delivering both more comparable figures on the AMR problems across hospitals and improving infection control efforts.","container-title":"PLOS ONE","DOI":"10.1371/journal.pone.0219994","ISSN":"1932-6203","issue":"7","journalAbbreviation":"PLoS ONE","language":"en","page":"e0219994","source":"DOI.org (Crossref)","title":"Using hospital network-based surveillance for antimicrobial resistance as a more robust alternative to self-reporting","volume":"14","author":[{"family":"Donker","given":"Tjibbe"},{"family":"Smieszek","given":"Timo"},{"family":"Henderson","given":"Katherine L."},{"family":"Walker","given":"Timothy M."},{"family":"Hope","given":"Russell"},{"family":"Johnson","given":"Alan P."},{"family":"Woodford","given":"Neil"},{"family":"Crook","given":"Derrick W."},{"family":"Peto","given":"Tim E. A."},{"family":"Walker","given":"A. Sarah"},{"family":"Robotham","given":"Julie V."}],"editor":[{"family":"Friedrich","given":"Alex"}],"issued":{"date-parts":[["2019",7,25]]}}},{"id":431,"uris":["http://zotero.org/users/9294180/items/6IAU8QYN"],"itemData":{"id":431,"type":"article-journal","abstract":"Early detection of new or novel variants of nosocomial pathogens is a public health priority. We show that, for healthcare-associated infections that spread between hospitals as a result of patient movements, it is possible to design an effective surveillance system based on a relatively small number of sentinel hospitals. We apply recently developed mathematical models to patient admission data from the national healthcare systems of England and The Netherlands. Relatively short detection times are achieved once 10–20% hospitals are recruited as sentinels and only modest reductions are seen as more hospitals are recruited thereafter. Using a heuristic optimization approach to sentinel selection, the same expected time to detection can be achieved by recruiting approximately half as many hospitals. Our study provides a robust evidence base to underpin the design of an efficient sentinel hospital surveillance system for novel nosocomial pathogens, delivering early detection times for reduced expenditure and effort.","container-title":"Proceedings of the National Academy of Sciences","DOI":"10.1073/pnas.1308062111","issue":"6","note":"publisher: Proceedings of the National Academy of Sciences","page":"2271-2276","source":"pnas.org (Atypon)","title":"Efficient surveillance for healthcare-associated infections spreading between hospitals","volume":"111","author":[{"family":"Ciccolini","given":"Mariano"},{"family":"Donker","given":"Tjibbe"},{"family":"Grundmann","given":"Hajo"},{"family":"Bonten","given":"Marc J. M."},{"family":"Woolhouse","given":"Mark E. J."}],"issued":{"date-parts":[["2014",2,11]]}}},{"id":484,"uris":["http://zotero.org/users/9294180/items/RUR43D59"],"itemData":{"id":484,"type":"article-journal","container-title":"Journal of Hospital Infection","language":"en","page":"34–41","title":"Dispersal of antibiotic-resistant high-risk clones by hospital networks: changing the patient direction can make all the difference","volume":"86","author":[{"family":"Donker","given":"T."},{"family":"Wallinga","given":"J."},{"family":"Grundmann","given":"H."}],"issued":{"date-parts":[["2014"]]}}},{"id":1586,"uris":["http://zotero.org/users/9294180/items/3DSX6TED"],"itemData":{"id":1586,"type":"article-journal","abstract":"Conclusions: In contrast to the focus on import screening based on assigning a few hospitals as ‘high risk’, patient transfers between hospitals with small AMR problems in the same region often pose a larger absolute threat than patient transfers from hospitals in other regions with large problems, even if the prevalence in other regions is orders of magnitude higher. Because the difference in numbers of exchanged patients, between and within regions, was mostly larger than the difference in CPE prevalence, it would be more effective for hospitals to focus on their own populations or region to inform control efforts rather than focussing on problems elsewhere.","container-title":"BMC Medicine","DOI":"10.1186/s12916-017-0844-2","ISSN":"1741-7015","issue":"1","journalAbbreviation":"BMC Med","language":"en","page":"86","source":"DOI.org (Crossref)","title":"The relative importance of large problems far away versus small problems closer to home: insights into limiting the spread of antimicrobial resistance in England","title-short":"The relative importance of large problems far away versus small problems closer to home","volume":"15","author":[{"family":"Donker","given":"Tjibbe"},{"family":"Henderson","given":"Katherine L."},{"family":"Hopkins","given":"Katie L."},{"family":"Dodgson","given":"Andrew R."},{"family":"Thomas","given":"Stephanie"},{"family":"Crook","given":"Derrick W."},{"family":"Peto","given":"Tim E. A."},{"family":"Johnson","given":"Alan P."},{"family":"Woodford","given":"Neil"},{"family":"Walker","given":"A. Sarah"},{"family":"Robotham","given":"Julie V."}],"issued":{"date-parts":[["2017",12]]}}},{"id":1584,"uris":["http://zotero.org/users/9294180/items/QNHBZXTH"],"itemData":{"id":1584,"type":"article-journal","abstract":"Hospital networks, formed by patients visiting multiple hospitals, affect the spread of hospitalassociated infections, resulting in differences in risks for hospitals depending on their network position. These networks are increasingly used to inform strategies to prevent and control the spread of hospital-associated pathogens. However, many studies only consider patients that are received directly from the initial hospital, without considering the effect of indirect trajectories through the network. We determine the optimal way to measure the distance between hospitals within the network, by reconstructing the English hospital network based on shared patients in 2014–2015, and simulating the spread of a hospital-associated pathogen between hospitals, taking into consideration that each intermediate hospital conveys a delay in the further spread of the pathogen. While the risk of transferring a hospitalassociated pathogen between directly neighbouring hospitals is a direct reflection of the number of shared patients, the distance between two hospitals far-away in the network is determined largely by the number of intermediate hospitals in the network. Because the network is dense, most long distance transmission chains in fact involve only few intermediate steps, spreading along the many weak links. The dense connectivity of hospital networks, together with a strong regional structure, causes hospital-associated pathogens to spread from the initial outbreak in a two-step process: first, the directly surrounding hospitals are affected through the strong connections, second all other hospitals receive introductions through the multitude of weaker links. Although the strong connections matter for local spread, weak links in the network can offer ideal routes for hospital-associated pathogens to travel further faster. This hold important implications for infection prevention and control efforts: if a local outbreak is not controlled in time, colonised patients will appear in other regions, irrespective of the distance to the initial outbreak, making import screening ever more difficult.","container-title":"PLOS Computational Biology","DOI":"10.1371/journal.pcbi.1005622","ISSN":"1553-7358","issue":"8","journalAbbreviation":"PLoS Comput Biol","language":"en","page":"e1005622","source":"DOI.org (Crossref)","title":"Measuring distance through dense weighted networks: The case of hospital-associated pathogens","title-short":"Measuring distance through dense weighted networks","volume":"13","author":[{"family":"Donker","given":"Tjibbe"},{"family":"Smieszek","given":"Timo"},{"family":"Henderson","given":"Katherine L."},{"family":"Johnson","given":"Alan P."},{"family":"Walker","given":"A. Sarah"},{"family":"Robotham","given":"Julie V."}],"editor":[{"family":"Lessler","given":"Justin"}],"issued":{"date-parts":[["2017",8,3]]}}}],"schema":"https://github.com/citation-style-language/schema/raw/master/csl-citation.json"} </w:instrText>
            </w:r>
            <w:r>
              <w:fldChar w:fldCharType="separate"/>
            </w:r>
            <w:r w:rsidRPr="00EF2F5A">
              <w:rPr>
                <w:rFonts w:cs="Calibri"/>
              </w:rPr>
              <w:t>(9,13,47,79–81)</w:t>
            </w:r>
            <w:r>
              <w:fldChar w:fldCharType="end"/>
            </w:r>
          </w:p>
        </w:tc>
      </w:tr>
      <w:tr w:rsidR="00401E72" w14:paraId="7BFCFD06"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592CB94" w14:textId="77777777" w:rsidR="00401E72" w:rsidRDefault="00401E72" w:rsidP="00A21BAE">
            <w:r>
              <w:t>England-b</w:t>
            </w:r>
          </w:p>
        </w:tc>
        <w:tc>
          <w:tcPr>
            <w:tcW w:w="2546" w:type="dxa"/>
            <w:tcBorders>
              <w:top w:val="single" w:sz="4" w:space="0" w:color="auto"/>
              <w:left w:val="single" w:sz="4" w:space="0" w:color="auto"/>
              <w:bottom w:val="single" w:sz="4" w:space="0" w:color="auto"/>
              <w:right w:val="single" w:sz="4" w:space="0" w:color="auto"/>
            </w:tcBorders>
            <w:hideMark/>
          </w:tcPr>
          <w:p w14:paraId="0B98B24D" w14:textId="77777777" w:rsidR="00401E72" w:rsidRDefault="00401E72" w:rsidP="00A21BAE">
            <w:r>
              <w:fldChar w:fldCharType="begin"/>
            </w:r>
            <w:r>
              <w:instrText xml:space="preserve"> ADDIN ZOTERO_ITEM CSL_CITATION {"citationID":"rXIANWhS","properties":{"formattedCitation":"(33)","plainCitation":"(33)","noteIndex":0},"citationItems":[{"id":1592,"uris":["http://zotero.org/users/9294180/items/KWWVL3K3"],"itemData":{"id":1592,"type":"article-journal","abstract":"Abstract\n            Effective sharing of clinical information between care providers is a critical component of a safe, efficient health system. National data-sharing systems may be costly, politically contentious and do not reflect local patterns of care delivery. This study examines hospital attendances in England from 2013 to 2015 to identify instances of patient sharing between hospitals. Of 19.6 million patients receiving care from 155 hospital care providers, 130 million presentations were identified. On 14.7 million occasions (12%), patients attended a different hospital to the one they attended on their previous interaction. A network of hospitals was constructed based on the frequency of patient sharing between hospitals which was partitioned using the Louvain algorithm into ten distinct data-sharing communities, improving the continuity of data sharing in such instances from 0 to 65–95%. Locally implemented data-sharing communities of hospitals may achieve effective accessibility of clinical information without a large-scale national interoperable information system.","container-title":"npj Digital Medicine","DOI":"10.1038/s41746-018-0072-y","ISSN":"2398-6352","issue":"1","journalAbbreviation":"npj Digital Med","language":"en","page":"65","source":"DOI.org (Crossref)","title":"Guiding interoperable electronic health records through patient-sharing networks","volume":"1","author":[{"family":"Clarke","given":"Jonathan M."},{"family":"Warren","given":"Leigh R."},{"family":"Arora","given":"Sonal"},{"family":"Barahona","given":"Mauricio"},{"family":"Darzi","given":"Ara W."}],"issued":{"date-parts":[["2018",12,10]]}}}],"schema":"https://github.com/citation-style-language/schema/raw/master/csl-citation.json"} </w:instrText>
            </w:r>
            <w:r>
              <w:fldChar w:fldCharType="separate"/>
            </w:r>
            <w:r w:rsidRPr="00E56AA7">
              <w:t>(33)</w:t>
            </w:r>
            <w:r>
              <w:fldChar w:fldCharType="end"/>
            </w:r>
          </w:p>
        </w:tc>
      </w:tr>
      <w:tr w:rsidR="00401E72" w14:paraId="349892FC"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3383D334" w14:textId="77777777" w:rsidR="00401E72" w:rsidRDefault="00401E72" w:rsidP="00A21BAE">
            <w:r>
              <w:t>Florida</w:t>
            </w:r>
          </w:p>
        </w:tc>
        <w:tc>
          <w:tcPr>
            <w:tcW w:w="2546" w:type="dxa"/>
            <w:tcBorders>
              <w:top w:val="single" w:sz="4" w:space="0" w:color="auto"/>
              <w:left w:val="single" w:sz="4" w:space="0" w:color="auto"/>
              <w:bottom w:val="single" w:sz="4" w:space="0" w:color="auto"/>
              <w:right w:val="single" w:sz="4" w:space="0" w:color="auto"/>
            </w:tcBorders>
            <w:hideMark/>
          </w:tcPr>
          <w:p w14:paraId="634A4DD3" w14:textId="77777777" w:rsidR="00401E72" w:rsidRDefault="00401E72" w:rsidP="00A21BAE">
            <w:r>
              <w:fldChar w:fldCharType="begin"/>
            </w:r>
            <w:r>
              <w:instrText xml:space="preserve"> ADDIN ZOTERO_ITEM CSL_CITATION {"citationID":"WB7BZ4DU","properties":{"formattedCitation":"(22)","plainCitation":"(22)","noteIndex":0},"citationItems":[{"id":1600,"uris":["http://zotero.org/users/9294180/items/IA9QGTA8"],"itemData":{"id":1600,"type":"article-journal","abstract":"Objective The interdependence of hospitals is underappreciated in patient outcomes studies. We used a network science approach to foreground this interdependence. Specifically, within two large state-based interhospital networks, we examined the relationship of a hospital’s network position with in-hospital mortality and length of stay.","container-title":"PLOS ONE","DOI":"10.1371/journal.pone.0281871","ISSN":"1932-6203","issue":"3","journalAbbreviation":"PLoS ONE","language":"en","page":"e0281871","source":"DOI.org (Crossref)","title":"Association of hospital centrality in inter-hospital patient-sharing networks with patient mortality and length of stay","volume":"18","author":[{"family":"Bergmark","given":"Regan W."},{"family":"Jin","given":"Ginger"},{"family":"Semco","given":"Robert S."},{"family":"Santolini","given":"Marc"},{"family":"Olsen","given":"Margaret A."},{"family":"Dhand","given":"Amar"}],"editor":[{"family":"Santulli","given":"Gaetano"}],"issued":{"date-parts":[["2023",3,15]]}}}],"schema":"https://github.com/citation-style-language/schema/raw/master/csl-citation.json"} </w:instrText>
            </w:r>
            <w:r>
              <w:fldChar w:fldCharType="separate"/>
            </w:r>
            <w:r w:rsidRPr="00374BD7">
              <w:rPr>
                <w:rFonts w:cs="Calibri"/>
              </w:rPr>
              <w:t>(22)</w:t>
            </w:r>
            <w:r>
              <w:fldChar w:fldCharType="end"/>
            </w:r>
          </w:p>
        </w:tc>
      </w:tr>
      <w:tr w:rsidR="00401E72" w14:paraId="2AEBEDB3"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5C4BA6A3" w14:textId="77777777" w:rsidR="00401E72" w:rsidRDefault="00401E72" w:rsidP="00A21BAE">
            <w:r>
              <w:t>France-a</w:t>
            </w:r>
          </w:p>
        </w:tc>
        <w:tc>
          <w:tcPr>
            <w:tcW w:w="2546" w:type="dxa"/>
            <w:tcBorders>
              <w:top w:val="single" w:sz="4" w:space="0" w:color="auto"/>
              <w:left w:val="single" w:sz="4" w:space="0" w:color="auto"/>
              <w:bottom w:val="single" w:sz="4" w:space="0" w:color="auto"/>
              <w:right w:val="single" w:sz="4" w:space="0" w:color="auto"/>
            </w:tcBorders>
            <w:hideMark/>
          </w:tcPr>
          <w:p w14:paraId="5D4493EE" w14:textId="77777777" w:rsidR="00401E72" w:rsidRDefault="00401E72" w:rsidP="00A21BAE">
            <w:r>
              <w:fldChar w:fldCharType="begin"/>
            </w:r>
            <w:r>
              <w:instrText xml:space="preserve"> ADDIN ZOTERO_ITEM CSL_CITATION {"citationID":"dsJ9EAgh","properties":{"formattedCitation":"(8,16)","plainCitation":"(8,16)","noteIndex":0},"citationItems":[{"id":398,"uris":["http://zotero.org/users/9294180/items/R3PGHANW"],"itemData":{"id":398,"type":"article-journal","abstract":"Hospital-acquired infections (HAIs), including emerging multi-drug resistant organisms, threaten healthcare systems worldwide. Efficient containment measures of HAIs must mobilize the entire healthcare network. Thus, to best understand how to reduce the potential scale of HAI epidemic spread, we explore patient transfer patterns in the French healthcare system. Using an exhaustive database of all hospital discharge summaries in France in 2014, we construct and analyze three patient networks based on the following: transfers of patients with HAI (HAI-specific network); patients with suspected HAI (suspected-HAI network); and all patients (general network). All three networks have heterogeneous patient flow and demonstrate small-world and scale-free characteristics. Patient populations that comprise these networks are also heterogeneous in their movement patterns. Ranking of hospitals by centrality measures and comparing community clustering using community detection algorithms shows that despite the differences in patient population, the HAI-specific and suspected-HAI networks rely on the same underlying structure as that of the general network. As a result, the general network may be more reliable in studying potential spread of HAIs. Finally, we identify transfer patterns at both the French regional and departmental (county) levels that are important in the identification of key hospital centers, patient flow trajectories, and regional clusters that may serve as a basis for novel wide-scale infection control strategies.","container-title":"PLoS computational biology","DOI":"10.1371/journal.pcbi.1005666","ISSN":"1553-7358","issue":"8","journalAbbreviation":"PLoS Comput Biol","language":"eng","note":"PMID: 28837555\nPMCID: PMC5570216","page":"e1005666","source":"PubMed","title":"Spread of hospital-acquired infections: A comparison of healthcare networks","title-short":"Spread of hospital-acquired infections","volume":"13","author":[{"family":"Nekkab","given":"Narimane"},{"family":"Astagneau","given":"Pascal"},{"family":"Temime","given":"Laura"},{"family":"Crépey","given":"Pascal"}],"issued":{"date-parts":[["2017",8]]}}},{"id":1560,"uris":["http://zotero.org/users/9294180/items/AJFJCXQZ"],"itemData":{"id":1560,"type":"article-journal","abstract":"Abstract\n            \n              The spread of carbapenemase-producing\n              Enterobacteriaceae\n              (CPE) in healthcare settings is a major public health threat that has been associated with cross-border and local patient transfers between healthcare facilities. Since the impact of transfers on spread may vary, our study aimed to assess the contribution of a patient transfer network on CPE incidence and spread at a countrywide level, with a case study of France from 2012 to 2015. Our results suggest a transition in 2013 from a CPE epidemic sustained by internationally imported episodes to an epidemic sustained by local transmission events through patient transfers. Incident episodes tend to occur within close spatial distance of their potential infector. We also observe an increasing frequency of multiple spreading events, originating from a limited number of regional hubs. Consequently, coordinated prevention and infection control strategies should focus on transfers of carriers of CPE to reduce regional and inter-regional transmission.","container-title":"Scientific Reports","DOI":"10.1038/s41598-020-71212-6","ISSN":"2045-2322","issue":"1","journalAbbreviation":"Sci Rep","language":"en","page":"14910","source":"DOI.org (Crossref)","title":"Assessing the role of inter-facility patient transfer in the spread of carbapenemase-producing Enterobacteriaceae: the case of France between 2012 and 2015","title-short":"Assessing the role of inter-facility patient transfer in the spread of carbapenemase-producing Enterobacteriaceae","volume":"10","author":[{"family":"Nekkab","given":"Narimane"},{"family":"Crépey","given":"Pascal"},{"family":"Astagneau","given":"Pascal"},{"family":"Opatowski","given":"Lulla"},{"family":"Temime","given":"Laura"}],"issued":{"date-parts":[["2020",9,10]]}}}],"schema":"https://github.com/citation-style-language/schema/raw/master/csl-citation.json"} </w:instrText>
            </w:r>
            <w:r>
              <w:fldChar w:fldCharType="separate"/>
            </w:r>
            <w:r w:rsidRPr="00F46388">
              <w:rPr>
                <w:rFonts w:cs="Calibri"/>
              </w:rPr>
              <w:t>(8,16)</w:t>
            </w:r>
            <w:r>
              <w:fldChar w:fldCharType="end"/>
            </w:r>
          </w:p>
        </w:tc>
      </w:tr>
      <w:tr w:rsidR="00401E72" w14:paraId="729E0297"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380AB682" w14:textId="77777777" w:rsidR="00401E72" w:rsidRDefault="00401E72" w:rsidP="00A21BAE">
            <w:r>
              <w:t>France-b</w:t>
            </w:r>
          </w:p>
        </w:tc>
        <w:tc>
          <w:tcPr>
            <w:tcW w:w="2546" w:type="dxa"/>
            <w:tcBorders>
              <w:top w:val="single" w:sz="4" w:space="0" w:color="auto"/>
              <w:left w:val="single" w:sz="4" w:space="0" w:color="auto"/>
              <w:bottom w:val="single" w:sz="4" w:space="0" w:color="auto"/>
              <w:right w:val="single" w:sz="4" w:space="0" w:color="auto"/>
            </w:tcBorders>
            <w:hideMark/>
          </w:tcPr>
          <w:p w14:paraId="0E0861D6" w14:textId="77777777" w:rsidR="00401E72" w:rsidRDefault="00401E72" w:rsidP="00A21BAE">
            <w:r>
              <w:fldChar w:fldCharType="begin"/>
            </w:r>
            <w:r>
              <w:instrText xml:space="preserve"> ADDIN ZOTERO_ITEM CSL_CITATION {"citationID":"PjsEAe05","properties":{"formattedCitation":"(15)","plainCitation":"(15)","noteIndex":0},"citationItems":[{"id":1594,"uris":["http://zotero.org/users/9294180/items/SRUHX6R7"],"itemData":{"id":1594,"type":"article-journal","abstract":"Background: Hospitals in the public and private sectors tend to join larger organizations to form hospital groups. This increasingly frequent mode of functioning raises the question of how countries should organize their health system, according to the interactions already present between their hospitals. The objective of this study was to identify distinctive profiles of French hospitals according to their characteristics and their role in the French hospital network.\nMethods: Data were extracted from the national hospital database for year 2016. The database was restricted to public hospitals that practiced medicine, surgery or obstetrics. Hospitals profiles were determined using the k-means method. The variables entered in the clustering algorithm were: the number of stays, the effective diversity of hospital activity, and a network-based mobility indicator (proportion of stays followed by another stay in a different hospital of the same Regional Hospital Group within 90 days).\nResults: Three hospital groups were identified by the clustering algorithm. The first group was constituted of 34 large hospitals (median 82,100 annual stays, interquartile range 69,004 – 117,774) with a very diverse activity. The second group contained medium-sized hospitals (with a median of 258 beds, interquartile range 164 - 377). The third group featured less diversity regarding the type of stay (with a mean of 8 effective activity domains, standard deviation 2.73), a smaller size and a higher proportion of patients that subsequently visited other hospitals (11%). The most frequent type of patient mobility occurred from the hospitals in group 2 to the hospitals in group 1 (29%). The reverse direction was less frequent (19%).\nConclusions: The French hospital network is organized around three categories of public hospitals, with an unbalanced and disassortative patient flow. This type of organization has implications for hospital planning and infectious diseases control.","container-title":"BMC Health Services Research","DOI":"10.1186/s12913-021-07215-4","ISSN":"1472-6963","issue":"1","journalAbbreviation":"BMC Health Serv Res","language":"en","page":"1244","source":"DOI.org (Crossref)","title":"Making sense of the French public hospital system: a network-based approach to hospital clustering using unsupervised learning methods","title-short":"Making sense of the French public hospital system","volume":"21","author":[{"family":"Chrusciel","given":"Jan"},{"family":"Le Guillou","given":"Adrien"},{"family":"Daoud","given":"Eric"},{"family":"Laplanche","given":"David"},{"family":"Steunou","given":"Sandra"},{"family":"Clément","given":"Marie-Caroline"},{"family":"Sanchez","given":"Stéphane"}],"issued":{"date-parts":[["2021",11,17]]}}}],"schema":"https://github.com/citation-style-language/schema/raw/master/csl-citation.json"} </w:instrText>
            </w:r>
            <w:r>
              <w:fldChar w:fldCharType="separate"/>
            </w:r>
            <w:r w:rsidRPr="00F46388">
              <w:rPr>
                <w:rFonts w:cs="Calibri"/>
              </w:rPr>
              <w:t>(15)</w:t>
            </w:r>
            <w:r>
              <w:fldChar w:fldCharType="end"/>
            </w:r>
          </w:p>
        </w:tc>
      </w:tr>
      <w:tr w:rsidR="00401E72" w14:paraId="09A77795" w14:textId="77777777" w:rsidTr="00A21BAE">
        <w:tc>
          <w:tcPr>
            <w:tcW w:w="6516" w:type="dxa"/>
            <w:tcBorders>
              <w:top w:val="single" w:sz="4" w:space="0" w:color="auto"/>
              <w:left w:val="single" w:sz="4" w:space="0" w:color="auto"/>
              <w:bottom w:val="single" w:sz="4" w:space="0" w:color="auto"/>
              <w:right w:val="single" w:sz="4" w:space="0" w:color="auto"/>
            </w:tcBorders>
          </w:tcPr>
          <w:p w14:paraId="32D64F5F" w14:textId="77777777" w:rsidR="00401E72" w:rsidRDefault="00401E72" w:rsidP="00A21BAE">
            <w:r>
              <w:t>Freiburg</w:t>
            </w:r>
          </w:p>
        </w:tc>
        <w:tc>
          <w:tcPr>
            <w:tcW w:w="2546" w:type="dxa"/>
            <w:tcBorders>
              <w:top w:val="single" w:sz="4" w:space="0" w:color="auto"/>
              <w:left w:val="single" w:sz="4" w:space="0" w:color="auto"/>
              <w:bottom w:val="single" w:sz="4" w:space="0" w:color="auto"/>
              <w:right w:val="single" w:sz="4" w:space="0" w:color="auto"/>
            </w:tcBorders>
          </w:tcPr>
          <w:p w14:paraId="62AFB45E" w14:textId="77777777" w:rsidR="00401E72" w:rsidRDefault="00401E72" w:rsidP="00A21BAE">
            <w:r>
              <w:fldChar w:fldCharType="begin"/>
            </w:r>
            <w:r>
              <w:instrText xml:space="preserve"> ADDIN ZOTERO_ITEM CSL_CITATION {"citationID":"okZubSEH","properties":{"formattedCitation":"(82)","plainCitation":"(82)","noteIndex":0},"citationItems":[{"id":2377,"uris":["http://zotero.org/users/9294180/items/HKRTHN77"],"itemData":{"id":2377,"type":"article-journal","abstract":"Background: Patient transfers occur frequently between hospital departments and wards, and bring with them the risk of interdepartmental transmission of antibiotic-resistant bacteria (ARB). These bacteria form a risk to patients already susceptible to colonization and infection. Aim: To assess the impact of the severe acute respiratory syndrome coronavirus-2 (SARS-CoV-2) pandemic on the intrahospital network of a large German university hospital. Methods: Using data collected from the hospital between 2019 and 2023, a model was developed to represent an intrahospital transfer network with all patient movements between all wards by creating a time-sliced temporal network for each month. The network was described, and its robustness against the spread of ARB was assessed by simulating outbreaks between wards. Findings: In April 2020, when many elective surgeries were cancelled due to the SARS-CoV-2 pandemic, the robustness of the network increased strongly in comparison with all other months. Despite the network being relatively stable over the study period, it was affected by an internal change in hospital structure due to a hospital merger. Conclusion: The intrahospital transfer network was affected by external influences due to the SARS-CoV-2 pandemic, slowing down the potential spread of nosocomial pathogens. The network was generally stable and recovered quickly, although an internal force affected the structure of the network. A better understanding of the influence of patient transfers will help in the design of intervention strategies against the spread of antimicrobial resistance within hospitals. © 2025 Elsevier B.V., All rights reserved.","archive":"Scopus","container-title":"Journal of Hospital Infection","DOI":"10.1016/j.jhin.2025.04.032","page":"68-75","title":"Impact of the SARS-CoV-2 pandemic on hospital robustness to the spread of antibiotic-resistant bacteria in a large German university hospital","volume":"162","author":[{"family":"Donvito","given":"G."},{"family":"Bürkin","given":"F."},{"family":"Donker","given":"T."}],"issued":{"date-parts":[["2025"]]}}}],"schema":"https://github.com/citation-style-language/schema/raw/master/csl-citation.json"} </w:instrText>
            </w:r>
            <w:r>
              <w:fldChar w:fldCharType="separate"/>
            </w:r>
            <w:r w:rsidRPr="00EF2F5A">
              <w:rPr>
                <w:rFonts w:cs="Calibri"/>
              </w:rPr>
              <w:t>(82)</w:t>
            </w:r>
            <w:r>
              <w:fldChar w:fldCharType="end"/>
            </w:r>
          </w:p>
        </w:tc>
      </w:tr>
      <w:tr w:rsidR="00401E72" w14:paraId="742F57DA"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78A34526" w14:textId="77777777" w:rsidR="00401E72" w:rsidRDefault="00401E72" w:rsidP="00A21BAE">
            <w:r>
              <w:t>Fujian</w:t>
            </w:r>
          </w:p>
        </w:tc>
        <w:tc>
          <w:tcPr>
            <w:tcW w:w="2546" w:type="dxa"/>
            <w:tcBorders>
              <w:top w:val="single" w:sz="4" w:space="0" w:color="auto"/>
              <w:left w:val="single" w:sz="4" w:space="0" w:color="auto"/>
              <w:bottom w:val="single" w:sz="4" w:space="0" w:color="auto"/>
              <w:right w:val="single" w:sz="4" w:space="0" w:color="auto"/>
            </w:tcBorders>
            <w:hideMark/>
          </w:tcPr>
          <w:p w14:paraId="2AA0C196" w14:textId="77777777" w:rsidR="00401E72" w:rsidRDefault="00401E72" w:rsidP="00A21BAE">
            <w:r>
              <w:fldChar w:fldCharType="begin"/>
            </w:r>
            <w:r>
              <w:instrText xml:space="preserve"> ADDIN ZOTERO_ITEM CSL_CITATION {"citationID":"THo5bJwA","properties":{"formattedCitation":"(45)","plainCitation":"(45)","noteIndex":0},"citationItems":[{"id":1616,"uris":["http://zotero.org/users/9294180/items/4IS6BEWQ"],"itemData":{"id":1616,"type":"article-journal","abstract":"Research on medical practice that uses big data has attracted considerable attention recently. In this paper, we focused on a large set of patient referral data gathered in Fujian province, China, between 2009 and 2011. We built a directed weighted patient referral network. By using four metrics from network science, namely, the power-law distribution, global rich-club coefficient, local richclub coefficient, and assortativity coefficient, we identified a significant rich-club phenomenon in this network. In addition, the community detection was also carried out to find the relationship between rich members and non-rich members. The findings indicate an oligopoly in which Class-III hospitals occupy an overwhelmingly dominant position over the competition. Also, the characteristic ‘significant regional clustering’ was inferred from the results.","container-title":"Future Generation Computer Systems","DOI":"10.1016/j.future.2019.12.001","ISSN":"0167739X","journalAbbreviation":"Future Generation Computer Systems","language":"en","page":"492-501","source":"DOI.org (Crossref)","title":"Do Chinese hospital services constitute an oligopoly? Evidence of the rich-club phenomenon in a patient referral network","title-short":"Do Chinese hospital services constitute an oligopoly?","volume":"105","author":[{"family":"Tang","given":"Chengxiang"},{"family":"Dong","given":"Xuefan"},{"family":"Lian","given":"Ying"},{"family":"Tang","given":"Daisheng"}],"issued":{"date-parts":[["2020",4]]}}}],"schema":"https://github.com/citation-style-language/schema/raw/master/csl-citation.json"} </w:instrText>
            </w:r>
            <w:r>
              <w:fldChar w:fldCharType="separate"/>
            </w:r>
            <w:r w:rsidRPr="00735B0C">
              <w:t>(45)</w:t>
            </w:r>
            <w:r>
              <w:fldChar w:fldCharType="end"/>
            </w:r>
          </w:p>
        </w:tc>
      </w:tr>
      <w:tr w:rsidR="00401E72" w14:paraId="2F5F1510"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574A4785" w14:textId="77777777" w:rsidR="00401E72" w:rsidRDefault="00401E72" w:rsidP="00A21BAE">
            <w:r>
              <w:t>Groningen</w:t>
            </w:r>
          </w:p>
        </w:tc>
        <w:tc>
          <w:tcPr>
            <w:tcW w:w="2546" w:type="dxa"/>
            <w:tcBorders>
              <w:top w:val="single" w:sz="4" w:space="0" w:color="auto"/>
              <w:left w:val="single" w:sz="4" w:space="0" w:color="auto"/>
              <w:bottom w:val="single" w:sz="4" w:space="0" w:color="auto"/>
              <w:right w:val="single" w:sz="4" w:space="0" w:color="auto"/>
            </w:tcBorders>
            <w:hideMark/>
          </w:tcPr>
          <w:p w14:paraId="57A6A6EF" w14:textId="77777777" w:rsidR="00401E72" w:rsidRDefault="00401E72" w:rsidP="00A21BAE">
            <w:r>
              <w:fldChar w:fldCharType="begin"/>
            </w:r>
            <w:r>
              <w:instrText xml:space="preserve"> ADDIN ZOTERO_ITEM CSL_CITATION {"citationID":"9YRMZK9f","properties":{"formattedCitation":"(83)","plainCitation":"(83)","noteIndex":0},"citationItems":[{"id":1611,"uris":["http://zotero.org/users/9294180/items/PWCN8I5V"],"itemData":{"id":1611,"type":"article-journal","abstract":"Background:  Vancomycin-resistant enterococci (VRE) is the cause of severe patient health and monetary burdens. Antibiotic use is a confounding effect to predict VRE in patients, but the antibiotic use of patients who may have fre</w:instrText>
            </w:r>
            <w:r>
              <w:rPr>
                <w:rFonts w:ascii="Cambria Math" w:hAnsi="Cambria Math" w:cs="Cambria Math"/>
              </w:rPr>
              <w:instrText>‑</w:instrText>
            </w:r>
            <w:r>
              <w:instrText>quented the same ward as the patient in question is often neglected. This study investigates how patient movements between hospital wards and their antibiotic use can explain the colonisation of patients with VRE.\nMethods:  Intrahospital patient movements, antibiotic use and PCR screening data were used from a hospital in the Netherlands. The PageRank algorithm was used to calculate two daily centrality measures based on the spatiotem</w:instrText>
            </w:r>
            <w:r>
              <w:rPr>
                <w:rFonts w:ascii="Cambria Math" w:hAnsi="Cambria Math" w:cs="Cambria Math"/>
              </w:rPr>
              <w:instrText>‑</w:instrText>
            </w:r>
            <w:r>
              <w:instrText>poral graph to summarise the flow of patients and antibiotics at the ward level. A decision tree model was used to determine a simple set of rules to estimate the daily probability of patient VRE colonisation for each hospital ward. The model performance was improved using a random forest model and compared using 30% test sample.\nResults:  Centrality covariates summarising the flow of patients and their antibiotic use between hospital wards can be used to predict the daily colonisation of VRE at the hospital ward level. The decision tree model produced a simple set of rules that can be used to determine the daily probability of patient VRE colonisation for each hospital ward. An acceptable area under the ROC curve (AUC) of 0.755 was achieved using the decision tree model and an excellent AUC of 0.883 by the random forest model on the test set. These results confirms that the random forest model per</w:instrText>
            </w:r>
            <w:r>
              <w:rPr>
                <w:rFonts w:ascii="Cambria Math" w:hAnsi="Cambria Math" w:cs="Cambria Math"/>
              </w:rPr>
              <w:instrText>‑</w:instrText>
            </w:r>
            <w:r>
              <w:instrText>forms better than a single decision tree for all levels of model sensitivity and specificity on data not used to estimate the models.\nConclusion:  This study showed how the movements of patients inside hospitals and their use of antibiotics could predict the colonisation of patients with VRE at the ward level. Two daily centrality measures were proposed to sum</w:instrText>
            </w:r>
            <w:r>
              <w:rPr>
                <w:rFonts w:ascii="Cambria Math" w:hAnsi="Cambria Math" w:cs="Cambria Math"/>
              </w:rPr>
              <w:instrText>‑</w:instrText>
            </w:r>
            <w:r>
              <w:instrText xml:space="preserve">marise the flow of patients and antibiotics at the ward level. An early warning system for VRE can be developed to test and further develop infection prevention plans and outbreak strategies using these results.","container-title":"BMC Infectious Diseases","DOI":"10.1186/s12879-022-07043-9","ISSN":"1471-2334","issue":"1","journalAbbreviation":"BMC Infect Dis","language":"en","page":"67","source":"DOI.org (Crossref)","title":"Spatiotemporal prediction of vancomycin-resistant Enterococcus colonisation","volume":"22","author":[{"family":"Van Niekerk","given":"J. M."},{"family":"Lokate","given":"M."},{"family":"Braakman-Jansen","given":"L. M. A."},{"family":"Van Gemert-Pijnen","given":"J. E. W. C."},{"family":"Stein","given":"A."}],"issued":{"date-parts":[["2022",12]]}}}],"schema":"https://github.com/citation-style-language/schema/raw/master/csl-citation.json"} </w:instrText>
            </w:r>
            <w:r>
              <w:fldChar w:fldCharType="separate"/>
            </w:r>
            <w:r w:rsidRPr="00EF2F5A">
              <w:rPr>
                <w:rFonts w:cs="Calibri"/>
              </w:rPr>
              <w:t>(83)</w:t>
            </w:r>
            <w:r>
              <w:fldChar w:fldCharType="end"/>
            </w:r>
          </w:p>
        </w:tc>
      </w:tr>
      <w:tr w:rsidR="00401E72" w14:paraId="4365A3C5"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6DB7D26A" w14:textId="77777777" w:rsidR="00401E72" w:rsidRDefault="00401E72" w:rsidP="00A21BAE">
            <w:r>
              <w:t>Halle</w:t>
            </w:r>
          </w:p>
        </w:tc>
        <w:tc>
          <w:tcPr>
            <w:tcW w:w="2546" w:type="dxa"/>
            <w:tcBorders>
              <w:top w:val="single" w:sz="4" w:space="0" w:color="auto"/>
              <w:left w:val="single" w:sz="4" w:space="0" w:color="auto"/>
              <w:bottom w:val="single" w:sz="4" w:space="0" w:color="auto"/>
              <w:right w:val="single" w:sz="4" w:space="0" w:color="auto"/>
            </w:tcBorders>
            <w:hideMark/>
          </w:tcPr>
          <w:p w14:paraId="401010E9" w14:textId="77777777" w:rsidR="00401E72" w:rsidRDefault="00401E72" w:rsidP="00A21BAE">
            <w:r>
              <w:fldChar w:fldCharType="begin"/>
            </w:r>
            <w:r>
              <w:instrText xml:space="preserve"> ADDIN ZOTERO_ITEM CSL_CITATION {"citationID":"jqBMe4B2","properties":{"formattedCitation":"(26)","plainCitation":"(26)","noteIndex":0},"citationItems":[{"id":1617,"uris":["http://zotero.org/users/9294180/items/7BP7YMFD"],"itemData":{"id":1617,"type":"article-journal","abstract":"The aim of this study is to analyze patient movement patterns between hospital departments to derive the underlying intra-hospital movement network, and to assess if movement patterns differ between patients at high or low risk of colonization. For that purpose, we analyzed patient electronic medical record data from five hospitals to extract information on risk stratification and patient intra-hospital movements. Movement patterns were visualized as networks, and network centrality measures were calculated. Next, using an agent-based model where agents represent patients and intra-hospital patient movements were explicitly modeled, we simulated the spread of multidrug resistant enterobacteriacae (MDR-E) inside a hospital. Risk stratification of patients according to certain ICD-10 codes revealed that length of stay, patient age, and mean number of movements per admission were higher in the high-risk groups. Movement networks in all hospitals displayed a high variability among departments concerning their network centrality and connectedness with a few highly connected departments and many weakly connected peripheral departments. Simulating the spread of a pathogen in one hospital network showed positive correlation between department prevalence and network centrality measures. This study highlights the importance of intra-hospital patient movements and their possible impact on pathogen spread. Targeting interventions to departments of higher (weighted) degree may help to control the spread of MDR-E. Moreover, when the colonization status of patients coming from different departments is unknown, a ranking system based on department centralities may be used to design more effective interventions that mitigate pathogen spread.","container-title":"PLOS Computational Biology","DOI":"10.1371/journal.pcbi.1008600","ISSN":"1553-7358","issue":"2","journalAbbreviation":"PLoS Comput Biol","language":"en","page":"e1008600","source":"DOI.org (Crossref)","title":"Relevance of intra-hospital patient movements for the spread of healthcare-associated infections within hospitals - a mathematical modeling study","volume":"17","author":[{"family":"Tahir","given":"Hannan"},{"family":"López-Cortés","given":"Luis Eduardo"},{"family":"Kola","given":"Axel"},{"family":"Yahav","given":"Dafna"},{"family":"Karch","given":"André"},{"family":"Xia","given":"Hanjue"},{"family":"Horn","given":"Johannes"},{"family":"Sakowski","given":"Konrad"},{"family":"Piotrowska","given":"Monika J."},{"family":"Leibovici","given":"Leonard"},{"family":"Mikolajczyk","given":"Rafael T."},{"family":"Kretzschmar","given":"Mirjam E."}],"editor":[{"family":"Kouyos","given":"Roger Dimitri"}],"issued":{"date-parts":[["2021",2,3]]}}}],"schema":"https://github.com/citation-style-language/schema/raw/master/csl-citation.json"} </w:instrText>
            </w:r>
            <w:r>
              <w:fldChar w:fldCharType="separate"/>
            </w:r>
            <w:r w:rsidRPr="00374BD7">
              <w:rPr>
                <w:rFonts w:cs="Calibri"/>
              </w:rPr>
              <w:t>(26)</w:t>
            </w:r>
            <w:r>
              <w:fldChar w:fldCharType="end"/>
            </w:r>
          </w:p>
        </w:tc>
      </w:tr>
      <w:tr w:rsidR="00401E72" w14:paraId="562DEB63"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D489056" w14:textId="77777777" w:rsidR="00401E72" w:rsidRDefault="00401E72" w:rsidP="00A21BAE">
            <w:r>
              <w:t>Illinois</w:t>
            </w:r>
          </w:p>
        </w:tc>
        <w:tc>
          <w:tcPr>
            <w:tcW w:w="2546" w:type="dxa"/>
            <w:tcBorders>
              <w:top w:val="single" w:sz="4" w:space="0" w:color="auto"/>
              <w:left w:val="single" w:sz="4" w:space="0" w:color="auto"/>
              <w:bottom w:val="single" w:sz="4" w:space="0" w:color="auto"/>
              <w:right w:val="single" w:sz="4" w:space="0" w:color="auto"/>
            </w:tcBorders>
            <w:hideMark/>
          </w:tcPr>
          <w:p w14:paraId="53D60FED" w14:textId="77777777" w:rsidR="00401E72" w:rsidRDefault="00401E72" w:rsidP="00A21BAE">
            <w:r>
              <w:fldChar w:fldCharType="begin"/>
            </w:r>
            <w:r>
              <w:instrText xml:space="preserve"> ADDIN ZOTERO_ITEM CSL_CITATION {"citationID":"m3DtiDC4","properties":{"formattedCitation":"(52,84)","plainCitation":"(52,84)","noteIndex":0},"citationItems":[{"id":1554,"uris":["http://zotero.org/users/9294180/items/BKBMWBEA"],"itemData":{"id":1554,"type":"article-journal","abstract":"Background. Carbapenem-resistant Enterobacteriaceae (CRE) spread regionally throughout healthcare facilities through patient transfer and cause difﬁcult-to-treat infections. We developed a state-wide patient-sharing matrix and applied social network analyses to determine whether greater connectedness (centrality) to other healthcare facilities and greater patient sharing with long-term acute care hospitals (LTACHs) predicted higher facility CRE rates.\nMethods. We combined CRE case information from the Illinois extensively drug-resistant organism registry with measures of centrality calculated from a state-wide hospital discharge dataset to predict facility-level CRE rates, adjusting for hospital size and geographic characteristics.\nResults. Higher CRE rates were observed among facilities with greater patient sharing, as measured by degree centrality. Each additional hospital connection (unit of degree) conferred a 6% increase in CRE rate in rural facilities (relative risk [RR] = 1.056; 95% conﬁdence interval [CI], 1.030–1.082) and a 3% increase among Chicagoland and non-Chicago urban facilities (RR = 1.027; 95% CI, 1.002–1.052 and RR = 1.025; 95% CI, 1.002–1.048, respectively). Sharing 4 or more patients with LTACHs was associated with higher CRE rates, but this association may have been due to chance (RR = 2.08; 95% CI, .85–5.08; P = .11).\nConclusions. Hospitals with greater connectedness to other hospitals in a statewide patient-sharing network had higher CRE burden. Centrality had a greater effect on CRE rates in rural counties, which do not have LTACHs. Social network analysis likely identiﬁes hospitals at higher risk of CRE exposure, enabling focused clinical and public health interventions.","container-title":"Clinical Infectious Diseases","DOI":"10.1093/cid/ciw461","ISSN":"1058-4838, 1537-6591","issue":"7","journalAbbreviation":"Clin Infect Dis.","language":"en","page":"889-893","source":"DOI.org (Crossref)","title":"Spread of Carbapenem-Resistant &lt;i&gt;Enterobacteriaceae&lt;/i&gt; Among Illinois Healthcare Facilities: The Role of Patient Sharing","title-short":"Spread of Carbapenem-Resistant &lt;i&gt;Enterobacteriaceae&lt;/i&gt; Among Illinois Healthcare Facilities","volume":"63","author":[{"family":"Ray","given":"Michael J."},{"family":"Lin","given":"Michael Y."},{"family":"Weinstein","given":"Robert A."},{"family":"Trick","given":"William E."}],"issued":{"date-parts":[["2016",10,1]]}}},{"id":1553,"uris":["http://zotero.org/users/9294180/items/FKUR9BUB"],"itemData":{"id":1553,"type":"article-journal","abstract":"Background.  In 2013, New Delhi metallo-β-lactamase (NDM)–producing Escherichia coli, a type of carbapenem-resistant Enterobacteriaceae uncommon in the United States, was identified in a tertiary care hospital (hospital A) in northeastern Illinois. The outbreak was traced to a contaminated duodenoscope. Patient-sharing patterns can be described through social network analysis and ego networks, which could be used to identify hospitals most likely to accept patients from a hospital with an outbreak.\nMethods.  Using Illinois’ hospital discharge data and the Illinois extensively drug-resistant organism (XDRO) registry, we constructed an ego network around hospital A. We identified which facilities NDM outbreak patients subsequently visited and whether the facilities reported NDM cases.\nResults.  Of the 31 outbreak cases entered into the XDRO registry who visited hospital A, 19 (61%) were subsequently admitted to 13 other hospitals during the following 12 months. Of the 13 hospitals, the majority (n = 9; 69%) were in our defined ego network, and 5 of those 9 hospitals consequently reported at least 1 additional NDM case. Ego network facilities were more likely to identify cases compared to a geographically defined group of facilities (9/22 vs 10/66; P = .01); only 1 reported case fell outside of the ego network.\nConclusions.  The outbreak hospital’s ego network accurately predicted which hospitals the outbreak patients would visit. Many of these hospitals reported additional NDM cases. Prior knowledge of this ego network could have efficiently focused public health resources on these high-risk facilities.","container-title":"Clinical Infectious Diseases","DOI":"10.1093/cid/ciy084","ISSN":"1058-4838, 1537-6591","issue":"3","language":"en","license":"https://academic.oup.com/journals/pages/open_access/funder_policies/chorus/standard_publication_model","page":"407-410","source":"DOI.org (Crossref)","title":"Regional Spread of an Outbreak of Carbapenem-Resistant Enterobacteriaceae Through an Ego Network of Healthcare Facilities","volume":"67","author":[{"family":"Ray","given":"Michael J"},{"family":"Lin","given":"Michael Y"},{"family":"Tang","given":"Angela S"},{"family":"Arwady","given":"M Allison"},{"family":"Lavin","given":"Mary Alice"},{"family":"Runningdeer","given":"Erica"},{"family":"Jovanov","given":"Dejan"},{"family":"Trick","given":"William E"}],"issued":{"date-parts":[["2018",7,18]]}}}],"schema":"https://github.com/citation-style-language/schema/raw/master/csl-citation.json"} </w:instrText>
            </w:r>
            <w:r>
              <w:fldChar w:fldCharType="separate"/>
            </w:r>
            <w:r w:rsidRPr="00EF2F5A">
              <w:rPr>
                <w:rFonts w:cs="Calibri"/>
              </w:rPr>
              <w:t>(52,84)</w:t>
            </w:r>
            <w:r>
              <w:fldChar w:fldCharType="end"/>
            </w:r>
          </w:p>
        </w:tc>
      </w:tr>
      <w:tr w:rsidR="00401E72" w14:paraId="525867DD"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3AAC0B35" w14:textId="77777777" w:rsidR="00401E72" w:rsidRDefault="00401E72" w:rsidP="00A21BAE">
            <w:r>
              <w:t>Iowa</w:t>
            </w:r>
          </w:p>
        </w:tc>
        <w:tc>
          <w:tcPr>
            <w:tcW w:w="2546" w:type="dxa"/>
            <w:tcBorders>
              <w:top w:val="single" w:sz="4" w:space="0" w:color="auto"/>
              <w:left w:val="single" w:sz="4" w:space="0" w:color="auto"/>
              <w:bottom w:val="single" w:sz="4" w:space="0" w:color="auto"/>
              <w:right w:val="single" w:sz="4" w:space="0" w:color="auto"/>
            </w:tcBorders>
            <w:hideMark/>
          </w:tcPr>
          <w:p w14:paraId="7536CCB6" w14:textId="77777777" w:rsidR="00401E72" w:rsidRDefault="00401E72" w:rsidP="00A21BAE">
            <w:r>
              <w:fldChar w:fldCharType="begin"/>
            </w:r>
            <w:r>
              <w:instrText xml:space="preserve"> ADDIN ZOTERO_ITEM CSL_CITATION {"citationID":"OWA1YovW","properties":{"formattedCitation":"(23)","plainCitation":"(23)","noteIndex":0},"citationItems":[{"id":1410,"uris":["http://zotero.org/users/9294180/items/ZI9436LR"],"itemData":{"id":1410,"type":"article-journal","abstract":"Constructing accurate patient transfer networks between hospitals is critical for understanding the spread of healthcare associated infections through statistical and mathematical modeling, and for determining optimal screening and treatment strategies. The Healthcare Cost &amp; Utilization Project (HCUP) State Inpatient Databases (SID) provide valuable information on patient transfers from publicly obtainable claims databases, yet often give an incomplete picture due to missingness of patient tracking identifiers. We designed a novel imputation algorithm that enabled us to estimate the true number of patient transfers between each pair of hospitals in a state over a specified time period and age group in the presence of these missing identifiers. We then validated the algorithm’s performance through a series of simulation experiments using the HCUP SID, and finally tested the algorithm on multiple states’ genuine data. Our proposed method significantly reduced the total mean squared error in predicting the true number of transfers amongst hospitals for all simulation experiments, and it also yielded epidemic simulations that more closely approximated those corresponding to the true patient transfer network.","container-title":"Health Services and Outcomes Research Methodology","DOI":"10.1007/s10742-021-00249-5","ISSN":"1572-9400","issue":"1","journalAbbreviation":"Health Serv Outcomes Res Method","language":"en","page":"1-15","source":"Springer Link","title":"Inferring patient transfer networks between healthcare facilities","volume":"22","author":[{"family":"Justice","given":"Samuel A."},{"family":"Sewell","given":"Daniel K."},{"family":"Miller","given":"Aaron C."},{"family":"Simmering","given":"Jacob E."},{"family":"Polgreen","given":"Philip M."},{"literal":"For the CDC MInD-Healthcare Program"}],"issued":{"date-parts":[["2022",3,1]]}}}],"schema":"https://github.com/citation-style-language/schema/raw/master/csl-citation.json"} </w:instrText>
            </w:r>
            <w:r>
              <w:fldChar w:fldCharType="separate"/>
            </w:r>
            <w:r w:rsidRPr="00374BD7">
              <w:rPr>
                <w:rFonts w:cs="Calibri"/>
              </w:rPr>
              <w:t>(23)</w:t>
            </w:r>
            <w:r>
              <w:fldChar w:fldCharType="end"/>
            </w:r>
          </w:p>
        </w:tc>
      </w:tr>
      <w:tr w:rsidR="00401E72" w14:paraId="42A2D019"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4956BF8" w14:textId="77777777" w:rsidR="00401E72" w:rsidRDefault="00401E72" w:rsidP="00A21BAE">
            <w:r>
              <w:t>Lazio</w:t>
            </w:r>
          </w:p>
        </w:tc>
        <w:tc>
          <w:tcPr>
            <w:tcW w:w="2546" w:type="dxa"/>
            <w:tcBorders>
              <w:top w:val="single" w:sz="4" w:space="0" w:color="auto"/>
              <w:left w:val="single" w:sz="4" w:space="0" w:color="auto"/>
              <w:bottom w:val="single" w:sz="4" w:space="0" w:color="auto"/>
              <w:right w:val="single" w:sz="4" w:space="0" w:color="auto"/>
            </w:tcBorders>
            <w:hideMark/>
          </w:tcPr>
          <w:p w14:paraId="135BC50A" w14:textId="77777777" w:rsidR="00401E72" w:rsidRDefault="00401E72" w:rsidP="00A21BAE">
            <w:pPr>
              <w:rPr>
                <w:lang w:val="en-US"/>
              </w:rPr>
            </w:pPr>
            <w:r>
              <w:fldChar w:fldCharType="begin"/>
            </w:r>
            <w:r>
              <w:rPr>
                <w:lang w:val="en-US"/>
              </w:rPr>
              <w:instrText xml:space="preserve"> ADDIN ZOTERO_ITEM CSL_CITATION {"citationID":"HT9ZnZlS","properties":{"formattedCitation":"(32,62)","plainCitation":"(32,62)","noteIndex":0},"citationItems":[{"id":1567,"uris":["http://zotero.org/users/9294180/items/D5D3ZCBJ"],"itemData":{"id":1567,"type":"article-journal","container-title":"Social Networks","DOI":"10.1016/j.socnet.2010.10.005","ISSN":"03788733","issue":"1","journalAbbreviation":"Social Networks","language":"en","license":"https://www.elsevier.com/tdm/userlicense/1.0/","page":"101-111","source":"DOI.org (Crossref)","title":"Relational collaboration among spatial multipoint competitors","volume":"34","author":[{"family":"Lomi","given":"Alessandro"},{"family":"Pallotti","given":"Francesca"}],"issued":{"date-parts":[["2012",1]]}}},{"id":1596,"uris":["http://zotero.org/users/9294180/items/Q87FX5TL"],"itemData":{"id":1596,"type":"article-journal","abstract":"Using original data that we have collected on referral relations between 110 hospitals serving a large regional community, we show how recently derived Bayesian exponential random graph models may be adopted to illuminate core empirical issues in research on relational coordination among healthcare organisations. We show how a rigorous Bayesian computation approach supports a fully probabilistic analytical framework that alleviates well‐known problems in the estimation of model parameters of exponential random graph models. We also show how the main structural features of interhospital patient referral networks that prior studies have described can be reproduced with accuracy by specifying the system of local dependencies that produce – but at the same time are induced by – decentralised collaborative arrangements between hospitals. Copyright © 2017 John Wiley &amp; Sons, Ltd.","container-title":"Statistics in Medicine","DOI":"10.1002/sim.7301","ISSN":"0277-6715, 1097-0258","issue":"18","journalAbbreviation":"Statistics in Medicine","language":"en","license":"http://onlinelibrary.wiley.com/termsAndConditions#vor","page":"2902-2920","source":"DOI.org (Crossref)","title":"Bayesian exponential random graph modelling of interhospital patient referral networks","volume":"36","author":[{"family":"Caimo","given":"Alberto"},{"family":"Pallotti","given":"Francesca"},{"family":"Lomi","given":"Alessandro"}],"issued":{"date-parts":[["2017",8,15]]}}}],"schema":"https://github.com/citation-style-language/schema/raw/master/csl-citation.json"} </w:instrText>
            </w:r>
            <w:r>
              <w:fldChar w:fldCharType="separate"/>
            </w:r>
            <w:r w:rsidRPr="00EF2F5A">
              <w:rPr>
                <w:rFonts w:cs="Calibri"/>
              </w:rPr>
              <w:t>(32,62)</w:t>
            </w:r>
            <w:r>
              <w:fldChar w:fldCharType="end"/>
            </w:r>
          </w:p>
        </w:tc>
      </w:tr>
      <w:tr w:rsidR="00401E72" w14:paraId="4F5710AA"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7B162326" w14:textId="77777777" w:rsidR="00401E72" w:rsidRDefault="00401E72" w:rsidP="00A21BAE">
            <w:r>
              <w:t>Lombardy</w:t>
            </w:r>
          </w:p>
        </w:tc>
        <w:tc>
          <w:tcPr>
            <w:tcW w:w="2546" w:type="dxa"/>
            <w:tcBorders>
              <w:top w:val="single" w:sz="4" w:space="0" w:color="auto"/>
              <w:left w:val="single" w:sz="4" w:space="0" w:color="auto"/>
              <w:bottom w:val="single" w:sz="4" w:space="0" w:color="auto"/>
              <w:right w:val="single" w:sz="4" w:space="0" w:color="auto"/>
            </w:tcBorders>
            <w:hideMark/>
          </w:tcPr>
          <w:p w14:paraId="1B4F615E" w14:textId="77777777" w:rsidR="00401E72" w:rsidRDefault="00401E72" w:rsidP="00A21BAE">
            <w:r>
              <w:fldChar w:fldCharType="begin"/>
            </w:r>
            <w:r>
              <w:instrText xml:space="preserve"> ADDIN ZOTERO_ITEM CSL_CITATION {"citationID":"W0RU9lN9","properties":{"formattedCitation":"(85)","plainCitation":"(85)","noteIndex":0},"citationItems":[{"id":1599,"uris":["http://zotero.org/users/9294180/items/5RZ2LBA4"],"itemData":{"id":1599,"type":"article-journal","abstract":"Motivated by reasons such as patients’ needs, lack of resources, technologies or skills, and quality, hospital managers may engage in cooperative behaviours. We study the determinants of patients’ transfers, a speciﬁc form of cooperation, and quantify its association with the quality delivered by the origin and destination hospital. Using Italian administrative data, we handle the network structure embedded in the data by adopting an over-dispersed Poisson mixed model. The results show a positive relationship between hospital cooperation and quality. The introduction of transferal protocols that exploit information on hospital quality may further improve the overall quality of the healthcare sector.","container-title":"Regional Studies","DOI":"10.1080/00343404.2021.2009792","ISSN":"0034-3404, 1360-0591","issue":"11","journalAbbreviation":"Regional Studies","language":"en","page":"1858-1873","source":"DOI.org (Crossref)","title":"The association between hospital cooperation and the quality of healthcare","volume":"56","author":[{"family":"Berta","given":"Paolo"},{"family":"Vinciotti","given":"Veronica"},{"family":"Moscone","given":"Francesco"}],"issued":{"date-parts":[["2022",11,2]]}}}],"schema":"https://github.com/citation-style-language/schema/raw/master/csl-citation.json"} </w:instrText>
            </w:r>
            <w:r>
              <w:fldChar w:fldCharType="separate"/>
            </w:r>
            <w:r w:rsidRPr="00EF2F5A">
              <w:rPr>
                <w:rFonts w:cs="Calibri"/>
              </w:rPr>
              <w:t>(85)</w:t>
            </w:r>
            <w:r>
              <w:fldChar w:fldCharType="end"/>
            </w:r>
          </w:p>
        </w:tc>
      </w:tr>
      <w:tr w:rsidR="00401E72" w14:paraId="0FDF57E6"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5A272877" w14:textId="77777777" w:rsidR="00401E72" w:rsidRDefault="00401E72" w:rsidP="00A21BAE">
            <w:r>
              <w:t>London</w:t>
            </w:r>
          </w:p>
        </w:tc>
        <w:tc>
          <w:tcPr>
            <w:tcW w:w="2546" w:type="dxa"/>
            <w:tcBorders>
              <w:top w:val="single" w:sz="4" w:space="0" w:color="auto"/>
              <w:left w:val="single" w:sz="4" w:space="0" w:color="auto"/>
              <w:bottom w:val="single" w:sz="4" w:space="0" w:color="auto"/>
              <w:right w:val="single" w:sz="4" w:space="0" w:color="auto"/>
            </w:tcBorders>
            <w:hideMark/>
          </w:tcPr>
          <w:p w14:paraId="2B484DD9" w14:textId="77777777" w:rsidR="00401E72" w:rsidRDefault="00401E72" w:rsidP="00A21BAE">
            <w:r>
              <w:fldChar w:fldCharType="begin"/>
            </w:r>
            <w:r>
              <w:instrText xml:space="preserve"> ADDIN ZOTERO_ITEM CSL_CITATION {"citationID":"twy5vTlS","properties":{"formattedCitation":"(53)","plainCitation":"(53)","noteIndex":0},"citationItems":[{"id":1603,"uris":["http://zotero.org/users/9294180/items/QGYMBBYY"],"itemData":{"id":1603,"type":"article-journal","container-title":"PLOS ONE","DOI":"10.1371/journal.pone.0185912","ISSN":"1932-6203","issue":"10","journalAbbreviation":"PLoS ONE","language":"en","page":"e0185912","source":"DOI.org (Crossref)","title":"Network analysis of patient flow in two UK acute care hospitals identifies key sub-networks for A&amp;E performance","volume":"12","author":[{"family":"Bean","given":"Daniel M."},{"family":"Stringer","given":"Clive"},{"family":"Beeknoo","given":"Neeraj"},{"family":"Teo","given":"James"},{"family":"Dobson","given":"Richard J. B."}],"editor":[{"family":"Lambiotte","given":"Renaud"}],"issued":{"date-parts":[["2017",10,2]]}}}],"schema":"https://github.com/citation-style-language/schema/raw/master/csl-citation.json"} </w:instrText>
            </w:r>
            <w:r>
              <w:fldChar w:fldCharType="separate"/>
            </w:r>
            <w:r w:rsidRPr="00735B0C">
              <w:t>(53)</w:t>
            </w:r>
            <w:r>
              <w:fldChar w:fldCharType="end"/>
            </w:r>
          </w:p>
        </w:tc>
      </w:tr>
      <w:tr w:rsidR="00401E72" w14:paraId="7EB14290"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063BD2C6" w14:textId="77777777" w:rsidR="00401E72" w:rsidRDefault="00401E72" w:rsidP="00A21BAE">
            <w:r>
              <w:t>Lower Saxony</w:t>
            </w:r>
          </w:p>
        </w:tc>
        <w:tc>
          <w:tcPr>
            <w:tcW w:w="2546" w:type="dxa"/>
            <w:tcBorders>
              <w:top w:val="single" w:sz="4" w:space="0" w:color="auto"/>
              <w:left w:val="single" w:sz="4" w:space="0" w:color="auto"/>
              <w:bottom w:val="single" w:sz="4" w:space="0" w:color="auto"/>
              <w:right w:val="single" w:sz="4" w:space="0" w:color="auto"/>
            </w:tcBorders>
            <w:hideMark/>
          </w:tcPr>
          <w:p w14:paraId="40119C98" w14:textId="77777777" w:rsidR="00401E72" w:rsidRDefault="00401E72" w:rsidP="00A21BAE">
            <w:r>
              <w:fldChar w:fldCharType="begin"/>
            </w:r>
            <w:r>
              <w:instrText xml:space="preserve"> ADDIN ZOTERO_ITEM CSL_CITATION {"citationID":"9iaFCdOZ","properties":{"formattedCitation":"(6,7,24,27,28,39)","plainCitation":"(6,7,24,27,28,39)","noteIndex":0},"citationItems":[{"id":1629,"uris":["http://zotero.org/users/9294180/items/VSJ2GUNQ"],"itemData":{"id":1629,"type":"chapter","abstract":"The spread of hospital-related infections such as antibiotic-resistant pathogens forms a major challenge in public healthcare systems world-wide. One of the driving mechanisms of the pathogen spread are referrals or transfers of patients (hosts) between hospitals or readmissions after their stay in the community, constituting a dynamical network of hospitals. We analyze referral patterns of 1 million patients from one Federal State in Germany over the period of three years. We extract the underlying statistics of relocation patterns and build an agent-based computational model of pathogen spread. We simulate an outbreak of an SIS-type infection (susceptible-infected-susceptible) and evaluate characteristic time scales and prevalence levels. For such recurrent diseases, we finally investigate the effect of control measures based on screening and isolation of incoming patients.","container-title":"Control of Self-Organizing Nonlinear Systems","event-place":"Cham","ISBN":"978-3-319-28028-8","language":"en","note":"DOI: 10.1007/978-3-319-28028-8_22","page":"431-440","publisher":"Springer International Publishing","publisher-place":"Cham","source":"Springer Link","title":"Control of Epidemics on Hospital Networks","URL":"https://doi.org/10.1007/978-3-319-28028-8_22","author":[{"family":"Belik","given":"Vitaly"},{"family":"Hövel","given":"Philipp"},{"family":"Mikolajczyk","given":"Rafael"}],"editor":[{"family":"Schöll","given":"Eckehard"},{"family":"Klapp","given":"Sabine H. L."},{"family":"Hövel","given":"Philipp"}],"accessed":{"date-parts":[["2025",1,27]]},"issued":{"date-parts":[["2016"]]}}},{"id":1601,"uris":["http://zotero.org/users/9294180/items/9WSIKMIY"],"itemData":{"id":1601,"type":"chapter","abstract":"Antimicrobial-resistant pathogens constitute a major threat for health care systems worldwide. The hospital-related pathway is a key mechanism of their spread. Contrary to intra-hospital transmission data that requires sophisticated contact tracing technologies, data on inter-hospital transmission is collected on a regular basis. We investigate the dataset of patient referrals between hospitals in a large region of Germany. This dataset contains approximately one million patients over a 3-year period. The dataset is used to build a dynamic network of hospitals where nodes are hospitals and edges represent movements of patients between them. We consider the worst-case scenario of a highly contagious disease corresponding to deterministic infection dynamics. Furthermore, we investigate the impact on epidemic processes of the correction to the temporal network due to home (or community) visits of possibly contagious patients returning to hospitals. Moreover, we implement an extensive stochastic agent-based computational model of epidemics on this network. By leveraging the topological and temporal network structure for epidemic control, we propose intervention schemes able to hinder spread. Our approach can be used to design optimal control strategies for containment of nosocomial diseases in health-care networks.","container-title":"Temporal Network Epidemiology","event-place":"Singapore","ISBN":"978-981-10-5286-6","language":"en","note":"collection-title: Theoretical Biology\nDOI: 10.1007/978-981-10-5287-3_9","page":"199-214","publisher":"Springer Singapore","publisher-place":"Singapore","source":"DOI.org (Crossref)","title":"Leveraging Topological and Temporal Structure of Hospital Referral Networks for Epidemic Control","URL":"http://link.springer.com/10.1007/978-981-10-5287-3_9","editor":[{"family":"Masuda","given":"Naoki"},{"family":"Holme","given":"Petter"}],"author":[{"family":"Belik","given":"Vitaly"},{"family":"Karch","given":"André"},{"family":"Hövel","given":"Philipp"},{"family":"Mikolajczyk","given":"Rafael"}],"accessed":{"date-parts":[["2025",4,10]]},"issued":{"date-parts":[["2017"]]}}},{"id":1557,"uris":["http://zotero.org/users/9294180/items/G8K624BY"],"itemData":{"id":1557,"type":"article-journal","abstract":"The spread of resistant bacteria in hospitals is an increasing problem worldwide. Transfers of patients, who may be colonized with resistant bacteria, are considered to be an important driver of promoting resistance. Even though transmission rates within a hospital are often low, readmissions of patients who were colonized during an earlier hospital stay lead to repeated introductions of resistant bacteria into hospitals. We developed a mathematical model that combines a deterministic model for within-hospital spread of pathogens, discharge to the community and readmission, with a hospital–community network simulation of patient transfers between hospitals. Model parameters used to create the hospital–community network are obtained from two health insurance datasets from Germany. For parameter values representing transmission of resistant Enterobacteriaceae, we compute estimates for the single admission reproduction numbers </w:instrText>
            </w:r>
            <w:r>
              <w:rPr>
                <w:rFonts w:ascii="Cambria Math" w:hAnsi="Cambria Math" w:cs="Cambria Math"/>
              </w:rPr>
              <w:instrText>𝑅𝐴</w:instrText>
            </w:r>
            <w:r>
              <w:instrText xml:space="preserve"> and the basic reproduction numbers </w:instrText>
            </w:r>
            <w:r>
              <w:rPr>
                <w:rFonts w:ascii="Cambria Math" w:hAnsi="Cambria Math" w:cs="Cambria Math"/>
              </w:rPr>
              <w:instrText>𝑅</w:instrText>
            </w:r>
            <w:r>
              <w:instrText xml:space="preserve">0 per hospital–community pair. We simulate the spread of colonization through the network of hospitals, and investigate how increasing connectedness of hospitals through the network influences the prevalence in the hospital–community pairs. We find that the prevalence in hospitals is determined by their </w:instrText>
            </w:r>
            <w:r>
              <w:rPr>
                <w:rFonts w:ascii="Cambria Math" w:hAnsi="Cambria Math" w:cs="Cambria Math"/>
              </w:rPr>
              <w:instrText>𝑅𝐴</w:instrText>
            </w:r>
            <w:r>
              <w:instrText xml:space="preserve"> and </w:instrText>
            </w:r>
            <w:r>
              <w:rPr>
                <w:rFonts w:ascii="Cambria Math" w:hAnsi="Cambria Math" w:cs="Cambria Math"/>
              </w:rPr>
              <w:instrText>𝑅</w:instrText>
            </w:r>
            <w:r>
              <w:instrText xml:space="preserve">0 values. Increasing transfer rates between network nodes tend to lower the overall prevalence in the network by diluting the high prevalence of hospitals with high </w:instrText>
            </w:r>
            <w:r>
              <w:rPr>
                <w:rFonts w:ascii="Cambria Math" w:hAnsi="Cambria Math" w:cs="Cambria Math"/>
              </w:rPr>
              <w:instrText>𝑅</w:instrText>
            </w:r>
            <w:r>
              <w:instrText xml:space="preserve">0 to hospitals where persistent spread is not possible. We conclude that hospitals with high reproduction numbers represent a continuous source of risk for importing resistant pathogens for hospitals with otherwise low levels of transmission. Moreover, high risk hospital–community nodes act as reservoirs of pathogens in a densely connected network.","container-title":"Epidemics","DOI":"10.1016/j.epidem.2020.100408","ISSN":"17554365","journalAbbreviation":"Epidemics","language":"en","page":"100408","source":"DOI.org (Crossref)","title":"Impact of inter-hospital transfers on the prevalence of resistant pathogens in a hospital–community system","volume":"33","author":[{"family":"Piotrowska","given":"M.J."},{"family":"Sakowski","given":"K."},{"family":"Lonc","given":"A."},{"family":"Tahir","given":"H."},{"family":"Kretzschmar","given":"M.E."}],"issued":{"date-parts":[["2020",12]]}}},{"id":1556,"uris":["http://zotero.org/users/9294180/items/JV2AR2AV"],"itemData":{"id":1556,"type":"article-journal","abstract":"Inter-hospital patient transfers (direct transfers) between healthcare facilities have been shown to contribute to the spread of pathogens in a healthcare network. However, the impact of indirect transfers (patients re-admitted from the community to the same or different hospital) is not well studied. This work aims to study the contribution of indirect transfers to the spread of pathogens in a healthcare network. To address this aim, a hybrid network–deterministic model to simulate the spread of multiresistant pathogens in a healthcare system was developed for the region of Lower Saxony (Germany). The model accounts for both, direct and indirect transfers of patients. Intra-hospital pathogen transmission is governed by a SIS model expressed by a system of ordinary differential equations. Our results show that the proposed model reproduces the basic properties of healthcare-associated pathogen spread. They also show the importance of indirect transfers: restricting the pathogen spread to direct transfers only leads to 4.2% system wide prevalence. However, adding indirect transfers leads to an increase in the overall prevalence by a factor of 4 (18%). In addition, we demonstrated that the final prevalence in the individual healthcare facilities depends on average length of stay in a way described by a non-linear concave function. Moreover, we demonstrate that the network parameters of the model may be derived from administrative admission/discharge records. In particular, they are sufficient to obtain inter-hospital transfer probabilities, and to express the patients’ transfers as a Markov process. Using the proposed model, we show that indirect transfers of patients are equally or even more important as direct transfers for the spread of pathogens in a healthcare network.","container-title":"PLOS Computational Biology","DOI":"10.1371/journal.pcbi.1008442","ISSN":"1553-7358","issue":"11","journalAbbreviation":"PLoS Comput Biol","language":"en","page":"e1008442","source":"DOI.org (Crossref)","title":"Modelling pathogen spread in a healthcare network: Indirect patient movements","title-short":"Modelling pathogen spread in a healthcare network","volume":"16","author":[{"family":"Piotrowska","given":"Monika J."},{"family":"Sakowski","given":"Konrad"},{"family":"Karch","given":"André"},{"family":"Tahir","given":"Hannan"},{"family":"Horn","given":"Johannes"},{"family":"Kretzschmar","given":"Mirjam E."},{"family":"Mikolajczyk","given":"Rafael T."}],"editor":[{"family":"Wodarz","given":"Dominik"}],"issued":{"date-parts":[["2020",11,30]]}}},{"id":1609,"uris":["http://zotero.org/users/9294180/items/IJRM8Y3L"],"itemData":{"id":1609,"type":"article-journal","abstract":"In the year 2020, there were 105 different statutory insurance companies in Germany with heterogeneous regional coverage. Obtaining data from all insurance companies is challenging, so that it is likely that projects will have to rely on data not covering the whole population. Consequently, the study of epidemic spread in hospital referral networks using data-driven models may be biased. We studied this bias using data from three German regional insurance companies covering four federal states: AOK (historically “general local health insurance company”, but currently only the abbreviation is used) Lower Saxony (in Federal State of Lower Saxony), AOK Bavaria (in Bavaria), and AOK PLUS (in Thuringia and Saxony). To understand how incomplete data influence network characteristics and related epidemic simulations, we created sampled datasets by randomly dropping a proportion of patients from the full datasets and replacing them with random copies of the remaining patients to obtain scale-up datasets to the original size. For the sampled and scale-up datasets, we calculated several commonly used network measures, and compared them to those derived from the original data. We found that the network measures (degree, strength and closeness) were rather sensitive to incompleteness. Infection prevalence as an outcome from the applied susceptible-infectious-susceptible (SIS) model was fairly robust against incompleteness. At incompleteness levels as high as 90% of the original datasets the prevalence estimation bias was below 5% in scale-up datasets. Consequently, a coverage as low as 10% of the local population of the federal state population was sufficient to maintain the relative bias in prevalence below 10% for a wide range of transmission parameters as encountered in clinical settings. Our findings are reassuring that despite incomplete coverage of the population, German health insurance data can be used to study effects of patient traffic between institutions on the spread of pathogens within healthcare networks.","container-title":"PLOS Computational Biology","DOI":"10.1371/journal.pcbi.1008941","ISSN":"1553-7358","issue":"5","journalAbbreviation":"PLoS Comput Biol","language":"en","page":"e1008941","source":"DOI.org (Crossref)","title":"Effects of incomplete inter-hospital network data on the assessment of transmission dynamics of hospital-acquired infections","volume":"17","author":[{"family":"Xia","given":"Hanjue"},{"family":"Horn","given":"Johannes"},{"family":"Piotrowska","given":"Monika J."},{"family":"Sakowski","given":"Konrad"},{"family":"Karch","given":"André"},{"family":"Tahir","given":"Hannan"},{"family":"Kretzschmar","given":"Mirjam"},{"family":"Mikolajczyk","given":"Rafael"}],"editor":[{"family":"Althouse","given":"Benjamin Muir"}],"issued":{"date-parts":[["2021",5,6]]}}},{"id":1608,"uris":["http://zotero.org/users/9294180/items/QVDJUTFV"],"itemData":{"id":1608,"type":"article-journal","abstract":"Abstract\n            Pathogens typically responsible for hospital-acquired infections (HAIs) constitute a major threat to healthcare systems worldwide. They spread via hospital (or hospital-community) networks by readmissions or patient transfers. Therefore, knowledge of these networks is essential to develop and test strategies to mitigate and control the HAI spread. Until now, no methods for comparing healthcare networks across different systems were proposed. Based on healthcare insurance data from four German federal states (Bavaria, Lower Saxony, Saxony and Thuringia), we constructed hospital networks and compared them in a systematic approach regarding population, hospital characteristics, and patient transfer patterns. Direct patient transfers between hospitals had only a limited impact on HAI spread. Whereas, with low colonization clearance rates, readmissions to the same hospitals posed the biggest transmission risk of all inter-hospital transfers. We then generated hospital-community networks, in which patients either stay in communities or in hospitals. We found that network characteristics affect the final prevalence and the time to reach it. However, depending on the characteristics of the pathogen (colonization clearance rate and transmission rate or even the relationship between transmission rate in hospitals and in the community), the studied networks performed differently. The differences were not large, but justify further studies.","container-title":"Scientific Reports","DOI":"10.1038/s41598-023-50873-z","ISSN":"2045-2322","issue":"1","journalAbbreviation":"Sci Rep","language":"en","page":"929","source":"DOI.org (Crossref)","title":"Regional patient transfer patterns matter for the spread of hospital-acquired pathogens","volume":"14","author":[{"family":"Xia","given":"Hanjue"},{"family":"Horn","given":"Johannes"},{"family":"Piotrowska","given":"Monika J."},{"family":"Sakowski","given":"Konrad"},{"family":"Karch","given":"André"},{"family":"Kretzschmar","given":"Mirjam"},{"family":"Mikolajczyk","given":"Rafael"}],"issued":{"date-parts":[["2024",1,9]]}}}],"schema":"https://github.com/citation-style-language/schema/raw/master/csl-citation.json"} </w:instrText>
            </w:r>
            <w:r>
              <w:fldChar w:fldCharType="separate"/>
            </w:r>
            <w:r w:rsidRPr="001E7A4C">
              <w:t>(6,7,24,27,28,39)</w:t>
            </w:r>
            <w:r>
              <w:fldChar w:fldCharType="end"/>
            </w:r>
          </w:p>
        </w:tc>
      </w:tr>
      <w:tr w:rsidR="00401E72" w:rsidRPr="00BF7426" w14:paraId="3D7E5853" w14:textId="77777777" w:rsidTr="00A21BAE">
        <w:tc>
          <w:tcPr>
            <w:tcW w:w="6516" w:type="dxa"/>
            <w:tcBorders>
              <w:top w:val="single" w:sz="4" w:space="0" w:color="auto"/>
              <w:left w:val="single" w:sz="4" w:space="0" w:color="auto"/>
              <w:bottom w:val="single" w:sz="4" w:space="0" w:color="auto"/>
              <w:right w:val="single" w:sz="4" w:space="0" w:color="auto"/>
            </w:tcBorders>
          </w:tcPr>
          <w:p w14:paraId="71539C39" w14:textId="77777777" w:rsidR="00401E72" w:rsidRDefault="00401E72" w:rsidP="00A21BAE">
            <w:r>
              <w:t>Minnesota</w:t>
            </w:r>
          </w:p>
        </w:tc>
        <w:tc>
          <w:tcPr>
            <w:tcW w:w="2546" w:type="dxa"/>
            <w:tcBorders>
              <w:top w:val="single" w:sz="4" w:space="0" w:color="auto"/>
              <w:left w:val="single" w:sz="4" w:space="0" w:color="auto"/>
              <w:bottom w:val="single" w:sz="4" w:space="0" w:color="auto"/>
              <w:right w:val="single" w:sz="4" w:space="0" w:color="auto"/>
            </w:tcBorders>
          </w:tcPr>
          <w:p w14:paraId="2F9D381C" w14:textId="77777777" w:rsidR="00401E72" w:rsidRPr="00BF7426" w:rsidRDefault="00401E72" w:rsidP="00A21BAE">
            <w:pPr>
              <w:rPr>
                <w:lang w:val="en-GB"/>
              </w:rPr>
            </w:pPr>
            <w:r>
              <w:fldChar w:fldCharType="begin"/>
            </w:r>
            <w:r>
              <w:instrText xml:space="preserve"> ADDIN ZOTERO_ITEM CSL_CITATION {"citationID":"X0EfA1qG","properties":{"formattedCitation":"(77)","plainCitation":"(77)","noteIndex":0},"citationItems":[{"id":2461,"uris":["http://zotero.org/users/9294180/items/DPINVMQC"],"itemData":{"id":2461,"type":"article-journal","abstract":"Carbapenem-resistant Enterobacterales (CRE) are among the most concerning antibiotic resistance threats due to high rates of multidrug resistance, transmissibility in health care settings, and high mortality rates. We evaluated the potential for regional genomic surveillance to track the spread of bla&lt;inf&gt;KPC&lt;/inf&gt;-carrying CRE (KPC-CRE) by using isolate collections from health care facilities in three U.S. states. Clinical isolates were collected from Connecticut (2017 to 2018), Minnesota (2012 to 2018), and Tennessee (2016 to 2017) through the U.S. Centers for Disease Control and Prevention’s Multi-site Gram-negative Surveillance Initiative (MuGSI) and additional surveillance. KPC-CRE isolates were whole-genome sequenced, yielding 255 isolates from 214 patients across 96 facilities. Case report data on patient comorbidities, facility exposures, and interfacility patient transfer were extracted. We observed that in Connecticut, most KPC-CRE isolates showed evidence of importation from outside the state, with limited local transmission. In Minnesota, cases were mainly from sporadic importation and transmission of bla&lt;inf&gt;KPC&lt;/inf&gt;-carrying Klebsiella pneumoniae ST258, and clonal expansion of bla&lt;inf&gt;KPC&lt;/inf&gt;-carrying Enterobacter hormaechei ST171, primarily at a single focal facility and its satellite facilities. In Tennessee, we observed transmission of diverse strains of bla&lt;inf&gt;KPC&lt;/inf&gt;-carrying Enterobacter and Klesbiella, with evidence that most derived from the local acquisition of bla&lt;inf&gt;KPC&lt;/inf&gt; plasmids circulating in an interconnected regional health care network. Thus, the underlying processes driving KPC-CRE burden can differ substantially across regions and can be discerned through regional genomic surveillance. This study provides proof of concept that integrating genomic data with information on interfacility patient transfers can provide insights into locations and drivers of regional KPC-CRE burden that can enable targeted interventions. © 2023 Elsevier B.V., All rights reserved.","archive":"Scopus","container-title":"Journal of Clinical Microbiology","DOI":"10.1128/jcm.00259-23","issue":"8","title":"Distinct Origins and Transmission Pathways of blaKPC Enterobacterales across Three U.S. States","URL":"https://www.scopus.com/inward/record.uri?eid=2-s2.0-85168788323&amp;doi=10.1128%2Fjcm.00259-23&amp;partnerID=40&amp;md5=08926a243e8980555510e5aafa00f032","volume":"61","author":[{"family":"Lapp","given":"Z."},{"family":"Octaria","given":"R."},{"family":"O’Malley","given":"S.M."},{"family":"Nguyen","given":"T.N."},{"family":"Wolford","given":"H."},{"family":"Crawford","given":"R."},{"family":"Moore","given":"C."},{"family":"Vagnone","given":"P.S."},{"family":"Noel","given":"D."},{"family":"Duffy","given":"N."}],"issued":{"date-parts":[["2023"]]}}}],"schema":"https://github.com/citation-style-language/schema/raw/master/csl-citation.json"} </w:instrText>
            </w:r>
            <w:r>
              <w:fldChar w:fldCharType="separate"/>
            </w:r>
            <w:r w:rsidRPr="00EF2F5A">
              <w:rPr>
                <w:rFonts w:cs="Calibri"/>
              </w:rPr>
              <w:t>(77)</w:t>
            </w:r>
            <w:r>
              <w:fldChar w:fldCharType="end"/>
            </w:r>
          </w:p>
        </w:tc>
      </w:tr>
      <w:tr w:rsidR="00401E72" w14:paraId="57BFA807"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330F2CF0" w14:textId="77777777" w:rsidR="00401E72" w:rsidRDefault="00401E72" w:rsidP="00A21BAE">
            <w:r>
              <w:t>Nebraska</w:t>
            </w:r>
          </w:p>
        </w:tc>
        <w:tc>
          <w:tcPr>
            <w:tcW w:w="2546" w:type="dxa"/>
            <w:tcBorders>
              <w:top w:val="single" w:sz="4" w:space="0" w:color="auto"/>
              <w:left w:val="single" w:sz="4" w:space="0" w:color="auto"/>
              <w:bottom w:val="single" w:sz="4" w:space="0" w:color="auto"/>
              <w:right w:val="single" w:sz="4" w:space="0" w:color="auto"/>
            </w:tcBorders>
            <w:hideMark/>
          </w:tcPr>
          <w:p w14:paraId="683BC349" w14:textId="77777777" w:rsidR="00401E72" w:rsidRDefault="00401E72" w:rsidP="00A21BAE">
            <w:r>
              <w:fldChar w:fldCharType="begin"/>
            </w:r>
            <w:r>
              <w:instrText xml:space="preserve"> ADDIN ZOTERO_ITEM CSL_CITATION {"citationID":"1YvjAbwo","properties":{"formattedCitation":"(23)","plainCitation":"(23)","noteIndex":0},"citationItems":[{"id":1410,"uris":["http://zotero.org/users/9294180/items/ZI9436LR"],"itemData":{"id":1410,"type":"article-journal","abstract":"Constructing accurate patient transfer networks between hospitals is critical for understanding the spread of healthcare associated infections through statistical and mathematical modeling, and for determining optimal screening and treatment strategies. The Healthcare Cost &amp; Utilization Project (HCUP) State Inpatient Databases (SID) provide valuable information on patient transfers from publicly obtainable claims databases, yet often give an incomplete picture due to missingness of patient tracking identifiers. We designed a novel imputation algorithm that enabled us to estimate the true number of patient transfers between each pair of hospitals in a state over a specified time period and age group in the presence of these missing identifiers. We then validated the algorithm’s performance through a series of simulation experiments using the HCUP SID, and finally tested the algorithm on multiple states’ genuine data. Our proposed method significantly reduced the total mean squared error in predicting the true number of transfers amongst hospitals for all simulation experiments, and it also yielded epidemic simulations that more closely approximated those corresponding to the true patient transfer network.","container-title":"Health Services and Outcomes Research Methodology","DOI":"10.1007/s10742-021-00249-5","ISSN":"1572-9400","issue":"1","journalAbbreviation":"Health Serv Outcomes Res Method","language":"en","page":"1-15","source":"Springer Link","title":"Inferring patient transfer networks between healthcare facilities","volume":"22","author":[{"family":"Justice","given":"Samuel A."},{"family":"Sewell","given":"Daniel K."},{"family":"Miller","given":"Aaron C."},{"family":"Simmering","given":"Jacob E."},{"family":"Polgreen","given":"Philip M."},{"literal":"For the CDC MInD-Healthcare Program"}],"issued":{"date-parts":[["2022",3,1]]}}}],"schema":"https://github.com/citation-style-language/schema/raw/master/csl-citation.json"} </w:instrText>
            </w:r>
            <w:r>
              <w:fldChar w:fldCharType="separate"/>
            </w:r>
            <w:r w:rsidRPr="00374BD7">
              <w:rPr>
                <w:rFonts w:cs="Calibri"/>
              </w:rPr>
              <w:t>(23)</w:t>
            </w:r>
            <w:r>
              <w:fldChar w:fldCharType="end"/>
            </w:r>
          </w:p>
        </w:tc>
      </w:tr>
      <w:tr w:rsidR="00401E72" w14:paraId="37572498"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6E9DEC95" w14:textId="77777777" w:rsidR="00401E72" w:rsidRDefault="00401E72" w:rsidP="00A21BAE">
            <w:r>
              <w:t>Netherlands</w:t>
            </w:r>
          </w:p>
        </w:tc>
        <w:tc>
          <w:tcPr>
            <w:tcW w:w="2546" w:type="dxa"/>
            <w:tcBorders>
              <w:top w:val="single" w:sz="4" w:space="0" w:color="auto"/>
              <w:left w:val="single" w:sz="4" w:space="0" w:color="auto"/>
              <w:bottom w:val="single" w:sz="4" w:space="0" w:color="auto"/>
              <w:right w:val="single" w:sz="4" w:space="0" w:color="auto"/>
            </w:tcBorders>
            <w:hideMark/>
          </w:tcPr>
          <w:p w14:paraId="3B89FA61" w14:textId="77777777" w:rsidR="00401E72" w:rsidRDefault="00401E72" w:rsidP="00A21BAE">
            <w:pPr>
              <w:rPr>
                <w:lang w:val="en-US"/>
              </w:rPr>
            </w:pPr>
            <w:r>
              <w:fldChar w:fldCharType="begin"/>
            </w:r>
            <w:r>
              <w:instrText xml:space="preserve"> ADDIN ZOTERO_ITEM CSL_CITATION {"citationID":"AqJXGX4P","properties":{"formattedCitation":"(10,12,79)","plainCitation":"(10,12,79)","noteIndex":0},"citationItems":[{"id":482,"uris":["http://zotero.org/users/9294180/items/BTULT4SR"],"itemData":{"id":482,"type":"article-journal","container-title":"Plos Computational Biology","language":"en","page":"6","title":"Patient referral patterns and the spread of hospital- acquired infections through national health care networks","author":[{"family":"Donker","given":"T."},{"family":"Wallinga","given":"J."},{"family":"Grundmann","given":"H."}],"issued":{"date-parts":[["2010"]]}}},{"id":431,"uris":["http://zotero.org/users/9294180/items/6IAU8QYN"],"itemData":{"id":431,"type":"article-journal","abstract":"Early detection of new or novel variants of nosocomial pathogens is a public health priority. We show that, for healthcare-associated infections that spread between hospitals as a result of patient movements, it is possible to design an effective surveillance system based on a relatively small number of sentinel hospitals. We apply recently developed mathematical models to patient admission data from the national healthcare systems of England and The Netherlands. Relatively short detection times are achieved once 10–20% hospitals are recruited as sentinels and only modest reductions are seen as more hospitals are recruited thereafter. Using a heuristic optimization approach to sentinel selection, the same expected time to detection can be achieved by recruiting approximately half as many hospitals. Our study provides a robust evidence base to underpin the design of an efficient sentinel hospital surveillance system for novel nosocomial pathogens, delivering early detection times for reduced expenditure and effort.","container-title":"Proceedings of the National Academy of Sciences","DOI":"10.1073/pnas.1308062111","issue":"6","note":"publisher: Proceedings of the National Academy of Sciences","page":"2271-2276","source":"pnas.org (Atypon)","title":"Efficient surveillance for healthcare-associated infections spreading between hospitals","volume":"111","author":[{"family":"Ciccolini","given":"Mariano"},{"family":"Donker","given":"Tjibbe"},{"family":"Grundmann","given":"Hajo"},{"family":"Bonten","given":"Marc J. M."},{"family":"Woolhouse","given":"Mark E. J."}],"issued":{"date-parts":[["2014",2,11]]}}},{"id":433,"uris":["http://zotero.org/users/9294180/items/TB94QS3J"],"itemData":{"id":433,"type":"article-journal","abstract":"OBJECTIVE Recerntly, the role of the healthcare network, defined as a set of hospitals linked by patient transfers, has been increasingly considered in the control of antimicrobial resistance. Here, we investigate the potential impact of nursing homes on the spread of antimicrobial-resistant pathogens across the healthcare network and its importance for control strategies. METHODS Based on patient transfer data, we designed a network model representing the Dutch healthcare system of hospitals and nursing homes. We simulated the spread of an antimicrobial-resistant pathogen across the healthcare network, and we modeled transmission within institutions using a stochastic susceptible-infected-susceptible (SIS) epidemic model. Transmission between institutions followed transfers. We identified the contribution of nursing homes to the dispersal of the pathogen by comparing simulations of the network with and without nursing homes. RESULTS Our results strongly suggest that nursing homes in the Netherlands have the potential to drive and sustain epidemics across the healthcare network. Even when the daily probability of transmission in nursing homes is much lower than in hospitals, transmission of resistance can be more effective because of the much longer length of stay of patients in nursing homes. CONCLUSIONS If an antimicrobial-resistant pathogen emerges that spreads easily within nursing homes, control efforts aimed at hospitals may no longer be effective in preventing nationwide outbreaks. It is important to consider nursing homes in planning regional and national infection control and in implementing surveillance systems that monitor the spread of antimicrobial resistance. Infect Control Hosp Epidemiol 2016;37:761-767.","container-title":"Infection Control and Hospital Epidemiology","DOI":"10.1017/ice.2016.59","ISSN":"1559-6834","issue":"7","journalAbbreviation":"Infect Control Hosp Epidemiol","language":"eng","note":"PMID: 27052880\nPMCID: PMC4926272","page":"761-767","source":"PubMed","title":"The Role of Nursing Homes in the Spread of Antimicrobial Resistance Over the Healthcare Network","volume":"37","author":[{"family":"Dool","given":"Carline","non-dropping-particle":"van den"},{"family":"Haenen","given":"Anja"},{"family":"Leenstra","given":"Tjalling"},{"family":"Wallinga","given":"Jacco"}],"issued":{"date-parts":[["2016",7]]}}}],"schema":"https://github.com/citation-style-language/schema/raw/master/csl-citation.json"} </w:instrText>
            </w:r>
            <w:r>
              <w:fldChar w:fldCharType="separate"/>
            </w:r>
            <w:r w:rsidRPr="00EF2F5A">
              <w:rPr>
                <w:rFonts w:cs="Calibri"/>
              </w:rPr>
              <w:t>(10,12,79)</w:t>
            </w:r>
            <w:r>
              <w:fldChar w:fldCharType="end"/>
            </w:r>
          </w:p>
        </w:tc>
      </w:tr>
      <w:tr w:rsidR="00401E72" w14:paraId="663FF861"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523AE64" w14:textId="77777777" w:rsidR="00401E72" w:rsidRDefault="00401E72" w:rsidP="00A21BAE">
            <w:r>
              <w:t>New South Wales</w:t>
            </w:r>
          </w:p>
        </w:tc>
        <w:tc>
          <w:tcPr>
            <w:tcW w:w="2546" w:type="dxa"/>
            <w:tcBorders>
              <w:top w:val="single" w:sz="4" w:space="0" w:color="auto"/>
              <w:left w:val="single" w:sz="4" w:space="0" w:color="auto"/>
              <w:bottom w:val="single" w:sz="4" w:space="0" w:color="auto"/>
              <w:right w:val="single" w:sz="4" w:space="0" w:color="auto"/>
            </w:tcBorders>
            <w:hideMark/>
          </w:tcPr>
          <w:p w14:paraId="64E5FDA1" w14:textId="77777777" w:rsidR="00401E72" w:rsidRDefault="00401E72" w:rsidP="00A21BAE">
            <w:r>
              <w:fldChar w:fldCharType="begin"/>
            </w:r>
            <w:r>
              <w:instrText xml:space="preserve"> ADDIN ZOTERO_ITEM CSL_CITATION {"citationID":"ZZeKSxxQ","properties":{"formattedCitation":"(44)","plainCitation":"(44)","noteIndex":0},"citationItems":[{"id":1606,"uris":["http://zotero.org/users/9294180/items/DIFXNAR8"],"itemData":{"id":1606,"type":"article-journal","abstract":"Objective. The aim of the present study was to explore characteristics of interhospital transfers (IHT) and sharing of care among hospitals in New South Wales (NSW), Australia.\nMethods. Data were extracted from patient-level linked hospital administrative datasets for separations from all NSW acute care hospitals from 1 July 2013 to 30 June 2015. Patient discharge and arrival information was used to identify IHTs. Characteristics of patients and related hospitals were then analysed.\nResults. Transfer-in patients accounted for 3.9% of all NSW admitted patients and, overall, 7.3% of NSW admissions were associated with transfers (IHT rate). Patients with injuries and circulatory system diseases had the highest IHT rate, accounting for one-third of all IHTs. Patients were more often transferred to larger than smaller hospitals (61% vs 29%). Compared with private hospitals, public hospitals had a higher IHT rate (8.4% vs 5.1%) and a greater proportion of transferout IHTs (52% vs 28%). Larger public hospitals had lower IHT rates (3–8%) compared with smaller public hospitals (13–26%). Larger public hospitals received and retransferred higher proportions of IHT patients (52–58% and 11% respectively) than their smaller counterparts (26–30% and 2–3% respectively). Less than one-quarter of IHTs were between the public and private sectors or between government health regions. The number of interacting hospitals and their interactions varied across hospital peer groups.\nConclusion. NSW IHTs were often to hospitals with greater speciality services. The patterns of interhospital interactions could be affected by organisational and regional preferences.","container-title":"Australian Health Review","DOI":"10.1071/AH16117","ISSN":"0156-5788","issue":"6","journalAbbreviation":"Aust. Health Review","language":"en","page":"672","source":"DOI.org (Crossref)","title":"Exploring interhospital transfers and partnerships in the hospital sector in New South Wales, Australia","volume":"41","author":[{"family":"Assareh","given":"Hassan"},{"family":"Achat","given":"Helen M."},{"family":"Levesque","given":"Jean-Frederic"},{"family":"Leeder","given":"Stephen R."}],"issued":{"date-parts":[["2017"]]}}}],"schema":"https://github.com/citation-style-language/schema/raw/master/csl-citation.json"} </w:instrText>
            </w:r>
            <w:r>
              <w:fldChar w:fldCharType="separate"/>
            </w:r>
            <w:r w:rsidRPr="00735B0C">
              <w:t>(44)</w:t>
            </w:r>
            <w:r>
              <w:fldChar w:fldCharType="end"/>
            </w:r>
          </w:p>
        </w:tc>
      </w:tr>
      <w:tr w:rsidR="00401E72" w14:paraId="2C065538"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3F289AD9" w14:textId="77777777" w:rsidR="00401E72" w:rsidRDefault="00401E72" w:rsidP="00A21BAE">
            <w:pPr>
              <w:rPr>
                <w:lang w:val="en-US"/>
              </w:rPr>
            </w:pPr>
            <w:r>
              <w:rPr>
                <w:lang w:val="en-US"/>
              </w:rPr>
              <w:t>New South Wales, Western Australia, Queensland, South Australia</w:t>
            </w:r>
          </w:p>
        </w:tc>
        <w:tc>
          <w:tcPr>
            <w:tcW w:w="2546" w:type="dxa"/>
            <w:tcBorders>
              <w:top w:val="single" w:sz="4" w:space="0" w:color="auto"/>
              <w:left w:val="single" w:sz="4" w:space="0" w:color="auto"/>
              <w:bottom w:val="single" w:sz="4" w:space="0" w:color="auto"/>
              <w:right w:val="single" w:sz="4" w:space="0" w:color="auto"/>
            </w:tcBorders>
            <w:hideMark/>
          </w:tcPr>
          <w:p w14:paraId="13C9491B" w14:textId="77777777" w:rsidR="00401E72" w:rsidRDefault="00401E72" w:rsidP="00A21BAE">
            <w:r>
              <w:fldChar w:fldCharType="begin"/>
            </w:r>
            <w:r>
              <w:instrText xml:space="preserve"> ADDIN ZOTERO_ITEM CSL_CITATION {"citationID":"M9Cb773z","properties":{"formattedCitation":"(31)","plainCitation":"(31)","noteIndex":0},"citationItems":[{"id":1549,"uris":["http://zotero.org/users/9294180/items/EZ6SR5PA"],"itemData":{"id":1549,"type":"article-journal","abstract":"Objective: To determine the quality and effectiveness of national data linkage capacity by performing a proof-of-concept project investigating cross-border hospital use and hospital-related deaths. Design, participants and setting: Analysis of person-level linked hospital separation and death registration data of all public and private hospital patients in New South Wales, Queensland and Western Australia and of public hospital patients in South Australia, totalling 7.7 million hospital patients from 1 July 2004 to 30 June 2009. Main outcome measures: Counts and proportions of hospital stays and patient movement patterns.\nResults: 223 262 patients (3.0%) travelled across a state border to attend hospitals, in particular, far northern and western NSW patients travelling to Queensland and SA hospitals, respectively. A further 48 575 patients (0.6%) moved their place of residence interstate between hospital visits, particularly to and from areas associated with major mining and tourism industries. Over 11 000 cross-border hospital transfers were also identified. Of patients who travelled across a state border to hospital, 2800 (1.3%) died in that hospital. An additional 496 deaths recorded in one jurisdiction occurred within 30 days of hospital separation from another jurisdiction.\nConclusions: Access to person-level data linked across jurisdictions identified geographical hot spots of cross-border hospital use and hospitalrelated deaths in Australia. This has implications for planning of health service delivery and for longitudinal follow-up studies, particularly those involving mobile populations.","container-title":"Medical Journal of Australia","DOI":"10.5694/mja14.01414","ISSN":"0025-729X, 1326-5377","issue":"11","journalAbbreviation":"Medical Journal of Australia","language":"en","license":"http://onlinelibrary.wiley.com/termsAndConditions#vor","page":"582-586","source":"DOI.org (Crossref)","title":"Cross border hospital use: analysis using data linkage across four Australian states","title-short":"Cross border hospital use","volume":"202","author":[{"family":"Spilsbury","given":"Katrina"},{"family":"Rosman","given":"Diana"},{"family":"Alan","given":"Janine"},{"family":"Boyd","given":"James H"},{"family":"Ferrante","given":"Anna M"},{"family":"Semmens","given":"James B"}],"issued":{"date-parts":[["2015",6]]}}}],"schema":"https://github.com/citation-style-language/schema/raw/master/csl-citation.json"} </w:instrText>
            </w:r>
            <w:r>
              <w:fldChar w:fldCharType="separate"/>
            </w:r>
            <w:r w:rsidRPr="00E56AA7">
              <w:t>(31)</w:t>
            </w:r>
            <w:r>
              <w:fldChar w:fldCharType="end"/>
            </w:r>
          </w:p>
        </w:tc>
      </w:tr>
      <w:tr w:rsidR="00401E72" w14:paraId="352F66DA"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0A0018F8" w14:textId="77777777" w:rsidR="00401E72" w:rsidRDefault="00401E72" w:rsidP="00A21BAE">
            <w:r>
              <w:t>New York City</w:t>
            </w:r>
          </w:p>
        </w:tc>
        <w:tc>
          <w:tcPr>
            <w:tcW w:w="2546" w:type="dxa"/>
            <w:tcBorders>
              <w:top w:val="single" w:sz="4" w:space="0" w:color="auto"/>
              <w:left w:val="single" w:sz="4" w:space="0" w:color="auto"/>
              <w:bottom w:val="single" w:sz="4" w:space="0" w:color="auto"/>
              <w:right w:val="single" w:sz="4" w:space="0" w:color="auto"/>
            </w:tcBorders>
            <w:hideMark/>
          </w:tcPr>
          <w:p w14:paraId="40CA8A7B" w14:textId="77777777" w:rsidR="00401E72" w:rsidRDefault="00401E72" w:rsidP="00A21BAE">
            <w:r>
              <w:fldChar w:fldCharType="begin"/>
            </w:r>
            <w:r>
              <w:instrText xml:space="preserve"> ADDIN ZOTERO_ITEM CSL_CITATION {"citationID":"y27ucawv","properties":{"formattedCitation":"(54)","plainCitation":"(54)","noteIndex":0},"citationItems":[{"id":1597,"uris":["http://zotero.org/users/9294180/items/VCLQNJN8"],"itemData":{"id":1597,"type":"article-journal","abstract":"Objective: To examine the relationship between unit-wide Clostridium difficile infection (CDI) susceptibility and inpatient mobility and to create contagion centrality as a new predictive measure of CDI. Design: Retrospective cohort study.\nMethods: A mobility network was constructed using 2 years of patient electronic health record data for a 739-bed hospital (n = 72,636 admissions). Network centrality measures were calculated for each hospital unit (node) providing clinical context for each in terms of patient transfers between units (ie, edges). Daily unit-wide CDI susceptibility scores were calculated using logistic regression and were compared to network centrality measures to determine the relationship between unit CDI susceptibility and patient mobility.\nResults: Closeness centrality was a statistically significant measure associated with unit susceptibility (P &lt; .05), highlighting the importance of incoming patient mobility in CDI prevention at the unit level. Contagion centrality (CC) was calculated using inpatient transfer rates, unit-wide susceptibility of CDI, and current hospital CDI infections. The contagion centrality measure was statistically significant (P &lt; .05) with our outcome of hospital-onset CDI cases, and it captured the additional opportunities for transmission associated with inpatient transfers. We have used this analysis to create easily interpretable clinical tools showing this relationship as well as the risk of hospital-onset CDI in real time, and these tools can be implemented in hospital EHR systems.\nConclusions: Quantifying and visualizing the combination of inpatient transfers, unit-wide risk, and current infections help identify hospital units at risk of developing a CDI outbreak and, thus, provide clinicians and infection prevention staff with advanced warning and specific location data to inform prevention efforts.","container-title":"Infection Control &amp; Hospital Epidemiology","DOI":"10.1017/ice.2019.288","ISSN":"0899-823X, 1559-6834","issue":"12","journalAbbreviation":"Infect. Control Hosp. Epidemiol.","language":"en","license":"http://creativecommons.org/licenses/by-nc-nd/4.0/","page":"1380-1386","source":"DOI.org (Crossref)","title":"Predicting hospital-onset &lt;i&gt;Clostridium difficile&lt;/i&gt; using patient mobility data: A network approach","title-short":"Predicting hospital-onset &lt;i&gt;Clostridium difficile&lt;/i&gt; using patient mobility data","volume":"40","author":[{"family":"Bush","given":"Kristen"},{"family":"Barbosa","given":"Hugo"},{"family":"Farooq","given":"Samir"},{"family":"Weisenthal","given":"Samuel J."},{"family":"Trayhan","given":"Melissa"},{"family":"White","given":"Robert J."},{"family":"Noyes","given":"Ekaterina I."},{"family":"Ghoshal","given":"Gourab"},{"family":"Zand","given":"Martin S."}],"issued":{"date-parts":[["2019",12]]}}}],"schema":"https://github.com/citation-style-language/schema/raw/master/csl-citation.json"} </w:instrText>
            </w:r>
            <w:r>
              <w:fldChar w:fldCharType="separate"/>
            </w:r>
            <w:r w:rsidRPr="00735B0C">
              <w:t>(54)</w:t>
            </w:r>
            <w:r>
              <w:fldChar w:fldCharType="end"/>
            </w:r>
          </w:p>
        </w:tc>
      </w:tr>
      <w:tr w:rsidR="00401E72" w14:paraId="5E29A648"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76898EAF" w14:textId="77777777" w:rsidR="00401E72" w:rsidRDefault="00401E72" w:rsidP="00A21BAE">
            <w:r>
              <w:t>Ontario</w:t>
            </w:r>
          </w:p>
        </w:tc>
        <w:tc>
          <w:tcPr>
            <w:tcW w:w="2546" w:type="dxa"/>
            <w:tcBorders>
              <w:top w:val="single" w:sz="4" w:space="0" w:color="auto"/>
              <w:left w:val="single" w:sz="4" w:space="0" w:color="auto"/>
              <w:bottom w:val="single" w:sz="4" w:space="0" w:color="auto"/>
              <w:right w:val="single" w:sz="4" w:space="0" w:color="auto"/>
            </w:tcBorders>
            <w:hideMark/>
          </w:tcPr>
          <w:p w14:paraId="1633D972" w14:textId="77777777" w:rsidR="00401E72" w:rsidRDefault="00401E72" w:rsidP="00A21BAE">
            <w:r>
              <w:fldChar w:fldCharType="begin"/>
            </w:r>
            <w:r>
              <w:instrText xml:space="preserve"> ADDIN ZOTERO_ITEM CSL_CITATION {"citationID":"yplnCOim","properties":{"formattedCitation":"(34)","plainCitation":"(34)","noteIndex":0},"citationItems":[{"id":1591,"uris":["http://zotero.org/users/9294180/items/IKFX22UI"],"itemData":{"id":1591,"type":"article-journal","abstract":"Background: The objective of this study is to determine the impact of interhospital patient transfers on the risk of Clostridium diﬃcile infection (CDI).\nMethods: The number of interhospital patient transfers and CDI cases for 11 academic and 40 large community hospitals (LCHs) were available from 2010-2015. These data were used to compute a CDI score for each sending facility as a measure of CDI pressure on the receiving facility. This CDI score was included as a variable in a multilevel mixed-effect Poisson regression model of CDI cases. Other covariates included year, CDI testing strategy, antimicrobial stewardship program (ASP), and criteria used for patient isolation. Hospital-speciﬁc random effects were estimated for the baseline rate of CDI (intercept) and ASP effect (slope).\nResults: The CDI score ranged from 0-103, with a mean score ± SD of 20.4 ± 21.8. Every 10-point increase in the CDI score was associated with a 4.5% increase in the incidence of CDI in the receiving academic hospital (95% conﬁdence interval [CI], 0.9-8.5) and 3.6% increase in the receiving LCHs (95% CI, 0.3-7). The random components of the model varied signiﬁcantly, with a strong negative correlation of −0.85 (95% CI, −0.94 to −0.65).\nConclusions: Our results suggest interhospital patient transfers increase the risk of CDI. ASPs appear to reduce this risk; however, these ASP effects demonstrate signiﬁcant heterogeneity across hospitals. © 2018 Association for Professionals in Infection Control and Epidemiology, Inc. Published by Elsevier Inc. All rights reserved.","container-title":"American Journal of Infection Control","DOI":"10.1016/j.ajic.2017.08.018","ISSN":"01966553","issue":"2","journalAbbreviation":"American Journal of Infection Control","language":"en","page":"191-196","source":"DOI.org (Crossref)","title":"Interhospital patient transfers between Ontario's academic and large community hospitals increase the risk of Clostridium difficile infection","volume":"46","author":[{"family":"DiDiodato","given":"Giulio"},{"family":"McArthur","given":"Leslie"}],"issued":{"date-parts":[["2018",2]]}}}],"schema":"https://github.com/citation-style-language/schema/raw/master/csl-citation.json"} </w:instrText>
            </w:r>
            <w:r>
              <w:fldChar w:fldCharType="separate"/>
            </w:r>
            <w:r w:rsidRPr="00E56AA7">
              <w:t>(34)</w:t>
            </w:r>
            <w:r>
              <w:fldChar w:fldCharType="end"/>
            </w:r>
          </w:p>
        </w:tc>
      </w:tr>
      <w:tr w:rsidR="00401E72" w14:paraId="74A687D6"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7EDCF703" w14:textId="77777777" w:rsidR="00401E72" w:rsidRDefault="00401E72" w:rsidP="00A21BAE">
            <w:r>
              <w:t>Orange County, California</w:t>
            </w:r>
          </w:p>
        </w:tc>
        <w:tc>
          <w:tcPr>
            <w:tcW w:w="2546" w:type="dxa"/>
            <w:tcBorders>
              <w:top w:val="single" w:sz="4" w:space="0" w:color="auto"/>
              <w:left w:val="single" w:sz="4" w:space="0" w:color="auto"/>
              <w:bottom w:val="single" w:sz="4" w:space="0" w:color="auto"/>
              <w:right w:val="single" w:sz="4" w:space="0" w:color="auto"/>
            </w:tcBorders>
            <w:hideMark/>
          </w:tcPr>
          <w:p w14:paraId="7DFD2CA4" w14:textId="77777777" w:rsidR="00401E72" w:rsidRDefault="00401E72" w:rsidP="00A21BAE">
            <w:r>
              <w:fldChar w:fldCharType="begin"/>
            </w:r>
            <w:r>
              <w:instrText xml:space="preserve"> ADDIN ZOTERO_ITEM CSL_CITATION {"citationID":"IUNB50gc","properties":{"formattedCitation":"(4,5,29,38,40,41,50,51,59,86,87)","plainCitation":"(4,5,29,38,40,41,50,51,59,86,87)","noteIndex":0},"citationItems":[{"id":421,"uris":["http://zotero.org/users/9294180/items/USYBTPHB"],"itemData":{"id":421,"type":"article-journal","abstract":"BACKGROUND\nAssessments of infectious disease spread in hospitals seldom account for interfacility patient sharing. This is particularly important for pathogens with prolonged incubation periods or carrier states.\n\nMETHODS\nWe quantified patient sharing among all 32 hospitals in Orange County (OC), California, using hospital discharge data. Same-day transfers between hospitals were considered “direct” transfers, and events in which patients were shared between hospitals after an intervening stay at home or elsewhere were considered “indirect” patient-sharing events. We assessed the frequency of readmissions to another OC hospital within various time points from discharge and examined interhospital sharing of patients with Clostridium difficile infection.\n\nRESULTS\nIn 2005, OC hospitals had 319,918 admissions. Twenty-nine percent of patients were admitted at least twice, with a median interval between discharge and readmission of 53 days. Of the patients with 2 or more admissions, 75% were admitted to more than 1 hospital. Ninety-four percent of interhospital patient sharing occurred indirectly. When we used 10 shared patients as a measure of potential interhospital exposure, 6 (19%) of 32 hospitals “exposed” more than 50% of all OC hospitals within 6 months, and 17 (53%) exposed more than 50% within 12 months. Hospitals shared 1 or more patient with a median of 28 other hospitals. When we evaluated patients with C. difficile infection, 25% were readmitted within 12 weeks; 41% were readmitted to different hospitals, and less than 30% of these readmissions were direct transfers.\n\nCONCLUSIONS\nIn a large metropolitan county, interhospital patient sharing was a potential avenue for transmission of infectious agents. Indirect sharing with an intervening stay at home or elsewhere composed the bulk of potential exposures and occurred unbeknownst to hospitals.","container-title":"Infection control and hospital epidemiology : the official journal of the Society of Hospital Epidemiologists of America","DOI":"10.1086/656747","ISSN":"0899-823X","issue":"11","journalAbbreviation":"Infect Control Hosp Epidemiol","note":"PMID: 20874503\nPMCID: PMC3064463","page":"1160-1169","source":"PubMed Central","title":"Quantifying Interhospital Patient Sharing as a Mechanism for Infectious Disease Spread","volume":"31","author":[{"family":"Huang","given":"Susan S."},{"family":"Avery","given":"Taliser R."},{"family":"Song","given":"Yeohan"},{"family":"Elkins","given":"Kristen R."},{"family":"Nguyen","given":"Christopher C."},{"family":"Nutter","given":"Sandra K."},{"family":"Nafday","given":"Alaka S."},{"family":"Condon","given":"Curtis J."},{"family":"Chang","given":"Michael T."},{"family":"Chrest","given":"David"},{"family":"Boos","given":"John"},{"family":"Bobashev","given":"Georgiy"},{"family":"Wheaton","given":"William"},{"family":"Frank","given":"Steven A."},{"family":"Platt","given":"Richard"},{"family":"Lipsitch","given":"Marc"},{"family":"Bush","given":"Robin M."},{"family":"Eubank","given":"Stephen"},{"family":"Burke","given":"Donald S."},{"family":"Lee","given":"Bruce Y."}],"issued":{"date-parts":[["2010",11]]}}},{"id":1576,"uris":["http://zotero.org/users/9294180/items/S2M7RLXF"],"itemData":{"id":1576,"type":"article-journal","abstract":"Objectives. We applied social network analyses to determine how hospitals within Orange County, California, are interconnected by patient sharing, a system which may have numerous public health implications.\nMethods. Our analyses considered 2 general patient-sharing networks: uninterrupted patient sharing (UPS; i.e., direct interhospital transfers) and total patient sharing (TPS; i.e., all interhospital patient sharing, including patients with intervening nonhospital stays). We considered these networks at 3 thresholds of patient sharing: at least 1, at least 10, and at least 100 patients shared.\nResults. Geographically proximate hospitals were somewhat more likely to share patients, but many hospitals shared patients with distant hospitals. Number of patient admissions and percentage of cancer patients were associated with greater connectivity across the system. The TPS network revealed numerous connections not seen in the UPS network, meaning that direct transfers only accounted for a fraction of total patient sharing.\nConclusions. Our analysis demonstrated that Orange County’s 32 hospitals were highly and heterogeneously interconnected by patient sharing. Different hospital populations had different levels of inﬂuence over the patient-sharing network. (Am J Public Health. 2011;101:707–713. doi:10.2105/AJPH.2010. 202754)","container-title":"American Journal of Public Health","DOI":"10.2105/AJPH.2010.202754","ISSN":"0090-0036, 1541-0048","issue":"4","journalAbbreviation":"Am J Public Health","language":"en","page":"707-713","source":"DOI.org (Crossref)","title":"Social Network Analysis of Patient Sharing Among Hospitals in Orange County, California","volume":"101","author":[{"family":"Lee","given":"Bruce Y."},{"family":"McGlone","given":"Sarah M."},{"family":"Song","given":"Yeohan"},{"family":"Avery","given":"Taliser R."},{"family":"Eubank","given":"Stephen"},{"family":"Chang","given":"Chung-Chou"},{"family":"Bailey","given":"Rachel R."},{"family":"Wagener","given":"Diane K."},{"family":"Burke","given":"Donald S."},{"family":"Platt","given":"Richard"},{"family":"Huang","given":"Susan S."}],"issued":{"date-parts":[["2011",4]]}}},{"id":416,"uris":["http://zotero.org/users/9294180/items/PEA3QBPE"],"itemData":{"id":416,"type":"article-journal","abstract":"BACKGROUND: Since hospitals in a region often share patients, an outbreak of methicillin-resistant Staphylococcus aureus (MRSA) infection in one hospital could affect other hospitals.\nMETHODS: Using extensive data collected from Orange County (OC), California, we developed a detailed agent-based model to represent patient movement among all OC hospitals. Experiments simulated MRSA outbreaks in various wards, institutions, and regions. Sensitivity analysis varied lengths of stay, intraward transmission coefficients (β), MRSA loss rate, probability of patient transfer or readmission, and time to readmission.\nRESULTS: Each simulated outbreak eventually affected all of the hospitals in the network, with effects depending on the outbreak size and location. Increasing MRSA prevalence at a single hospital (from 5% to 15%) resulted in a 2.9% average increase in relative prevalence at all other hospitals (ranging from no effect to 46.4%). Single-hospital intensive care unit outbreaks (modeled increase from 5% to 15%) caused a 1.4% average relative increase in all other OC hospitals (ranging from no effect to 12.7%).\nCONCLUSION: MRSA outbreaks may rarely be confined to a single hospital but instead may affect all of the hospitals in a region. This suggests that prevention and control strategies and policies should account for the interconnectedness of health care facilities.","container-title":"Infection Control and Hospital Epidemiology","DOI":"10.1086/660014","ISSN":"1559-6834","issue":"6","journalAbbreviation":"Infect Control Hosp Epidemiol","language":"eng","note":"PMID: 21558768\nPMCID: PMC3388111","page":"562-572","source":"PubMed","title":"Modeling the spread of methicillin-resistant Staphylococcus aureus (MRSA) outbreaks throughout the hospitals in Orange County, California","volume":"32","author":[{"family":"Lee","given":"Bruce Y."},{"family":"McGlone","given":"Sarah M."},{"family":"Wong","given":"Kim F."},{"family":"Yilmaz","given":"S. Levent"},{"family":"Avery","given":"Taliser R."},{"family":"Song","given":"Yeohan"},{"family":"Christie","given":"Richard"},{"family":"Eubank","given":"Stephen"},{"family":"Brown","given":"Shawn T."},{"family":"Epstein","given":"Joshua M."},{"family":"Parker","given":"Jon I."},{"family":"Burke","given":"Donald S."},{"family":"Platt","given":"Richard"},{"family":"Huang","given":"Susan S."}],"issued":{"date-parts":[["2011",6]]}}},{"id":1574,"uris":["http://zotero.org/users/9294180/items/K7UHPSE2"],"itemData":{"id":1574,"type":"article-journal","abstract":"Background: Acute care facilities are connected via patient sharing, forming a network. However, patient sharing extends beyond this immediate network to include sharing with long-term care facilities. The extent of long-term care facility patient sharing on the acute care facility network is unknown. The objective of this study was to characterize and determine the extent and pattern of patient transfers to, from, and between long-term care facilities on the network of acute care facilities in a large metropolitan county.\nMethods/Principal Findings: We applied social network constructs principles, measures, and frameworks to all 2007 annual adult and pediatric patient transfers among the healthcare facilities in Orange County, California, using data from surveys and several datasets. We evaluated general network and centrality measures as well as individual ego measures and further constructed sociograms. Our results show that over the course of a year, 66 of 72 long-term care facilities directly sent and 67 directly received patients from other long-term care facilities. Long-term care facilities added 1,524 ties between the acute care facilities when ties represented at least one patient transfer. Geodesic distance did not closely correlate with the geographic distance among facilities.\nConclusions/Significance: This study demonstrates the extent to which long-term care facilities are connected to the acute care facility patient sharing network. Many long-term care facilities were connected by patient transfers and further added many connections to the acute care facility network. This suggests that policy-makers and health officials should account for patient sharing with and among long-term care facilities as well as those among acute care facilities when evaluating policies and interventions.","container-title":"PLoS ONE","DOI":"10.1371/journal.pone.0029342","ISSN":"1932-6203","issue":"12","journalAbbreviation":"PLoS ONE","language":"en","page":"e29342","source":"DOI.org (Crossref)","title":"Long-Term Care Facilities: Important Participants of the Acute Care Facility Social Network?","title-short":"Long-Term Care Facilities","volume":"6","author":[{"family":"Lee","given":"Bruce Y."},{"family":"Song","given":"Yeohan"},{"family":"Bartsch","given":"Sarah M."},{"family":"Kim","given":"Diane S."},{"family":"Singh","given":"Ashima"},{"family":"Avery","given":"Taliser R."},{"family":"Brown","given":"Shawn T."},{"family":"Yilmaz","given":"S. Levent"},{"family":"Wong","given":"Kim F."},{"family":"Potter","given":"Margaret A."},{"family":"Burke","given":"Donald S."},{"family":"Platt","given":"Richard"},{"family":"Huang","given":"Susan S."}],"editor":[{"family":"Morgan","given":"Daniel"}],"issued":{"date-parts":[["2011",12,27]]}}},{"id":419,"uris":["http://zotero.org/users/9294180/items/UQ3KVWNR"],"itemData":{"id":419,"type":"article-journal","abstract":"Efforts to control life-threatening infections, such as with methicillin-resistant Staphylococcus aureus (MRSA), can be complicated when patients are transferred from one hospital to another. Using a detailed computer simulation model of all hospitals in Orange County, California, we explored the effects when combinations of hospitals tested all patients at admission for MRSA and adopted procedures to limit transmission among patients who tested positive. Called “contact isolation,” these procedures specify precautions for health care workers interacting with an infected patient, such as wearing gloves and gowns. Our simulation demonstrated that each hospital’s decision to test for MRSA and implement contact isolation procedures could affect the MRSA prevalence in all other hospitals. Thus, our study makes the case that further cooperation among hospitals—which is already reflected in a few limited collaborative infection control efforts under way—could help individual hospitals achieve better infection control than they could achieve on their own.","container-title":"Health affairs (Project Hope)","DOI":"10.1377/hlthaff.2011.0992","ISSN":"0278-2715","issue":"10","journalAbbreviation":"Health Aff (Millwood)","note":"PMID: 23048111\nPMCID: PMC3763190","page":"2295-2303","source":"PubMed Central","title":"Simulation Shows Hospitals That Cooperate On Infection Control Obtain Better Results Than Hospitals Acting Alone","volume":"31","author":[{"family":"Lee","given":"Bruce Y."},{"family":"Bartsch","given":"Sarah M."},{"family":"Wong","given":"Kim F."},{"family":"Yilmaz","given":"S. Levent"},{"family":"Avery","given":"Taliser R."},{"family":"Singh","given":"Ashima"},{"family":"Song","given":"Yeohan"},{"family":"Kim","given":"Diane S."},{"family":"Brown","given":"Shawn T."},{"family":"Potter","given":"Margaret A."},{"family":"Platt","given":"Richard"},{"family":"Huang","given":"Susan S."}],"issued":{"date-parts":[["2012",10]]}}},{"id":417,"uris":["http://zotero.org/users/9294180/items/P6E9VC9H"],"itemData":{"id":417,"type":"article-journal","abstract":"Carbapenem-resistant Enterobacteriaceae (CRE), a group of pathogens resistant to most antibiotics and associated with high mortality, are a rising emerging public health threat. Current approaches to infection control and prevention have not been adequate to prevent spread. An important but unproven approach is to have hospitals in a region coordinate surveillance and infection control measures. Using our Regional Healthcare Ecosystem Analyst (RHEA) simulation model and detailed Orange County, California, patient-level data on adult inpatient hospital and nursing home admissions (2011–2012), we simulated the spread of CRE throughout Orange County health-care facilities under 3 scenarios: no specific control measures, facility-level infection control efforts (uncoordinated control measures), and a coordinated regional effort. Aggressive uncoordinated and coordinated approaches were highly similar, averting 2,976 and 2,789 CRE transmission events, respectively (72.2% and 77.0% of transmission events), by year 5. With moderate control measures, coordinated regional control resulted in 21.3% more averted cases (n = 408) than did uncoordinated control at year 5. Our model suggests that without increased infection control approaches, CRE would become endemic in nearly all Orange County health-care facilities within 10 years. While implementing the interventions in the Centers for Disease Control and Prevention's CRE toolkit would not completely stop the spread of CRE, it would cut its spread substantially, by half.","container-title":"American Journal of Epidemiology","DOI":"10.1093/aje/kwv299","ISSN":"0002-9262","issue":"5","journalAbbreviation":"Am J Epidemiol","note":"PMID: 26861238\nPMCID: PMC4772438","page":"471-479","source":"PubMed Central","title":"The Potential Trajectory of Carbapenem-Resistant Enterobacteriaceae, an Emerging Threat to Health-Care Facilities, and the Impact of the Centers for Disease Control and Prevention Toolkit","volume":"183","author":[{"family":"Lee","given":"Bruce Y."},{"family":"Bartsch","given":"Sarah M."},{"family":"Wong","given":"Kim F."},{"family":"McKinnell","given":"James A."},{"family":"Slayton","given":"Rachel B."},{"family":"Miller","given":"Loren G."},{"family":"Cao","given":"Chenghua"},{"family":"Kim","given":"Diane S."},{"family":"Kallen","given":"Alexander J."},{"family":"Jernigan","given":"John A."},{"family":"Huang","given":"Susan S."}],"issued":{"date-parts":[["2016",3,1]]}}},{"id":418,"uris":["http://zotero.org/users/9294180/items/ZXKJVVC5"],"itemData":{"id":418,"type":"article-journal","abstract":"BACKGROUND: Hospital infection control strategies and programs may not consider control of methicillin-resistant Staphylococcus aureus (MRSA) in nursing homes in a county.\nMETHODS: Using our Regional Healthcare Ecosystem Analyst, we augmented our existing agent-based model of all hospitals in Orange County (OC), California, by adding all nursing homes and then simulated MRSA outbreaks in various health care facilities.\nRESULTS: The addition of nursing homes substantially changed MRSA transmission dynamics throughout the county. The presence of nursing homes substantially potentiated the effects of hospital outbreaks on other hospitals, leading to an average 46.2% (range, 3.3%-156.1%) relative increase above and beyond the impact when only hospitals are included for an outbreak in OC's largest hospital. An outbreak in the largest hospital affected all other hospitals (average 2.1% relative prevalence increase) and the majority (~90%) of nursing homes (average 3.2% relative increase) after 6 months. An outbreak in the largest nursing home had effects on multiple OC hospitals, increasing MRSA prevalence in directly connected hospitals by an average 0.3% and in hospitals not directly connected through patient transfers by an average 0.1% after 6 months. A nursing home outbreak also had some effect on MRSA prevalence in other nursing homes.\nCONCLUSIONS: Nursing homes, even those not connected by direct patient transfers, may be a vital component of a hospital's infection control strategy. To achieve effective control, a hospital may want to better understand how regional nursing homes and hospitals are connected through both direct and indirect (with intervening stays at home) patient sharing.","container-title":"Medical Care","DOI":"10.1097/MLR.0b013e3182836dc2","ISSN":"1537-1948","issue":"3","journalAbbreviation":"Med Care","language":"eng","note":"PMID: 23358388\nPMCID: PMC3687037","page":"205-215","source":"PubMed","title":"The importance of nursing homes in the spread of methicillin-resistant Staphylococcus aureus (MRSA) among hospitals","volume":"51","author":[{"family":"Lee","given":"Bruce Y."},{"family":"Bartsch","given":"Sarah M."},{"family":"Wong","given":"Kim F."},{"family":"Singh","given":"Ashima"},{"family":"Avery","given":"Taliser R."},{"family":"Kim","given":"Diane S."},{"family":"Brown","given":"Shawn T."},{"family":"Murphy","given":"Courtney R."},{"family":"Yilmaz","given":"Server Levent"},{"family":"Potter","given":"Margaret A."},{"family":"Huang","given":"Susan S."}],"issued":{"date-parts":[["2013",3]]}}},{"id":415,"uris":["http://zotero.org/users/9294180/items/FKBN4VDC"],"itemData":{"id":415,"type":"article-journal","abstract":"OBJECTIVE: Implementation of contact precautions in nursing homes to prevent methicillin-resistant Staphylococcus aureus (MRSA) transmission could cost time and effort and may have wide-ranging effects throughout multiple health facilities. Computational modeling could forecast the potential effects and guide policy making.\nDESIGN: Our multihospital computational agent-based model, Regional Healthcare Ecosystem Analyst (RHEA).\nSETTING: All hospitals and nursing homes in Orange County, California.\nMETHODS: Our simulation model compared the following 3 contact precaution strategies: (1) no contact precautions applied to any nursing home residents, (2) contact precautions applied to those with clinically apparent MRSA infections, and (3) contact precautions applied to all known MRSA carriers as determined by MRSA screening performed by hospitals.\nRESULTS: Our model demonstrated that contact precautions for patients with clinically apparent MRSA infections in nursing homes resulted in a median 0.4% (range, 0%-1.6%) relative decrease in MRSA prevalence in nursing homes (with 50% adherence) but had no effect on hospital MRSA prevalence, even 5 years after initiation. Implementation of contact precautions (with 50% adherence) in nursing homes for all known MRSA carriers was associated with a median 14.2% (range, 2.1%-21.8%) relative decrease in MRSA prevalence in nursing homes and a 2.3% decrease (range, 0%-7.1%) in hospitals 1 year after implementation. Benefits accrued over time and increased with increasing compliance.\nCONCLUSIONS: Our modeling study demonstrated the substantial benefits of extending contact precautions in nursing homes from just those residents with clinically apparent infection to all MRSA carriers, which suggests the benefits of hospitals and nursing homes sharing and coordinating information on MRSA surveillance and carriage status.","container-title":"Infection Control and Hospital Epidemiology","DOI":"10.1086/669091","ISSN":"1559-6834","issue":"2","journalAbbreviation":"Infect Control Hosp Epidemiol","language":"eng","note":"PMID: 23295561\nPMCID: PMC3763186","page":"151-160","source":"PubMed","title":"The potential regional impact of contact precaution use in nursing homes to control methicillin-resistant Staphylococcus aureus","volume":"34","author":[{"family":"Lee","given":"Bruce Y."},{"family":"Singh","given":"Ashima"},{"family":"Bartsch","given":"Sarah M."},{"family":"Wong","given":"Kim F."},{"family":"Kim","given":"Diane S."},{"family":"Avery","given":"Taliser R."},{"family":"Brown","given":"Shawn T."},{"family":"Murphy","given":"Courtney R."},{"family":"Yilmaz","given":"S. Levent"},{"family":"Huang","given":"Susan S."}],"issued":{"date-parts":[["2013",2]]}}},{"id":414,"uris":["http://zotero.org/users/9294180/items/KVRFZCJL"],"itemData":{"id":414,"type":"article-journal","abstract":"OBJECTIVE: As healthcare systems continue to expand and interconnect with each other through patient sharing, administrators, policy makers, infection control specialists, and other decision makers may have to take account of the entire healthcare 'ecosystem' in infection control.\nMATERIALS AND METHODS: We developed a software tool, the Regional Healthcare Ecosystem Analyst (RHEA), that can accept user-inputted data to rapidly create a detailed agent-based simulation model (ABM) of the healthcare ecosystem (ie, all healthcare facilities, their adjoining community, and patient flow among the facilities) of any region to better understand the spread and control of infectious diseases.\nRESULTS: To demonstrate RHEA's capabilities, we fed extensive data from Orange County, California, USA, into RHEA to create an ABM of a healthcare ecosystem and simulate the spread and control of methicillin-resistant Staphylococcus aureus. Various experiments explored the effects of changing different parameters (eg, degree of transmission, length of stay, and bed capacity).\nDISCUSSION: Our model emphasizes how individual healthcare facilities are components of integrated and dynamic networks connected via patient movement and how occurrences in one healthcare facility may affect many other healthcare facilities.\nCONCLUSIONS: A decision maker can utilize RHEA to generate a detailed ABM of any healthcare system of interest, which in turn can serve as a virtual laboratory to test different policies and interventions.","container-title":"Journal of the American Medical Informatics Association: JAMIA","DOI":"10.1136/amiajnl-2012-001107","ISSN":"1527-974X","issue":"e1","journalAbbreviation":"J Am Med Inform Assoc","language":"eng","note":"PMID: 23571848\nPMCID: PMC3715346","page":"e139-146","source":"PubMed","title":"The Regional Healthcare Ecosystem Analyst (RHEA): a simulation modeling tool to assist infectious disease control in a health system","title-short":"The Regional Healthcare Ecosystem Analyst (RHEA)","volume":"20","author":[{"family":"Lee","given":"Bruce Y."},{"family":"Wong","given":"Kim F."},{"family":"Bartsch","given":"Sarah M."},{"family":"Yilmaz","given":"S. Levent"},{"family":"Avery","given":"Taliser R."},{"family":"Brown","given":"Shawn T."},{"family":"Song","given":"Yeohan"},{"family":"Singh","given":"Ashima"},{"family":"Kim","given":"Diane S."},{"family":"Huang","given":"Susan S."}],"issued":{"date-parts":[["2013",6]]}}},{"id":413,"uris":["http://zotero.org/users/9294180/items/X6LUNP28"],"itemData":{"id":413,"type":"article-journal","abstract":"Background\nBecause patients can remain colonized with vancomycin-resistant enterococci (VRE) for long periods of time, VRE may spread from one health care facility to another.\n\nMethods\nUsing the Regional Healthcare Ecosystem Analyst, an agent-based model of patient flow among all Orange County, California, hospitals and communities, we quantified the degree and speed at which changes in VRE colonization prevalence in a hospital may affect prevalence in other Orange County hospitals.\n\nResults\nA sustained 10% increase in VRE colonization prevalence in any 1 hospital caused a 2.8% (none to 62%) average relative increase in VRE prevalence in all other hospitals. Effects took from 1.5 to &gt;10 years to fully manifest. Larger hospitals tended to have greater affect on other hospitals.\n\nConclusions\nWhen monitoring and controlling VRE, decision makers may want to account for regional effects. Knowing a hospital’s connections with other health care facilities via patient sharing can help determine which hospitals to include in a surveillance or control program.","container-title":"American journal of infection control","DOI":"10.1016/j.ajic.2013.01.013","ISSN":"0196-6553","issue":"8","journalAbbreviation":"Am J Infect Control","note":"PMID: 23896284\nPMCID: PMC3836830","page":"10.1016/j.ajic.2013.01.013","source":"PubMed Central","title":"Modeling the regional spread and control of vancomycin-resistant enterococci","volume":"41","author":[{"family":"Lee","given":"Bruce Y."},{"family":"Yilmaz","given":"S. Levent"},{"family":"Wong","given":"Kim F."},{"family":"Bartsch","given":"Sarah M."},{"family":"Eubank","given":"Stephen"},{"family":"Song","given":"Yeohan"},{"family":"Avery","given":"Taliser R."},{"family":"Christie","given":"Richard"},{"family":"Brown","given":"Shawn T."},{"family":"Epstein","given":"Joshua M."},{"family":"Parker","given":"Jon I."},{"family":"Huang","given":"Susan S."}],"issued":{"date-parts":[["2013",8]]}}},{"id":408,"uris":["http://zotero.org/users/9294180/items/M9GV3PTA"],"itemData":{"id":408,"type":"article-journal","container-title":"American Journal of Transplantation","DOI":"10.1111/ajt.13555","ISSN":"1600-6135","issue":"11","journalAbbreviation":"American journal of transplantation : official journal of the American Society of Transplantation and the American Society of Transplant Surgeons","language":"English (US)","note":"publisher: Wiley-Blackwell","page":"3002-3007","source":"pure.johnshopkins.edu","title":"Vital signs: Estimated effects of a coordinated approach for action to reduce antibiotic-resistant infections in health care facilities - United States","title-short":"Vital signs","volume":"15","author":[{"family":"Slayton","given":"Rachel B."},{"family":"Toth","given":"Damon"},{"family":"Lee","given":"Bruce Y."},{"family":"Tanner","given":"Windy"},{"family":"Bartsch","given":"Sarah M."},{"family":"Khader","given":"Karim"},{"family":"Wong","given":"Kim"},{"family":"Brown","given":"Kevin"},{"family":"McKinnell","given":"James A."},{"family":"Ray","given":"William"},{"family":"Miller","given":"Loren G."},{"family":"Rubin","given":"Michael"},{"family":"Kim","given":"Diane S."},{"family":"Adler","given":"Fred"},{"family":"Cao","given":"Chenghua"},{"family":"Avery","given":"Lacey"},{"family":"Stone","given":"Nathan T. B."},{"family":"Kallen","given":"Alexander"},{"family":"Samore","given":"Matthew"},{"family":"Huang","given":"Susan S."},{"family":"Fridkin","given":"Scott"},{"family":"Jernigan","given":"John A."}],"issued":{"date-parts":[["2015",11]]}}}],"schema":"https://github.com/citation-style-language/schema/raw/master/csl-citation.json"} </w:instrText>
            </w:r>
            <w:r>
              <w:fldChar w:fldCharType="separate"/>
            </w:r>
            <w:r w:rsidRPr="00EF2F5A">
              <w:rPr>
                <w:rFonts w:cs="Calibri"/>
              </w:rPr>
              <w:t>(4,5,29,38,40,41,50,51,59,86,87)</w:t>
            </w:r>
            <w:r>
              <w:fldChar w:fldCharType="end"/>
            </w:r>
          </w:p>
        </w:tc>
      </w:tr>
      <w:tr w:rsidR="00401E72" w14:paraId="304A5EC7"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33B60B1D" w14:textId="77777777" w:rsidR="00401E72" w:rsidRDefault="00401E72" w:rsidP="00A21BAE">
            <w:r>
              <w:t>Orange County, Florida</w:t>
            </w:r>
          </w:p>
        </w:tc>
        <w:tc>
          <w:tcPr>
            <w:tcW w:w="2546" w:type="dxa"/>
            <w:tcBorders>
              <w:top w:val="single" w:sz="4" w:space="0" w:color="auto"/>
              <w:left w:val="single" w:sz="4" w:space="0" w:color="auto"/>
              <w:bottom w:val="single" w:sz="4" w:space="0" w:color="auto"/>
              <w:right w:val="single" w:sz="4" w:space="0" w:color="auto"/>
            </w:tcBorders>
            <w:hideMark/>
          </w:tcPr>
          <w:p w14:paraId="69D52070" w14:textId="77777777" w:rsidR="00401E72" w:rsidRDefault="00401E72" w:rsidP="00A21BAE">
            <w:r>
              <w:fldChar w:fldCharType="begin"/>
            </w:r>
            <w:r>
              <w:instrText xml:space="preserve"> ADDIN ZOTERO_ITEM CSL_CITATION {"citationID":"GvMLQdIK","properties":{"formattedCitation":"(25)","plainCitation":"(25)","noteIndex":0},"citationItems":[{"id":1427,"uris":["http://zotero.org/users/9294180/items/84VYZQV8"],"itemData":{"id":1427,"type":"article-journal","abstract":"OBJECTIVE: Multidrug-resistant organisms (MDROs) are continually emerging and threatening health care systems. Little attention has been paid to the effect of patient transfers on MDRO dissemination among health care entities in health care systems. In this study, the Florida Department of Health in Orange County (DOH-Orange) developed a baseline social network analysis of patient movement across health care entities in Orange County, Florida, and regionally, within 6 surrounding counties in Central Florida.\nMATERIALS AND METHODS: DOH-Orange constructed 2 directed network sociograms-graphic visualizations that show the direction of relationships (ie, county and regional)-by using 2016 health insurance data from the Centers for Medicare &amp; Medicaid Services, which include metrics that could be useful for local public health interventions, such as MDRO outbreaks.\nRESULTS: We found that both our county and regional networks were sparse and centralized. The county-level network showed that acute-care hospitals had the highest influence on controlling the flow of patients between health care entities that would otherwise not be connected. The regional-level network showed that post-acute-care hospitals and other facilities (behavioral hospitals and mental health/substance abuse facilities) served as the primary controls for flow of patients between health care entities. The most prominent health care entities in both networks were the same 2 acute-care hospitals.\nPRACTICE IMPLICATIONS: Social network analysis can help local public health officials respond to MDRO outbreak investigations by determining which health care facilities are the main contributors of dissemination of MDROs or are at high risk of receiving patients with MDROs. This information can help epidemiologists prioritize prevention efforts and develop county- or regional-specific interventions to control and halt MDRO transmission across a health care network.","container-title":"Public Health Reports (Washington, D.C.: 1974)","DOI":"10.1177/0033354920930213","ISSN":"1468-2877","issue":"4","journalAbbreviation":"Public Health Rep","language":"eng","note":"PMID: 32511940\nPMCID: PMC7383754","page":"452-460","source":"PubMed","title":"Social Network Analysis of Patient Movement Across Health Care Entities in Orange County, Florida","volume":"135","author":[{"family":"Rankin","given":"Danielle A."},{"family":"Matthews","given":"Sarah D."}],"issued":{"date-parts":[["2020"]]}}}],"schema":"https://github.com/citation-style-language/schema/raw/master/csl-citation.json"} </w:instrText>
            </w:r>
            <w:r>
              <w:fldChar w:fldCharType="separate"/>
            </w:r>
            <w:r w:rsidRPr="00374BD7">
              <w:rPr>
                <w:rFonts w:cs="Calibri"/>
              </w:rPr>
              <w:t>(25)</w:t>
            </w:r>
            <w:r>
              <w:fldChar w:fldCharType="end"/>
            </w:r>
          </w:p>
        </w:tc>
      </w:tr>
      <w:tr w:rsidR="00401E72" w14:paraId="50411CAE"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3022B5F6" w14:textId="77777777" w:rsidR="00401E72" w:rsidRDefault="00401E72" w:rsidP="00A21BAE">
            <w:r>
              <w:t>Pennsylvania</w:t>
            </w:r>
          </w:p>
        </w:tc>
        <w:tc>
          <w:tcPr>
            <w:tcW w:w="2546" w:type="dxa"/>
            <w:tcBorders>
              <w:top w:val="single" w:sz="4" w:space="0" w:color="auto"/>
              <w:left w:val="single" w:sz="4" w:space="0" w:color="auto"/>
              <w:bottom w:val="single" w:sz="4" w:space="0" w:color="auto"/>
              <w:right w:val="single" w:sz="4" w:space="0" w:color="auto"/>
            </w:tcBorders>
            <w:hideMark/>
          </w:tcPr>
          <w:p w14:paraId="3EAB64A6" w14:textId="77777777" w:rsidR="00401E72" w:rsidRDefault="00401E72" w:rsidP="00A21BAE">
            <w:r>
              <w:fldChar w:fldCharType="begin"/>
            </w:r>
            <w:r>
              <w:instrText xml:space="preserve"> ADDIN ZOTERO_ITEM CSL_CITATION {"citationID":"VvvRq5jg","properties":{"formattedCitation":"(55)","plainCitation":"(55)","noteIndex":0},"citationItems":[{"id":1546,"uris":["http://zotero.org/users/9294180/items/EK3CHQQN"],"itemData":{"id":1546,"type":"article-journal","abstract":"Comprehending complex behavior of flow within a graph is of interest to clinicians and mathematicians alike. In this study we examine admission, discharge, and transfer data of patients within a hospital system, and process the importance of nodes through several graph metrics. One common metric, which measures population densities through a continuous time Markov process, will be compared against centrality measures, a technique more often used in social media studies. Our findings show that centrality measures capture behavior related to the topology of the network that may be missed by Markov processes. This suggests that, for determining the allocation of resources between departments of a hospital, centrality measures in some cases may prove more suitable for interpreting patient flow data. Departmental rankings and suitable instances for the application for each graph metric are provided.","language":"en","source":"Zotero","title":"A Network-Theoretic Analysis of Hospital Admission, Transfer, and Discharge Data","author":[{"family":"Cioffi","given":"Maria"},{"family":"Mukhtar","given":"Naba"},{"family":"Ryan","given":"Nathan C"},{"family":"Klobusicky","given":"Joe J"}],"issued":{"date-parts":[["2018"]]}}}],"schema":"https://github.com/citation-style-language/schema/raw/master/csl-citation.json"} </w:instrText>
            </w:r>
            <w:r>
              <w:fldChar w:fldCharType="separate"/>
            </w:r>
            <w:r w:rsidRPr="00735B0C">
              <w:t>(55)</w:t>
            </w:r>
            <w:r>
              <w:fldChar w:fldCharType="end"/>
            </w:r>
          </w:p>
        </w:tc>
      </w:tr>
      <w:tr w:rsidR="00401E72" w14:paraId="1ED331BD"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6CF61A06" w14:textId="77777777" w:rsidR="00401E72" w:rsidRDefault="00401E72" w:rsidP="00A21BAE">
            <w:r>
              <w:t>Petah Tikva</w:t>
            </w:r>
          </w:p>
        </w:tc>
        <w:tc>
          <w:tcPr>
            <w:tcW w:w="2546" w:type="dxa"/>
            <w:tcBorders>
              <w:top w:val="single" w:sz="4" w:space="0" w:color="auto"/>
              <w:left w:val="single" w:sz="4" w:space="0" w:color="auto"/>
              <w:bottom w:val="single" w:sz="4" w:space="0" w:color="auto"/>
              <w:right w:val="single" w:sz="4" w:space="0" w:color="auto"/>
            </w:tcBorders>
            <w:hideMark/>
          </w:tcPr>
          <w:p w14:paraId="385137B7" w14:textId="77777777" w:rsidR="00401E72" w:rsidRDefault="00401E72" w:rsidP="00A21BAE">
            <w:r>
              <w:fldChar w:fldCharType="begin"/>
            </w:r>
            <w:r>
              <w:instrText xml:space="preserve"> ADDIN ZOTERO_ITEM CSL_CITATION {"citationID":"dviV9h5W","properties":{"formattedCitation":"(26)","plainCitation":"(26)","noteIndex":0},"citationItems":[{"id":1617,"uris":["http://zotero.org/users/9294180/items/7BP7YMFD"],"itemData":{"id":1617,"type":"article-journal","abstract":"The aim of this study is to analyze patient movement patterns between hospital departments to derive the underlying intra-hospital movement network, and to assess if movement patterns differ between patients at high or low risk of colonization. For that purpose, we analyzed patient electronic medical record data from five hospitals to extract information on risk stratification and patient intra-hospital movements. Movement patterns were visualized as networks, and network centrality measures were calculated. Next, using an agent-based model where agents represent patients and intra-hospital patient movements were explicitly modeled, we simulated the spread of multidrug resistant enterobacteriacae (MDR-E) inside a hospital. Risk stratification of patients according to certain ICD-10 codes revealed that length of stay, patient age, and mean number of movements per admission were higher in the high-risk groups. Movement networks in all hospitals displayed a high variability among departments concerning their network centrality and connectedness with a few highly connected departments and many weakly connected peripheral departments. Simulating the spread of a pathogen in one hospital network showed positive correlation between department prevalence and network centrality measures. This study highlights the importance of intra-hospital patient movements and their possible impact on pathogen spread. Targeting interventions to departments of higher (weighted) degree may help to control the spread of MDR-E. Moreover, when the colonization status of patients coming from different departments is unknown, a ranking system based on department centralities may be used to design more effective interventions that mitigate pathogen spread.","container-title":"PLOS Computational Biology","DOI":"10.1371/journal.pcbi.1008600","ISSN":"1553-7358","issue":"2","journalAbbreviation":"PLoS Comput Biol","language":"en","page":"e1008600","source":"DOI.org (Crossref)","title":"Relevance of intra-hospital patient movements for the spread of healthcare-associated infections within hospitals - a mathematical modeling study","volume":"17","author":[{"family":"Tahir","given":"Hannan"},{"family":"López-Cortés","given":"Luis Eduardo"},{"family":"Kola","given":"Axel"},{"family":"Yahav","given":"Dafna"},{"family":"Karch","given":"André"},{"family":"Xia","given":"Hanjue"},{"family":"Horn","given":"Johannes"},{"family":"Sakowski","given":"Konrad"},{"family":"Piotrowska","given":"Monika J."},{"family":"Leibovici","given":"Leonard"},{"family":"Mikolajczyk","given":"Rafael T."},{"family":"Kretzschmar","given":"Mirjam E."}],"editor":[{"family":"Kouyos","given":"Roger Dimitri"}],"issued":{"date-parts":[["2021",2,3]]}}}],"schema":"https://github.com/citation-style-language/schema/raw/master/csl-citation.json"} </w:instrText>
            </w:r>
            <w:r>
              <w:fldChar w:fldCharType="separate"/>
            </w:r>
            <w:r w:rsidRPr="00374BD7">
              <w:rPr>
                <w:rFonts w:cs="Calibri"/>
              </w:rPr>
              <w:t>(26)</w:t>
            </w:r>
            <w:r>
              <w:fldChar w:fldCharType="end"/>
            </w:r>
          </w:p>
        </w:tc>
      </w:tr>
      <w:tr w:rsidR="00401E72" w14:paraId="7BEA6806"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727D35D" w14:textId="77777777" w:rsidR="00401E72" w:rsidRDefault="00401E72" w:rsidP="00A21BAE">
            <w:r>
              <w:t>Saxony and Thuringia</w:t>
            </w:r>
          </w:p>
        </w:tc>
        <w:tc>
          <w:tcPr>
            <w:tcW w:w="2546" w:type="dxa"/>
            <w:tcBorders>
              <w:top w:val="single" w:sz="4" w:space="0" w:color="auto"/>
              <w:left w:val="single" w:sz="4" w:space="0" w:color="auto"/>
              <w:bottom w:val="single" w:sz="4" w:space="0" w:color="auto"/>
              <w:right w:val="single" w:sz="4" w:space="0" w:color="auto"/>
            </w:tcBorders>
            <w:hideMark/>
          </w:tcPr>
          <w:p w14:paraId="3DE45700" w14:textId="77777777" w:rsidR="00401E72" w:rsidRDefault="00401E72" w:rsidP="00A21BAE">
            <w:r>
              <w:fldChar w:fldCharType="begin"/>
            </w:r>
            <w:r>
              <w:instrText xml:space="preserve"> ADDIN ZOTERO_ITEM CSL_CITATION {"citationID":"4wrMbaXU","properties":{"formattedCitation":"(24,27,28,35,36)","plainCitation":"(24,27,28,35,36)","noteIndex":0},"citationItems":[{"id":1565,"uris":["http://zotero.org/users/9294180/items/GBX77D2Y"],"itemData":{"id":1565,"type":"article-journal","abstract":"We present an analysis of admission/discharge data from insurance provider for Saxony and Thuringia (Germany) for years 2010 2016. A study of such data is necessary to derive a structure of a healthcare system transfer network, as no patients' transfer data are available. Hospital network is a basis for simulation of multidrug-resistant bacteriae spread allowing to study the e ectiveness of diseasecontrol strategies. In this paper, the properties of the dataset under consideration are presented and discussed. Moreover, the resulting inter-hospital network structure is analyzed.","container-title":"Mathematica Applicanda","DOI":"10.14708/ma.v47i1.6497","ISSN":"2299-4009, 1730-2668","issue":"1","journalAbbreviation":"MathAppl","language":"en","page":"127-139","source":"DOI.org (Crossref)","title":"Analysis of the AOK Plus data and derived hospital network","volume":"47","author":[{"family":"Lonc","given":"Agata"},{"family":"Piotrowska","given":"Monika Joanna"},{"family":"Sakowski","given":"Konrad"}],"issued":{"date-parts":[["2019",7,22]]}}},{"id":1557,"uris":["http://zotero.org/users/9294180/items/G8K624BY"],"itemData":{"id":1557,"type":"article-journal","abstract":"The spread of resistant bacteria in hospitals is an increasing problem worldwide. Transfers of patients, who may be colonized with resistant bacteria, are considered to be an important driver of promoting resistance. Even though transmission rates within a hospital are often low, readmissions of patients who were colonized during an earlier hospital stay lead to repeated introductions of resistant bacteria into hospitals. We developed a mathematical model that combines a deterministic model for within-hospital spread of pathogens, discharge to the community and readmission, with a hospital–community network simulation of patient transfers between hospitals. Model parameters used to create the hospital–community network are obtained from two health insurance datasets from Germany. For parameter values representing transmission of resistant Enterobacteriaceae, we compute estimates for the single admission reproduction numbers </w:instrText>
            </w:r>
            <w:r>
              <w:rPr>
                <w:rFonts w:ascii="Cambria Math" w:hAnsi="Cambria Math" w:cs="Cambria Math"/>
              </w:rPr>
              <w:instrText>𝑅𝐴</w:instrText>
            </w:r>
            <w:r>
              <w:instrText xml:space="preserve"> and the basic reproduction numbers </w:instrText>
            </w:r>
            <w:r>
              <w:rPr>
                <w:rFonts w:ascii="Cambria Math" w:hAnsi="Cambria Math" w:cs="Cambria Math"/>
              </w:rPr>
              <w:instrText>𝑅</w:instrText>
            </w:r>
            <w:r>
              <w:instrText xml:space="preserve">0 per hospital–community pair. We simulate the spread of colonization through the network of hospitals, and investigate how increasing connectedness of hospitals through the network influences the prevalence in the hospital–community pairs. We find that the prevalence in hospitals is determined by their </w:instrText>
            </w:r>
            <w:r>
              <w:rPr>
                <w:rFonts w:ascii="Cambria Math" w:hAnsi="Cambria Math" w:cs="Cambria Math"/>
              </w:rPr>
              <w:instrText>𝑅𝐴</w:instrText>
            </w:r>
            <w:r>
              <w:instrText xml:space="preserve"> and </w:instrText>
            </w:r>
            <w:r>
              <w:rPr>
                <w:rFonts w:ascii="Cambria Math" w:hAnsi="Cambria Math" w:cs="Cambria Math"/>
              </w:rPr>
              <w:instrText>𝑅</w:instrText>
            </w:r>
            <w:r>
              <w:instrText xml:space="preserve">0 values. Increasing transfer rates between network nodes tend to lower the overall prevalence in the network by diluting the high prevalence of hospitals with high </w:instrText>
            </w:r>
            <w:r>
              <w:rPr>
                <w:rFonts w:ascii="Cambria Math" w:hAnsi="Cambria Math" w:cs="Cambria Math"/>
              </w:rPr>
              <w:instrText>𝑅</w:instrText>
            </w:r>
            <w:r>
              <w:instrText xml:space="preserve">0 to hospitals where persistent spread is not possible. We conclude that hospitals with high reproduction numbers represent a continuous source of risk for importing resistant pathogens for hospitals with otherwise low levels of transmission. Moreover, high risk hospital–community nodes act as reservoirs of pathogens in a densely connected network.","container-title":"Epidemics","DOI":"10.1016/j.epidem.2020.100408","ISSN":"17554365","journalAbbreviation":"Epidemics","language":"en","page":"100408","source":"DOI.org (Crossref)","title":"Impact of inter-hospital transfers on the prevalence of resistant pathogens in a hospital–community system","volume":"33","author":[{"family":"Piotrowska","given":"M.J."},{"family":"Sakowski","given":"K."},{"family":"Lonc","given":"A."},{"family":"Tahir","given":"H."},{"family":"Kretzschmar","given":"M.E."}],"issued":{"date-parts":[["2020",12]]}}},{"id":1609,"uris":["http://zotero.org/users/9294180/items/IJRM8Y3L"],"itemData":{"id":1609,"type":"article-journal","abstract":"In the year 2020, there were 105 different statutory insurance companies in Germany with heterogeneous regional coverage. Obtaining data from all insurance companies is challenging, so that it is likely that projects will have to rely on data not covering the whole population. Consequently, the study of epidemic spread in hospital referral networks using data-driven models may be biased. We studied this bias using data from three German regional insurance companies covering four federal states: AOK (historically “general local health insurance company”, but currently only the abbreviation is used) Lower Saxony (in Federal State of Lower Saxony), AOK Bavaria (in Bavaria), and AOK PLUS (in Thuringia and Saxony). To understand how incomplete data influence network characteristics and related epidemic simulations, we created sampled datasets by randomly dropping a proportion of patients from the full datasets and replacing them with random copies of the remaining patients to obtain scale-up datasets to the original size. For the sampled and scale-up datasets, we calculated several commonly used network measures, and compared them to those derived from the original data. We found that the network measures (degree, strength and closeness) were rather sensitive to incompleteness. Infection prevalence as an outcome from the applied susceptible-infectious-susceptible (SIS) model was fairly robust against incompleteness. At incompleteness levels as high as 90% of the original datasets the prevalence estimation bias was below 5% in scale-up datasets. Consequently, a coverage as low as 10% of the local population of the federal state population was sufficient to maintain the relative bias in prevalence below 10% for a wide range of transmission parameters as encountered in clinical settings. Our findings are reassuring that despite incomplete coverage of the population, German health insurance data can be used to study effects of patient traffic between institutions on the spread of pathogens within healthcare networks.","container-title":"PLOS Computational Biology","DOI":"10.1371/journal.pcbi.1008941","ISSN":"1553-7358","issue":"5","journalAbbreviation":"PLoS Comput Biol","language":"en","page":"e1008941","source":"DOI.org (Crossref)","title":"Effects of incomplete inter-hospital network data on the assessment of transmission dynamics of hospital-acquired infections","volume":"17","author":[{"family":"Xia","given":"Hanjue"},{"family":"Horn","given":"Johannes"},{"family":"Piotrowska","given":"Monika J."},{"family":"Sakowski","given":"Konrad"},{"family":"Karch","given":"André"},{"family":"Tahir","given":"Hannan"},{"family":"Kretzschmar","given":"Mirjam"},{"family":"Mikolajczyk","given":"Rafael"}],"editor":[{"family":"Althouse","given":"Benjamin Muir"}],"issued":{"date-parts":[["2021",5,6]]}}},{"id":1608,"uris":["http://zotero.org/users/9294180/items/QVDJUTFV"],"itemData":{"id":1608,"type":"article-journal","abstract":"Abstract\n            Pathogens typically responsible for hospital-acquired infections (HAIs) constitute a major threat to healthcare systems worldwide. They spread via hospital (or hospital-community) networks by readmissions or patient transfers. Therefore, knowledge of these networks is essential to develop and test strategies to mitigate and control the HAI spread. Until now, no methods for comparing healthcare networks across different systems were proposed. Based on healthcare insurance data from four German federal states (Bavaria, Lower Saxony, Saxony and Thuringia), we constructed hospital networks and compared them in a systematic approach regarding population, hospital characteristics, and patient transfer patterns. Direct patient transfers between hospitals had only a limited impact on HAI spread. Whereas, with low colonization clearance rates, readmissions to the same hospitals posed the biggest transmission risk of all inter-hospital transfers. We then generated hospital-community networks, in which patients either stay in communities or in hospitals. We found that network characteristics affect the final prevalence and the time to reach it. However, depending on the characteristics of the pathogen (colonization clearance rate and transmission rate or even the relationship between transmission rate in hospitals and in the community), the studied networks performed differently. The differences were not large, but justify further studies.","container-title":"Scientific Reports","DOI":"10.1038/s41598-023-50873-z","ISSN":"2045-2322","issue":"1","journalAbbreviation":"Sci Rep","language":"en","page":"929","source":"DOI.org (Crossref)","title":"Regional patient transfer patterns matter for the spread of hospital-acquired pathogens","volume":"14","author":[{"family":"Xia","given":"Hanjue"},{"family":"Horn","given":"Johannes"},{"family":"Piotrowska","given":"Monika J."},{"family":"Sakowski","given":"Konrad"},{"family":"Karch","given":"André"},{"family":"Kretzschmar","given":"Mirjam"},{"family":"Mikolajczyk","given":"Rafael"}],"issued":{"date-parts":[["2024",1,9]]}}},{"id":1555,"uris":["http://zotero.org/users/9294180/items/X69G32CJ"],"itemData":{"id":1555,"type":"article-journal","abstract":"Objective: The introduction of multi-drug-resistant Enterobacteriaceae (MDR-E) by colonized patients transferred from high-prevalence countries has led to several large outbreaks of MDR-E in lowprevalence countries, with the risk of propagated spread to the community. The goal of this study was to derive a strategy to counteract the spread of MDR-E at the regional health-care network level.\nMethods: We used a hybrid ordinary differential equation and network model built based on German health insurance data to evaluate whether the re-direction of patient ﬂow in combination with targeted infection control measures can counteract the spread of MDR-E in the German health-care system. We applied pragmatic re-direction strategies focusing on a reduced choice of hospitals for subsequent stays after initial hospitalization but not manipulating direct transfers because these are most likely determined by medical needs.\nResults: The re-direction strategies alone did not reduce the system-wide spread of MDR-E (system-wide prevalence of MDR-E is 18.7% vs. 25.7%/29.9%). In contrast, targeted hospital-based infection control measures restricted to institutions with the highest institutional basic reproduction numbers in the network were identiﬁed as an effective tool for reducing system-wide prevalence (system-wide prevalence of MDR-E is 18.7% vs. 9.3%). If these measures were applied to the top one-third of hospitals, the system-wide prevalence could be reduced by approximately 80% (system-wide prevalence of 18.7% vs. 3.5% for one-third of patients subjected to interventions). A combination of this hospital-based intervention and patient re-direction strategies could not improve the effectiveness of the hospital-based approach (system-wide prevalence of MDR-E is 9.3% vs. 14.2%/14.3%).\nConclusions: The pragmatic patient re-direction strategies were not capable of restricting the spread of MDR-E in a simulation of the German health-care system; in contrast, hospital-based interventions focusing on institutions identiﬁed based on network transmission patterns seem to be a promising approach for sustainable reduction of the spread of MDR-E through the German population. Monika J. Piotrowska, Clin Microbiol Infect 2023;29:109.e1e109.e7 © 2022 European Society of Clinical Microbiology and Infectious Diseases. Published by Elsevier Ltd. All rights reserved.","container-title":"Clinical Microbiology and Infection","DOI":"10.1016/j.cmi.2022.08.001","ISSN":"1198743X","issue":"1","journalAbbreviation":"Clinical Microbiology and Infection","language":"en","page":"109.e1-109.e7","source":"DOI.org (Crossref)","title":"The effect of re-directed patient flow in combination with targeted infection control measures on the spread of multi-drug-resistant Enterobacteriaceae in the German health-care system: a mathematical modelling approach","title-short":"The effect of re-directed patient flow in combination with targeted infection control measures on the spread of multi-drug-resistant Enterobacteriaceae in the German health-care system","volume":"29","author":[{"family":"Piotrowska","given":"Monika J."},{"family":"Sakowski","given":"Konrad"},{"family":"Horn","given":"Johannes"},{"family":"Mikolajczyk","given":"Rafael"},{"family":"Karch","given":"André"}],"issued":{"date-parts":[["2023",1]]}}}],"schema":"https://github.com/citation-style-language/schema/raw/master/csl-citation.json"} </w:instrText>
            </w:r>
            <w:r>
              <w:fldChar w:fldCharType="separate"/>
            </w:r>
            <w:r w:rsidRPr="00E56AA7">
              <w:t>(24,27,28,35,36)</w:t>
            </w:r>
            <w:r>
              <w:fldChar w:fldCharType="end"/>
            </w:r>
          </w:p>
        </w:tc>
      </w:tr>
      <w:tr w:rsidR="00401E72" w14:paraId="1A47C900"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6AA5A3E4" w14:textId="77777777" w:rsidR="00401E72" w:rsidRDefault="00401E72" w:rsidP="00A21BAE">
            <w:r>
              <w:t>Scotland</w:t>
            </w:r>
          </w:p>
        </w:tc>
        <w:tc>
          <w:tcPr>
            <w:tcW w:w="2546" w:type="dxa"/>
            <w:tcBorders>
              <w:top w:val="single" w:sz="4" w:space="0" w:color="auto"/>
              <w:left w:val="single" w:sz="4" w:space="0" w:color="auto"/>
              <w:bottom w:val="single" w:sz="4" w:space="0" w:color="auto"/>
              <w:right w:val="single" w:sz="4" w:space="0" w:color="auto"/>
            </w:tcBorders>
            <w:hideMark/>
          </w:tcPr>
          <w:p w14:paraId="6F8D4974" w14:textId="77777777" w:rsidR="00401E72" w:rsidRDefault="00401E72" w:rsidP="00A21BAE">
            <w:r>
              <w:fldChar w:fldCharType="begin"/>
            </w:r>
            <w:r>
              <w:instrText xml:space="preserve"> ADDIN ZOTERO_ITEM CSL_CITATION {"citationID":"KDV6LsmT","properties":{"formattedCitation":"(43)","plainCitation":"(43)","noteIndex":0},"citationItems":[{"id":437,"uris":["http://zotero.org/users/9294180/items/LUUUYLYQ"],"itemData":{"id":437,"type":"article-journal","abstract":"Detecting novel healthcare-associated infections (HCAI) as early as possible is an important public health priority. However, there is currently no evidence base to guide the design of efficient and reliable surveillance systems. Here we address this issue in the context of a novel pathogen spreading primarily between hospitals through the movement of patients.","container-title":"BMC Public Health","DOI":"10.1186/s12889-015-2172-9","ISSN":"1471-2458","issue":"1","journalAbbreviation":"BMC Public Health","page":"832","source":"BioMed Central","title":"Efficient national surveillance for health-care-associated infections","volume":"15","author":[{"family":"Bunnik","given":"B. A. D.","non-dropping-particle":"van"},{"family":"Ciccolini","given":"M."},{"family":"Gibbons","given":"C. L."},{"family":"Edwards","given":"G."},{"family":"Fitzgerald","given":"R."},{"family":"McAdam","given":"P. R."},{"family":"Ward","given":"M. J."},{"family":"Laurenson","given":"I. F."},{"family":"Woolhouse","given":"M. E. J."}],"issued":{"date-parts":[["2015",8,28]]}}}],"schema":"https://github.com/citation-style-language/schema/raw/master/csl-citation.json"} </w:instrText>
            </w:r>
            <w:r>
              <w:fldChar w:fldCharType="separate"/>
            </w:r>
            <w:r w:rsidRPr="00735B0C">
              <w:t>(43)</w:t>
            </w:r>
            <w:r>
              <w:fldChar w:fldCharType="end"/>
            </w:r>
          </w:p>
        </w:tc>
      </w:tr>
      <w:tr w:rsidR="00401E72" w14:paraId="78AB71FA"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4EF6C12B" w14:textId="77777777" w:rsidR="00401E72" w:rsidRDefault="00401E72" w:rsidP="00A21BAE">
            <w:r>
              <w:t>Seville</w:t>
            </w:r>
          </w:p>
        </w:tc>
        <w:tc>
          <w:tcPr>
            <w:tcW w:w="2546" w:type="dxa"/>
            <w:tcBorders>
              <w:top w:val="single" w:sz="4" w:space="0" w:color="auto"/>
              <w:left w:val="single" w:sz="4" w:space="0" w:color="auto"/>
              <w:bottom w:val="single" w:sz="4" w:space="0" w:color="auto"/>
              <w:right w:val="single" w:sz="4" w:space="0" w:color="auto"/>
            </w:tcBorders>
            <w:hideMark/>
          </w:tcPr>
          <w:p w14:paraId="6B5D62FD" w14:textId="77777777" w:rsidR="00401E72" w:rsidRDefault="00401E72" w:rsidP="00A21BAE">
            <w:r>
              <w:fldChar w:fldCharType="begin"/>
            </w:r>
            <w:r>
              <w:instrText xml:space="preserve"> ADDIN ZOTERO_ITEM CSL_CITATION {"citationID":"19LDbvl7","properties":{"formattedCitation":"(26)","plainCitation":"(26)","noteIndex":0},"citationItems":[{"id":1617,"uris":["http://zotero.org/users/9294180/items/7BP7YMFD"],"itemData":{"id":1617,"type":"article-journal","abstract":"The aim of this study is to analyze patient movement patterns between hospital departments to derive the underlying intra-hospital movement network, and to assess if movement patterns differ between patients at high or low risk of colonization. For that purpose, we analyzed patient electronic medical record data from five hospitals to extract information on risk stratification and patient intra-hospital movements. Movement patterns were visualized as networks, and network centrality measures were calculated. Next, using an agent-based model where agents represent patients and intra-hospital patient movements were explicitly modeled, we simulated the spread of multidrug resistant enterobacteriacae (MDR-E) inside a hospital. Risk stratification of patients according to certain ICD-10 codes revealed that length of stay, patient age, and mean number of movements per admission were higher in the high-risk groups. Movement networks in all hospitals displayed a high variability among departments concerning their network centrality and connectedness with a few highly connected departments and many weakly connected peripheral departments. Simulating the spread of a pathogen in one hospital network showed positive correlation between department prevalence and network centrality measures. This study highlights the importance of intra-hospital patient movements and their possible impact on pathogen spread. Targeting interventions to departments of higher (weighted) degree may help to control the spread of MDR-E. Moreover, when the colonization status of patients coming from different departments is unknown, a ranking system based on department centralities may be used to design more effective interventions that mitigate pathogen spread.","container-title":"PLOS Computational Biology","DOI":"10.1371/journal.pcbi.1008600","ISSN":"1553-7358","issue":"2","journalAbbreviation":"PLoS Comput Biol","language":"en","page":"e1008600","source":"DOI.org (Crossref)","title":"Relevance of intra-hospital patient movements for the spread of healthcare-associated infections within hospitals - a mathematical modeling study","volume":"17","author":[{"family":"Tahir","given":"Hannan"},{"family":"López-Cortés","given":"Luis Eduardo"},{"family":"Kola","given":"Axel"},{"family":"Yahav","given":"Dafna"},{"family":"Karch","given":"André"},{"family":"Xia","given":"Hanjue"},{"family":"Horn","given":"Johannes"},{"family":"Sakowski","given":"Konrad"},{"family":"Piotrowska","given":"Monika J."},{"family":"Leibovici","given":"Leonard"},{"family":"Mikolajczyk","given":"Rafael T."},{"family":"Kretzschmar","given":"Mirjam E."}],"editor":[{"family":"Kouyos","given":"Roger Dimitri"}],"issued":{"date-parts":[["2021",2,3]]}}}],"schema":"https://github.com/citation-style-language/schema/raw/master/csl-citation.json"} </w:instrText>
            </w:r>
            <w:r>
              <w:fldChar w:fldCharType="separate"/>
            </w:r>
            <w:r w:rsidRPr="00374BD7">
              <w:rPr>
                <w:rFonts w:cs="Calibri"/>
              </w:rPr>
              <w:t>(26)</w:t>
            </w:r>
            <w:r>
              <w:fldChar w:fldCharType="end"/>
            </w:r>
          </w:p>
        </w:tc>
      </w:tr>
      <w:tr w:rsidR="00401E72" w14:paraId="40C9F0DC"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64407D94" w14:textId="77777777" w:rsidR="00401E72" w:rsidRDefault="00401E72" w:rsidP="00A21BAE">
            <w:r>
              <w:t>Sicily</w:t>
            </w:r>
          </w:p>
        </w:tc>
        <w:tc>
          <w:tcPr>
            <w:tcW w:w="2546" w:type="dxa"/>
            <w:tcBorders>
              <w:top w:val="single" w:sz="4" w:space="0" w:color="auto"/>
              <w:left w:val="single" w:sz="4" w:space="0" w:color="auto"/>
              <w:bottom w:val="single" w:sz="4" w:space="0" w:color="auto"/>
              <w:right w:val="single" w:sz="4" w:space="0" w:color="auto"/>
            </w:tcBorders>
            <w:hideMark/>
          </w:tcPr>
          <w:p w14:paraId="191E770D" w14:textId="77777777" w:rsidR="00401E72" w:rsidRDefault="00401E72" w:rsidP="00A21BAE">
            <w:r>
              <w:fldChar w:fldCharType="begin"/>
            </w:r>
            <w:r>
              <w:instrText xml:space="preserve"> ADDIN ZOTERO_ITEM CSL_CITATION {"citationID":"rsciYlHe","properties":{"formattedCitation":"(88)","plainCitation":"(88)","noteIndex":0},"citationItems":[{"id":1618,"uris":["http://zotero.org/users/9294180/items/57CAX3A4"],"itemData":{"id":1618,"type":"article-journal","abstract":"Motivated by an application about interhospital connections, we propose a modelling approach for data referred to a temporal network. The approach may be seen as an extension of the one recently proposed in Bianchi et al. (2020) and, in turn, of the popular p1 and p2 models by Holland and Leinhardt (1981) and van Duijn et al. (2004), on which the latter is built. The proposed extension consists in the introduction of covariates and in the adoption of a hierarchical Bayesian inferential approach that shows advantages in the specific application. For Bayesian inference we rely on a Markov chain Monte Carlo algorithm that produces samples from the posterior distribution of the model parameters. The application is based on original data on patient referral relations among 127 hospitals serving a large regional community of patients in Italy from 2014 to 2018. Results indicate that interhospital collaborative behaviours are primarily local and that collaborative attitudes vary at different time occasions of the considered period and in accordance with the level of competition faced by hospital organisations.","container-title":"Journal of the Royal Statistical Society Series A: Statistics in Society","DOI":"10.1093/jrsssa/qnad036","ISSN":"0964-1998, 1467-985X","issue":"3","language":"en","license":"https://academic.oup.com/pages/standard-publication-reuse-rights","page":"422-440","source":"DOI.org (Crossref)","title":"Temporal analysis of hospital network data by hierarchical Bayesian p2 models with covariates","volume":"186","author":[{"family":"Bartolucci","given":"Francesco"},{"family":"Li Donni","given":"Paolo"},{"family":"Mira","given":"Antonietta"}],"issued":{"date-parts":[["2023",7,1]]}}}],"schema":"https://github.com/citation-style-language/schema/raw/master/csl-citation.json"} </w:instrText>
            </w:r>
            <w:r>
              <w:fldChar w:fldCharType="separate"/>
            </w:r>
            <w:r w:rsidRPr="00B423CC">
              <w:rPr>
                <w:rFonts w:cs="Calibri"/>
              </w:rPr>
              <w:t>(88)</w:t>
            </w:r>
            <w:r>
              <w:fldChar w:fldCharType="end"/>
            </w:r>
          </w:p>
        </w:tc>
      </w:tr>
      <w:tr w:rsidR="00401E72" w14:paraId="0464F3FA"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1E29F82C" w14:textId="77777777" w:rsidR="00401E72" w:rsidRDefault="00401E72" w:rsidP="00A21BAE">
            <w:r>
              <w:t>Singapore</w:t>
            </w:r>
          </w:p>
        </w:tc>
        <w:tc>
          <w:tcPr>
            <w:tcW w:w="2546" w:type="dxa"/>
            <w:tcBorders>
              <w:top w:val="single" w:sz="4" w:space="0" w:color="auto"/>
              <w:left w:val="single" w:sz="4" w:space="0" w:color="auto"/>
              <w:bottom w:val="single" w:sz="4" w:space="0" w:color="auto"/>
              <w:right w:val="single" w:sz="4" w:space="0" w:color="auto"/>
            </w:tcBorders>
            <w:hideMark/>
          </w:tcPr>
          <w:p w14:paraId="4B227811" w14:textId="77777777" w:rsidR="00401E72" w:rsidRDefault="00401E72" w:rsidP="00A21BAE">
            <w:r>
              <w:fldChar w:fldCharType="begin"/>
            </w:r>
            <w:r>
              <w:instrText xml:space="preserve"> ADDIN ZOTERO_ITEM CSL_CITATION {"citationID":"reX1SoAa","properties":{"formattedCitation":"(46)","plainCitation":"(46)","noteIndex":0},"citationItems":[{"id":1615,"uris":["http://zotero.org/users/9294180/items/PL6CRKRH"],"itemData":{"id":1615,"type":"article-journal","abstract":"Background\n              \n                Methicillin-Resistant\n                Staphylococcus aureus\n                (MRSA) is endemic in hospitals worldwide. Intrahospital transfers may impact MRSA acquisition risk experienced by patients. In this study, we investigated ward characteristics and connectivity that are associated with MRSA acquisition.\n              \n            \n            \n              Methods\n              We analysed electronic medical records on patient transfers and MRSA screening of in-patients at an acute-care tertiary hospital in Singapore to investigate whether ward characteristics and connectivity within a network of in-patient wards were associated with MRSA acquisition rates over a period of four years.\n            \n            \n              Results\n              Most patient transfers concentrated in a stable core network of wards. Factors associated with increased rate of MRSA acquisition were MRSA prevalence among patients transferred from other wards (rate ratio (RR): 7.74 [95% confidence interval (CI): 3.88, 15.44], additional 5 percentage point), critical care ward (RR: 1.72 [95% CI: 1.09, 2.70]) and presence of MRSA cohorting beds (RR: 1.39 [95% CI: 1.03, 1.90]. Oncology ward (RR: 0.66 [95% CI: 0.46, 0.94]) (compared to medical ward), and median length of stay (RR: 0.70 [95% CI: 0.55, 0.90], additional 1.5 days) were associated with lower acquisition rates. In addition, we found evidence of interaction between MRSA prevalence among patients transferred from other wards and weighted in-degree although the latter was not associated with MRSA acquisition after controlling for confounders.\n            \n            \n              Conclusion\n              Wards with higher MRSA prevalence among patients transferred from other wards were more likely to have higher MRSA acquisition rate. Its effect further increased in wards receiving greater number of patients. In addition, critical care ward, presence of MRSA cohorting beds, ward specialty, and median length of stay were associated with MRSA acquisition.","container-title":"PLOS ONE","DOI":"10.1371/journal.pone.0254852","ISSN":"1932-6203","issue":"7","journalAbbreviation":"PLoS ONE","language":"en","page":"e0254852","source":"DOI.org (Crossref)","title":"Ward-level factors associated with methicillin-resistant Staphylococcus aureus acquisition–an electronic medical records study in Singapore","volume":"16","author":[{"family":"Tun","given":"Zaw Myo"},{"family":"Fisher","given":"Dale A."},{"family":"Salmon","given":"Sharon"},{"family":"Tam","given":"Clarence C."}],"editor":[{"family":"Leekha","given":"Surbhi"}],"issued":{"date-parts":[["2021",7,22]]}}}],"schema":"https://github.com/citation-style-language/schema/raw/master/csl-citation.json"} </w:instrText>
            </w:r>
            <w:r>
              <w:fldChar w:fldCharType="separate"/>
            </w:r>
            <w:r w:rsidRPr="00735B0C">
              <w:t>(46)</w:t>
            </w:r>
            <w:r>
              <w:fldChar w:fldCharType="end"/>
            </w:r>
          </w:p>
        </w:tc>
      </w:tr>
      <w:tr w:rsidR="00401E72" w14:paraId="25F35682"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FF08275" w14:textId="77777777" w:rsidR="00401E72" w:rsidRDefault="00401E72" w:rsidP="00A21BAE">
            <w:r>
              <w:t>Stockholm</w:t>
            </w:r>
          </w:p>
        </w:tc>
        <w:tc>
          <w:tcPr>
            <w:tcW w:w="2546" w:type="dxa"/>
            <w:tcBorders>
              <w:top w:val="single" w:sz="4" w:space="0" w:color="auto"/>
              <w:left w:val="single" w:sz="4" w:space="0" w:color="auto"/>
              <w:bottom w:val="single" w:sz="4" w:space="0" w:color="auto"/>
              <w:right w:val="single" w:sz="4" w:space="0" w:color="auto"/>
            </w:tcBorders>
            <w:hideMark/>
          </w:tcPr>
          <w:p w14:paraId="38C984AB" w14:textId="77777777" w:rsidR="00401E72" w:rsidRDefault="00401E72" w:rsidP="00A21BAE">
            <w:r>
              <w:fldChar w:fldCharType="begin"/>
            </w:r>
            <w:r>
              <w:instrText xml:space="preserve"> ADDIN ZOTERO_ITEM CSL_CITATION {"citationID":"XBxs8Myb","properties":{"formattedCitation":"(30)","plainCitation":"(30)","noteIndex":0},"citationItems":[{"id":1559,"uris":["http://zotero.org/users/9294180/items/PVPIBEGY"],"itemData":{"id":1559,"type":"article-journal","abstract":"We studied a dataset of care episodes in a regional Swedish hospital system. We followed how 2,314,477 patients moved between 8,507 units (hospital wards and outpatient clinics) over seven years. The data also included information on the date when patients tested positive with methicillin resistant Staphylococcus aureus. To simplify the complex ﬂow of patients, we represented it as a network of units, where two units were connected if a patient moved from one unit to another, without visiting a third unit in between. From this network, we characterized the typical network position of units with a high prevalence of methicillin resistant Staphylococcus aureus, and how the patient’s location in the network changed upon testing positive. On average, units with medium values of the analyzed centrality measures had the highest average prevalence. We saw a weak eﬀect of the hospital system’s response to the patient testing positive - after a positive test, the patient moved to units with a lower centrality measured as degree (i.e. number of links to other units) and in addition, the average duration of the care episodes became longer. The network of units was too random to be a strong predictor of the presence of methicillin resistant Staphylococcus aureus - would it be more regular, one could probably both identify and control outbreaks better. The migration of the positive patients with within the healthcare system, however, helps decreasing the outbreak sizes.","container-title":"EPJ Data Science","DOI":"10.1140/epjds/s13688-014-0029-6","ISSN":"2193-1127","issue":"1","journalAbbreviation":"EPJ Data Sci.","language":"en","page":"29","source":"DOI.org (Crossref)","title":"The network positions of methicillin resistant Staphylococcus aureus affected units in a regional healthcare system","volume":"3","author":[{"family":"Ohst","given":"Jan"},{"family":"Liljeros","given":"Fredrik"},{"family":"Stenhem","given":"Mikael"},{"family":"Holme","given":"Petter"}],"issued":{"date-parts":[["2014",12]]}}}],"schema":"https://github.com/citation-style-language/schema/raw/master/csl-citation.json"} </w:instrText>
            </w:r>
            <w:r>
              <w:fldChar w:fldCharType="separate"/>
            </w:r>
            <w:r w:rsidRPr="00E56AA7">
              <w:t>(30)</w:t>
            </w:r>
            <w:r>
              <w:fldChar w:fldCharType="end"/>
            </w:r>
          </w:p>
        </w:tc>
      </w:tr>
      <w:tr w:rsidR="00401E72" w:rsidRPr="00E473C1" w14:paraId="634A81F0" w14:textId="77777777" w:rsidTr="00A21BAE">
        <w:tc>
          <w:tcPr>
            <w:tcW w:w="6516" w:type="dxa"/>
            <w:tcBorders>
              <w:top w:val="single" w:sz="4" w:space="0" w:color="auto"/>
              <w:left w:val="single" w:sz="4" w:space="0" w:color="auto"/>
              <w:bottom w:val="single" w:sz="4" w:space="0" w:color="auto"/>
              <w:right w:val="single" w:sz="4" w:space="0" w:color="auto"/>
            </w:tcBorders>
          </w:tcPr>
          <w:p w14:paraId="034A9086" w14:textId="77777777" w:rsidR="00401E72" w:rsidRDefault="00401E72" w:rsidP="00A21BAE">
            <w:r>
              <w:t>Tennessee</w:t>
            </w:r>
          </w:p>
        </w:tc>
        <w:tc>
          <w:tcPr>
            <w:tcW w:w="2546" w:type="dxa"/>
            <w:tcBorders>
              <w:top w:val="single" w:sz="4" w:space="0" w:color="auto"/>
              <w:left w:val="single" w:sz="4" w:space="0" w:color="auto"/>
              <w:bottom w:val="single" w:sz="4" w:space="0" w:color="auto"/>
              <w:right w:val="single" w:sz="4" w:space="0" w:color="auto"/>
            </w:tcBorders>
          </w:tcPr>
          <w:p w14:paraId="5E97093E" w14:textId="77777777" w:rsidR="00401E72" w:rsidRPr="00E473C1" w:rsidRDefault="00401E72" w:rsidP="00A21BAE">
            <w:r>
              <w:fldChar w:fldCharType="begin"/>
            </w:r>
            <w:r>
              <w:instrText xml:space="preserve"> ADDIN ZOTERO_ITEM CSL_CITATION {"citationID":"CfD269Fo","properties":{"formattedCitation":"(77,89)","plainCitation":"(77,89)","noteIndex":0},"citationItems":[{"id":2461,"uris":["http://zotero.org/users/9294180/items/DPINVMQC"],"itemData":{"id":2461,"type":"article-journal","abstract":"Carbapenem-resistant Enterobacterales (CRE) are among the most concerning antibiotic resistance threats due to high rates of multidrug resistance, transmissibility in health care settings, and high mortality rates. We evaluated the potential for regional genomic surveillance to track the spread of bla&lt;inf&gt;KPC&lt;/inf&gt;-carrying CRE (KPC-CRE) by using isolate collections from health care facilities in three U.S. states. Clinical isolates were collected from Connecticut (2017 to 2018), Minnesota (2012 to 2018), and Tennessee (2016 to 2017) through the U.S. Centers for Disease Control and Prevention’s Multi-site Gram-negative Surveillance Initiative (MuGSI) and additional surveillance. KPC-CRE isolates were whole-genome sequenced, yielding 255 isolates from 214 patients across 96 facilities. Case report data on patient comorbidities, facility exposures, and interfacility patient transfer were extracted. We observed that in Connecticut, most KPC-CRE isolates showed evidence of importation from outside the state, with limited local transmission. In Minnesota, cases were mainly from sporadic importation and transmission of bla&lt;inf&gt;KPC&lt;/inf&gt;-carrying Klebsiella pneumoniae ST258, and clonal expansion of bla&lt;inf&gt;KPC&lt;/inf&gt;-carrying Enterobacter hormaechei ST171, primarily at a single focal facility and its satellite facilities. In Tennessee, we observed transmission of diverse strains of bla&lt;inf&gt;KPC&lt;/inf&gt;-carrying Enterobacter and Klesbiella, with evidence that most derived from the local acquisition of bla&lt;inf&gt;KPC&lt;/inf&gt; plasmids circulating in an interconnected regional health care network. Thus, the underlying processes driving KPC-CRE burden can differ substantially across regions and can be discerned through regional genomic surveillance. This study provides proof of concept that integrating genomic data with information on interfacility patient transfers can provide insights into locations and drivers of regional KPC-CRE burden that can enable targeted interventions. © 2023 Elsevier B.V., All rights reserved.","archive":"Scopus","container-title":"Journal of Clinical Microbiology","DOI":"10.1128/jcm.00259-23","issue":"8","title":"Distinct Origins and Transmission Pathways of blaKPC Enterobacterales across Three U.S. States","URL":"https://www.scopus.com/inward/record.uri?eid=2-s2.0-85168788323&amp;doi=10.1128%2Fjcm.00259-23&amp;partnerID=40&amp;md5=08926a243e8980555510e5aafa00f032","volume":"61","author":[{"family":"Lapp","given":"Z."},{"family":"Octaria","given":"R."},{"family":"O’Malley","given":"S.M."},{"family":"Nguyen","given":"T.N."},{"family":"Wolford","given":"H."},{"family":"Crawford","given":"R."},{"family":"Moore","given":"C."},{"family":"Vagnone","given":"P.S."},{"family":"Noel","given":"D."},{"family":"Duffy","given":"N."}],"issued":{"date-parts":[["2023"]]}}},{"id":2320,"uris":["http://zotero.org/users/9294180/items/RX3M2EV9"],"itemData":{"id":2320,"type":"article-journal","abstract":"Objectives: Interfacility patient transfers contribute to the regional spread of multidrug-resistant organisms (MDROs). We evaluated whether transfer patterns of inpatients with similar characteristics to carbapenem-resistant Enterobacterales (CRE) case-patients (CRE surrogates) better reflect hospital-level CRE burden than traditionally used populations. Design: We determined the risk factors for subsequent hospital admission using demographic and clinical information from Tennessee Department of Health tracked CRE case-patients from July 2015 to September 2019. Risk factors were used to identify CRE surrogates among inpatients in the 2018 Tennessee Hospital Discharge Data System (HDDS). Transfer networks of CRE surrogates, Medicare/TennCare beneficiaries, and all-inpatients with ≤365 days of intervening community stays were compared with the transfer networks of CRE case-patients in 2019. The associations between hospital-level CRE prevalence and hospitals' incoming transfer volumes from each network were assessed using negative binomial regression models. Results: Eight risk factors for subsequent hospital admission were identified from 2,518 CRE case-patients, which were used to match CRE case-patients with HDDS inpatients, resulting in 10,069 surrogate patients. CRE surrogate network showed more structural similarities with the CRE case-patient network than with the all-inpatient and Medicare/TennCare networks. A 33% increase in hospitals' CRE prevalence in 2019 was associated with each doubling of incoming transfer of CRE surrogates in 2018 (adjusted Risk Ratio [aRR] 1.33, 95%CI: 1.1, 1.59), higher than all-inpatient (aRR 1.27, 95% CI: 1.08, 1.51) and Medicare/TennCare networks (aRR 1.21, 95% CI: 1.02, 1.44). Conclusions: Surrogate transfer patterns were associated with hospital-level CRE prevalence, highlighting their value in MDRO containment and prevention. © 2025 Elsevier B.V., All rights reserved.","archive":"Scopus","container-title":"Infection Control and Hospital Epidemiology","DOI":"10.1017/ice.2025.86","title":"Improving containment and prevention strategies using a patient transfer network representative of patients with multidrug-resistant organisms","URL":"https://www.scopus.com/inward/record.uri?eid=2-s2.0-105009137060&amp;doi=10.1017%2Fice.2025.86&amp;partnerID=40&amp;md5=4d0ac3b6e98c827c97af19d046101fac","author":[{"family":"Octaria","given":"R."},{"family":"Deppen","given":"S."},{"family":"Chan","given":"A."},{"family":"Slaughter","given":"J.C."},{"family":"Talley","given":"P."},{"family":"Slayton","given":"R.B."},{"family":"Rebeiro","given":"P.F."},{"family":"Kainer","given":"M.A."}],"issued":{"date-parts":[["2025"]]}}}],"schema":"https://github.com/citation-style-language/schema/raw/master/csl-citation.json"} </w:instrText>
            </w:r>
            <w:r>
              <w:fldChar w:fldCharType="separate"/>
            </w:r>
            <w:r w:rsidRPr="00EF2F5A">
              <w:rPr>
                <w:rFonts w:cs="Calibri"/>
              </w:rPr>
              <w:t>(77,89)</w:t>
            </w:r>
            <w:r>
              <w:fldChar w:fldCharType="end"/>
            </w:r>
          </w:p>
        </w:tc>
      </w:tr>
      <w:tr w:rsidR="00401E72" w14:paraId="14D0B15C"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3C67D30B" w14:textId="77777777" w:rsidR="00401E72" w:rsidRDefault="00401E72" w:rsidP="00A21BAE">
            <w:r>
              <w:t>Utrecht</w:t>
            </w:r>
          </w:p>
        </w:tc>
        <w:tc>
          <w:tcPr>
            <w:tcW w:w="2546" w:type="dxa"/>
            <w:tcBorders>
              <w:top w:val="single" w:sz="4" w:space="0" w:color="auto"/>
              <w:left w:val="single" w:sz="4" w:space="0" w:color="auto"/>
              <w:bottom w:val="single" w:sz="4" w:space="0" w:color="auto"/>
              <w:right w:val="single" w:sz="4" w:space="0" w:color="auto"/>
            </w:tcBorders>
            <w:hideMark/>
          </w:tcPr>
          <w:p w14:paraId="76181453" w14:textId="77777777" w:rsidR="00401E72" w:rsidRDefault="00401E72" w:rsidP="00A21BAE">
            <w:r>
              <w:fldChar w:fldCharType="begin"/>
            </w:r>
            <w:r>
              <w:instrText xml:space="preserve"> ADDIN ZOTERO_ITEM CSL_CITATION {"citationID":"2ZHRDL38","properties":{"formattedCitation":"(26)","plainCitation":"(26)","noteIndex":0},"citationItems":[{"id":1617,"uris":["http://zotero.org/users/9294180/items/7BP7YMFD"],"itemData":{"id":1617,"type":"article-journal","abstract":"The aim of this study is to analyze patient movement patterns between hospital departments to derive the underlying intra-hospital movement network, and to assess if movement patterns differ between patients at high or low risk of colonization. For that purpose, we analyzed patient electronic medical record data from five hospitals to extract information on risk stratification and patient intra-hospital movements. Movement patterns were visualized as networks, and network centrality measures were calculated. Next, using an agent-based model where agents represent patients and intra-hospital patient movements were explicitly modeled, we simulated the spread of multidrug resistant enterobacteriacae (MDR-E) inside a hospital. Risk stratification of patients according to certain ICD-10 codes revealed that length of stay, patient age, and mean number of movements per admission were higher in the high-risk groups. Movement networks in all hospitals displayed a high variability among departments concerning their network centrality and connectedness with a few highly connected departments and many weakly connected peripheral departments. Simulating the spread of a pathogen in one hospital network showed positive correlation between department prevalence and network centrality measures. This study highlights the importance of intra-hospital patient movements and their possible impact on pathogen spread. Targeting interventions to departments of higher (weighted) degree may help to control the spread of MDR-E. Moreover, when the colonization status of patients coming from different departments is unknown, a ranking system based on department centralities may be used to design more effective interventions that mitigate pathogen spread.","container-title":"PLOS Computational Biology","DOI":"10.1371/journal.pcbi.1008600","ISSN":"1553-7358","issue":"2","journalAbbreviation":"PLoS Comput Biol","language":"en","page":"e1008600","source":"DOI.org (Crossref)","title":"Relevance of intra-hospital patient movements for the spread of healthcare-associated infections within hospitals - a mathematical modeling study","volume":"17","author":[{"family":"Tahir","given":"Hannan"},{"family":"López-Cortés","given":"Luis Eduardo"},{"family":"Kola","given":"Axel"},{"family":"Yahav","given":"Dafna"},{"family":"Karch","given":"André"},{"family":"Xia","given":"Hanjue"},{"family":"Horn","given":"Johannes"},{"family":"Sakowski","given":"Konrad"},{"family":"Piotrowska","given":"Monika J."},{"family":"Leibovici","given":"Leonard"},{"family":"Mikolajczyk","given":"Rafael T."},{"family":"Kretzschmar","given":"Mirjam E."}],"editor":[{"family":"Kouyos","given":"Roger Dimitri"}],"issued":{"date-parts":[["2021",2,3]]}}}],"schema":"https://github.com/citation-style-language/schema/raw/master/csl-citation.json"} </w:instrText>
            </w:r>
            <w:r>
              <w:fldChar w:fldCharType="separate"/>
            </w:r>
            <w:r w:rsidRPr="00374BD7">
              <w:rPr>
                <w:rFonts w:cs="Calibri"/>
              </w:rPr>
              <w:t>(26)</w:t>
            </w:r>
            <w:r>
              <w:fldChar w:fldCharType="end"/>
            </w:r>
          </w:p>
        </w:tc>
      </w:tr>
      <w:tr w:rsidR="00401E72" w14:paraId="2082BB29"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530DDFB" w14:textId="77777777" w:rsidR="00401E72" w:rsidRDefault="00401E72" w:rsidP="00A21BAE">
            <w:r>
              <w:t>United Kingdom</w:t>
            </w:r>
          </w:p>
        </w:tc>
        <w:tc>
          <w:tcPr>
            <w:tcW w:w="2546" w:type="dxa"/>
            <w:tcBorders>
              <w:top w:val="single" w:sz="4" w:space="0" w:color="auto"/>
              <w:left w:val="single" w:sz="4" w:space="0" w:color="auto"/>
              <w:bottom w:val="single" w:sz="4" w:space="0" w:color="auto"/>
              <w:right w:val="single" w:sz="4" w:space="0" w:color="auto"/>
            </w:tcBorders>
            <w:hideMark/>
          </w:tcPr>
          <w:p w14:paraId="5EC0AB91" w14:textId="77777777" w:rsidR="00401E72" w:rsidRDefault="00401E72" w:rsidP="00A21BAE">
            <w:r>
              <w:fldChar w:fldCharType="begin"/>
            </w:r>
            <w:r>
              <w:instrText xml:space="preserve"> ADDIN ZOTERO_ITEM CSL_CITATION {"citationID":"oIPbSEyg","properties":{"formattedCitation":"(90)","plainCitation":"(90)","noteIndex":0},"citationItems":[{"id":1585,"uris":["http://zotero.org/users/9294180/items/LEV7KAXE"],"itemData":{"id":1585,"type":"article-journal","abstract":"Antibiotic resistance forms a serious threat to the health of hospitalised patients, rendering otherwise treatable bacterial infections potentially life-threatening. A thorough understanding of the mechanisms by which resistance spreads between patients in different hospitals is required in order to design effective control strategies. We measured the differences between bacterial populations of 52 hospitals in the United Kingdom and Ireland, using whole-genome sequences from 1085 MRSA clonal complex 22 isolates collected between 1998 and 2012. The genetic differences between bacterial populations were compared with the number of patients transferred between hospitals and their regional structure. The MRSA populations within single hospitals, regions and countries were genetically distinct from the rest of the bacterial population at each of these levels. Hospitals from the same patient referral regions showed more similar MRSA populations, as did hospitals sharing many patients. Furthermore, the bacterial populations from different time-periods within the same hospital were generally more similar to each other than contemporaneous bacterial populations from different hospitals. We conclude that, while a large part of the dispersal and expansion of MRSA takes place among patients seeking care in single hospitals, inter-hospital spread of resistant bacteria is by no means a rare occurrence. Hospitals are exposed to constant introductions of MRSA on a number of levels: (1) most MRSA is received from hospitals that directly transfer large numbers of patients, while (2) fewer introductions happen between regions or (3) across national borders, reflecting lower numbers of transferred patients. A joint coordinated control effort between hospitals, is therefore paramount for the national control of MRSA, antibiotic-resistant bacteria and other hospitalassociated pathogens.","container-title":"Microbial Genomics","DOI":"10.1099/mgen.0.000113","ISSN":"2057-5858","issue":"7","language":"en","license":"http://creativecommons.org/licenses/by/4.0/","source":"DOI.org (Crossref)","title":"Population genetic structuring of methicillin-resistant Staphylococcus aureus clone EMRSA-15 within UK reflects patient referral patterns","URL":"https://www.microbiologyresearch.org/content/journal/mgen/10.1099/mgen.0.000113","volume":"3","author":[{"family":"Donker","given":"Tjibbe"},{"family":"Reuter","given":"Sandra"},{"family":"Scriberras","given":"James"},{"family":"Reynolds","given":"Rosy"},{"family":"Brown","given":"Nicholas M."},{"family":"Török","given":"M. Estée"},{"family":"James","given":"Richard"},{"family":"Network","given":"East Of England Microbiology Research"},{"family":"Aanensen","given":"David M."},{"family":"Bentley","given":"Stephen D."},{"family":"Holden","given":"Matthew T. G."},{"family":"Parkhill","given":"Julian"},{"family":"Spratt","given":"Brian G."},{"family":"Peacock","given":"Sharon J."},{"family":"Feil","given":"Edward J."},{"family":"Grundmann","given":"Hajo"}],"accessed":{"date-parts":[["2025",4,10]]},"issued":{"date-parts":[["2017",8,1]]}}}],"schema":"https://github.com/citation-style-language/schema/raw/master/csl-citation.json"} </w:instrText>
            </w:r>
            <w:r>
              <w:fldChar w:fldCharType="separate"/>
            </w:r>
            <w:r w:rsidRPr="00B423CC">
              <w:rPr>
                <w:rFonts w:cs="Calibri"/>
              </w:rPr>
              <w:t>(90)</w:t>
            </w:r>
            <w:r>
              <w:fldChar w:fldCharType="end"/>
            </w:r>
          </w:p>
        </w:tc>
      </w:tr>
      <w:tr w:rsidR="00401E72" w14:paraId="0B2DD1DD" w14:textId="77777777" w:rsidTr="00A21BAE">
        <w:tc>
          <w:tcPr>
            <w:tcW w:w="6516" w:type="dxa"/>
            <w:tcBorders>
              <w:top w:val="single" w:sz="4" w:space="0" w:color="auto"/>
              <w:left w:val="single" w:sz="4" w:space="0" w:color="auto"/>
              <w:bottom w:val="single" w:sz="4" w:space="0" w:color="auto"/>
              <w:right w:val="single" w:sz="4" w:space="0" w:color="auto"/>
            </w:tcBorders>
          </w:tcPr>
          <w:p w14:paraId="5252D36F" w14:textId="77777777" w:rsidR="00401E72" w:rsidRDefault="00401E72" w:rsidP="00A21BAE">
            <w:r>
              <w:t>Uppsala</w:t>
            </w:r>
          </w:p>
        </w:tc>
        <w:tc>
          <w:tcPr>
            <w:tcW w:w="2546" w:type="dxa"/>
            <w:tcBorders>
              <w:top w:val="single" w:sz="4" w:space="0" w:color="auto"/>
              <w:left w:val="single" w:sz="4" w:space="0" w:color="auto"/>
              <w:bottom w:val="single" w:sz="4" w:space="0" w:color="auto"/>
              <w:right w:val="single" w:sz="4" w:space="0" w:color="auto"/>
            </w:tcBorders>
          </w:tcPr>
          <w:p w14:paraId="4E86245D" w14:textId="77777777" w:rsidR="00401E72" w:rsidRDefault="00401E72" w:rsidP="00A21BAE">
            <w:r>
              <w:fldChar w:fldCharType="begin"/>
            </w:r>
            <w:r>
              <w:instrText xml:space="preserve"> ADDIN ZOTERO_ITEM CSL_CITATION {"citationID":"NcvvROMH","properties":{"formattedCitation":"(91,92)","plainCitation":"(91,92)","noteIndex":0},"citationItems":[{"id":2405,"uris":["http://zotero.org/users/9294180/items/EDU86Y79"],"itemData":{"id":2405,"type":"article-journal","abstract":"The degree of connectivity among hospital wards and the dynamic nonlinear flow of patients cause bottlenecks to begin in non-priority wards, accumulate within the paths, distribute throughout the hospital, and emerge as overflow in crucial wards. This requires a network-based modeling approach to address the bottlenecks caused by second- and third-order wards and to significantly influence the overall and emergent performance of multiple wards. Understanding the relative merits of different network modeling and analysis approaches in this complex environment is often challenging and requires a holistic strategy to identify persistent bottlenecks and provide evidence-based scenarios. This article introduces a novel hybrid modeling approach that integrates network analysis algorithms and agent-based network simulation of patient flow over a complete hospital network. Through network analysis, such as structural hole and flow algorithms, the approach identifies common persistent bottlenecks from the flow and structural perspectives, while percolation and perturbation analyses measure the performance improvement of wards based on variations in patient flow, and the simulations enable the investigation of scenarios. The results indicate the wards and patient types that can contribute to improving the hospital’s performance. The proposed approach facilitates holistic, dynamic modeling of hospitals, irrespective of their network scale, and enables the identification of bottleneck sources and their associated paths, contributing to a comprehensive assessment of the system’s performance.","container-title":"IEEE Access","DOI":"10.1109/ACCESS.2025.3580174","ISSN":"2169-3536","journalAbbreviation":"IEEE Access","page":"104538-104554","title":"A Hybrid Approach to Model Hospitals and Evaluate Wards’ Performances","volume":"13","author":[{"literal":"A. Boodaghian Asl"},{"literal":"L. Marzano"},{"literal":"J. Raghothama"},{"literal":"A. S. Darwich"},{"literal":"N. Falk"},{"literal":"P. Bodeby"},{"literal":"S. Meijer"}],"issued":{"date-parts":[["2025"]]}}},{"id":2393,"uris":["http://zotero.org/users/9294180/items/7Y9DAUJC"],"itemData":{"id":2393,"type":"article-journal","abstract":"Hospitals are complex systems, and the flow of patients is dynamic and nonlinear in such systems. Network representation allows flow algorithms to observe bottlenecks as candidates for optimisation. To model the dynamic behaviour of the patient flow, we need to consider the variability in arrival rates and service times (length of stay). Previously proposed dynamic flow algorithms mainly focused on arrival and departure rates, inflow and outflow, edges’ and vertices’ capacity, and routing, with applications mainly in transportation and telecommunication. In hospitals, bottlenecks that emerge from the patients’ flow are a result of the vertices (wards) behaviour defined by capacity (beds), number of servers (staff), service time variability, and edges (care pathways) distribution probability. We offer a modified flow algorithm that takes a hospital network, iterates over the patients’ arrival rates, and measures the flow with respect to vertices’ capacities, servers, service time variability, edge capacity, and distribution probability. The result is a dynamic residual graph to measure the bottlenecks’ persistency and severity, identify the root causes of bottlenecks, and wards’ dynamic nonlinear behaviour. The algorithm provides a quick holistic view of hospital performance and the analysis of the edges and vertices’ behaviour over time. © 2025 Elsevier B.V., All rights reserved.","archive":"Scopus","container-title":"Scientific Reports","DOI":"10.1038/s41598-025-96536-z","issue":"1","title":"A dynamic nonlinear flow algorithm to model patient flow","URL":"https://www.scopus.com/inward/record.uri?eid=2-s2.0-105003208282&amp;doi=10.1038%2Fs41598-025-96536-z&amp;partnerID=40&amp;md5=42f3d417a63530aef1cbeae8a2ba6aea","volume":"15","author":[{"family":"Boodaghian Asl","given":"A."},{"family":"Raghothama","given":"J."},{"family":"Darwich","given":"A.S."},{"family":"Meijer","given":"S."}],"issued":{"date-parts":[["2025"]]}}}],"schema":"https://github.com/citation-style-language/schema/raw/master/csl-citation.json"} </w:instrText>
            </w:r>
            <w:r>
              <w:fldChar w:fldCharType="separate"/>
            </w:r>
            <w:r w:rsidRPr="00B423CC">
              <w:rPr>
                <w:rFonts w:cs="Calibri"/>
              </w:rPr>
              <w:t>(91,92)</w:t>
            </w:r>
            <w:r>
              <w:fldChar w:fldCharType="end"/>
            </w:r>
          </w:p>
        </w:tc>
      </w:tr>
      <w:tr w:rsidR="00401E72" w14:paraId="084A5FE5"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77D8C919" w14:textId="77777777" w:rsidR="00401E72" w:rsidRDefault="00401E72" w:rsidP="00A21BAE">
            <w:r>
              <w:t>USA</w:t>
            </w:r>
          </w:p>
        </w:tc>
        <w:tc>
          <w:tcPr>
            <w:tcW w:w="2546" w:type="dxa"/>
            <w:tcBorders>
              <w:top w:val="single" w:sz="4" w:space="0" w:color="auto"/>
              <w:left w:val="single" w:sz="4" w:space="0" w:color="auto"/>
              <w:bottom w:val="single" w:sz="4" w:space="0" w:color="auto"/>
              <w:right w:val="single" w:sz="4" w:space="0" w:color="auto"/>
            </w:tcBorders>
            <w:hideMark/>
          </w:tcPr>
          <w:p w14:paraId="52A7BEAA" w14:textId="77777777" w:rsidR="00401E72" w:rsidRDefault="00401E72" w:rsidP="00A21BAE">
            <w:r>
              <w:fldChar w:fldCharType="begin"/>
            </w:r>
            <w:r>
              <w:instrText xml:space="preserve"> ADDIN ZOTERO_ITEM CSL_CITATION {"citationID":"ZyP5QefO","properties":{"formattedCitation":"(93)","plainCitation":"(93)","noteIndex":0},"citationItems":[{"id":1582,"uris":["http://zotero.org/users/9294180/items/X72HJE9V"],"itemData":{"id":1582,"type":"article-journal","abstract":"Abstract\n            \n              Antibiotic-resistant bacterial infections are a substantial source of morbidity and mortality and have a common reservoir in inpatient settings. Transferring patients between facilities could be a mechanism for the spread of these infections. We wanted to assess whether a network of hospitals, linked by inpatient transfers, contributes to the spread of nosocomial infections and investigate how network structure may be leveraged to design efficient surveillance systems. We construct a network defined by the transfer of Medicare patients across US inpatient facilities using a 100% sample of inpatient discharge claims from 2006–2007. We show the association between network structure and\n              C. difficile\n              incidence, with a 1% increase in a facility’s\n              C. difficile\n              incidence being associated with a 0.53% increase in\n              C. difficile\n              incidence of neighboring facilities. Finally, we used network science methods to determine the facilities to monitor to maximize surveillance efficiency. An optimal surveillance strategy for selecting “sensor” hospitals, based on their network position, detects 80% of the\n              C. difficile\n              infections using only 2% of hospitals as sensors. Selecting a small fraction of facilities as “sensors” could be a cost-effective mechanism to monitor emerging nosocomial infections.","container-title":"Scientific Reports","DOI":"10.1038/s41598-017-02245-7","ISSN":"2045-2322","issue":"1","journalAbbreviation":"Sci Rep","language":"en","page":"2930","source":"DOI.org (Crossref)","title":"Influence of a patient transfer network of US inpatient facilities on the incidence of nosocomial infections","volume":"7","author":[{"family":"Fernández-Gracia","given":"Juan"},{"family":"Onnela","given":"Jukka-Pekka"},{"family":"Barnett","given":"Michael L."},{"family":"Eguíluz","given":"Víctor M."},{"family":"Christakis","given":"Nicholas A."}],"issued":{"date-parts":[["2017",6,7]]}}}],"schema":"https://github.com/citation-style-language/schema/raw/master/csl-citation.json"} </w:instrText>
            </w:r>
            <w:r>
              <w:fldChar w:fldCharType="separate"/>
            </w:r>
            <w:r w:rsidRPr="00B423CC">
              <w:rPr>
                <w:rFonts w:cs="Calibri"/>
              </w:rPr>
              <w:t>(93)</w:t>
            </w:r>
            <w:r>
              <w:fldChar w:fldCharType="end"/>
            </w:r>
          </w:p>
        </w:tc>
      </w:tr>
      <w:tr w:rsidR="00401E72" w:rsidRPr="00BF7426" w14:paraId="2FC5D49F" w14:textId="77777777" w:rsidTr="00A21BAE">
        <w:tc>
          <w:tcPr>
            <w:tcW w:w="6516" w:type="dxa"/>
            <w:tcBorders>
              <w:top w:val="single" w:sz="4" w:space="0" w:color="auto"/>
              <w:left w:val="single" w:sz="4" w:space="0" w:color="auto"/>
              <w:bottom w:val="single" w:sz="4" w:space="0" w:color="auto"/>
              <w:right w:val="single" w:sz="4" w:space="0" w:color="auto"/>
            </w:tcBorders>
            <w:hideMark/>
          </w:tcPr>
          <w:p w14:paraId="284D8964" w14:textId="77777777" w:rsidR="00401E72" w:rsidRDefault="00401E72" w:rsidP="00A21BAE">
            <w:r>
              <w:t>Western Greece</w:t>
            </w:r>
          </w:p>
        </w:tc>
        <w:tc>
          <w:tcPr>
            <w:tcW w:w="2546" w:type="dxa"/>
            <w:tcBorders>
              <w:top w:val="single" w:sz="4" w:space="0" w:color="auto"/>
              <w:left w:val="single" w:sz="4" w:space="0" w:color="auto"/>
              <w:bottom w:val="single" w:sz="4" w:space="0" w:color="auto"/>
              <w:right w:val="single" w:sz="4" w:space="0" w:color="auto"/>
            </w:tcBorders>
            <w:hideMark/>
          </w:tcPr>
          <w:p w14:paraId="419C99D2" w14:textId="77777777" w:rsidR="00401E72" w:rsidRPr="00BF7426" w:rsidRDefault="00401E72" w:rsidP="00A21BAE">
            <w:r>
              <w:fldChar w:fldCharType="begin"/>
            </w:r>
            <w:r>
              <w:instrText xml:space="preserve"> ADDIN ZOTERO_ITEM CSL_CITATION {"citationID":"iQIyDxuA","properties":{"formattedCitation":"(94)","plainCitation":"(94)","noteIndex":0},"citationItems":[{"id":71,"uris":["http://zotero.org/users/9294180/items/LBBFCP53"],"itemData":{"id":71,"type":"article-journal","abstract":"Introduction: Interhospital transfers (ITs) could provide insight into regional healthcare efficiency and evidence for policymaking. The aim of this study was to analyse ITs carried out in the Western Greece region over a nine-year period. &lt;br /&gt;&lt;br /&gt; Methods: Archives of the National Center of Emergency Medical Services of Patras and official healthcare resources were used to analyze patient transfers from rural to 'reception' hospitals in the area, during the period 2003-2011, by hospital, medical, seasonal and population variations. &lt;br /&gt;&lt;br /&gt; Results: A total of 2500 ITs from the eight rural hospitals to the central ones in the metropolitan area of Patras were monitored yearly. Transfer rates per population ranged between less than 0.3% and more than 1.0%. Only a few patients transferred outside the area (0.9%). Almost 10% of total transfers regarded diagnostic evaluation (mostly CT scan). Transfer rates were inversely related to hospital admission rates (Pearson -0.973, 'p'=0.027), while time (in minutes) (Pearson -0.903, 'p'=0.036) and distance (in kilometers) between the rural and central hospitals (Pearson -0.907, 'p'=0.034) also exhibited significant relationships. The level of understaffing does not have a clear effect on ITs. &lt;br /&gt;&lt;br /&gt; Conclusions: By monitoring ITs, it becomes evident where efforts should be prioritized and which of the interconnections should be optimized in a specific network of health care. In this case, interventions should be focused towards the (a) very high transfer rates from the general hospital (GH) of Aigio, (b) lack of orthopedists at GH Kalavryta, which could provide a 24 hour emergency service in a tourist ski area, (c) understaffing in the microbiological laboratory and lack of a CT scanner at GH Mesologi, and (d) lack of radiologists in several hospitals, rendering the installed equipment worthless. By monitoring the ITs, real needs and win-win actions may emerge in the complex interplay of infrastructural factors.","container-title":"Rural and Remote Health","DOI":"10.3316/informit.224527322287762","issue":"4","note":"publisher: James Cook University","page":"205-216","source":"search.informit.org (Atypon)","title":"Monitoring interhospital transfers in western Greece during 2003-2011: Its role in health policy","title-short":"Monitoring interhospital transfers in western Greece during 2003-2011","volume":"15","author":[{"family":"Alexopoulos","given":"E. C."},{"family":"Kalyva","given":"A."},{"family":"Merekoulias","given":"G."},{"family":"Niakas","given":"D."}],"issued":{"date-parts":[["2015",12]]}}}],"schema":"https://github.com/citation-style-language/schema/raw/master/csl-citation.json"} </w:instrText>
            </w:r>
            <w:r>
              <w:fldChar w:fldCharType="separate"/>
            </w:r>
            <w:r w:rsidRPr="00B423CC">
              <w:rPr>
                <w:rFonts w:cs="Calibri"/>
              </w:rPr>
              <w:t>(94)</w:t>
            </w:r>
            <w:r>
              <w:fldChar w:fldCharType="end"/>
            </w:r>
          </w:p>
        </w:tc>
      </w:tr>
      <w:tr w:rsidR="00401E72" w:rsidRPr="00D44092" w14:paraId="3F2E2529" w14:textId="77777777" w:rsidTr="00A21BAE">
        <w:tc>
          <w:tcPr>
            <w:tcW w:w="6516" w:type="dxa"/>
            <w:tcBorders>
              <w:top w:val="single" w:sz="4" w:space="0" w:color="auto"/>
              <w:left w:val="single" w:sz="4" w:space="0" w:color="auto"/>
              <w:bottom w:val="single" w:sz="4" w:space="0" w:color="auto"/>
              <w:right w:val="single" w:sz="4" w:space="0" w:color="auto"/>
            </w:tcBorders>
          </w:tcPr>
          <w:p w14:paraId="537AAE9A" w14:textId="77777777" w:rsidR="00401E72" w:rsidRPr="00E473C1" w:rsidRDefault="00401E72" w:rsidP="00A21BAE">
            <w:r>
              <w:t>Wisconsin</w:t>
            </w:r>
          </w:p>
        </w:tc>
        <w:tc>
          <w:tcPr>
            <w:tcW w:w="2546" w:type="dxa"/>
            <w:tcBorders>
              <w:top w:val="single" w:sz="4" w:space="0" w:color="auto"/>
              <w:left w:val="single" w:sz="4" w:space="0" w:color="auto"/>
              <w:bottom w:val="single" w:sz="4" w:space="0" w:color="auto"/>
              <w:right w:val="single" w:sz="4" w:space="0" w:color="auto"/>
            </w:tcBorders>
          </w:tcPr>
          <w:p w14:paraId="248937CB" w14:textId="77777777" w:rsidR="00401E72" w:rsidRPr="00D44092" w:rsidRDefault="00401E72" w:rsidP="00A21BAE">
            <w:pPr>
              <w:rPr>
                <w:lang w:val="en-GB"/>
              </w:rPr>
            </w:pPr>
            <w:r>
              <w:fldChar w:fldCharType="begin"/>
            </w:r>
            <w:r>
              <w:instrText xml:space="preserve"> ADDIN ZOTERO_ITEM CSL_CITATION {"citationID":"4nxMG7UD","properties":{"formattedCitation":"(95)","plainCitation":"(95)","noteIndex":0},"citationItems":[{"id":5626,"uris":["http://zotero.org/users/9294180/items/S7D9M9ZC"],"itemData":{"id":5626,"type":"article-journal","abstract":"OBJECTIVE: To pilot a system for deriving borders of pediatric regions, and to compare these to adult markets based on fit with pediatric utilization data.\nSTUDY SETTING AND DESIGN: In this cross-sectional study, we studied all acute care encounters (emergency department visits and hospitalizations) for children less than 16 years old in Wisconsin 2021-2022.\nDATA SOURCES AND ANALYTIC SAMPLE: We used the Healthcare Cost and Utilization Project State Emergency Department and Inpatient Databases. We first counted how many patients from each ZIP code visited each hospital and mapped ZIP-hospital connections. Using a network analysis technique called community detection that clustered hospitals by their common connections, we grouped ZIP codes to form pediatric emergency service areas (PESAs). We counted patient referrals within and between PESAs and repeated the community detection procedure, resulting in pediatric emergency referral regions (PERRs). The primary outcome was modularity, a common network fit measure ranging from -1 to 1 (1 represents perfect clustering). We also compared demographics and network quality measures between PERRs, hospital referral regions (HRRs), core-based statistical areas, and Pittsburgh Trauma Atlas regions.\nPRINCIPAL FINDINGS: We analyzed 587,886 encounters, </w:instrText>
            </w:r>
            <w:r w:rsidRPr="00D44092">
              <w:rPr>
                <w:lang w:val="en-GB"/>
              </w:rPr>
              <w:instrText xml:space="preserve">from which ZIP codes grouped into 24 PESAs. Based on referral patterns, there were 4 PERRs. PERRs had modestly higher modularity for interhospital referral patterns than all other systems (0.53, 95% confidence interval [CI] 0.52, 0.54 compared to 0.46, 95% CI 0.46, 0.47 for HRRs). PERRs were larger (median 11,361 mile2 vs. 3957 for HRRs), contained more children (median 265,222 vs. 49,667 for HRRs), and contained more hospitals (median 35 vs. 7 for HRRs) than all other systems.\nCONCLUSIONS: Using Wisconsin HCUP data, we derived pediatric acute care regions with a strong fit for pediatric utilization data. Future work should test this approach across the whole US, which would allow between-region cost and outcomes comparison.","container-title":"Health Services Research","DOI":"10.1111/1475-6773.70000","ISSN":"1475-6773","journalAbbreviation":"Health Serv Res","language":"eng","note":"PMID: 40600460","page":"e70000","source":"PubMed","title":"Network Analysis to Define Pediatric Acute Care Regions in Wisconsin","author":[{"family":"Michelson","given":"Kenneth A."},{"family":"Remick","given":"Katherine E."},{"family":"Bucholz","given":"Emily M."},{"family":"McMullen","given":"Patrick D."},{"family":"Singamsetty","given":"Naveen"},{"family":"Skol","given":"Andrew D."},{"family":"Cory","given":"Danielle K."},{"family":"Graves","given":"John A."}],"issued":{"date-parts":[["2025",7,2]]}}}],"schema":"https://github.com/citation-style-language/schema/raw/master/csl-citation.json"} </w:instrText>
            </w:r>
            <w:r>
              <w:fldChar w:fldCharType="separate"/>
            </w:r>
            <w:r w:rsidRPr="00D44092">
              <w:rPr>
                <w:rFonts w:cs="Calibri"/>
                <w:lang w:val="en-GB"/>
              </w:rPr>
              <w:t>(95)</w:t>
            </w:r>
            <w:r>
              <w:fldChar w:fldCharType="end"/>
            </w:r>
          </w:p>
        </w:tc>
      </w:tr>
    </w:tbl>
    <w:p w14:paraId="68547B7F" w14:textId="77777777" w:rsidR="00401E72" w:rsidRPr="00D44092" w:rsidRDefault="00401E72" w:rsidP="00401E72">
      <w:pPr>
        <w:jc w:val="left"/>
        <w:rPr>
          <w:rFonts w:eastAsiaTheme="majorEastAsia" w:cstheme="minorHAnsi"/>
          <w:b/>
          <w:bCs/>
          <w:sz w:val="26"/>
          <w:szCs w:val="26"/>
          <w:lang w:val="en-GB"/>
        </w:rPr>
      </w:pPr>
    </w:p>
    <w:p w14:paraId="0C129CAB" w14:textId="77777777" w:rsidR="00401E72" w:rsidRPr="00D44092" w:rsidRDefault="00401E72" w:rsidP="00401E72">
      <w:pPr>
        <w:pStyle w:val="Titre2"/>
        <w:rPr>
          <w:lang w:val="en-GB"/>
        </w:rPr>
      </w:pPr>
      <w:r w:rsidRPr="00D44092">
        <w:rPr>
          <w:lang w:val="en-GB"/>
        </w:rPr>
        <w:lastRenderedPageBreak/>
        <w:t xml:space="preserve">Table S5: Maximum delay between two consecutive hospital stays to be considered a patient transfer. </w:t>
      </w:r>
      <w:r w:rsidRPr="00D44092">
        <w:rPr>
          <w:b w:val="0"/>
          <w:sz w:val="22"/>
          <w:szCs w:val="22"/>
          <w:lang w:val="en-GB"/>
        </w:rPr>
        <w:t>In studies where any interval between two stays was accepted, the maximum delay was set to the entire database duration.</w:t>
      </w:r>
    </w:p>
    <w:tbl>
      <w:tblPr>
        <w:tblW w:w="8685" w:type="dxa"/>
        <w:tblInd w:w="3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70"/>
        <w:gridCol w:w="3045"/>
        <w:gridCol w:w="2970"/>
      </w:tblGrid>
      <w:tr w:rsidR="00401E72" w:rsidRPr="00D44092" w14:paraId="0A147E5E" w14:textId="77777777" w:rsidTr="00A21BAE">
        <w:trPr>
          <w:trHeight w:val="300"/>
        </w:trPr>
        <w:tc>
          <w:tcPr>
            <w:tcW w:w="2670" w:type="dxa"/>
            <w:tcBorders>
              <w:top w:val="single" w:sz="6" w:space="0" w:color="auto"/>
              <w:left w:val="single" w:sz="6" w:space="0" w:color="auto"/>
              <w:bottom w:val="single" w:sz="6" w:space="0" w:color="auto"/>
              <w:right w:val="single" w:sz="6" w:space="0" w:color="auto"/>
            </w:tcBorders>
            <w:hideMark/>
          </w:tcPr>
          <w:p w14:paraId="41110451"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b/>
                <w:bCs/>
                <w:szCs w:val="22"/>
                <w:lang w:val="en-GB" w:eastAsia="fr-FR"/>
              </w:rPr>
              <w:t>Type of transfers</w:t>
            </w:r>
            <w:r w:rsidRPr="00D44092">
              <w:rPr>
                <w:rFonts w:eastAsia="Times New Roman" w:cs="Calibri"/>
                <w:szCs w:val="22"/>
                <w:lang w:val="en-GB" w:eastAsia="fr-FR"/>
              </w:rPr>
              <w:t> </w:t>
            </w:r>
          </w:p>
        </w:tc>
        <w:tc>
          <w:tcPr>
            <w:tcW w:w="3045" w:type="dxa"/>
            <w:tcBorders>
              <w:top w:val="single" w:sz="6" w:space="0" w:color="auto"/>
              <w:left w:val="single" w:sz="6" w:space="0" w:color="auto"/>
              <w:bottom w:val="single" w:sz="6" w:space="0" w:color="auto"/>
              <w:right w:val="single" w:sz="6" w:space="0" w:color="auto"/>
            </w:tcBorders>
            <w:hideMark/>
          </w:tcPr>
          <w:p w14:paraId="44DF7A1B"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b/>
                <w:bCs/>
                <w:szCs w:val="22"/>
                <w:lang w:val="en-GB" w:eastAsia="fr-FR"/>
              </w:rPr>
              <w:t>Maximum delay between 2 stays</w:t>
            </w:r>
            <w:r w:rsidRPr="00D44092">
              <w:rPr>
                <w:rFonts w:eastAsia="Times New Roman" w:cs="Calibri"/>
                <w:szCs w:val="22"/>
                <w:lang w:val="en-GB" w:eastAsia="fr-FR"/>
              </w:rPr>
              <w:t> </w:t>
            </w:r>
          </w:p>
        </w:tc>
        <w:tc>
          <w:tcPr>
            <w:tcW w:w="2970" w:type="dxa"/>
            <w:tcBorders>
              <w:top w:val="single" w:sz="6" w:space="0" w:color="auto"/>
              <w:left w:val="single" w:sz="6" w:space="0" w:color="auto"/>
              <w:bottom w:val="single" w:sz="6" w:space="0" w:color="auto"/>
              <w:right w:val="single" w:sz="6" w:space="0" w:color="auto"/>
            </w:tcBorders>
            <w:hideMark/>
          </w:tcPr>
          <w:p w14:paraId="4C5C401D"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b/>
                <w:bCs/>
                <w:szCs w:val="22"/>
                <w:lang w:val="en-GB" w:eastAsia="fr-FR"/>
              </w:rPr>
              <w:t>Number of networks</w:t>
            </w:r>
            <w:r w:rsidRPr="00D44092">
              <w:rPr>
                <w:rFonts w:eastAsia="Times New Roman" w:cs="Calibri"/>
                <w:szCs w:val="22"/>
                <w:lang w:val="en-GB" w:eastAsia="fr-FR"/>
              </w:rPr>
              <w:t> </w:t>
            </w:r>
          </w:p>
        </w:tc>
      </w:tr>
      <w:tr w:rsidR="00401E72" w:rsidRPr="00D44092" w14:paraId="56C097EB" w14:textId="77777777" w:rsidTr="00A21BAE">
        <w:trPr>
          <w:trHeight w:val="300"/>
        </w:trPr>
        <w:tc>
          <w:tcPr>
            <w:tcW w:w="5715" w:type="dxa"/>
            <w:gridSpan w:val="2"/>
            <w:tcBorders>
              <w:top w:val="single" w:sz="6" w:space="0" w:color="auto"/>
              <w:left w:val="single" w:sz="6" w:space="0" w:color="auto"/>
              <w:bottom w:val="single" w:sz="6" w:space="0" w:color="auto"/>
              <w:right w:val="single" w:sz="6" w:space="0" w:color="auto"/>
            </w:tcBorders>
            <w:hideMark/>
          </w:tcPr>
          <w:p w14:paraId="4F4089DB"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Direct transfers </w:t>
            </w:r>
          </w:p>
        </w:tc>
        <w:tc>
          <w:tcPr>
            <w:tcW w:w="2970" w:type="dxa"/>
            <w:tcBorders>
              <w:top w:val="single" w:sz="6" w:space="0" w:color="auto"/>
              <w:left w:val="single" w:sz="6" w:space="0" w:color="auto"/>
              <w:bottom w:val="single" w:sz="6" w:space="0" w:color="auto"/>
              <w:right w:val="single" w:sz="6" w:space="0" w:color="auto"/>
            </w:tcBorders>
            <w:hideMark/>
          </w:tcPr>
          <w:p w14:paraId="79F568C0"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28 </w:t>
            </w:r>
          </w:p>
        </w:tc>
      </w:tr>
      <w:tr w:rsidR="00401E72" w:rsidRPr="00D44092" w14:paraId="76B542F9" w14:textId="77777777" w:rsidTr="00A21BAE">
        <w:trPr>
          <w:trHeight w:val="300"/>
        </w:trPr>
        <w:tc>
          <w:tcPr>
            <w:tcW w:w="2670" w:type="dxa"/>
            <w:vMerge w:val="restart"/>
            <w:tcBorders>
              <w:top w:val="single" w:sz="6" w:space="0" w:color="auto"/>
              <w:left w:val="single" w:sz="6" w:space="0" w:color="auto"/>
              <w:bottom w:val="single" w:sz="6" w:space="0" w:color="auto"/>
              <w:right w:val="single" w:sz="6" w:space="0" w:color="auto"/>
            </w:tcBorders>
            <w:hideMark/>
          </w:tcPr>
          <w:p w14:paraId="3590EA1D"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Indirect transfers </w:t>
            </w:r>
          </w:p>
        </w:tc>
        <w:tc>
          <w:tcPr>
            <w:tcW w:w="3045" w:type="dxa"/>
            <w:tcBorders>
              <w:top w:val="single" w:sz="6" w:space="0" w:color="auto"/>
              <w:left w:val="single" w:sz="6" w:space="0" w:color="auto"/>
              <w:bottom w:val="single" w:sz="6" w:space="0" w:color="auto"/>
              <w:right w:val="single" w:sz="6" w:space="0" w:color="auto"/>
            </w:tcBorders>
            <w:hideMark/>
          </w:tcPr>
          <w:p w14:paraId="137228EA"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10 days </w:t>
            </w:r>
          </w:p>
        </w:tc>
        <w:tc>
          <w:tcPr>
            <w:tcW w:w="2970" w:type="dxa"/>
            <w:tcBorders>
              <w:top w:val="single" w:sz="6" w:space="0" w:color="auto"/>
              <w:left w:val="single" w:sz="6" w:space="0" w:color="auto"/>
              <w:bottom w:val="single" w:sz="6" w:space="0" w:color="auto"/>
              <w:right w:val="single" w:sz="6" w:space="0" w:color="auto"/>
            </w:tcBorders>
            <w:hideMark/>
          </w:tcPr>
          <w:p w14:paraId="1D984C56"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1 </w:t>
            </w:r>
          </w:p>
        </w:tc>
      </w:tr>
      <w:tr w:rsidR="00401E72" w:rsidRPr="00D44092" w14:paraId="7147B7E0" w14:textId="77777777" w:rsidTr="00A21BAE">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22D75274" w14:textId="77777777" w:rsidR="00401E72" w:rsidRPr="00D44092" w:rsidRDefault="00401E72" w:rsidP="00A21BAE">
            <w:pPr>
              <w:spacing w:after="0" w:line="240" w:lineRule="auto"/>
              <w:jc w:val="left"/>
              <w:rPr>
                <w:rFonts w:ascii="Segoe UI" w:eastAsia="Times New Roman" w:hAnsi="Segoe UI" w:cs="Segoe UI"/>
                <w:sz w:val="18"/>
                <w:szCs w:val="18"/>
                <w:lang w:val="en-GB" w:eastAsia="fr-FR"/>
              </w:rPr>
            </w:pPr>
          </w:p>
        </w:tc>
        <w:tc>
          <w:tcPr>
            <w:tcW w:w="3045" w:type="dxa"/>
            <w:tcBorders>
              <w:top w:val="single" w:sz="6" w:space="0" w:color="auto"/>
              <w:left w:val="nil"/>
              <w:bottom w:val="single" w:sz="6" w:space="0" w:color="auto"/>
              <w:right w:val="single" w:sz="6" w:space="0" w:color="auto"/>
            </w:tcBorders>
            <w:hideMark/>
          </w:tcPr>
          <w:p w14:paraId="3982F9B1"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90 days </w:t>
            </w:r>
          </w:p>
        </w:tc>
        <w:tc>
          <w:tcPr>
            <w:tcW w:w="2970" w:type="dxa"/>
            <w:tcBorders>
              <w:top w:val="single" w:sz="6" w:space="0" w:color="auto"/>
              <w:left w:val="single" w:sz="6" w:space="0" w:color="auto"/>
              <w:bottom w:val="single" w:sz="6" w:space="0" w:color="auto"/>
              <w:right w:val="single" w:sz="6" w:space="0" w:color="auto"/>
            </w:tcBorders>
            <w:hideMark/>
          </w:tcPr>
          <w:p w14:paraId="70B1D510"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2 </w:t>
            </w:r>
          </w:p>
        </w:tc>
      </w:tr>
      <w:tr w:rsidR="00401E72" w:rsidRPr="00D44092" w14:paraId="76292E84" w14:textId="77777777" w:rsidTr="00A21BAE">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7661052" w14:textId="77777777" w:rsidR="00401E72" w:rsidRPr="00D44092" w:rsidRDefault="00401E72" w:rsidP="00A21BAE">
            <w:pPr>
              <w:spacing w:after="0" w:line="240" w:lineRule="auto"/>
              <w:jc w:val="left"/>
              <w:rPr>
                <w:rFonts w:ascii="Segoe UI" w:eastAsia="Times New Roman" w:hAnsi="Segoe UI" w:cs="Segoe UI"/>
                <w:sz w:val="18"/>
                <w:szCs w:val="18"/>
                <w:lang w:val="en-GB" w:eastAsia="fr-FR"/>
              </w:rPr>
            </w:pPr>
          </w:p>
        </w:tc>
        <w:tc>
          <w:tcPr>
            <w:tcW w:w="3045" w:type="dxa"/>
            <w:tcBorders>
              <w:top w:val="single" w:sz="6" w:space="0" w:color="auto"/>
              <w:left w:val="nil"/>
              <w:bottom w:val="single" w:sz="6" w:space="0" w:color="auto"/>
              <w:right w:val="single" w:sz="6" w:space="0" w:color="auto"/>
            </w:tcBorders>
            <w:hideMark/>
          </w:tcPr>
          <w:p w14:paraId="518D150C"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1 year </w:t>
            </w:r>
          </w:p>
        </w:tc>
        <w:tc>
          <w:tcPr>
            <w:tcW w:w="2970" w:type="dxa"/>
            <w:tcBorders>
              <w:top w:val="single" w:sz="6" w:space="0" w:color="auto"/>
              <w:left w:val="single" w:sz="6" w:space="0" w:color="auto"/>
              <w:bottom w:val="single" w:sz="6" w:space="0" w:color="auto"/>
              <w:right w:val="single" w:sz="6" w:space="0" w:color="auto"/>
            </w:tcBorders>
            <w:hideMark/>
          </w:tcPr>
          <w:p w14:paraId="2C6D3F7B"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10 </w:t>
            </w:r>
          </w:p>
        </w:tc>
      </w:tr>
      <w:tr w:rsidR="00401E72" w:rsidRPr="00D44092" w14:paraId="51E23BA3" w14:textId="77777777" w:rsidTr="00A21BAE">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24EA802E" w14:textId="77777777" w:rsidR="00401E72" w:rsidRPr="00D44092" w:rsidRDefault="00401E72" w:rsidP="00A21BAE">
            <w:pPr>
              <w:spacing w:after="0" w:line="240" w:lineRule="auto"/>
              <w:jc w:val="left"/>
              <w:rPr>
                <w:rFonts w:ascii="Segoe UI" w:eastAsia="Times New Roman" w:hAnsi="Segoe UI" w:cs="Segoe UI"/>
                <w:sz w:val="18"/>
                <w:szCs w:val="18"/>
                <w:lang w:val="en-GB" w:eastAsia="fr-FR"/>
              </w:rPr>
            </w:pPr>
          </w:p>
        </w:tc>
        <w:tc>
          <w:tcPr>
            <w:tcW w:w="3045" w:type="dxa"/>
            <w:tcBorders>
              <w:top w:val="single" w:sz="6" w:space="0" w:color="auto"/>
              <w:left w:val="nil"/>
              <w:bottom w:val="single" w:sz="6" w:space="0" w:color="auto"/>
              <w:right w:val="single" w:sz="6" w:space="0" w:color="auto"/>
            </w:tcBorders>
            <w:hideMark/>
          </w:tcPr>
          <w:p w14:paraId="534432DC"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2 years </w:t>
            </w:r>
          </w:p>
        </w:tc>
        <w:tc>
          <w:tcPr>
            <w:tcW w:w="2970" w:type="dxa"/>
            <w:tcBorders>
              <w:top w:val="single" w:sz="6" w:space="0" w:color="auto"/>
              <w:left w:val="single" w:sz="6" w:space="0" w:color="auto"/>
              <w:bottom w:val="single" w:sz="6" w:space="0" w:color="auto"/>
              <w:right w:val="single" w:sz="6" w:space="0" w:color="auto"/>
            </w:tcBorders>
            <w:hideMark/>
          </w:tcPr>
          <w:p w14:paraId="7A600D11"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1 </w:t>
            </w:r>
          </w:p>
        </w:tc>
      </w:tr>
      <w:tr w:rsidR="00401E72" w:rsidRPr="00D44092" w14:paraId="1E37EC20" w14:textId="77777777" w:rsidTr="00A21BAE">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F16BCCB" w14:textId="77777777" w:rsidR="00401E72" w:rsidRPr="00D44092" w:rsidRDefault="00401E72" w:rsidP="00A21BAE">
            <w:pPr>
              <w:spacing w:after="0" w:line="240" w:lineRule="auto"/>
              <w:jc w:val="left"/>
              <w:rPr>
                <w:rFonts w:ascii="Segoe UI" w:eastAsia="Times New Roman" w:hAnsi="Segoe UI" w:cs="Segoe UI"/>
                <w:sz w:val="18"/>
                <w:szCs w:val="18"/>
                <w:lang w:val="en-GB" w:eastAsia="fr-FR"/>
              </w:rPr>
            </w:pPr>
          </w:p>
        </w:tc>
        <w:tc>
          <w:tcPr>
            <w:tcW w:w="3045" w:type="dxa"/>
            <w:tcBorders>
              <w:top w:val="single" w:sz="6" w:space="0" w:color="auto"/>
              <w:left w:val="nil"/>
              <w:bottom w:val="single" w:sz="6" w:space="0" w:color="auto"/>
              <w:right w:val="single" w:sz="6" w:space="0" w:color="auto"/>
            </w:tcBorders>
            <w:hideMark/>
          </w:tcPr>
          <w:p w14:paraId="5655BD1E"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3 years </w:t>
            </w:r>
          </w:p>
        </w:tc>
        <w:tc>
          <w:tcPr>
            <w:tcW w:w="2970" w:type="dxa"/>
            <w:tcBorders>
              <w:top w:val="single" w:sz="6" w:space="0" w:color="auto"/>
              <w:left w:val="single" w:sz="6" w:space="0" w:color="auto"/>
              <w:bottom w:val="single" w:sz="6" w:space="0" w:color="auto"/>
              <w:right w:val="single" w:sz="6" w:space="0" w:color="auto"/>
            </w:tcBorders>
            <w:hideMark/>
          </w:tcPr>
          <w:p w14:paraId="32450E07"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1 </w:t>
            </w:r>
          </w:p>
        </w:tc>
      </w:tr>
      <w:tr w:rsidR="00401E72" w:rsidRPr="00D44092" w14:paraId="217E39A3" w14:textId="77777777" w:rsidTr="00A21BAE">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26A4956" w14:textId="77777777" w:rsidR="00401E72" w:rsidRPr="00D44092" w:rsidRDefault="00401E72" w:rsidP="00A21BAE">
            <w:pPr>
              <w:spacing w:after="0" w:line="240" w:lineRule="auto"/>
              <w:jc w:val="left"/>
              <w:rPr>
                <w:rFonts w:ascii="Segoe UI" w:eastAsia="Times New Roman" w:hAnsi="Segoe UI" w:cs="Segoe UI"/>
                <w:sz w:val="18"/>
                <w:szCs w:val="18"/>
                <w:lang w:val="en-GB" w:eastAsia="fr-FR"/>
              </w:rPr>
            </w:pPr>
          </w:p>
        </w:tc>
        <w:tc>
          <w:tcPr>
            <w:tcW w:w="3045" w:type="dxa"/>
            <w:tcBorders>
              <w:top w:val="single" w:sz="6" w:space="0" w:color="auto"/>
              <w:left w:val="nil"/>
              <w:bottom w:val="single" w:sz="6" w:space="0" w:color="auto"/>
              <w:right w:val="single" w:sz="6" w:space="0" w:color="auto"/>
            </w:tcBorders>
            <w:hideMark/>
          </w:tcPr>
          <w:p w14:paraId="228C4D8C"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5 years </w:t>
            </w:r>
          </w:p>
        </w:tc>
        <w:tc>
          <w:tcPr>
            <w:tcW w:w="2970" w:type="dxa"/>
            <w:tcBorders>
              <w:top w:val="single" w:sz="6" w:space="0" w:color="auto"/>
              <w:left w:val="single" w:sz="6" w:space="0" w:color="auto"/>
              <w:bottom w:val="single" w:sz="6" w:space="0" w:color="auto"/>
              <w:right w:val="single" w:sz="6" w:space="0" w:color="auto"/>
            </w:tcBorders>
            <w:hideMark/>
          </w:tcPr>
          <w:p w14:paraId="7B87BD83"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1 </w:t>
            </w:r>
          </w:p>
        </w:tc>
      </w:tr>
      <w:tr w:rsidR="00401E72" w:rsidRPr="00D44092" w14:paraId="281F1B57" w14:textId="77777777" w:rsidTr="00A21BAE">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0275DD30" w14:textId="77777777" w:rsidR="00401E72" w:rsidRPr="00D44092" w:rsidRDefault="00401E72" w:rsidP="00A21BAE">
            <w:pPr>
              <w:spacing w:after="0" w:line="240" w:lineRule="auto"/>
              <w:jc w:val="left"/>
              <w:rPr>
                <w:rFonts w:ascii="Segoe UI" w:eastAsia="Times New Roman" w:hAnsi="Segoe UI" w:cs="Segoe UI"/>
                <w:sz w:val="18"/>
                <w:szCs w:val="18"/>
                <w:lang w:val="en-GB" w:eastAsia="fr-FR"/>
              </w:rPr>
            </w:pPr>
          </w:p>
        </w:tc>
        <w:tc>
          <w:tcPr>
            <w:tcW w:w="3045" w:type="dxa"/>
            <w:tcBorders>
              <w:top w:val="single" w:sz="6" w:space="0" w:color="auto"/>
              <w:left w:val="nil"/>
              <w:bottom w:val="single" w:sz="6" w:space="0" w:color="auto"/>
              <w:right w:val="single" w:sz="6" w:space="0" w:color="auto"/>
            </w:tcBorders>
            <w:hideMark/>
          </w:tcPr>
          <w:p w14:paraId="7EB32C09"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6 years </w:t>
            </w:r>
          </w:p>
        </w:tc>
        <w:tc>
          <w:tcPr>
            <w:tcW w:w="2970" w:type="dxa"/>
            <w:tcBorders>
              <w:top w:val="single" w:sz="6" w:space="0" w:color="auto"/>
              <w:left w:val="single" w:sz="6" w:space="0" w:color="auto"/>
              <w:bottom w:val="single" w:sz="6" w:space="0" w:color="auto"/>
              <w:right w:val="single" w:sz="6" w:space="0" w:color="auto"/>
            </w:tcBorders>
            <w:hideMark/>
          </w:tcPr>
          <w:p w14:paraId="3AAD5EEA"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2 </w:t>
            </w:r>
          </w:p>
        </w:tc>
      </w:tr>
      <w:tr w:rsidR="00401E72" w:rsidRPr="00D44092" w14:paraId="610E2684" w14:textId="77777777" w:rsidTr="00A21BAE">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4C689466" w14:textId="77777777" w:rsidR="00401E72" w:rsidRPr="00D44092" w:rsidRDefault="00401E72" w:rsidP="00A21BAE">
            <w:pPr>
              <w:spacing w:after="0" w:line="240" w:lineRule="auto"/>
              <w:jc w:val="left"/>
              <w:rPr>
                <w:rFonts w:ascii="Segoe UI" w:eastAsia="Times New Roman" w:hAnsi="Segoe UI" w:cs="Segoe UI"/>
                <w:sz w:val="18"/>
                <w:szCs w:val="18"/>
                <w:lang w:val="en-GB" w:eastAsia="fr-FR"/>
              </w:rPr>
            </w:pPr>
          </w:p>
        </w:tc>
        <w:tc>
          <w:tcPr>
            <w:tcW w:w="3045" w:type="dxa"/>
            <w:tcBorders>
              <w:top w:val="single" w:sz="6" w:space="0" w:color="auto"/>
              <w:left w:val="nil"/>
              <w:bottom w:val="single" w:sz="6" w:space="0" w:color="auto"/>
              <w:right w:val="single" w:sz="6" w:space="0" w:color="auto"/>
            </w:tcBorders>
            <w:hideMark/>
          </w:tcPr>
          <w:p w14:paraId="6311E4F2"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8 years </w:t>
            </w:r>
          </w:p>
        </w:tc>
        <w:tc>
          <w:tcPr>
            <w:tcW w:w="2970" w:type="dxa"/>
            <w:tcBorders>
              <w:top w:val="single" w:sz="6" w:space="0" w:color="auto"/>
              <w:left w:val="single" w:sz="6" w:space="0" w:color="auto"/>
              <w:bottom w:val="single" w:sz="6" w:space="0" w:color="auto"/>
              <w:right w:val="single" w:sz="6" w:space="0" w:color="auto"/>
            </w:tcBorders>
            <w:hideMark/>
          </w:tcPr>
          <w:p w14:paraId="4088F43A"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1 </w:t>
            </w:r>
          </w:p>
        </w:tc>
      </w:tr>
      <w:tr w:rsidR="00401E72" w:rsidRPr="00D44092" w14:paraId="550D0076" w14:textId="77777777" w:rsidTr="00A21BAE">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76E880CC" w14:textId="77777777" w:rsidR="00401E72" w:rsidRPr="00D44092" w:rsidRDefault="00401E72" w:rsidP="00A21BAE">
            <w:pPr>
              <w:spacing w:after="0" w:line="240" w:lineRule="auto"/>
              <w:jc w:val="left"/>
              <w:rPr>
                <w:rFonts w:ascii="Segoe UI" w:eastAsia="Times New Roman" w:hAnsi="Segoe UI" w:cs="Segoe UI"/>
                <w:sz w:val="18"/>
                <w:szCs w:val="18"/>
                <w:lang w:val="en-GB" w:eastAsia="fr-FR"/>
              </w:rPr>
            </w:pPr>
          </w:p>
        </w:tc>
        <w:tc>
          <w:tcPr>
            <w:tcW w:w="3045" w:type="dxa"/>
            <w:tcBorders>
              <w:top w:val="single" w:sz="6" w:space="0" w:color="auto"/>
              <w:left w:val="nil"/>
              <w:bottom w:val="single" w:sz="6" w:space="0" w:color="auto"/>
              <w:right w:val="single" w:sz="6" w:space="0" w:color="auto"/>
            </w:tcBorders>
            <w:hideMark/>
          </w:tcPr>
          <w:p w14:paraId="50A2130F"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Maximum delay not specified </w:t>
            </w:r>
          </w:p>
        </w:tc>
        <w:tc>
          <w:tcPr>
            <w:tcW w:w="2970" w:type="dxa"/>
            <w:tcBorders>
              <w:top w:val="single" w:sz="6" w:space="0" w:color="auto"/>
              <w:left w:val="single" w:sz="6" w:space="0" w:color="auto"/>
              <w:bottom w:val="single" w:sz="6" w:space="0" w:color="auto"/>
              <w:right w:val="single" w:sz="6" w:space="0" w:color="auto"/>
            </w:tcBorders>
            <w:hideMark/>
          </w:tcPr>
          <w:p w14:paraId="74C21783" w14:textId="77777777" w:rsidR="00401E72" w:rsidRPr="00D44092" w:rsidRDefault="00401E72" w:rsidP="00A21BAE">
            <w:pPr>
              <w:spacing w:after="0" w:line="240" w:lineRule="auto"/>
              <w:textAlignment w:val="baseline"/>
              <w:rPr>
                <w:rFonts w:ascii="Segoe UI" w:eastAsia="Times New Roman" w:hAnsi="Segoe UI" w:cs="Segoe UI"/>
                <w:sz w:val="18"/>
                <w:szCs w:val="18"/>
                <w:lang w:val="en-GB" w:eastAsia="fr-FR"/>
              </w:rPr>
            </w:pPr>
            <w:r w:rsidRPr="00D44092">
              <w:rPr>
                <w:rFonts w:eastAsia="Times New Roman" w:cs="Calibri"/>
                <w:szCs w:val="22"/>
                <w:lang w:val="en-GB" w:eastAsia="fr-FR"/>
              </w:rPr>
              <w:t>3 </w:t>
            </w:r>
          </w:p>
        </w:tc>
      </w:tr>
    </w:tbl>
    <w:p w14:paraId="6ED7A314" w14:textId="77777777" w:rsidR="00401E72" w:rsidRPr="00D44092" w:rsidRDefault="00401E72" w:rsidP="00401E72">
      <w:pPr>
        <w:rPr>
          <w:lang w:val="en-GB"/>
        </w:rPr>
      </w:pPr>
    </w:p>
    <w:p w14:paraId="61982BE7" w14:textId="77777777" w:rsidR="00401E72" w:rsidRPr="00D44092" w:rsidRDefault="00401E72" w:rsidP="00401E72">
      <w:pPr>
        <w:pStyle w:val="Titre2"/>
        <w:rPr>
          <w:lang w:val="en-GB"/>
        </w:rPr>
      </w:pPr>
      <w:r w:rsidRPr="00D44092">
        <w:rPr>
          <w:lang w:val="en-GB"/>
        </w:rPr>
        <w:t>Table S6: Metrics used in the articles to describe the networks.</w:t>
      </w:r>
    </w:p>
    <w:tbl>
      <w:tblPr>
        <w:tblStyle w:val="Grilledutableau"/>
        <w:tblW w:w="0" w:type="auto"/>
        <w:tblLook w:val="04A0" w:firstRow="1" w:lastRow="0" w:firstColumn="1" w:lastColumn="0" w:noHBand="0" w:noVBand="1"/>
      </w:tblPr>
      <w:tblGrid>
        <w:gridCol w:w="1065"/>
        <w:gridCol w:w="3426"/>
        <w:gridCol w:w="3318"/>
        <w:gridCol w:w="1253"/>
      </w:tblGrid>
      <w:tr w:rsidR="00401E72" w:rsidRPr="00D44092" w14:paraId="29C55708" w14:textId="77777777" w:rsidTr="00A21BAE">
        <w:trPr>
          <w:trHeight w:val="300"/>
        </w:trPr>
        <w:tc>
          <w:tcPr>
            <w:tcW w:w="875" w:type="dxa"/>
            <w:tcBorders>
              <w:top w:val="single" w:sz="4" w:space="0" w:color="auto"/>
              <w:left w:val="single" w:sz="4" w:space="0" w:color="auto"/>
              <w:bottom w:val="single" w:sz="4" w:space="0" w:color="auto"/>
              <w:right w:val="single" w:sz="4" w:space="0" w:color="auto"/>
            </w:tcBorders>
            <w:hideMark/>
          </w:tcPr>
          <w:p w14:paraId="25D91DA7" w14:textId="77777777" w:rsidR="00401E72" w:rsidRPr="00D44092" w:rsidRDefault="00401E72" w:rsidP="00A21BAE">
            <w:pPr>
              <w:rPr>
                <w:lang w:val="en-GB"/>
              </w:rPr>
            </w:pPr>
            <w:r w:rsidRPr="00D44092">
              <w:rPr>
                <w:lang w:val="en-GB"/>
              </w:rPr>
              <w:t> </w:t>
            </w:r>
          </w:p>
        </w:tc>
        <w:tc>
          <w:tcPr>
            <w:tcW w:w="3669" w:type="dxa"/>
            <w:tcBorders>
              <w:top w:val="single" w:sz="4" w:space="0" w:color="auto"/>
              <w:left w:val="single" w:sz="4" w:space="0" w:color="auto"/>
              <w:bottom w:val="single" w:sz="4" w:space="0" w:color="auto"/>
              <w:right w:val="single" w:sz="4" w:space="0" w:color="auto"/>
            </w:tcBorders>
            <w:hideMark/>
          </w:tcPr>
          <w:p w14:paraId="15535641" w14:textId="77777777" w:rsidR="00401E72" w:rsidRPr="00D44092" w:rsidRDefault="00401E72" w:rsidP="00A21BAE">
            <w:pPr>
              <w:rPr>
                <w:lang w:val="en-GB"/>
              </w:rPr>
            </w:pPr>
            <w:r w:rsidRPr="00D44092">
              <w:rPr>
                <w:lang w:val="en-GB"/>
              </w:rPr>
              <w:t>Metric</w:t>
            </w:r>
          </w:p>
        </w:tc>
        <w:tc>
          <w:tcPr>
            <w:tcW w:w="3553" w:type="dxa"/>
            <w:tcBorders>
              <w:top w:val="single" w:sz="4" w:space="0" w:color="auto"/>
              <w:left w:val="single" w:sz="4" w:space="0" w:color="auto"/>
              <w:bottom w:val="single" w:sz="4" w:space="0" w:color="auto"/>
              <w:right w:val="single" w:sz="4" w:space="0" w:color="auto"/>
            </w:tcBorders>
            <w:noWrap/>
            <w:hideMark/>
          </w:tcPr>
          <w:p w14:paraId="3920B323" w14:textId="77777777" w:rsidR="00401E72" w:rsidRPr="00D44092" w:rsidRDefault="00401E72" w:rsidP="00A21BAE">
            <w:pPr>
              <w:rPr>
                <w:lang w:val="en-GB"/>
              </w:rPr>
            </w:pPr>
            <w:r w:rsidRPr="00D44092">
              <w:rPr>
                <w:lang w:val="en-GB"/>
              </w:rPr>
              <w:t>Variations</w:t>
            </w:r>
          </w:p>
        </w:tc>
        <w:tc>
          <w:tcPr>
            <w:tcW w:w="965" w:type="dxa"/>
            <w:tcBorders>
              <w:top w:val="single" w:sz="4" w:space="0" w:color="auto"/>
              <w:left w:val="single" w:sz="4" w:space="0" w:color="auto"/>
              <w:bottom w:val="single" w:sz="4" w:space="0" w:color="auto"/>
              <w:right w:val="single" w:sz="4" w:space="0" w:color="auto"/>
            </w:tcBorders>
            <w:noWrap/>
            <w:hideMark/>
          </w:tcPr>
          <w:p w14:paraId="3685100B" w14:textId="77777777" w:rsidR="00401E72" w:rsidRPr="00D44092" w:rsidRDefault="00401E72" w:rsidP="00A21BAE">
            <w:pPr>
              <w:rPr>
                <w:lang w:val="en-GB"/>
              </w:rPr>
            </w:pPr>
            <w:r w:rsidRPr="00D44092">
              <w:rPr>
                <w:lang w:val="en-GB"/>
              </w:rPr>
              <w:t>Occurrences</w:t>
            </w:r>
          </w:p>
        </w:tc>
      </w:tr>
      <w:tr w:rsidR="00401E72" w:rsidRPr="00D44092" w14:paraId="2F751D24" w14:textId="77777777" w:rsidTr="00A21BAE">
        <w:trPr>
          <w:trHeight w:val="288"/>
        </w:trPr>
        <w:tc>
          <w:tcPr>
            <w:tcW w:w="875" w:type="dxa"/>
            <w:vMerge w:val="restart"/>
            <w:tcBorders>
              <w:top w:val="single" w:sz="4" w:space="0" w:color="auto"/>
              <w:left w:val="single" w:sz="4" w:space="0" w:color="auto"/>
              <w:bottom w:val="single" w:sz="4" w:space="0" w:color="auto"/>
              <w:right w:val="single" w:sz="4" w:space="0" w:color="auto"/>
            </w:tcBorders>
            <w:hideMark/>
          </w:tcPr>
          <w:p w14:paraId="12A88A00" w14:textId="77777777" w:rsidR="00401E72" w:rsidRPr="00D44092" w:rsidRDefault="00401E72" w:rsidP="00A21BAE">
            <w:pPr>
              <w:rPr>
                <w:lang w:val="en-GB"/>
              </w:rPr>
            </w:pPr>
            <w:r w:rsidRPr="00D44092">
              <w:rPr>
                <w:lang w:val="en-GB"/>
              </w:rPr>
              <w:t>Node-level</w:t>
            </w:r>
          </w:p>
        </w:tc>
        <w:tc>
          <w:tcPr>
            <w:tcW w:w="3669" w:type="dxa"/>
            <w:tcBorders>
              <w:top w:val="single" w:sz="4" w:space="0" w:color="auto"/>
              <w:left w:val="single" w:sz="4" w:space="0" w:color="auto"/>
              <w:bottom w:val="single" w:sz="4" w:space="0" w:color="auto"/>
              <w:right w:val="single" w:sz="4" w:space="0" w:color="auto"/>
            </w:tcBorders>
            <w:hideMark/>
          </w:tcPr>
          <w:p w14:paraId="66C2EF66" w14:textId="77777777" w:rsidR="00401E72" w:rsidRPr="00D44092" w:rsidRDefault="00401E72" w:rsidP="00A21BAE">
            <w:pPr>
              <w:rPr>
                <w:lang w:val="en-GB"/>
              </w:rPr>
            </w:pPr>
            <w:r w:rsidRPr="00D44092">
              <w:rPr>
                <w:lang w:val="en-GB"/>
              </w:rPr>
              <w:t>Degree centrality</w:t>
            </w:r>
          </w:p>
        </w:tc>
        <w:tc>
          <w:tcPr>
            <w:tcW w:w="3553" w:type="dxa"/>
            <w:tcBorders>
              <w:top w:val="single" w:sz="4" w:space="0" w:color="auto"/>
              <w:left w:val="single" w:sz="4" w:space="0" w:color="auto"/>
              <w:bottom w:val="single" w:sz="4" w:space="0" w:color="auto"/>
              <w:right w:val="single" w:sz="4" w:space="0" w:color="auto"/>
            </w:tcBorders>
            <w:noWrap/>
            <w:hideMark/>
          </w:tcPr>
          <w:p w14:paraId="5F670E3E" w14:textId="77777777" w:rsidR="00401E72" w:rsidRPr="00D44092" w:rsidRDefault="00401E72" w:rsidP="00A21BAE">
            <w:pPr>
              <w:rPr>
                <w:lang w:val="en-GB"/>
              </w:rPr>
            </w:pPr>
            <w:r w:rsidRPr="00D44092">
              <w:rPr>
                <w:lang w:val="en-GB"/>
              </w:rPr>
              <w:t>Degree</w:t>
            </w:r>
          </w:p>
        </w:tc>
        <w:tc>
          <w:tcPr>
            <w:tcW w:w="965" w:type="dxa"/>
            <w:tcBorders>
              <w:top w:val="single" w:sz="4" w:space="0" w:color="auto"/>
              <w:left w:val="single" w:sz="4" w:space="0" w:color="auto"/>
              <w:bottom w:val="single" w:sz="4" w:space="0" w:color="auto"/>
              <w:right w:val="single" w:sz="4" w:space="0" w:color="auto"/>
            </w:tcBorders>
            <w:noWrap/>
            <w:hideMark/>
          </w:tcPr>
          <w:p w14:paraId="0F9A59D6" w14:textId="77777777" w:rsidR="00401E72" w:rsidRPr="00D44092" w:rsidRDefault="00401E72" w:rsidP="00A21BAE">
            <w:pPr>
              <w:rPr>
                <w:lang w:val="en-GB"/>
              </w:rPr>
            </w:pPr>
            <w:r w:rsidRPr="00D44092">
              <w:rPr>
                <w:lang w:val="en-GB"/>
              </w:rPr>
              <w:t>18</w:t>
            </w:r>
          </w:p>
        </w:tc>
      </w:tr>
      <w:tr w:rsidR="00401E72" w:rsidRPr="00D44092" w14:paraId="5DAA97BD"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EBC2F9" w14:textId="77777777" w:rsidR="00401E72" w:rsidRPr="00D44092" w:rsidRDefault="00401E72" w:rsidP="00A21BAE">
            <w:pPr>
              <w:rPr>
                <w:lang w:val="en-GB"/>
              </w:rPr>
            </w:pPr>
          </w:p>
        </w:tc>
        <w:tc>
          <w:tcPr>
            <w:tcW w:w="3669" w:type="dxa"/>
            <w:vMerge w:val="restart"/>
            <w:tcBorders>
              <w:top w:val="single" w:sz="4" w:space="0" w:color="auto"/>
              <w:left w:val="single" w:sz="4" w:space="0" w:color="auto"/>
              <w:bottom w:val="single" w:sz="4" w:space="0" w:color="auto"/>
              <w:right w:val="single" w:sz="4" w:space="0" w:color="auto"/>
            </w:tcBorders>
            <w:hideMark/>
          </w:tcPr>
          <w:p w14:paraId="01A39C95" w14:textId="77777777" w:rsidR="00401E72" w:rsidRPr="00D44092" w:rsidRDefault="00401E72" w:rsidP="00A21BAE">
            <w:pPr>
              <w:rPr>
                <w:lang w:val="en-GB"/>
              </w:rPr>
            </w:pPr>
            <w:r w:rsidRPr="00D44092">
              <w:rPr>
                <w:lang w:val="en-GB"/>
              </w:rPr>
              <w:t>Degree centrality for directed networks</w:t>
            </w:r>
          </w:p>
        </w:tc>
        <w:tc>
          <w:tcPr>
            <w:tcW w:w="3553" w:type="dxa"/>
            <w:tcBorders>
              <w:top w:val="single" w:sz="4" w:space="0" w:color="auto"/>
              <w:left w:val="single" w:sz="4" w:space="0" w:color="auto"/>
              <w:bottom w:val="single" w:sz="4" w:space="0" w:color="auto"/>
              <w:right w:val="single" w:sz="4" w:space="0" w:color="auto"/>
            </w:tcBorders>
            <w:noWrap/>
            <w:hideMark/>
          </w:tcPr>
          <w:p w14:paraId="7CBAB699" w14:textId="77777777" w:rsidR="00401E72" w:rsidRPr="00D44092" w:rsidRDefault="00401E72" w:rsidP="00A21BAE">
            <w:pPr>
              <w:rPr>
                <w:lang w:val="en-GB"/>
              </w:rPr>
            </w:pPr>
            <w:r w:rsidRPr="00D44092">
              <w:rPr>
                <w:lang w:val="en-GB"/>
              </w:rPr>
              <w:t>In-degree</w:t>
            </w:r>
          </w:p>
        </w:tc>
        <w:tc>
          <w:tcPr>
            <w:tcW w:w="965" w:type="dxa"/>
            <w:tcBorders>
              <w:top w:val="single" w:sz="4" w:space="0" w:color="auto"/>
              <w:left w:val="single" w:sz="4" w:space="0" w:color="auto"/>
              <w:bottom w:val="single" w:sz="4" w:space="0" w:color="auto"/>
              <w:right w:val="single" w:sz="4" w:space="0" w:color="auto"/>
            </w:tcBorders>
            <w:noWrap/>
            <w:hideMark/>
          </w:tcPr>
          <w:p w14:paraId="21FC0DD0" w14:textId="77777777" w:rsidR="00401E72" w:rsidRPr="00D44092" w:rsidRDefault="00401E72" w:rsidP="00A21BAE">
            <w:pPr>
              <w:rPr>
                <w:lang w:val="en-GB"/>
              </w:rPr>
            </w:pPr>
            <w:r w:rsidRPr="00D44092">
              <w:rPr>
                <w:lang w:val="en-GB"/>
              </w:rPr>
              <w:t>29</w:t>
            </w:r>
          </w:p>
        </w:tc>
      </w:tr>
      <w:tr w:rsidR="00401E72" w:rsidRPr="00D44092" w14:paraId="096B6C88"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48C09D2" w14:textId="77777777" w:rsidR="00401E72" w:rsidRPr="00D44092"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61A72A" w14:textId="77777777" w:rsidR="00401E72" w:rsidRPr="00D44092"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2C56C310" w14:textId="77777777" w:rsidR="00401E72" w:rsidRPr="00D44092" w:rsidRDefault="00401E72" w:rsidP="00A21BAE">
            <w:pPr>
              <w:rPr>
                <w:lang w:val="en-GB"/>
              </w:rPr>
            </w:pPr>
            <w:r w:rsidRPr="00D44092">
              <w:rPr>
                <w:lang w:val="en-GB"/>
              </w:rPr>
              <w:t>Weighted in-degree</w:t>
            </w:r>
          </w:p>
        </w:tc>
        <w:tc>
          <w:tcPr>
            <w:tcW w:w="965" w:type="dxa"/>
            <w:tcBorders>
              <w:top w:val="single" w:sz="4" w:space="0" w:color="auto"/>
              <w:left w:val="single" w:sz="4" w:space="0" w:color="auto"/>
              <w:bottom w:val="single" w:sz="4" w:space="0" w:color="auto"/>
              <w:right w:val="single" w:sz="4" w:space="0" w:color="auto"/>
            </w:tcBorders>
            <w:noWrap/>
            <w:hideMark/>
          </w:tcPr>
          <w:p w14:paraId="1785F742" w14:textId="77777777" w:rsidR="00401E72" w:rsidRPr="00D44092" w:rsidRDefault="00401E72" w:rsidP="00A21BAE">
            <w:pPr>
              <w:rPr>
                <w:lang w:val="en-GB"/>
              </w:rPr>
            </w:pPr>
            <w:r w:rsidRPr="00D44092">
              <w:rPr>
                <w:lang w:val="en-GB"/>
              </w:rPr>
              <w:t>9</w:t>
            </w:r>
          </w:p>
        </w:tc>
      </w:tr>
      <w:tr w:rsidR="00401E72" w:rsidRPr="00D44092" w14:paraId="3E65D7BA"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2F50CE" w14:textId="77777777" w:rsidR="00401E72" w:rsidRPr="00D44092"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3BDFE8" w14:textId="77777777" w:rsidR="00401E72" w:rsidRPr="00D44092"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3F097E81" w14:textId="77777777" w:rsidR="00401E72" w:rsidRPr="00D44092" w:rsidRDefault="00401E72" w:rsidP="00A21BAE">
            <w:pPr>
              <w:rPr>
                <w:lang w:val="en-GB"/>
              </w:rPr>
            </w:pPr>
            <w:r w:rsidRPr="00D44092">
              <w:rPr>
                <w:lang w:val="en-GB"/>
              </w:rPr>
              <w:t>Out-degree</w:t>
            </w:r>
          </w:p>
        </w:tc>
        <w:tc>
          <w:tcPr>
            <w:tcW w:w="965" w:type="dxa"/>
            <w:tcBorders>
              <w:top w:val="single" w:sz="4" w:space="0" w:color="auto"/>
              <w:left w:val="single" w:sz="4" w:space="0" w:color="auto"/>
              <w:bottom w:val="single" w:sz="4" w:space="0" w:color="auto"/>
              <w:right w:val="single" w:sz="4" w:space="0" w:color="auto"/>
            </w:tcBorders>
            <w:noWrap/>
            <w:hideMark/>
          </w:tcPr>
          <w:p w14:paraId="6A46EFAE" w14:textId="77777777" w:rsidR="00401E72" w:rsidRPr="00D44092" w:rsidRDefault="00401E72" w:rsidP="00A21BAE">
            <w:pPr>
              <w:rPr>
                <w:lang w:val="en-GB"/>
              </w:rPr>
            </w:pPr>
            <w:r w:rsidRPr="00D44092">
              <w:rPr>
                <w:lang w:val="en-GB"/>
              </w:rPr>
              <w:t>22</w:t>
            </w:r>
          </w:p>
        </w:tc>
      </w:tr>
      <w:tr w:rsidR="00401E72" w:rsidRPr="00D44092" w14:paraId="0EA8E37A"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11DB87" w14:textId="77777777" w:rsidR="00401E72" w:rsidRPr="00D44092"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1FA588" w14:textId="77777777" w:rsidR="00401E72" w:rsidRPr="00D44092"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051E23EF" w14:textId="77777777" w:rsidR="00401E72" w:rsidRPr="00D44092" w:rsidRDefault="00401E72" w:rsidP="00A21BAE">
            <w:pPr>
              <w:rPr>
                <w:lang w:val="en-GB"/>
              </w:rPr>
            </w:pPr>
            <w:r w:rsidRPr="00D44092">
              <w:rPr>
                <w:lang w:val="en-GB"/>
              </w:rPr>
              <w:t>Weighted out-degree</w:t>
            </w:r>
          </w:p>
        </w:tc>
        <w:tc>
          <w:tcPr>
            <w:tcW w:w="965" w:type="dxa"/>
            <w:tcBorders>
              <w:top w:val="single" w:sz="4" w:space="0" w:color="auto"/>
              <w:left w:val="single" w:sz="4" w:space="0" w:color="auto"/>
              <w:bottom w:val="single" w:sz="4" w:space="0" w:color="auto"/>
              <w:right w:val="single" w:sz="4" w:space="0" w:color="auto"/>
            </w:tcBorders>
            <w:noWrap/>
            <w:hideMark/>
          </w:tcPr>
          <w:p w14:paraId="70552CE9" w14:textId="77777777" w:rsidR="00401E72" w:rsidRPr="00D44092" w:rsidRDefault="00401E72" w:rsidP="00A21BAE">
            <w:pPr>
              <w:rPr>
                <w:lang w:val="en-GB"/>
              </w:rPr>
            </w:pPr>
            <w:r w:rsidRPr="00D44092">
              <w:rPr>
                <w:lang w:val="en-GB"/>
              </w:rPr>
              <w:t>5</w:t>
            </w:r>
          </w:p>
        </w:tc>
      </w:tr>
      <w:tr w:rsidR="00401E72" w:rsidRPr="00D44092" w14:paraId="4F2EDB04"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2B8A7A" w14:textId="77777777" w:rsidR="00401E72" w:rsidRPr="00D44092"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216C24EB" w14:textId="77777777" w:rsidR="00401E72" w:rsidRPr="00D44092" w:rsidRDefault="00401E72" w:rsidP="00A21BAE">
            <w:pPr>
              <w:rPr>
                <w:lang w:val="en-GB"/>
              </w:rPr>
            </w:pPr>
            <w:r w:rsidRPr="00D44092">
              <w:rPr>
                <w:lang w:val="en-GB"/>
              </w:rPr>
              <w:t>Strength centrality</w:t>
            </w:r>
          </w:p>
        </w:tc>
        <w:tc>
          <w:tcPr>
            <w:tcW w:w="3553" w:type="dxa"/>
            <w:tcBorders>
              <w:top w:val="single" w:sz="4" w:space="0" w:color="auto"/>
              <w:left w:val="single" w:sz="4" w:space="0" w:color="auto"/>
              <w:bottom w:val="single" w:sz="4" w:space="0" w:color="auto"/>
              <w:right w:val="single" w:sz="4" w:space="0" w:color="auto"/>
            </w:tcBorders>
            <w:noWrap/>
            <w:hideMark/>
          </w:tcPr>
          <w:p w14:paraId="4CD1007F" w14:textId="77777777" w:rsidR="00401E72" w:rsidRPr="00D44092" w:rsidRDefault="00401E72" w:rsidP="00A21BAE">
            <w:pPr>
              <w:rPr>
                <w:lang w:val="en-GB"/>
              </w:rPr>
            </w:pPr>
            <w:r w:rsidRPr="00D44092">
              <w:rPr>
                <w:lang w:val="en-GB"/>
              </w:rPr>
              <w:t>Node strength</w:t>
            </w:r>
          </w:p>
        </w:tc>
        <w:tc>
          <w:tcPr>
            <w:tcW w:w="965" w:type="dxa"/>
            <w:tcBorders>
              <w:top w:val="single" w:sz="4" w:space="0" w:color="auto"/>
              <w:left w:val="single" w:sz="4" w:space="0" w:color="auto"/>
              <w:bottom w:val="single" w:sz="4" w:space="0" w:color="auto"/>
              <w:right w:val="single" w:sz="4" w:space="0" w:color="auto"/>
            </w:tcBorders>
            <w:noWrap/>
            <w:hideMark/>
          </w:tcPr>
          <w:p w14:paraId="090CE80C" w14:textId="77777777" w:rsidR="00401E72" w:rsidRPr="00D44092" w:rsidRDefault="00401E72" w:rsidP="00A21BAE">
            <w:pPr>
              <w:rPr>
                <w:lang w:val="en-GB"/>
              </w:rPr>
            </w:pPr>
            <w:r w:rsidRPr="00D44092">
              <w:rPr>
                <w:lang w:val="en-GB"/>
              </w:rPr>
              <w:t>8</w:t>
            </w:r>
          </w:p>
        </w:tc>
      </w:tr>
      <w:tr w:rsidR="00401E72" w:rsidRPr="00D44092" w14:paraId="16230640"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950D4E" w14:textId="77777777" w:rsidR="00401E72" w:rsidRPr="00D44092" w:rsidRDefault="00401E72" w:rsidP="00A21BAE">
            <w:pPr>
              <w:rPr>
                <w:lang w:val="en-GB"/>
              </w:rPr>
            </w:pPr>
          </w:p>
        </w:tc>
        <w:tc>
          <w:tcPr>
            <w:tcW w:w="3669" w:type="dxa"/>
            <w:vMerge w:val="restart"/>
            <w:tcBorders>
              <w:top w:val="single" w:sz="4" w:space="0" w:color="auto"/>
              <w:left w:val="single" w:sz="4" w:space="0" w:color="auto"/>
              <w:bottom w:val="single" w:sz="4" w:space="0" w:color="auto"/>
              <w:right w:val="single" w:sz="4" w:space="0" w:color="auto"/>
            </w:tcBorders>
            <w:hideMark/>
          </w:tcPr>
          <w:p w14:paraId="182C55E9" w14:textId="77777777" w:rsidR="00401E72" w:rsidRPr="00D44092" w:rsidRDefault="00401E72" w:rsidP="00A21BAE">
            <w:pPr>
              <w:rPr>
                <w:lang w:val="en-GB"/>
              </w:rPr>
            </w:pPr>
            <w:r w:rsidRPr="00D44092">
              <w:rPr>
                <w:lang w:val="en-GB"/>
              </w:rPr>
              <w:t>Strength centrality for directed networks</w:t>
            </w:r>
          </w:p>
        </w:tc>
        <w:tc>
          <w:tcPr>
            <w:tcW w:w="3553" w:type="dxa"/>
            <w:tcBorders>
              <w:top w:val="single" w:sz="4" w:space="0" w:color="auto"/>
              <w:left w:val="single" w:sz="4" w:space="0" w:color="auto"/>
              <w:bottom w:val="single" w:sz="4" w:space="0" w:color="auto"/>
              <w:right w:val="single" w:sz="4" w:space="0" w:color="auto"/>
            </w:tcBorders>
            <w:noWrap/>
            <w:hideMark/>
          </w:tcPr>
          <w:p w14:paraId="77E886AF" w14:textId="77777777" w:rsidR="00401E72" w:rsidRPr="00D44092" w:rsidRDefault="00401E72" w:rsidP="00A21BAE">
            <w:pPr>
              <w:rPr>
                <w:lang w:val="en-GB"/>
              </w:rPr>
            </w:pPr>
            <w:r w:rsidRPr="00D44092">
              <w:rPr>
                <w:lang w:val="en-GB"/>
              </w:rPr>
              <w:t>In-strength</w:t>
            </w:r>
          </w:p>
        </w:tc>
        <w:tc>
          <w:tcPr>
            <w:tcW w:w="965" w:type="dxa"/>
            <w:tcBorders>
              <w:top w:val="single" w:sz="4" w:space="0" w:color="auto"/>
              <w:left w:val="single" w:sz="4" w:space="0" w:color="auto"/>
              <w:bottom w:val="single" w:sz="4" w:space="0" w:color="auto"/>
              <w:right w:val="single" w:sz="4" w:space="0" w:color="auto"/>
            </w:tcBorders>
            <w:noWrap/>
            <w:hideMark/>
          </w:tcPr>
          <w:p w14:paraId="2E83ECDF" w14:textId="77777777" w:rsidR="00401E72" w:rsidRPr="00D44092" w:rsidRDefault="00401E72" w:rsidP="00A21BAE">
            <w:pPr>
              <w:rPr>
                <w:lang w:val="en-GB"/>
              </w:rPr>
            </w:pPr>
            <w:r w:rsidRPr="00D44092">
              <w:rPr>
                <w:lang w:val="en-GB"/>
              </w:rPr>
              <w:t>7</w:t>
            </w:r>
          </w:p>
        </w:tc>
      </w:tr>
      <w:tr w:rsidR="00401E72" w:rsidRPr="00D44092" w14:paraId="5B52A82A"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B3738E" w14:textId="77777777" w:rsidR="00401E72" w:rsidRPr="00D44092"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64F22A" w14:textId="77777777" w:rsidR="00401E72" w:rsidRPr="00D44092"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76AB1E74" w14:textId="77777777" w:rsidR="00401E72" w:rsidRPr="00D44092" w:rsidRDefault="00401E72" w:rsidP="00A21BAE">
            <w:pPr>
              <w:rPr>
                <w:lang w:val="en-GB"/>
              </w:rPr>
            </w:pPr>
            <w:r w:rsidRPr="00D44092">
              <w:rPr>
                <w:lang w:val="en-GB"/>
              </w:rPr>
              <w:t>Out-strength</w:t>
            </w:r>
          </w:p>
        </w:tc>
        <w:tc>
          <w:tcPr>
            <w:tcW w:w="965" w:type="dxa"/>
            <w:tcBorders>
              <w:top w:val="single" w:sz="4" w:space="0" w:color="auto"/>
              <w:left w:val="single" w:sz="4" w:space="0" w:color="auto"/>
              <w:bottom w:val="single" w:sz="4" w:space="0" w:color="auto"/>
              <w:right w:val="single" w:sz="4" w:space="0" w:color="auto"/>
            </w:tcBorders>
            <w:noWrap/>
            <w:hideMark/>
          </w:tcPr>
          <w:p w14:paraId="1DBC493F" w14:textId="77777777" w:rsidR="00401E72" w:rsidRPr="00D44092" w:rsidRDefault="00401E72" w:rsidP="00A21BAE">
            <w:pPr>
              <w:rPr>
                <w:lang w:val="en-GB"/>
              </w:rPr>
            </w:pPr>
            <w:r w:rsidRPr="00D44092">
              <w:rPr>
                <w:lang w:val="en-GB"/>
              </w:rPr>
              <w:t>5</w:t>
            </w:r>
          </w:p>
        </w:tc>
      </w:tr>
      <w:tr w:rsidR="00401E72" w:rsidRPr="00D44092" w14:paraId="5114DDAC"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D0A2888" w14:textId="77777777" w:rsidR="00401E72" w:rsidRPr="00D44092" w:rsidRDefault="00401E72" w:rsidP="00A21BAE">
            <w:pPr>
              <w:rPr>
                <w:lang w:val="en-GB"/>
              </w:rPr>
            </w:pPr>
          </w:p>
        </w:tc>
        <w:tc>
          <w:tcPr>
            <w:tcW w:w="3669" w:type="dxa"/>
            <w:vMerge w:val="restart"/>
            <w:tcBorders>
              <w:top w:val="single" w:sz="4" w:space="0" w:color="auto"/>
              <w:left w:val="single" w:sz="4" w:space="0" w:color="auto"/>
              <w:bottom w:val="single" w:sz="4" w:space="0" w:color="auto"/>
              <w:right w:val="single" w:sz="4" w:space="0" w:color="auto"/>
            </w:tcBorders>
            <w:hideMark/>
          </w:tcPr>
          <w:p w14:paraId="59C191A4" w14:textId="77777777" w:rsidR="00401E72" w:rsidRPr="00D44092" w:rsidRDefault="00401E72" w:rsidP="00A21BAE">
            <w:pPr>
              <w:rPr>
                <w:lang w:val="en-GB"/>
              </w:rPr>
            </w:pPr>
            <w:r w:rsidRPr="00D44092">
              <w:rPr>
                <w:lang w:val="en-GB"/>
              </w:rPr>
              <w:t>Betweenness centrality</w:t>
            </w:r>
          </w:p>
        </w:tc>
        <w:tc>
          <w:tcPr>
            <w:tcW w:w="3553" w:type="dxa"/>
            <w:tcBorders>
              <w:top w:val="single" w:sz="4" w:space="0" w:color="auto"/>
              <w:left w:val="single" w:sz="4" w:space="0" w:color="auto"/>
              <w:bottom w:val="single" w:sz="4" w:space="0" w:color="auto"/>
              <w:right w:val="single" w:sz="4" w:space="0" w:color="auto"/>
            </w:tcBorders>
            <w:noWrap/>
            <w:hideMark/>
          </w:tcPr>
          <w:p w14:paraId="71FD2F2B" w14:textId="77777777" w:rsidR="00401E72" w:rsidRPr="00D44092" w:rsidRDefault="00401E72" w:rsidP="00A21BAE">
            <w:pPr>
              <w:rPr>
                <w:lang w:val="en-GB"/>
              </w:rPr>
            </w:pPr>
            <w:r w:rsidRPr="00D44092">
              <w:rPr>
                <w:lang w:val="en-GB"/>
              </w:rPr>
              <w:t>Betweenness</w:t>
            </w:r>
          </w:p>
        </w:tc>
        <w:tc>
          <w:tcPr>
            <w:tcW w:w="965" w:type="dxa"/>
            <w:tcBorders>
              <w:top w:val="single" w:sz="4" w:space="0" w:color="auto"/>
              <w:left w:val="single" w:sz="4" w:space="0" w:color="auto"/>
              <w:bottom w:val="single" w:sz="4" w:space="0" w:color="auto"/>
              <w:right w:val="single" w:sz="4" w:space="0" w:color="auto"/>
            </w:tcBorders>
            <w:noWrap/>
            <w:hideMark/>
          </w:tcPr>
          <w:p w14:paraId="190788B9" w14:textId="77777777" w:rsidR="00401E72" w:rsidRPr="00D44092" w:rsidRDefault="00401E72" w:rsidP="00A21BAE">
            <w:pPr>
              <w:rPr>
                <w:lang w:val="en-GB"/>
              </w:rPr>
            </w:pPr>
            <w:r w:rsidRPr="00D44092">
              <w:rPr>
                <w:lang w:val="en-GB"/>
              </w:rPr>
              <w:t>11</w:t>
            </w:r>
          </w:p>
        </w:tc>
      </w:tr>
      <w:tr w:rsidR="00401E72" w:rsidRPr="00D44092" w14:paraId="27B6BBCB"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88FFBB" w14:textId="77777777" w:rsidR="00401E72" w:rsidRPr="00D44092"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C76028" w14:textId="77777777" w:rsidR="00401E72" w:rsidRPr="00D44092"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3DC0B35A" w14:textId="77777777" w:rsidR="00401E72" w:rsidRPr="00D44092" w:rsidRDefault="00401E72" w:rsidP="00A21BAE">
            <w:pPr>
              <w:rPr>
                <w:lang w:val="en-GB"/>
              </w:rPr>
            </w:pPr>
            <w:r w:rsidRPr="00D44092">
              <w:rPr>
                <w:lang w:val="en-GB"/>
              </w:rPr>
              <w:t>Weighted betweenness</w:t>
            </w:r>
          </w:p>
        </w:tc>
        <w:tc>
          <w:tcPr>
            <w:tcW w:w="965" w:type="dxa"/>
            <w:tcBorders>
              <w:top w:val="single" w:sz="4" w:space="0" w:color="auto"/>
              <w:left w:val="single" w:sz="4" w:space="0" w:color="auto"/>
              <w:bottom w:val="single" w:sz="4" w:space="0" w:color="auto"/>
              <w:right w:val="single" w:sz="4" w:space="0" w:color="auto"/>
            </w:tcBorders>
            <w:noWrap/>
            <w:hideMark/>
          </w:tcPr>
          <w:p w14:paraId="24AD4EDA" w14:textId="77777777" w:rsidR="00401E72" w:rsidRPr="00D44092" w:rsidRDefault="00401E72" w:rsidP="00A21BAE">
            <w:pPr>
              <w:rPr>
                <w:lang w:val="en-GB"/>
              </w:rPr>
            </w:pPr>
            <w:r w:rsidRPr="00D44092">
              <w:rPr>
                <w:lang w:val="en-GB"/>
              </w:rPr>
              <w:t>1</w:t>
            </w:r>
          </w:p>
        </w:tc>
      </w:tr>
      <w:tr w:rsidR="00401E72" w:rsidRPr="00D44092" w14:paraId="250D3C39"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4F0FDF" w14:textId="77777777" w:rsidR="00401E72" w:rsidRPr="00D44092"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7C20AF88" w14:textId="77777777" w:rsidR="00401E72" w:rsidRPr="00D44092" w:rsidRDefault="00401E72" w:rsidP="00A21BAE">
            <w:pPr>
              <w:rPr>
                <w:lang w:val="en-GB"/>
              </w:rPr>
            </w:pPr>
            <w:r w:rsidRPr="00D44092">
              <w:rPr>
                <w:lang w:val="en-GB"/>
              </w:rPr>
              <w:t>Closeness centrality</w:t>
            </w:r>
          </w:p>
        </w:tc>
        <w:tc>
          <w:tcPr>
            <w:tcW w:w="3553" w:type="dxa"/>
            <w:tcBorders>
              <w:top w:val="single" w:sz="4" w:space="0" w:color="auto"/>
              <w:left w:val="single" w:sz="4" w:space="0" w:color="auto"/>
              <w:bottom w:val="single" w:sz="4" w:space="0" w:color="auto"/>
              <w:right w:val="single" w:sz="4" w:space="0" w:color="auto"/>
            </w:tcBorders>
            <w:noWrap/>
            <w:hideMark/>
          </w:tcPr>
          <w:p w14:paraId="0CFAE63A" w14:textId="77777777" w:rsidR="00401E72" w:rsidRPr="00D44092" w:rsidRDefault="00401E72" w:rsidP="00A21BAE">
            <w:pPr>
              <w:rPr>
                <w:lang w:val="en-GB"/>
              </w:rPr>
            </w:pPr>
            <w:r w:rsidRPr="00D44092">
              <w:rPr>
                <w:lang w:val="en-GB"/>
              </w:rPr>
              <w:t>Closeness</w:t>
            </w:r>
          </w:p>
        </w:tc>
        <w:tc>
          <w:tcPr>
            <w:tcW w:w="965" w:type="dxa"/>
            <w:tcBorders>
              <w:top w:val="single" w:sz="4" w:space="0" w:color="auto"/>
              <w:left w:val="single" w:sz="4" w:space="0" w:color="auto"/>
              <w:bottom w:val="single" w:sz="4" w:space="0" w:color="auto"/>
              <w:right w:val="single" w:sz="4" w:space="0" w:color="auto"/>
            </w:tcBorders>
            <w:noWrap/>
            <w:hideMark/>
          </w:tcPr>
          <w:p w14:paraId="105EEF41" w14:textId="77777777" w:rsidR="00401E72" w:rsidRPr="00D44092" w:rsidRDefault="00401E72" w:rsidP="00A21BAE">
            <w:pPr>
              <w:rPr>
                <w:lang w:val="en-GB"/>
              </w:rPr>
            </w:pPr>
            <w:r w:rsidRPr="00D44092">
              <w:rPr>
                <w:lang w:val="en-GB"/>
              </w:rPr>
              <w:t>6</w:t>
            </w:r>
          </w:p>
        </w:tc>
      </w:tr>
      <w:tr w:rsidR="00401E72" w:rsidRPr="00D44092" w14:paraId="5555711F"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CC259C" w14:textId="77777777" w:rsidR="00401E72" w:rsidRPr="00D44092" w:rsidRDefault="00401E72" w:rsidP="00A21BAE">
            <w:pPr>
              <w:rPr>
                <w:lang w:val="en-GB"/>
              </w:rPr>
            </w:pPr>
          </w:p>
        </w:tc>
        <w:tc>
          <w:tcPr>
            <w:tcW w:w="3669" w:type="dxa"/>
            <w:vMerge w:val="restart"/>
            <w:tcBorders>
              <w:top w:val="single" w:sz="4" w:space="0" w:color="auto"/>
              <w:left w:val="single" w:sz="4" w:space="0" w:color="auto"/>
              <w:bottom w:val="single" w:sz="4" w:space="0" w:color="auto"/>
              <w:right w:val="single" w:sz="4" w:space="0" w:color="auto"/>
            </w:tcBorders>
            <w:hideMark/>
          </w:tcPr>
          <w:p w14:paraId="3DCB8F6A" w14:textId="77777777" w:rsidR="00401E72" w:rsidRPr="00D44092" w:rsidRDefault="00401E72" w:rsidP="00A21BAE">
            <w:pPr>
              <w:rPr>
                <w:lang w:val="en-GB"/>
              </w:rPr>
            </w:pPr>
            <w:r w:rsidRPr="00D44092">
              <w:rPr>
                <w:lang w:val="en-GB"/>
              </w:rPr>
              <w:t>Eigenvector centrality</w:t>
            </w:r>
          </w:p>
        </w:tc>
        <w:tc>
          <w:tcPr>
            <w:tcW w:w="3553" w:type="dxa"/>
            <w:tcBorders>
              <w:top w:val="single" w:sz="4" w:space="0" w:color="auto"/>
              <w:left w:val="single" w:sz="4" w:space="0" w:color="auto"/>
              <w:bottom w:val="single" w:sz="4" w:space="0" w:color="auto"/>
              <w:right w:val="single" w:sz="4" w:space="0" w:color="auto"/>
            </w:tcBorders>
            <w:noWrap/>
            <w:hideMark/>
          </w:tcPr>
          <w:p w14:paraId="4549A2C2" w14:textId="77777777" w:rsidR="00401E72" w:rsidRPr="00D44092" w:rsidRDefault="00401E72" w:rsidP="00A21BAE">
            <w:pPr>
              <w:rPr>
                <w:lang w:val="en-GB"/>
              </w:rPr>
            </w:pPr>
            <w:r w:rsidRPr="00D44092">
              <w:rPr>
                <w:lang w:val="en-GB"/>
              </w:rPr>
              <w:t>Eigenvector centrality</w:t>
            </w:r>
          </w:p>
        </w:tc>
        <w:tc>
          <w:tcPr>
            <w:tcW w:w="965" w:type="dxa"/>
            <w:tcBorders>
              <w:top w:val="single" w:sz="4" w:space="0" w:color="auto"/>
              <w:left w:val="single" w:sz="4" w:space="0" w:color="auto"/>
              <w:bottom w:val="single" w:sz="4" w:space="0" w:color="auto"/>
              <w:right w:val="single" w:sz="4" w:space="0" w:color="auto"/>
            </w:tcBorders>
            <w:noWrap/>
            <w:hideMark/>
          </w:tcPr>
          <w:p w14:paraId="34F5D0BB" w14:textId="77777777" w:rsidR="00401E72" w:rsidRPr="00D44092" w:rsidRDefault="00401E72" w:rsidP="00A21BAE">
            <w:pPr>
              <w:rPr>
                <w:lang w:val="en-GB"/>
              </w:rPr>
            </w:pPr>
            <w:r w:rsidRPr="00D44092">
              <w:rPr>
                <w:lang w:val="en-GB"/>
              </w:rPr>
              <w:t>8</w:t>
            </w:r>
          </w:p>
        </w:tc>
      </w:tr>
      <w:tr w:rsidR="00401E72" w:rsidRPr="00D44092" w14:paraId="71544B5D"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E18E46" w14:textId="77777777" w:rsidR="00401E72" w:rsidRPr="00D44092"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1BEF5D" w14:textId="77777777" w:rsidR="00401E72" w:rsidRPr="00D44092"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63BABE1E" w14:textId="77777777" w:rsidR="00401E72" w:rsidRPr="00D44092" w:rsidRDefault="00401E72" w:rsidP="00A21BAE">
            <w:pPr>
              <w:rPr>
                <w:lang w:val="en-GB"/>
              </w:rPr>
            </w:pPr>
            <w:r w:rsidRPr="00D44092">
              <w:rPr>
                <w:lang w:val="en-GB"/>
              </w:rPr>
              <w:t>Pagerank centrality</w:t>
            </w:r>
          </w:p>
        </w:tc>
        <w:tc>
          <w:tcPr>
            <w:tcW w:w="965" w:type="dxa"/>
            <w:tcBorders>
              <w:top w:val="single" w:sz="4" w:space="0" w:color="auto"/>
              <w:left w:val="single" w:sz="4" w:space="0" w:color="auto"/>
              <w:bottom w:val="single" w:sz="4" w:space="0" w:color="auto"/>
              <w:right w:val="single" w:sz="4" w:space="0" w:color="auto"/>
            </w:tcBorders>
            <w:noWrap/>
            <w:hideMark/>
          </w:tcPr>
          <w:p w14:paraId="0E1C5E24" w14:textId="77777777" w:rsidR="00401E72" w:rsidRPr="00D44092" w:rsidRDefault="00401E72" w:rsidP="00A21BAE">
            <w:pPr>
              <w:rPr>
                <w:lang w:val="en-GB"/>
              </w:rPr>
            </w:pPr>
            <w:r w:rsidRPr="00D44092">
              <w:rPr>
                <w:lang w:val="en-GB"/>
              </w:rPr>
              <w:t>2</w:t>
            </w:r>
          </w:p>
        </w:tc>
      </w:tr>
      <w:tr w:rsidR="00401E72" w:rsidRPr="00D44092" w14:paraId="186927AC"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DC2925" w14:textId="77777777" w:rsidR="00401E72" w:rsidRPr="00D44092"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233BBF" w14:textId="77777777" w:rsidR="00401E72" w:rsidRPr="00D44092"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48B7D6EB" w14:textId="77777777" w:rsidR="00401E72" w:rsidRPr="00BF7426" w:rsidRDefault="00401E72" w:rsidP="00A21BAE">
            <w:pPr>
              <w:rPr>
                <w:lang w:val="en-GB"/>
              </w:rPr>
            </w:pPr>
            <w:r w:rsidRPr="00D44092">
              <w:rPr>
                <w:lang w:val="en-GB"/>
              </w:rPr>
              <w:t xml:space="preserve">Bonanich </w:t>
            </w:r>
            <w:r w:rsidRPr="00BF7426">
              <w:rPr>
                <w:lang w:val="en-GB"/>
              </w:rPr>
              <w:t>power</w:t>
            </w:r>
          </w:p>
        </w:tc>
        <w:tc>
          <w:tcPr>
            <w:tcW w:w="965" w:type="dxa"/>
            <w:tcBorders>
              <w:top w:val="single" w:sz="4" w:space="0" w:color="auto"/>
              <w:left w:val="single" w:sz="4" w:space="0" w:color="auto"/>
              <w:bottom w:val="single" w:sz="4" w:space="0" w:color="auto"/>
              <w:right w:val="single" w:sz="4" w:space="0" w:color="auto"/>
            </w:tcBorders>
            <w:noWrap/>
            <w:hideMark/>
          </w:tcPr>
          <w:p w14:paraId="4FBCC89E" w14:textId="77777777" w:rsidR="00401E72" w:rsidRPr="00BF7426" w:rsidRDefault="00401E72" w:rsidP="00A21BAE">
            <w:pPr>
              <w:rPr>
                <w:lang w:val="en-GB"/>
              </w:rPr>
            </w:pPr>
            <w:r w:rsidRPr="00BF7426">
              <w:rPr>
                <w:lang w:val="en-GB"/>
              </w:rPr>
              <w:t>1</w:t>
            </w:r>
          </w:p>
        </w:tc>
      </w:tr>
      <w:tr w:rsidR="00401E72" w:rsidRPr="00D44092" w14:paraId="3D8B1714"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23B5E6"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1605E5D0" w14:textId="77777777" w:rsidR="00401E72" w:rsidRPr="00BF7426" w:rsidRDefault="00401E72" w:rsidP="00A21BAE">
            <w:pPr>
              <w:rPr>
                <w:lang w:val="en-GB"/>
              </w:rPr>
            </w:pPr>
            <w:r w:rsidRPr="00BF7426">
              <w:rPr>
                <w:lang w:val="en-GB"/>
              </w:rPr>
              <w:t>Reciprocity</w:t>
            </w:r>
          </w:p>
        </w:tc>
        <w:tc>
          <w:tcPr>
            <w:tcW w:w="3553" w:type="dxa"/>
            <w:tcBorders>
              <w:top w:val="single" w:sz="4" w:space="0" w:color="auto"/>
              <w:left w:val="single" w:sz="4" w:space="0" w:color="auto"/>
              <w:bottom w:val="single" w:sz="4" w:space="0" w:color="auto"/>
              <w:right w:val="single" w:sz="4" w:space="0" w:color="auto"/>
            </w:tcBorders>
            <w:noWrap/>
            <w:hideMark/>
          </w:tcPr>
          <w:p w14:paraId="7B4E2B4F" w14:textId="77777777" w:rsidR="00401E72" w:rsidRPr="00BF7426" w:rsidRDefault="00401E72" w:rsidP="00A21BAE">
            <w:pPr>
              <w:rPr>
                <w:lang w:val="en-GB"/>
              </w:rPr>
            </w:pPr>
            <w:r w:rsidRPr="00BF7426">
              <w:rPr>
                <w:lang w:val="en-GB"/>
              </w:rPr>
              <w:t>Reciprocity</w:t>
            </w:r>
          </w:p>
        </w:tc>
        <w:tc>
          <w:tcPr>
            <w:tcW w:w="965" w:type="dxa"/>
            <w:tcBorders>
              <w:top w:val="single" w:sz="4" w:space="0" w:color="auto"/>
              <w:left w:val="single" w:sz="4" w:space="0" w:color="auto"/>
              <w:bottom w:val="single" w:sz="4" w:space="0" w:color="auto"/>
              <w:right w:val="single" w:sz="4" w:space="0" w:color="auto"/>
            </w:tcBorders>
            <w:noWrap/>
            <w:hideMark/>
          </w:tcPr>
          <w:p w14:paraId="00E0723C" w14:textId="77777777" w:rsidR="00401E72" w:rsidRPr="00BF7426" w:rsidRDefault="00401E72" w:rsidP="00A21BAE">
            <w:pPr>
              <w:rPr>
                <w:lang w:val="en-GB"/>
              </w:rPr>
            </w:pPr>
            <w:r w:rsidRPr="00BF7426">
              <w:rPr>
                <w:lang w:val="en-GB"/>
              </w:rPr>
              <w:t>9</w:t>
            </w:r>
          </w:p>
        </w:tc>
      </w:tr>
      <w:tr w:rsidR="00401E72" w:rsidRPr="00D44092" w14:paraId="70FFC8F1"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012559"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7302866B" w14:textId="77777777" w:rsidR="00401E72" w:rsidRPr="00BF7426" w:rsidRDefault="00401E72" w:rsidP="00A21BAE">
            <w:pPr>
              <w:rPr>
                <w:lang w:val="en-GB"/>
              </w:rPr>
            </w:pPr>
            <w:r w:rsidRPr="00BF7426">
              <w:rPr>
                <w:lang w:val="en-GB"/>
              </w:rPr>
              <w:t>Contagion centrality</w:t>
            </w:r>
          </w:p>
        </w:tc>
        <w:tc>
          <w:tcPr>
            <w:tcW w:w="3553" w:type="dxa"/>
            <w:tcBorders>
              <w:top w:val="single" w:sz="4" w:space="0" w:color="auto"/>
              <w:left w:val="single" w:sz="4" w:space="0" w:color="auto"/>
              <w:bottom w:val="single" w:sz="4" w:space="0" w:color="auto"/>
              <w:right w:val="single" w:sz="4" w:space="0" w:color="auto"/>
            </w:tcBorders>
            <w:noWrap/>
            <w:hideMark/>
          </w:tcPr>
          <w:p w14:paraId="42EBB4D3" w14:textId="77777777" w:rsidR="00401E72" w:rsidRPr="00BF7426" w:rsidRDefault="00401E72" w:rsidP="00A21BAE">
            <w:pPr>
              <w:rPr>
                <w:lang w:val="en-GB"/>
              </w:rPr>
            </w:pPr>
            <w:r w:rsidRPr="00BF7426">
              <w:rPr>
                <w:lang w:val="en-GB"/>
              </w:rPr>
              <w:t>Contagion centrality</w:t>
            </w:r>
          </w:p>
        </w:tc>
        <w:tc>
          <w:tcPr>
            <w:tcW w:w="965" w:type="dxa"/>
            <w:tcBorders>
              <w:top w:val="single" w:sz="4" w:space="0" w:color="auto"/>
              <w:left w:val="single" w:sz="4" w:space="0" w:color="auto"/>
              <w:bottom w:val="single" w:sz="4" w:space="0" w:color="auto"/>
              <w:right w:val="single" w:sz="4" w:space="0" w:color="auto"/>
            </w:tcBorders>
            <w:noWrap/>
            <w:hideMark/>
          </w:tcPr>
          <w:p w14:paraId="6784E987" w14:textId="77777777" w:rsidR="00401E72" w:rsidRPr="00BF7426" w:rsidRDefault="00401E72" w:rsidP="00A21BAE">
            <w:pPr>
              <w:rPr>
                <w:lang w:val="en-GB"/>
              </w:rPr>
            </w:pPr>
            <w:r w:rsidRPr="00BF7426">
              <w:rPr>
                <w:lang w:val="en-GB"/>
              </w:rPr>
              <w:t>1</w:t>
            </w:r>
          </w:p>
        </w:tc>
      </w:tr>
      <w:tr w:rsidR="00401E72" w:rsidRPr="00D44092" w14:paraId="5BCFDBA1"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CCAAC8"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09C07D6C" w14:textId="77777777" w:rsidR="00401E72" w:rsidRPr="00BF7426" w:rsidRDefault="00401E72" w:rsidP="00A21BAE">
            <w:pPr>
              <w:rPr>
                <w:lang w:val="en-GB"/>
              </w:rPr>
            </w:pPr>
            <w:r w:rsidRPr="00BF7426">
              <w:rPr>
                <w:lang w:val="en-GB"/>
              </w:rPr>
              <w:t>Out-component size</w:t>
            </w:r>
          </w:p>
        </w:tc>
        <w:tc>
          <w:tcPr>
            <w:tcW w:w="3553" w:type="dxa"/>
            <w:tcBorders>
              <w:top w:val="single" w:sz="4" w:space="0" w:color="auto"/>
              <w:left w:val="single" w:sz="4" w:space="0" w:color="auto"/>
              <w:bottom w:val="single" w:sz="4" w:space="0" w:color="auto"/>
              <w:right w:val="single" w:sz="4" w:space="0" w:color="auto"/>
            </w:tcBorders>
            <w:noWrap/>
            <w:hideMark/>
          </w:tcPr>
          <w:p w14:paraId="389845A4" w14:textId="77777777" w:rsidR="00401E72" w:rsidRPr="00BF7426" w:rsidRDefault="00401E72" w:rsidP="00A21BAE">
            <w:pPr>
              <w:rPr>
                <w:lang w:val="en-GB"/>
              </w:rPr>
            </w:pPr>
            <w:r w:rsidRPr="00BF7426">
              <w:rPr>
                <w:lang w:val="en-GB"/>
              </w:rPr>
              <w:t>Out-component size</w:t>
            </w:r>
          </w:p>
        </w:tc>
        <w:tc>
          <w:tcPr>
            <w:tcW w:w="965" w:type="dxa"/>
            <w:tcBorders>
              <w:top w:val="single" w:sz="4" w:space="0" w:color="auto"/>
              <w:left w:val="single" w:sz="4" w:space="0" w:color="auto"/>
              <w:bottom w:val="single" w:sz="4" w:space="0" w:color="auto"/>
              <w:right w:val="single" w:sz="4" w:space="0" w:color="auto"/>
            </w:tcBorders>
            <w:noWrap/>
            <w:hideMark/>
          </w:tcPr>
          <w:p w14:paraId="44B48144" w14:textId="77777777" w:rsidR="00401E72" w:rsidRPr="00BF7426" w:rsidRDefault="00401E72" w:rsidP="00A21BAE">
            <w:pPr>
              <w:rPr>
                <w:lang w:val="en-GB"/>
              </w:rPr>
            </w:pPr>
            <w:r w:rsidRPr="00BF7426">
              <w:rPr>
                <w:lang w:val="en-GB"/>
              </w:rPr>
              <w:t>1</w:t>
            </w:r>
          </w:p>
        </w:tc>
      </w:tr>
      <w:tr w:rsidR="00401E72" w:rsidRPr="00D44092" w14:paraId="3ED5D691"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2985BB"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63FC3365" w14:textId="77777777" w:rsidR="00401E72" w:rsidRPr="00BF7426" w:rsidRDefault="00401E72" w:rsidP="00A21BAE">
            <w:pPr>
              <w:rPr>
                <w:lang w:val="en-GB"/>
              </w:rPr>
            </w:pPr>
            <w:r w:rsidRPr="00BF7426">
              <w:rPr>
                <w:lang w:val="en-GB"/>
              </w:rPr>
              <w:t>Local rich-club coefficient</w:t>
            </w:r>
          </w:p>
        </w:tc>
        <w:tc>
          <w:tcPr>
            <w:tcW w:w="3553" w:type="dxa"/>
            <w:tcBorders>
              <w:top w:val="single" w:sz="4" w:space="0" w:color="auto"/>
              <w:left w:val="single" w:sz="4" w:space="0" w:color="auto"/>
              <w:bottom w:val="single" w:sz="4" w:space="0" w:color="auto"/>
              <w:right w:val="single" w:sz="4" w:space="0" w:color="auto"/>
            </w:tcBorders>
            <w:noWrap/>
            <w:hideMark/>
          </w:tcPr>
          <w:p w14:paraId="5D4C8913" w14:textId="77777777" w:rsidR="00401E72" w:rsidRPr="00BF7426" w:rsidRDefault="00401E72" w:rsidP="00A21BAE">
            <w:pPr>
              <w:rPr>
                <w:lang w:val="en-GB"/>
              </w:rPr>
            </w:pPr>
            <w:r w:rsidRPr="00BF7426">
              <w:rPr>
                <w:lang w:val="en-GB"/>
              </w:rPr>
              <w:t>Local rich-club coefficient</w:t>
            </w:r>
          </w:p>
        </w:tc>
        <w:tc>
          <w:tcPr>
            <w:tcW w:w="965" w:type="dxa"/>
            <w:tcBorders>
              <w:top w:val="single" w:sz="4" w:space="0" w:color="auto"/>
              <w:left w:val="single" w:sz="4" w:space="0" w:color="auto"/>
              <w:bottom w:val="single" w:sz="4" w:space="0" w:color="auto"/>
              <w:right w:val="single" w:sz="4" w:space="0" w:color="auto"/>
            </w:tcBorders>
            <w:noWrap/>
            <w:hideMark/>
          </w:tcPr>
          <w:p w14:paraId="5C338082" w14:textId="77777777" w:rsidR="00401E72" w:rsidRPr="00BF7426" w:rsidRDefault="00401E72" w:rsidP="00A21BAE">
            <w:pPr>
              <w:rPr>
                <w:lang w:val="en-GB"/>
              </w:rPr>
            </w:pPr>
            <w:r w:rsidRPr="00BF7426">
              <w:rPr>
                <w:lang w:val="en-GB"/>
              </w:rPr>
              <w:t>1</w:t>
            </w:r>
          </w:p>
        </w:tc>
      </w:tr>
      <w:tr w:rsidR="00401E72" w:rsidRPr="00D44092" w14:paraId="5C55EBDF" w14:textId="77777777" w:rsidTr="00A21BA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953C43"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7435AA08" w14:textId="77777777" w:rsidR="00401E72" w:rsidRPr="00BF7426" w:rsidRDefault="00401E72" w:rsidP="00A21BAE">
            <w:pPr>
              <w:rPr>
                <w:lang w:val="en-GB"/>
              </w:rPr>
            </w:pPr>
            <w:r w:rsidRPr="00BF7426">
              <w:rPr>
                <w:lang w:val="en-GB"/>
              </w:rPr>
              <w:t>Local efficiency</w:t>
            </w:r>
          </w:p>
        </w:tc>
        <w:tc>
          <w:tcPr>
            <w:tcW w:w="3553" w:type="dxa"/>
            <w:tcBorders>
              <w:top w:val="single" w:sz="4" w:space="0" w:color="auto"/>
              <w:left w:val="single" w:sz="4" w:space="0" w:color="auto"/>
              <w:bottom w:val="single" w:sz="4" w:space="0" w:color="auto"/>
              <w:right w:val="single" w:sz="4" w:space="0" w:color="auto"/>
            </w:tcBorders>
            <w:noWrap/>
            <w:hideMark/>
          </w:tcPr>
          <w:p w14:paraId="49C8F0FD" w14:textId="77777777" w:rsidR="00401E72" w:rsidRPr="00BF7426" w:rsidRDefault="00401E72" w:rsidP="00A21BAE">
            <w:pPr>
              <w:rPr>
                <w:lang w:val="en-GB"/>
              </w:rPr>
            </w:pPr>
            <w:r w:rsidRPr="00BF7426">
              <w:rPr>
                <w:lang w:val="en-GB"/>
              </w:rPr>
              <w:t>Local efficiency</w:t>
            </w:r>
          </w:p>
        </w:tc>
        <w:tc>
          <w:tcPr>
            <w:tcW w:w="965" w:type="dxa"/>
            <w:tcBorders>
              <w:top w:val="single" w:sz="4" w:space="0" w:color="auto"/>
              <w:left w:val="single" w:sz="4" w:space="0" w:color="auto"/>
              <w:bottom w:val="single" w:sz="4" w:space="0" w:color="auto"/>
              <w:right w:val="single" w:sz="4" w:space="0" w:color="auto"/>
            </w:tcBorders>
            <w:noWrap/>
            <w:hideMark/>
          </w:tcPr>
          <w:p w14:paraId="3CD1EBF5" w14:textId="77777777" w:rsidR="00401E72" w:rsidRPr="00BF7426" w:rsidRDefault="00401E72" w:rsidP="00A21BAE">
            <w:pPr>
              <w:rPr>
                <w:lang w:val="en-GB"/>
              </w:rPr>
            </w:pPr>
            <w:r w:rsidRPr="00BF7426">
              <w:rPr>
                <w:lang w:val="en-GB"/>
              </w:rPr>
              <w:t>1</w:t>
            </w:r>
          </w:p>
        </w:tc>
      </w:tr>
      <w:tr w:rsidR="00401E72" w:rsidRPr="00D44092" w14:paraId="54B1C5EE" w14:textId="77777777" w:rsidTr="00A21BA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746A9FE"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1CF46944" w14:textId="77777777" w:rsidR="00401E72" w:rsidRPr="00BF7426" w:rsidRDefault="00401E72" w:rsidP="00A21BAE">
            <w:pPr>
              <w:rPr>
                <w:lang w:val="en-GB"/>
              </w:rPr>
            </w:pPr>
            <w:r w:rsidRPr="00BF7426">
              <w:rPr>
                <w:lang w:val="en-GB"/>
              </w:rPr>
              <w:t>H index</w:t>
            </w:r>
          </w:p>
        </w:tc>
        <w:tc>
          <w:tcPr>
            <w:tcW w:w="3553" w:type="dxa"/>
            <w:tcBorders>
              <w:top w:val="single" w:sz="4" w:space="0" w:color="auto"/>
              <w:left w:val="single" w:sz="4" w:space="0" w:color="auto"/>
              <w:bottom w:val="single" w:sz="4" w:space="0" w:color="auto"/>
              <w:right w:val="single" w:sz="4" w:space="0" w:color="auto"/>
            </w:tcBorders>
            <w:noWrap/>
            <w:hideMark/>
          </w:tcPr>
          <w:p w14:paraId="67771012" w14:textId="77777777" w:rsidR="00401E72" w:rsidRPr="00BF7426" w:rsidRDefault="00401E72" w:rsidP="00A21BAE">
            <w:pPr>
              <w:autoSpaceDE w:val="0"/>
              <w:autoSpaceDN w:val="0"/>
              <w:adjustRightInd w:val="0"/>
              <w:rPr>
                <w:lang w:val="en-GB"/>
              </w:rPr>
            </w:pPr>
            <w:r w:rsidRPr="00BF7426">
              <w:rPr>
                <w:lang w:val="en-GB"/>
              </w:rPr>
              <w:t>H index</w:t>
            </w:r>
          </w:p>
        </w:tc>
        <w:tc>
          <w:tcPr>
            <w:tcW w:w="965" w:type="dxa"/>
            <w:tcBorders>
              <w:top w:val="single" w:sz="4" w:space="0" w:color="auto"/>
              <w:left w:val="single" w:sz="4" w:space="0" w:color="auto"/>
              <w:bottom w:val="single" w:sz="4" w:space="0" w:color="auto"/>
              <w:right w:val="single" w:sz="4" w:space="0" w:color="auto"/>
            </w:tcBorders>
            <w:noWrap/>
            <w:hideMark/>
          </w:tcPr>
          <w:p w14:paraId="5DB06F7C" w14:textId="77777777" w:rsidR="00401E72" w:rsidRPr="00BF7426" w:rsidRDefault="00401E72" w:rsidP="00A21BAE">
            <w:pPr>
              <w:rPr>
                <w:lang w:val="en-GB"/>
              </w:rPr>
            </w:pPr>
            <w:r w:rsidRPr="00BF7426">
              <w:rPr>
                <w:lang w:val="en-GB"/>
              </w:rPr>
              <w:t>1</w:t>
            </w:r>
          </w:p>
        </w:tc>
      </w:tr>
      <w:tr w:rsidR="00401E72" w:rsidRPr="00D44092" w14:paraId="013104DA" w14:textId="77777777" w:rsidTr="00A21BAE">
        <w:trPr>
          <w:trHeight w:val="288"/>
        </w:trPr>
        <w:tc>
          <w:tcPr>
            <w:tcW w:w="875" w:type="dxa"/>
            <w:vMerge w:val="restart"/>
            <w:tcBorders>
              <w:top w:val="single" w:sz="4" w:space="0" w:color="auto"/>
              <w:left w:val="single" w:sz="4" w:space="0" w:color="auto"/>
              <w:bottom w:val="single" w:sz="4" w:space="0" w:color="auto"/>
              <w:right w:val="single" w:sz="4" w:space="0" w:color="auto"/>
            </w:tcBorders>
            <w:hideMark/>
          </w:tcPr>
          <w:p w14:paraId="43032C27" w14:textId="77777777" w:rsidR="00401E72" w:rsidRPr="00BF7426" w:rsidRDefault="00401E72" w:rsidP="00A21BAE">
            <w:pPr>
              <w:rPr>
                <w:lang w:val="en-GB"/>
              </w:rPr>
            </w:pPr>
            <w:r w:rsidRPr="00BF7426">
              <w:rPr>
                <w:lang w:val="en-GB"/>
              </w:rPr>
              <w:t>Dyad-level</w:t>
            </w:r>
          </w:p>
        </w:tc>
        <w:tc>
          <w:tcPr>
            <w:tcW w:w="3669" w:type="dxa"/>
            <w:tcBorders>
              <w:top w:val="single" w:sz="4" w:space="0" w:color="auto"/>
              <w:left w:val="single" w:sz="4" w:space="0" w:color="auto"/>
              <w:bottom w:val="single" w:sz="4" w:space="0" w:color="auto"/>
              <w:right w:val="single" w:sz="4" w:space="0" w:color="auto"/>
            </w:tcBorders>
            <w:hideMark/>
          </w:tcPr>
          <w:p w14:paraId="6BC1B533" w14:textId="77777777" w:rsidR="00401E72" w:rsidRPr="00BF7426" w:rsidRDefault="00401E72" w:rsidP="00A21BAE">
            <w:pPr>
              <w:rPr>
                <w:lang w:val="en-GB"/>
              </w:rPr>
            </w:pPr>
            <w:r w:rsidRPr="00BF7426">
              <w:rPr>
                <w:lang w:val="en-GB"/>
              </w:rPr>
              <w:t>Geodesic distance</w:t>
            </w:r>
          </w:p>
        </w:tc>
        <w:tc>
          <w:tcPr>
            <w:tcW w:w="3553" w:type="dxa"/>
            <w:tcBorders>
              <w:top w:val="single" w:sz="4" w:space="0" w:color="auto"/>
              <w:left w:val="single" w:sz="4" w:space="0" w:color="auto"/>
              <w:bottom w:val="single" w:sz="4" w:space="0" w:color="auto"/>
              <w:right w:val="single" w:sz="4" w:space="0" w:color="auto"/>
            </w:tcBorders>
            <w:noWrap/>
            <w:hideMark/>
          </w:tcPr>
          <w:p w14:paraId="015147FD" w14:textId="77777777" w:rsidR="00401E72" w:rsidRPr="00BF7426" w:rsidRDefault="00401E72" w:rsidP="00A21BAE">
            <w:pPr>
              <w:rPr>
                <w:lang w:val="en-GB"/>
              </w:rPr>
            </w:pPr>
            <w:r w:rsidRPr="00BF7426">
              <w:rPr>
                <w:lang w:val="en-GB"/>
              </w:rPr>
              <w:t>Geodesic distance</w:t>
            </w:r>
          </w:p>
        </w:tc>
        <w:tc>
          <w:tcPr>
            <w:tcW w:w="965" w:type="dxa"/>
            <w:tcBorders>
              <w:top w:val="single" w:sz="4" w:space="0" w:color="auto"/>
              <w:left w:val="single" w:sz="4" w:space="0" w:color="auto"/>
              <w:bottom w:val="single" w:sz="4" w:space="0" w:color="auto"/>
              <w:right w:val="single" w:sz="4" w:space="0" w:color="auto"/>
            </w:tcBorders>
            <w:noWrap/>
            <w:hideMark/>
          </w:tcPr>
          <w:p w14:paraId="26435C19" w14:textId="77777777" w:rsidR="00401E72" w:rsidRPr="00BF7426" w:rsidRDefault="00401E72" w:rsidP="00A21BAE">
            <w:pPr>
              <w:rPr>
                <w:lang w:val="en-GB"/>
              </w:rPr>
            </w:pPr>
            <w:r w:rsidRPr="00BF7426">
              <w:rPr>
                <w:lang w:val="en-GB"/>
              </w:rPr>
              <w:t>6</w:t>
            </w:r>
          </w:p>
        </w:tc>
      </w:tr>
      <w:tr w:rsidR="00401E72" w:rsidRPr="00D44092" w14:paraId="0C0631F2"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93CF09"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517A786E" w14:textId="77777777" w:rsidR="00401E72" w:rsidRPr="00BF7426" w:rsidRDefault="00401E72" w:rsidP="00A21BAE">
            <w:pPr>
              <w:rPr>
                <w:lang w:val="en-GB"/>
              </w:rPr>
            </w:pPr>
            <w:r w:rsidRPr="00BF7426">
              <w:rPr>
                <w:lang w:val="en-GB"/>
              </w:rPr>
              <w:t>Jaccard similarity</w:t>
            </w:r>
          </w:p>
        </w:tc>
        <w:tc>
          <w:tcPr>
            <w:tcW w:w="3553" w:type="dxa"/>
            <w:tcBorders>
              <w:top w:val="single" w:sz="4" w:space="0" w:color="auto"/>
              <w:left w:val="single" w:sz="4" w:space="0" w:color="auto"/>
              <w:bottom w:val="single" w:sz="4" w:space="0" w:color="auto"/>
              <w:right w:val="single" w:sz="4" w:space="0" w:color="auto"/>
            </w:tcBorders>
            <w:noWrap/>
            <w:hideMark/>
          </w:tcPr>
          <w:p w14:paraId="626AEDB9" w14:textId="77777777" w:rsidR="00401E72" w:rsidRPr="00BF7426" w:rsidRDefault="00401E72" w:rsidP="00A21BAE">
            <w:pPr>
              <w:rPr>
                <w:lang w:val="en-GB"/>
              </w:rPr>
            </w:pPr>
            <w:r w:rsidRPr="00BF7426">
              <w:rPr>
                <w:lang w:val="en-GB"/>
              </w:rPr>
              <w:t>Jaccard similarity</w:t>
            </w:r>
          </w:p>
        </w:tc>
        <w:tc>
          <w:tcPr>
            <w:tcW w:w="965" w:type="dxa"/>
            <w:tcBorders>
              <w:top w:val="single" w:sz="4" w:space="0" w:color="auto"/>
              <w:left w:val="single" w:sz="4" w:space="0" w:color="auto"/>
              <w:bottom w:val="single" w:sz="4" w:space="0" w:color="auto"/>
              <w:right w:val="single" w:sz="4" w:space="0" w:color="auto"/>
            </w:tcBorders>
            <w:noWrap/>
            <w:hideMark/>
          </w:tcPr>
          <w:p w14:paraId="3B2EC346" w14:textId="77777777" w:rsidR="00401E72" w:rsidRPr="00BF7426" w:rsidRDefault="00401E72" w:rsidP="00A21BAE">
            <w:pPr>
              <w:rPr>
                <w:lang w:val="en-GB"/>
              </w:rPr>
            </w:pPr>
            <w:r w:rsidRPr="00BF7426">
              <w:rPr>
                <w:lang w:val="en-GB"/>
              </w:rPr>
              <w:t>2</w:t>
            </w:r>
          </w:p>
        </w:tc>
      </w:tr>
      <w:tr w:rsidR="00401E72" w:rsidRPr="00D44092" w14:paraId="5C88454C"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B6B866"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50CD16B1" w14:textId="77777777" w:rsidR="00401E72" w:rsidRPr="00BF7426" w:rsidRDefault="00401E72" w:rsidP="00A21BAE">
            <w:pPr>
              <w:rPr>
                <w:lang w:val="en-GB"/>
              </w:rPr>
            </w:pPr>
            <w:r w:rsidRPr="00BF7426">
              <w:rPr>
                <w:lang w:val="en-GB"/>
              </w:rPr>
              <w:t>Niche overlap</w:t>
            </w:r>
          </w:p>
        </w:tc>
        <w:tc>
          <w:tcPr>
            <w:tcW w:w="3553" w:type="dxa"/>
            <w:tcBorders>
              <w:top w:val="single" w:sz="4" w:space="0" w:color="auto"/>
              <w:left w:val="single" w:sz="4" w:space="0" w:color="auto"/>
              <w:bottom w:val="single" w:sz="4" w:space="0" w:color="auto"/>
              <w:right w:val="single" w:sz="4" w:space="0" w:color="auto"/>
            </w:tcBorders>
            <w:noWrap/>
            <w:hideMark/>
          </w:tcPr>
          <w:p w14:paraId="66EC64E2" w14:textId="77777777" w:rsidR="00401E72" w:rsidRPr="00BF7426" w:rsidRDefault="00401E72" w:rsidP="00A21BAE">
            <w:pPr>
              <w:rPr>
                <w:lang w:val="en-GB"/>
              </w:rPr>
            </w:pPr>
            <w:r w:rsidRPr="00BF7426">
              <w:rPr>
                <w:lang w:val="en-GB"/>
              </w:rPr>
              <w:t>Niche overlap</w:t>
            </w:r>
          </w:p>
        </w:tc>
        <w:tc>
          <w:tcPr>
            <w:tcW w:w="965" w:type="dxa"/>
            <w:tcBorders>
              <w:top w:val="single" w:sz="4" w:space="0" w:color="auto"/>
              <w:left w:val="single" w:sz="4" w:space="0" w:color="auto"/>
              <w:bottom w:val="single" w:sz="4" w:space="0" w:color="auto"/>
              <w:right w:val="single" w:sz="4" w:space="0" w:color="auto"/>
            </w:tcBorders>
            <w:noWrap/>
            <w:hideMark/>
          </w:tcPr>
          <w:p w14:paraId="15E7111D" w14:textId="77777777" w:rsidR="00401E72" w:rsidRPr="00BF7426" w:rsidRDefault="00401E72" w:rsidP="00A21BAE">
            <w:pPr>
              <w:rPr>
                <w:lang w:val="en-GB"/>
              </w:rPr>
            </w:pPr>
            <w:r w:rsidRPr="00BF7426">
              <w:rPr>
                <w:lang w:val="en-GB"/>
              </w:rPr>
              <w:t>2</w:t>
            </w:r>
          </w:p>
        </w:tc>
      </w:tr>
      <w:tr w:rsidR="00401E72" w:rsidRPr="00D44092" w14:paraId="642A3754"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2D7648D"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4C395D4C" w14:textId="77777777" w:rsidR="00401E72" w:rsidRPr="00BF7426" w:rsidRDefault="00401E72" w:rsidP="00A21BAE">
            <w:pPr>
              <w:rPr>
                <w:lang w:val="en-GB"/>
              </w:rPr>
            </w:pPr>
            <w:r w:rsidRPr="00BF7426">
              <w:rPr>
                <w:lang w:val="en-GB"/>
              </w:rPr>
              <w:t>Edge activity</w:t>
            </w:r>
          </w:p>
        </w:tc>
        <w:tc>
          <w:tcPr>
            <w:tcW w:w="3553" w:type="dxa"/>
            <w:tcBorders>
              <w:top w:val="single" w:sz="4" w:space="0" w:color="auto"/>
              <w:left w:val="single" w:sz="4" w:space="0" w:color="auto"/>
              <w:bottom w:val="single" w:sz="4" w:space="0" w:color="auto"/>
              <w:right w:val="single" w:sz="4" w:space="0" w:color="auto"/>
            </w:tcBorders>
            <w:noWrap/>
            <w:hideMark/>
          </w:tcPr>
          <w:p w14:paraId="4FBD11FD" w14:textId="77777777" w:rsidR="00401E72" w:rsidRPr="00BF7426" w:rsidRDefault="00401E72" w:rsidP="00A21BAE">
            <w:pPr>
              <w:rPr>
                <w:lang w:val="en-GB"/>
              </w:rPr>
            </w:pPr>
            <w:r w:rsidRPr="00BF7426">
              <w:rPr>
                <w:lang w:val="en-GB"/>
              </w:rPr>
              <w:t>Edge activity</w:t>
            </w:r>
          </w:p>
        </w:tc>
        <w:tc>
          <w:tcPr>
            <w:tcW w:w="965" w:type="dxa"/>
            <w:tcBorders>
              <w:top w:val="single" w:sz="4" w:space="0" w:color="auto"/>
              <w:left w:val="single" w:sz="4" w:space="0" w:color="auto"/>
              <w:bottom w:val="single" w:sz="4" w:space="0" w:color="auto"/>
              <w:right w:val="single" w:sz="4" w:space="0" w:color="auto"/>
            </w:tcBorders>
            <w:noWrap/>
            <w:hideMark/>
          </w:tcPr>
          <w:p w14:paraId="2367E789" w14:textId="77777777" w:rsidR="00401E72" w:rsidRPr="00BF7426" w:rsidRDefault="00401E72" w:rsidP="00A21BAE">
            <w:pPr>
              <w:rPr>
                <w:lang w:val="en-GB"/>
              </w:rPr>
            </w:pPr>
            <w:r w:rsidRPr="00BF7426">
              <w:rPr>
                <w:lang w:val="en-GB"/>
              </w:rPr>
              <w:t>1</w:t>
            </w:r>
          </w:p>
        </w:tc>
      </w:tr>
      <w:tr w:rsidR="00401E72" w:rsidRPr="008A34B1" w14:paraId="055D3800"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997313"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13E0666A" w14:textId="77777777" w:rsidR="00401E72" w:rsidRPr="00BF7426" w:rsidRDefault="00401E72" w:rsidP="00A21BAE">
            <w:pPr>
              <w:rPr>
                <w:lang w:val="en-GB"/>
              </w:rPr>
            </w:pPr>
            <w:r w:rsidRPr="00BF7426">
              <w:rPr>
                <w:lang w:val="en-GB"/>
              </w:rPr>
              <w:t>Edge weight variability score</w:t>
            </w:r>
          </w:p>
        </w:tc>
        <w:tc>
          <w:tcPr>
            <w:tcW w:w="3553" w:type="dxa"/>
            <w:tcBorders>
              <w:top w:val="single" w:sz="4" w:space="0" w:color="auto"/>
              <w:left w:val="single" w:sz="4" w:space="0" w:color="auto"/>
              <w:bottom w:val="single" w:sz="4" w:space="0" w:color="auto"/>
              <w:right w:val="single" w:sz="4" w:space="0" w:color="auto"/>
            </w:tcBorders>
            <w:noWrap/>
            <w:hideMark/>
          </w:tcPr>
          <w:p w14:paraId="22C5A110" w14:textId="77777777" w:rsidR="00401E72" w:rsidRPr="00BF7426" w:rsidRDefault="00401E72" w:rsidP="00A21BAE">
            <w:pPr>
              <w:rPr>
                <w:lang w:val="en-GB"/>
              </w:rPr>
            </w:pPr>
            <w:r w:rsidRPr="00BF7426">
              <w:rPr>
                <w:lang w:val="en-GB"/>
              </w:rPr>
              <w:t>Edge weight variability score</w:t>
            </w:r>
          </w:p>
        </w:tc>
        <w:tc>
          <w:tcPr>
            <w:tcW w:w="965" w:type="dxa"/>
            <w:tcBorders>
              <w:top w:val="single" w:sz="4" w:space="0" w:color="auto"/>
              <w:left w:val="single" w:sz="4" w:space="0" w:color="auto"/>
              <w:bottom w:val="single" w:sz="4" w:space="0" w:color="auto"/>
              <w:right w:val="single" w:sz="4" w:space="0" w:color="auto"/>
            </w:tcBorders>
            <w:noWrap/>
            <w:hideMark/>
          </w:tcPr>
          <w:p w14:paraId="12C0B144" w14:textId="77777777" w:rsidR="00401E72" w:rsidRPr="00BF7426" w:rsidRDefault="00401E72" w:rsidP="00A21BAE">
            <w:pPr>
              <w:rPr>
                <w:lang w:val="en-GB"/>
              </w:rPr>
            </w:pPr>
            <w:r w:rsidRPr="00BF7426">
              <w:rPr>
                <w:lang w:val="en-GB"/>
              </w:rPr>
              <w:t>1</w:t>
            </w:r>
          </w:p>
        </w:tc>
      </w:tr>
      <w:tr w:rsidR="00401E72" w:rsidRPr="008A34B1" w14:paraId="1C5E0D14"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3A179D" w14:textId="77777777" w:rsidR="00401E72" w:rsidRPr="00BF7426" w:rsidRDefault="00401E72" w:rsidP="00A21BAE">
            <w:pPr>
              <w:rPr>
                <w:lang w:val="en-GB"/>
              </w:rPr>
            </w:pPr>
          </w:p>
        </w:tc>
        <w:tc>
          <w:tcPr>
            <w:tcW w:w="3669" w:type="dxa"/>
            <w:vMerge w:val="restart"/>
            <w:tcBorders>
              <w:top w:val="single" w:sz="4" w:space="0" w:color="auto"/>
              <w:left w:val="single" w:sz="4" w:space="0" w:color="auto"/>
              <w:bottom w:val="single" w:sz="4" w:space="0" w:color="auto"/>
              <w:right w:val="single" w:sz="4" w:space="0" w:color="auto"/>
            </w:tcBorders>
            <w:hideMark/>
          </w:tcPr>
          <w:p w14:paraId="23A8C40B" w14:textId="77777777" w:rsidR="00401E72" w:rsidRPr="00BF7426" w:rsidRDefault="00401E72" w:rsidP="00A21BAE">
            <w:pPr>
              <w:rPr>
                <w:lang w:val="en-GB"/>
              </w:rPr>
            </w:pPr>
            <w:r w:rsidRPr="00BF7426">
              <w:rPr>
                <w:lang w:val="en-GB"/>
              </w:rPr>
              <w:t>Shared partners</w:t>
            </w:r>
          </w:p>
        </w:tc>
        <w:tc>
          <w:tcPr>
            <w:tcW w:w="3553" w:type="dxa"/>
            <w:tcBorders>
              <w:top w:val="single" w:sz="4" w:space="0" w:color="auto"/>
              <w:left w:val="single" w:sz="4" w:space="0" w:color="auto"/>
              <w:bottom w:val="single" w:sz="4" w:space="0" w:color="auto"/>
              <w:right w:val="single" w:sz="4" w:space="0" w:color="auto"/>
            </w:tcBorders>
            <w:noWrap/>
            <w:hideMark/>
          </w:tcPr>
          <w:p w14:paraId="1C75A3F4" w14:textId="77777777" w:rsidR="00401E72" w:rsidRPr="006E6048" w:rsidRDefault="00401E72" w:rsidP="00A21BAE">
            <w:pPr>
              <w:rPr>
                <w:lang w:val="en-US"/>
              </w:rPr>
            </w:pPr>
            <w:r w:rsidRPr="006E6048">
              <w:rPr>
                <w:lang w:val="en-US"/>
              </w:rPr>
              <w:t>Weighted non-edgewise shared partners</w:t>
            </w:r>
          </w:p>
        </w:tc>
        <w:tc>
          <w:tcPr>
            <w:tcW w:w="965" w:type="dxa"/>
            <w:tcBorders>
              <w:top w:val="single" w:sz="4" w:space="0" w:color="auto"/>
              <w:left w:val="single" w:sz="4" w:space="0" w:color="auto"/>
              <w:bottom w:val="single" w:sz="4" w:space="0" w:color="auto"/>
              <w:right w:val="single" w:sz="4" w:space="0" w:color="auto"/>
            </w:tcBorders>
            <w:noWrap/>
            <w:hideMark/>
          </w:tcPr>
          <w:p w14:paraId="681F85D4" w14:textId="77777777" w:rsidR="00401E72" w:rsidRPr="00BF7426" w:rsidRDefault="00401E72" w:rsidP="00A21BAE">
            <w:pPr>
              <w:rPr>
                <w:lang w:val="en-GB"/>
              </w:rPr>
            </w:pPr>
            <w:r w:rsidRPr="00BF7426">
              <w:rPr>
                <w:lang w:val="en-GB"/>
              </w:rPr>
              <w:t>1</w:t>
            </w:r>
          </w:p>
        </w:tc>
      </w:tr>
      <w:tr w:rsidR="00401E72" w:rsidRPr="008A34B1" w14:paraId="0A1BC444"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2883CB" w14:textId="77777777" w:rsidR="00401E72" w:rsidRPr="00BF7426"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054E02F" w14:textId="77777777" w:rsidR="00401E72" w:rsidRPr="00BF7426"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432931F5" w14:textId="77777777" w:rsidR="00401E72" w:rsidRPr="00BF7426" w:rsidRDefault="00401E72" w:rsidP="00A21BAE">
            <w:pPr>
              <w:rPr>
                <w:lang w:val="en-GB"/>
              </w:rPr>
            </w:pPr>
            <w:r w:rsidRPr="00BF7426">
              <w:rPr>
                <w:lang w:val="en-GB"/>
              </w:rPr>
              <w:t>Weighted edgewise shared partners</w:t>
            </w:r>
          </w:p>
        </w:tc>
        <w:tc>
          <w:tcPr>
            <w:tcW w:w="965" w:type="dxa"/>
            <w:tcBorders>
              <w:top w:val="single" w:sz="4" w:space="0" w:color="auto"/>
              <w:left w:val="single" w:sz="4" w:space="0" w:color="auto"/>
              <w:bottom w:val="single" w:sz="4" w:space="0" w:color="auto"/>
              <w:right w:val="single" w:sz="4" w:space="0" w:color="auto"/>
            </w:tcBorders>
            <w:noWrap/>
            <w:hideMark/>
          </w:tcPr>
          <w:p w14:paraId="1E6E5767" w14:textId="77777777" w:rsidR="00401E72" w:rsidRPr="00BF7426" w:rsidRDefault="00401E72" w:rsidP="00A21BAE">
            <w:pPr>
              <w:rPr>
                <w:lang w:val="en-GB"/>
              </w:rPr>
            </w:pPr>
            <w:r w:rsidRPr="00BF7426">
              <w:rPr>
                <w:lang w:val="en-GB"/>
              </w:rPr>
              <w:t>1</w:t>
            </w:r>
          </w:p>
        </w:tc>
      </w:tr>
      <w:tr w:rsidR="00401E72" w:rsidRPr="008A34B1" w14:paraId="5919250E"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4520DE" w14:textId="77777777" w:rsidR="00401E72" w:rsidRPr="00BF7426" w:rsidRDefault="00401E72" w:rsidP="00A21BAE">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0ADF63" w14:textId="77777777" w:rsidR="00401E72" w:rsidRPr="00BF7426" w:rsidRDefault="00401E72" w:rsidP="00A21BAE">
            <w:pPr>
              <w:rPr>
                <w:lang w:val="en-GB"/>
              </w:rPr>
            </w:pPr>
          </w:p>
        </w:tc>
        <w:tc>
          <w:tcPr>
            <w:tcW w:w="3553" w:type="dxa"/>
            <w:tcBorders>
              <w:top w:val="single" w:sz="4" w:space="0" w:color="auto"/>
              <w:left w:val="single" w:sz="4" w:space="0" w:color="auto"/>
              <w:bottom w:val="single" w:sz="4" w:space="0" w:color="auto"/>
              <w:right w:val="single" w:sz="4" w:space="0" w:color="auto"/>
            </w:tcBorders>
            <w:noWrap/>
            <w:hideMark/>
          </w:tcPr>
          <w:p w14:paraId="0D287A50" w14:textId="77777777" w:rsidR="00401E72" w:rsidRPr="00BF7426" w:rsidRDefault="00401E72" w:rsidP="00A21BAE">
            <w:pPr>
              <w:rPr>
                <w:lang w:val="en-GB"/>
              </w:rPr>
            </w:pPr>
            <w:r w:rsidRPr="00BF7426">
              <w:rPr>
                <w:lang w:val="en-GB"/>
              </w:rPr>
              <w:t>Shared partners</w:t>
            </w:r>
          </w:p>
        </w:tc>
        <w:tc>
          <w:tcPr>
            <w:tcW w:w="965" w:type="dxa"/>
            <w:tcBorders>
              <w:top w:val="single" w:sz="4" w:space="0" w:color="auto"/>
              <w:left w:val="single" w:sz="4" w:space="0" w:color="auto"/>
              <w:bottom w:val="single" w:sz="4" w:space="0" w:color="auto"/>
              <w:right w:val="single" w:sz="4" w:space="0" w:color="auto"/>
            </w:tcBorders>
            <w:noWrap/>
            <w:hideMark/>
          </w:tcPr>
          <w:p w14:paraId="64E8FC04" w14:textId="77777777" w:rsidR="00401E72" w:rsidRPr="00BF7426" w:rsidRDefault="00401E72" w:rsidP="00A21BAE">
            <w:pPr>
              <w:rPr>
                <w:lang w:val="en-GB"/>
              </w:rPr>
            </w:pPr>
            <w:r w:rsidRPr="00BF7426">
              <w:rPr>
                <w:lang w:val="en-GB"/>
              </w:rPr>
              <w:t>1</w:t>
            </w:r>
          </w:p>
        </w:tc>
      </w:tr>
      <w:tr w:rsidR="00401E72" w:rsidRPr="008A34B1" w14:paraId="4E491A49"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AF70BD"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4984D6A8" w14:textId="77777777" w:rsidR="00401E72" w:rsidRPr="00BF7426" w:rsidRDefault="00401E72" w:rsidP="00A21BAE">
            <w:pPr>
              <w:rPr>
                <w:lang w:val="en-GB"/>
              </w:rPr>
            </w:pPr>
            <w:r w:rsidRPr="00BF7426">
              <w:rPr>
                <w:lang w:val="en-GB"/>
              </w:rPr>
              <w:t>Short-term reciprocation</w:t>
            </w:r>
          </w:p>
        </w:tc>
        <w:tc>
          <w:tcPr>
            <w:tcW w:w="3553" w:type="dxa"/>
            <w:tcBorders>
              <w:top w:val="single" w:sz="4" w:space="0" w:color="auto"/>
              <w:left w:val="single" w:sz="4" w:space="0" w:color="auto"/>
              <w:bottom w:val="single" w:sz="4" w:space="0" w:color="auto"/>
              <w:right w:val="single" w:sz="4" w:space="0" w:color="auto"/>
            </w:tcBorders>
            <w:noWrap/>
            <w:hideMark/>
          </w:tcPr>
          <w:p w14:paraId="082BB643" w14:textId="77777777" w:rsidR="00401E72" w:rsidRPr="00BF7426" w:rsidRDefault="00401E72" w:rsidP="00A21BAE">
            <w:pPr>
              <w:rPr>
                <w:lang w:val="en-GB"/>
              </w:rPr>
            </w:pPr>
            <w:r w:rsidRPr="00BF7426">
              <w:rPr>
                <w:lang w:val="en-GB"/>
              </w:rPr>
              <w:t>Short-term reciprocation</w:t>
            </w:r>
          </w:p>
        </w:tc>
        <w:tc>
          <w:tcPr>
            <w:tcW w:w="965" w:type="dxa"/>
            <w:tcBorders>
              <w:top w:val="single" w:sz="4" w:space="0" w:color="auto"/>
              <w:left w:val="single" w:sz="4" w:space="0" w:color="auto"/>
              <w:bottom w:val="single" w:sz="4" w:space="0" w:color="auto"/>
              <w:right w:val="single" w:sz="4" w:space="0" w:color="auto"/>
            </w:tcBorders>
            <w:noWrap/>
            <w:hideMark/>
          </w:tcPr>
          <w:p w14:paraId="0FFBE9E8" w14:textId="77777777" w:rsidR="00401E72" w:rsidRPr="00BF7426" w:rsidRDefault="00401E72" w:rsidP="00A21BAE">
            <w:pPr>
              <w:rPr>
                <w:lang w:val="en-GB"/>
              </w:rPr>
            </w:pPr>
            <w:r w:rsidRPr="00BF7426">
              <w:rPr>
                <w:lang w:val="en-GB"/>
              </w:rPr>
              <w:t>1</w:t>
            </w:r>
          </w:p>
        </w:tc>
      </w:tr>
      <w:tr w:rsidR="00401E72" w:rsidRPr="008A34B1" w14:paraId="00D76CB3"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582346A"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4F21B4CD" w14:textId="77777777" w:rsidR="00401E72" w:rsidRPr="00BF7426" w:rsidRDefault="00401E72" w:rsidP="00A21BAE">
            <w:pPr>
              <w:rPr>
                <w:lang w:val="en-GB"/>
              </w:rPr>
            </w:pPr>
            <w:r w:rsidRPr="00BF7426">
              <w:rPr>
                <w:lang w:val="en-GB"/>
              </w:rPr>
              <w:t>Long-term reciprocation</w:t>
            </w:r>
          </w:p>
        </w:tc>
        <w:tc>
          <w:tcPr>
            <w:tcW w:w="3553" w:type="dxa"/>
            <w:tcBorders>
              <w:top w:val="single" w:sz="4" w:space="0" w:color="auto"/>
              <w:left w:val="single" w:sz="4" w:space="0" w:color="auto"/>
              <w:bottom w:val="single" w:sz="4" w:space="0" w:color="auto"/>
              <w:right w:val="single" w:sz="4" w:space="0" w:color="auto"/>
            </w:tcBorders>
            <w:noWrap/>
            <w:hideMark/>
          </w:tcPr>
          <w:p w14:paraId="5B2204B2" w14:textId="77777777" w:rsidR="00401E72" w:rsidRPr="00BF7426" w:rsidRDefault="00401E72" w:rsidP="00A21BAE">
            <w:pPr>
              <w:rPr>
                <w:lang w:val="en-GB"/>
              </w:rPr>
            </w:pPr>
            <w:r w:rsidRPr="00BF7426">
              <w:rPr>
                <w:lang w:val="en-GB"/>
              </w:rPr>
              <w:t>Long-term reciprocation</w:t>
            </w:r>
          </w:p>
        </w:tc>
        <w:tc>
          <w:tcPr>
            <w:tcW w:w="965" w:type="dxa"/>
            <w:tcBorders>
              <w:top w:val="single" w:sz="4" w:space="0" w:color="auto"/>
              <w:left w:val="single" w:sz="4" w:space="0" w:color="auto"/>
              <w:bottom w:val="single" w:sz="4" w:space="0" w:color="auto"/>
              <w:right w:val="single" w:sz="4" w:space="0" w:color="auto"/>
            </w:tcBorders>
            <w:noWrap/>
            <w:hideMark/>
          </w:tcPr>
          <w:p w14:paraId="431B13E7" w14:textId="77777777" w:rsidR="00401E72" w:rsidRPr="00BF7426" w:rsidRDefault="00401E72" w:rsidP="00A21BAE">
            <w:pPr>
              <w:rPr>
                <w:lang w:val="en-GB"/>
              </w:rPr>
            </w:pPr>
            <w:r w:rsidRPr="00BF7426">
              <w:rPr>
                <w:lang w:val="en-GB"/>
              </w:rPr>
              <w:t>1</w:t>
            </w:r>
          </w:p>
        </w:tc>
      </w:tr>
      <w:tr w:rsidR="00401E72" w:rsidRPr="008A34B1" w14:paraId="7A930C79" w14:textId="77777777" w:rsidTr="00A21BA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71B218"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1BCA1CDC" w14:textId="77777777" w:rsidR="00401E72" w:rsidRPr="00BF7426" w:rsidRDefault="00401E72" w:rsidP="00A21BAE">
            <w:pPr>
              <w:rPr>
                <w:lang w:val="en-GB"/>
              </w:rPr>
            </w:pPr>
            <w:r w:rsidRPr="00BF7426">
              <w:rPr>
                <w:lang w:val="en-GB"/>
              </w:rPr>
              <w:t>Weighted cosine similarity</w:t>
            </w:r>
          </w:p>
        </w:tc>
        <w:tc>
          <w:tcPr>
            <w:tcW w:w="3553" w:type="dxa"/>
            <w:tcBorders>
              <w:top w:val="single" w:sz="4" w:space="0" w:color="auto"/>
              <w:left w:val="single" w:sz="4" w:space="0" w:color="auto"/>
              <w:bottom w:val="single" w:sz="4" w:space="0" w:color="auto"/>
              <w:right w:val="single" w:sz="4" w:space="0" w:color="auto"/>
            </w:tcBorders>
            <w:noWrap/>
            <w:hideMark/>
          </w:tcPr>
          <w:p w14:paraId="33C1F692" w14:textId="77777777" w:rsidR="00401E72" w:rsidRPr="00BF7426" w:rsidRDefault="00401E72" w:rsidP="00A21BAE">
            <w:pPr>
              <w:rPr>
                <w:lang w:val="en-GB"/>
              </w:rPr>
            </w:pPr>
            <w:r w:rsidRPr="00BF7426">
              <w:rPr>
                <w:lang w:val="en-GB"/>
              </w:rPr>
              <w:t>Weighted cosine similarity</w:t>
            </w:r>
          </w:p>
        </w:tc>
        <w:tc>
          <w:tcPr>
            <w:tcW w:w="965" w:type="dxa"/>
            <w:tcBorders>
              <w:top w:val="single" w:sz="4" w:space="0" w:color="auto"/>
              <w:left w:val="single" w:sz="4" w:space="0" w:color="auto"/>
              <w:bottom w:val="single" w:sz="4" w:space="0" w:color="auto"/>
              <w:right w:val="single" w:sz="4" w:space="0" w:color="auto"/>
            </w:tcBorders>
            <w:noWrap/>
            <w:hideMark/>
          </w:tcPr>
          <w:p w14:paraId="331CFFEE" w14:textId="77777777" w:rsidR="00401E72" w:rsidRPr="00BF7426" w:rsidRDefault="00401E72" w:rsidP="00A21BAE">
            <w:pPr>
              <w:rPr>
                <w:lang w:val="en-GB"/>
              </w:rPr>
            </w:pPr>
            <w:r w:rsidRPr="00BF7426">
              <w:rPr>
                <w:lang w:val="en-GB"/>
              </w:rPr>
              <w:t>1</w:t>
            </w:r>
          </w:p>
        </w:tc>
      </w:tr>
      <w:tr w:rsidR="00401E72" w:rsidRPr="008A34B1" w14:paraId="5B0EBCAC" w14:textId="77777777" w:rsidTr="00A21BAE">
        <w:trPr>
          <w:trHeight w:val="288"/>
        </w:trPr>
        <w:tc>
          <w:tcPr>
            <w:tcW w:w="875" w:type="dxa"/>
            <w:vMerge w:val="restart"/>
            <w:tcBorders>
              <w:top w:val="single" w:sz="4" w:space="0" w:color="auto"/>
              <w:left w:val="single" w:sz="4" w:space="0" w:color="auto"/>
              <w:bottom w:val="single" w:sz="4" w:space="0" w:color="auto"/>
              <w:right w:val="single" w:sz="4" w:space="0" w:color="auto"/>
            </w:tcBorders>
            <w:hideMark/>
          </w:tcPr>
          <w:p w14:paraId="765274F1" w14:textId="77777777" w:rsidR="00401E72" w:rsidRPr="00BF7426" w:rsidRDefault="00401E72" w:rsidP="00A21BAE">
            <w:pPr>
              <w:rPr>
                <w:lang w:val="en-GB"/>
              </w:rPr>
            </w:pPr>
            <w:r w:rsidRPr="00BF7426">
              <w:rPr>
                <w:lang w:val="en-GB"/>
              </w:rPr>
              <w:t>Triad-level</w:t>
            </w:r>
          </w:p>
        </w:tc>
        <w:tc>
          <w:tcPr>
            <w:tcW w:w="3669" w:type="dxa"/>
            <w:tcBorders>
              <w:top w:val="single" w:sz="4" w:space="0" w:color="auto"/>
              <w:left w:val="single" w:sz="4" w:space="0" w:color="auto"/>
              <w:bottom w:val="single" w:sz="4" w:space="0" w:color="auto"/>
              <w:right w:val="single" w:sz="4" w:space="0" w:color="auto"/>
            </w:tcBorders>
            <w:hideMark/>
          </w:tcPr>
          <w:p w14:paraId="545D2C79" w14:textId="77777777" w:rsidR="00401E72" w:rsidRPr="006E6048" w:rsidRDefault="00401E72" w:rsidP="00A21BAE">
            <w:pPr>
              <w:rPr>
                <w:lang w:val="en-US"/>
              </w:rPr>
            </w:pPr>
            <w:r w:rsidRPr="006E6048">
              <w:rPr>
                <w:lang w:val="en-US"/>
              </w:rPr>
              <w:t>Local transitivity/local clustering coefficient</w:t>
            </w:r>
          </w:p>
        </w:tc>
        <w:tc>
          <w:tcPr>
            <w:tcW w:w="3553" w:type="dxa"/>
            <w:tcBorders>
              <w:top w:val="single" w:sz="4" w:space="0" w:color="auto"/>
              <w:left w:val="single" w:sz="4" w:space="0" w:color="auto"/>
              <w:bottom w:val="single" w:sz="4" w:space="0" w:color="auto"/>
              <w:right w:val="single" w:sz="4" w:space="0" w:color="auto"/>
            </w:tcBorders>
            <w:noWrap/>
            <w:hideMark/>
          </w:tcPr>
          <w:p w14:paraId="157FFF97" w14:textId="77777777" w:rsidR="00401E72" w:rsidRPr="00BF7426" w:rsidRDefault="00401E72" w:rsidP="00A21BAE">
            <w:pPr>
              <w:rPr>
                <w:lang w:val="en-GB"/>
              </w:rPr>
            </w:pPr>
            <w:r w:rsidRPr="00BF7426">
              <w:rPr>
                <w:lang w:val="en-GB"/>
              </w:rPr>
              <w:t>Local clustering coefficient</w:t>
            </w:r>
          </w:p>
        </w:tc>
        <w:tc>
          <w:tcPr>
            <w:tcW w:w="965" w:type="dxa"/>
            <w:tcBorders>
              <w:top w:val="single" w:sz="4" w:space="0" w:color="auto"/>
              <w:left w:val="single" w:sz="4" w:space="0" w:color="auto"/>
              <w:bottom w:val="single" w:sz="4" w:space="0" w:color="auto"/>
              <w:right w:val="single" w:sz="4" w:space="0" w:color="auto"/>
            </w:tcBorders>
            <w:noWrap/>
            <w:hideMark/>
          </w:tcPr>
          <w:p w14:paraId="6A7D1154" w14:textId="77777777" w:rsidR="00401E72" w:rsidRPr="00BF7426" w:rsidRDefault="00401E72" w:rsidP="00A21BAE">
            <w:pPr>
              <w:rPr>
                <w:lang w:val="en-GB"/>
              </w:rPr>
            </w:pPr>
            <w:r w:rsidRPr="00BF7426">
              <w:rPr>
                <w:lang w:val="en-GB"/>
              </w:rPr>
              <w:t>3</w:t>
            </w:r>
          </w:p>
        </w:tc>
      </w:tr>
      <w:tr w:rsidR="00401E72" w:rsidRPr="008A34B1" w14:paraId="2B45B525"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6907AC" w14:textId="77777777" w:rsidR="00401E72" w:rsidRPr="00BF7426" w:rsidRDefault="00401E72" w:rsidP="00A21BAE">
            <w:pPr>
              <w:rPr>
                <w:lang w:val="en-GB"/>
              </w:rPr>
            </w:pPr>
          </w:p>
        </w:tc>
        <w:tc>
          <w:tcPr>
            <w:tcW w:w="3669" w:type="dxa"/>
            <w:tcBorders>
              <w:top w:val="single" w:sz="4" w:space="0" w:color="auto"/>
              <w:left w:val="single" w:sz="4" w:space="0" w:color="auto"/>
              <w:bottom w:val="single" w:sz="4" w:space="0" w:color="auto"/>
              <w:right w:val="single" w:sz="4" w:space="0" w:color="auto"/>
            </w:tcBorders>
            <w:hideMark/>
          </w:tcPr>
          <w:p w14:paraId="5B582E9E" w14:textId="77777777" w:rsidR="00401E72" w:rsidRPr="00BF7426" w:rsidRDefault="00401E72" w:rsidP="00A21BAE">
            <w:pPr>
              <w:rPr>
                <w:lang w:val="en-GB"/>
              </w:rPr>
            </w:pPr>
            <w:r w:rsidRPr="00BF7426">
              <w:rPr>
                <w:lang w:val="en-GB"/>
              </w:rPr>
              <w:t>Cyclic closure/transitive ties</w:t>
            </w:r>
          </w:p>
        </w:tc>
        <w:tc>
          <w:tcPr>
            <w:tcW w:w="3553" w:type="dxa"/>
            <w:tcBorders>
              <w:top w:val="single" w:sz="4" w:space="0" w:color="auto"/>
              <w:left w:val="single" w:sz="4" w:space="0" w:color="auto"/>
              <w:bottom w:val="single" w:sz="4" w:space="0" w:color="auto"/>
              <w:right w:val="single" w:sz="4" w:space="0" w:color="auto"/>
            </w:tcBorders>
            <w:noWrap/>
            <w:hideMark/>
          </w:tcPr>
          <w:p w14:paraId="61015B22" w14:textId="77777777" w:rsidR="00401E72" w:rsidRPr="00BF7426" w:rsidRDefault="00401E72" w:rsidP="00A21BAE">
            <w:pPr>
              <w:rPr>
                <w:lang w:val="en-GB"/>
              </w:rPr>
            </w:pPr>
            <w:r w:rsidRPr="00BF7426">
              <w:rPr>
                <w:lang w:val="en-GB"/>
              </w:rPr>
              <w:t>Cyclic closure</w:t>
            </w:r>
          </w:p>
        </w:tc>
        <w:tc>
          <w:tcPr>
            <w:tcW w:w="965" w:type="dxa"/>
            <w:tcBorders>
              <w:top w:val="single" w:sz="4" w:space="0" w:color="auto"/>
              <w:left w:val="single" w:sz="4" w:space="0" w:color="auto"/>
              <w:bottom w:val="single" w:sz="4" w:space="0" w:color="auto"/>
              <w:right w:val="single" w:sz="4" w:space="0" w:color="auto"/>
            </w:tcBorders>
            <w:noWrap/>
            <w:hideMark/>
          </w:tcPr>
          <w:p w14:paraId="0C120B3C" w14:textId="77777777" w:rsidR="00401E72" w:rsidRPr="00BF7426" w:rsidRDefault="00401E72" w:rsidP="00A21BAE">
            <w:pPr>
              <w:rPr>
                <w:lang w:val="en-GB"/>
              </w:rPr>
            </w:pPr>
            <w:r w:rsidRPr="00BF7426">
              <w:rPr>
                <w:lang w:val="en-GB"/>
              </w:rPr>
              <w:t>5</w:t>
            </w:r>
          </w:p>
        </w:tc>
      </w:tr>
      <w:tr w:rsidR="00401E72" w14:paraId="11DE8ABB"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4316B2" w14:textId="77777777" w:rsidR="00401E72" w:rsidRPr="00BF7426" w:rsidRDefault="00401E72" w:rsidP="00A21BAE">
            <w:pPr>
              <w:rPr>
                <w:lang w:val="en-GB"/>
              </w:rPr>
            </w:pPr>
          </w:p>
        </w:tc>
        <w:tc>
          <w:tcPr>
            <w:tcW w:w="3669" w:type="dxa"/>
            <w:vMerge w:val="restart"/>
            <w:tcBorders>
              <w:top w:val="single" w:sz="4" w:space="0" w:color="auto"/>
              <w:left w:val="single" w:sz="4" w:space="0" w:color="auto"/>
              <w:bottom w:val="single" w:sz="4" w:space="0" w:color="auto"/>
              <w:right w:val="single" w:sz="4" w:space="0" w:color="auto"/>
            </w:tcBorders>
            <w:hideMark/>
          </w:tcPr>
          <w:p w14:paraId="24CA84BB" w14:textId="77777777" w:rsidR="00401E72" w:rsidRPr="006E6048" w:rsidRDefault="00401E72" w:rsidP="00A21BAE">
            <w:pPr>
              <w:rPr>
                <w:lang w:val="en-US"/>
              </w:rPr>
            </w:pPr>
            <w:r w:rsidRPr="006E6048">
              <w:rPr>
                <w:lang w:val="en-US"/>
              </w:rPr>
              <w:t>Cyclic closure/transitive ties for directed networks</w:t>
            </w:r>
          </w:p>
        </w:tc>
        <w:tc>
          <w:tcPr>
            <w:tcW w:w="3553" w:type="dxa"/>
            <w:tcBorders>
              <w:top w:val="single" w:sz="4" w:space="0" w:color="auto"/>
              <w:left w:val="single" w:sz="4" w:space="0" w:color="auto"/>
              <w:bottom w:val="single" w:sz="4" w:space="0" w:color="auto"/>
              <w:right w:val="single" w:sz="4" w:space="0" w:color="auto"/>
            </w:tcBorders>
            <w:noWrap/>
            <w:hideMark/>
          </w:tcPr>
          <w:p w14:paraId="0852BA27" w14:textId="77777777" w:rsidR="00401E72" w:rsidRPr="006E6048" w:rsidRDefault="00401E72" w:rsidP="00A21BAE">
            <w:r w:rsidRPr="006E6048">
              <w:t>Sending balance</w:t>
            </w:r>
          </w:p>
        </w:tc>
        <w:tc>
          <w:tcPr>
            <w:tcW w:w="965" w:type="dxa"/>
            <w:tcBorders>
              <w:top w:val="single" w:sz="4" w:space="0" w:color="auto"/>
              <w:left w:val="single" w:sz="4" w:space="0" w:color="auto"/>
              <w:bottom w:val="single" w:sz="4" w:space="0" w:color="auto"/>
              <w:right w:val="single" w:sz="4" w:space="0" w:color="auto"/>
            </w:tcBorders>
            <w:noWrap/>
            <w:hideMark/>
          </w:tcPr>
          <w:p w14:paraId="68BC10D4" w14:textId="77777777" w:rsidR="00401E72" w:rsidRPr="006E6048" w:rsidRDefault="00401E72" w:rsidP="00A21BAE">
            <w:r w:rsidRPr="006E6048">
              <w:t>3</w:t>
            </w:r>
          </w:p>
        </w:tc>
      </w:tr>
      <w:tr w:rsidR="00401E72" w14:paraId="6A24A2F2"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7CE920" w14:textId="77777777" w:rsidR="00401E72" w:rsidRPr="006E6048" w:rsidRDefault="00401E72" w:rsidP="00A21BAE"/>
        </w:tc>
        <w:tc>
          <w:tcPr>
            <w:tcW w:w="0" w:type="auto"/>
            <w:vMerge/>
            <w:tcBorders>
              <w:top w:val="single" w:sz="4" w:space="0" w:color="auto"/>
              <w:left w:val="single" w:sz="4" w:space="0" w:color="auto"/>
              <w:bottom w:val="single" w:sz="4" w:space="0" w:color="auto"/>
              <w:right w:val="single" w:sz="4" w:space="0" w:color="auto"/>
            </w:tcBorders>
            <w:vAlign w:val="center"/>
            <w:hideMark/>
          </w:tcPr>
          <w:p w14:paraId="50082526" w14:textId="77777777" w:rsidR="00401E72" w:rsidRPr="006E6048" w:rsidRDefault="00401E72" w:rsidP="00A21BAE">
            <w:pPr>
              <w:rPr>
                <w:lang w:val="en-US"/>
              </w:rPr>
            </w:pPr>
          </w:p>
        </w:tc>
        <w:tc>
          <w:tcPr>
            <w:tcW w:w="3553" w:type="dxa"/>
            <w:tcBorders>
              <w:top w:val="single" w:sz="4" w:space="0" w:color="auto"/>
              <w:left w:val="single" w:sz="4" w:space="0" w:color="auto"/>
              <w:bottom w:val="single" w:sz="4" w:space="0" w:color="auto"/>
              <w:right w:val="single" w:sz="4" w:space="0" w:color="auto"/>
            </w:tcBorders>
            <w:noWrap/>
            <w:hideMark/>
          </w:tcPr>
          <w:p w14:paraId="6386094E" w14:textId="77777777" w:rsidR="00401E72" w:rsidRPr="006E6048" w:rsidRDefault="00401E72" w:rsidP="00A21BAE">
            <w:r w:rsidRPr="006E6048">
              <w:t>Receiving balance</w:t>
            </w:r>
          </w:p>
        </w:tc>
        <w:tc>
          <w:tcPr>
            <w:tcW w:w="965" w:type="dxa"/>
            <w:tcBorders>
              <w:top w:val="single" w:sz="4" w:space="0" w:color="auto"/>
              <w:left w:val="single" w:sz="4" w:space="0" w:color="auto"/>
              <w:bottom w:val="single" w:sz="4" w:space="0" w:color="auto"/>
              <w:right w:val="single" w:sz="4" w:space="0" w:color="auto"/>
            </w:tcBorders>
            <w:noWrap/>
            <w:hideMark/>
          </w:tcPr>
          <w:p w14:paraId="281FE1C2" w14:textId="77777777" w:rsidR="00401E72" w:rsidRPr="006E6048" w:rsidRDefault="00401E72" w:rsidP="00A21BAE">
            <w:r w:rsidRPr="006E6048">
              <w:t>3</w:t>
            </w:r>
          </w:p>
        </w:tc>
      </w:tr>
      <w:tr w:rsidR="00401E72" w14:paraId="29BDF9F2"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8C0518" w14:textId="77777777" w:rsidR="00401E72" w:rsidRPr="006E6048" w:rsidRDefault="00401E72" w:rsidP="00A21BAE"/>
        </w:tc>
        <w:tc>
          <w:tcPr>
            <w:tcW w:w="3669" w:type="dxa"/>
            <w:vMerge w:val="restart"/>
            <w:tcBorders>
              <w:top w:val="single" w:sz="4" w:space="0" w:color="auto"/>
              <w:left w:val="single" w:sz="4" w:space="0" w:color="auto"/>
              <w:bottom w:val="single" w:sz="4" w:space="0" w:color="auto"/>
              <w:right w:val="single" w:sz="4" w:space="0" w:color="auto"/>
            </w:tcBorders>
            <w:hideMark/>
          </w:tcPr>
          <w:p w14:paraId="08AC21C5" w14:textId="77777777" w:rsidR="00401E72" w:rsidRPr="006E6048" w:rsidRDefault="00401E72" w:rsidP="00A21BAE">
            <w:r>
              <w:t>S</w:t>
            </w:r>
            <w:r w:rsidRPr="006E6048">
              <w:t>tar pattern</w:t>
            </w:r>
          </w:p>
        </w:tc>
        <w:tc>
          <w:tcPr>
            <w:tcW w:w="3553" w:type="dxa"/>
            <w:tcBorders>
              <w:top w:val="single" w:sz="4" w:space="0" w:color="auto"/>
              <w:left w:val="single" w:sz="4" w:space="0" w:color="auto"/>
              <w:bottom w:val="single" w:sz="4" w:space="0" w:color="auto"/>
              <w:right w:val="single" w:sz="4" w:space="0" w:color="auto"/>
            </w:tcBorders>
            <w:noWrap/>
            <w:hideMark/>
          </w:tcPr>
          <w:p w14:paraId="4E9830F2" w14:textId="77777777" w:rsidR="00401E72" w:rsidRPr="006E6048" w:rsidRDefault="00401E72" w:rsidP="00A21BAE">
            <w:r w:rsidRPr="006E6048">
              <w:t>2-out star statistic</w:t>
            </w:r>
          </w:p>
        </w:tc>
        <w:tc>
          <w:tcPr>
            <w:tcW w:w="965" w:type="dxa"/>
            <w:tcBorders>
              <w:top w:val="single" w:sz="4" w:space="0" w:color="auto"/>
              <w:left w:val="single" w:sz="4" w:space="0" w:color="auto"/>
              <w:bottom w:val="single" w:sz="4" w:space="0" w:color="auto"/>
              <w:right w:val="single" w:sz="4" w:space="0" w:color="auto"/>
            </w:tcBorders>
            <w:noWrap/>
            <w:hideMark/>
          </w:tcPr>
          <w:p w14:paraId="3F9A9E76" w14:textId="77777777" w:rsidR="00401E72" w:rsidRPr="006E6048" w:rsidRDefault="00401E72" w:rsidP="00A21BAE">
            <w:r w:rsidRPr="006E6048">
              <w:t>1</w:t>
            </w:r>
          </w:p>
        </w:tc>
      </w:tr>
      <w:tr w:rsidR="00401E72" w14:paraId="0BB67C6E"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2A9406" w14:textId="77777777" w:rsidR="00401E72" w:rsidRPr="006E6048" w:rsidRDefault="00401E72" w:rsidP="00A21BAE"/>
        </w:tc>
        <w:tc>
          <w:tcPr>
            <w:tcW w:w="0" w:type="auto"/>
            <w:vMerge/>
            <w:tcBorders>
              <w:top w:val="single" w:sz="4" w:space="0" w:color="auto"/>
              <w:left w:val="single" w:sz="4" w:space="0" w:color="auto"/>
              <w:bottom w:val="single" w:sz="4" w:space="0" w:color="auto"/>
              <w:right w:val="single" w:sz="4" w:space="0" w:color="auto"/>
            </w:tcBorders>
            <w:vAlign w:val="center"/>
            <w:hideMark/>
          </w:tcPr>
          <w:p w14:paraId="147DA597" w14:textId="77777777" w:rsidR="00401E72" w:rsidRPr="006E6048" w:rsidRDefault="00401E72" w:rsidP="00A21BAE"/>
        </w:tc>
        <w:tc>
          <w:tcPr>
            <w:tcW w:w="3553" w:type="dxa"/>
            <w:tcBorders>
              <w:top w:val="single" w:sz="4" w:space="0" w:color="auto"/>
              <w:left w:val="single" w:sz="4" w:space="0" w:color="auto"/>
              <w:bottom w:val="single" w:sz="4" w:space="0" w:color="auto"/>
              <w:right w:val="single" w:sz="4" w:space="0" w:color="auto"/>
            </w:tcBorders>
            <w:noWrap/>
            <w:hideMark/>
          </w:tcPr>
          <w:p w14:paraId="33464BA0" w14:textId="77777777" w:rsidR="00401E72" w:rsidRPr="006E6048" w:rsidRDefault="00401E72" w:rsidP="00A21BAE">
            <w:r w:rsidRPr="006E6048">
              <w:t>2-in star statistic</w:t>
            </w:r>
          </w:p>
        </w:tc>
        <w:tc>
          <w:tcPr>
            <w:tcW w:w="965" w:type="dxa"/>
            <w:tcBorders>
              <w:top w:val="single" w:sz="4" w:space="0" w:color="auto"/>
              <w:left w:val="single" w:sz="4" w:space="0" w:color="auto"/>
              <w:bottom w:val="single" w:sz="4" w:space="0" w:color="auto"/>
              <w:right w:val="single" w:sz="4" w:space="0" w:color="auto"/>
            </w:tcBorders>
            <w:noWrap/>
            <w:hideMark/>
          </w:tcPr>
          <w:p w14:paraId="2AD014B0" w14:textId="77777777" w:rsidR="00401E72" w:rsidRPr="006E6048" w:rsidRDefault="00401E72" w:rsidP="00A21BAE">
            <w:r w:rsidRPr="006E6048">
              <w:t>1</w:t>
            </w:r>
          </w:p>
        </w:tc>
      </w:tr>
      <w:tr w:rsidR="00401E72" w14:paraId="15043FD0" w14:textId="77777777" w:rsidTr="00A21BA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2D04F4A" w14:textId="77777777" w:rsidR="00401E72" w:rsidRPr="006E6048" w:rsidRDefault="00401E72" w:rsidP="00A21BAE"/>
        </w:tc>
        <w:tc>
          <w:tcPr>
            <w:tcW w:w="0" w:type="auto"/>
            <w:vMerge/>
            <w:tcBorders>
              <w:top w:val="single" w:sz="4" w:space="0" w:color="auto"/>
              <w:left w:val="single" w:sz="4" w:space="0" w:color="auto"/>
              <w:bottom w:val="single" w:sz="4" w:space="0" w:color="auto"/>
              <w:right w:val="single" w:sz="4" w:space="0" w:color="auto"/>
            </w:tcBorders>
            <w:vAlign w:val="center"/>
            <w:hideMark/>
          </w:tcPr>
          <w:p w14:paraId="3C7EC717" w14:textId="77777777" w:rsidR="00401E72" w:rsidRPr="006E6048" w:rsidRDefault="00401E72" w:rsidP="00A21BAE"/>
        </w:tc>
        <w:tc>
          <w:tcPr>
            <w:tcW w:w="3553" w:type="dxa"/>
            <w:tcBorders>
              <w:top w:val="single" w:sz="4" w:space="0" w:color="auto"/>
              <w:left w:val="single" w:sz="4" w:space="0" w:color="auto"/>
              <w:bottom w:val="single" w:sz="4" w:space="0" w:color="auto"/>
              <w:right w:val="single" w:sz="4" w:space="0" w:color="auto"/>
            </w:tcBorders>
            <w:noWrap/>
            <w:hideMark/>
          </w:tcPr>
          <w:p w14:paraId="66A884E9" w14:textId="77777777" w:rsidR="00401E72" w:rsidRPr="006E6048" w:rsidRDefault="00401E72" w:rsidP="00A21BAE">
            <w:r w:rsidRPr="006E6048">
              <w:t>Mixed 2-star statistic</w:t>
            </w:r>
          </w:p>
        </w:tc>
        <w:tc>
          <w:tcPr>
            <w:tcW w:w="965" w:type="dxa"/>
            <w:tcBorders>
              <w:top w:val="single" w:sz="4" w:space="0" w:color="auto"/>
              <w:left w:val="single" w:sz="4" w:space="0" w:color="auto"/>
              <w:bottom w:val="single" w:sz="4" w:space="0" w:color="auto"/>
              <w:right w:val="single" w:sz="4" w:space="0" w:color="auto"/>
            </w:tcBorders>
            <w:noWrap/>
            <w:hideMark/>
          </w:tcPr>
          <w:p w14:paraId="69FFCA64" w14:textId="77777777" w:rsidR="00401E72" w:rsidRPr="006E6048" w:rsidRDefault="00401E72" w:rsidP="00A21BAE">
            <w:r w:rsidRPr="006E6048">
              <w:t>2</w:t>
            </w:r>
          </w:p>
        </w:tc>
      </w:tr>
      <w:tr w:rsidR="00401E72" w14:paraId="5C7C3145" w14:textId="77777777" w:rsidTr="00A21BAE">
        <w:trPr>
          <w:trHeight w:val="288"/>
        </w:trPr>
        <w:tc>
          <w:tcPr>
            <w:tcW w:w="875" w:type="dxa"/>
            <w:vMerge w:val="restart"/>
            <w:tcBorders>
              <w:top w:val="single" w:sz="4" w:space="0" w:color="auto"/>
              <w:left w:val="single" w:sz="4" w:space="0" w:color="auto"/>
              <w:bottom w:val="single" w:sz="4" w:space="0" w:color="auto"/>
              <w:right w:val="single" w:sz="4" w:space="0" w:color="auto"/>
            </w:tcBorders>
            <w:hideMark/>
          </w:tcPr>
          <w:p w14:paraId="5F10CE1A" w14:textId="77777777" w:rsidR="00401E72" w:rsidRPr="006E6048" w:rsidRDefault="00401E72" w:rsidP="00A21BAE">
            <w:r w:rsidRPr="006E6048">
              <w:t>Network-level</w:t>
            </w:r>
          </w:p>
        </w:tc>
        <w:tc>
          <w:tcPr>
            <w:tcW w:w="3669" w:type="dxa"/>
            <w:tcBorders>
              <w:top w:val="single" w:sz="4" w:space="0" w:color="auto"/>
              <w:left w:val="single" w:sz="4" w:space="0" w:color="auto"/>
              <w:bottom w:val="single" w:sz="4" w:space="0" w:color="auto"/>
              <w:right w:val="single" w:sz="4" w:space="0" w:color="auto"/>
            </w:tcBorders>
            <w:hideMark/>
          </w:tcPr>
          <w:p w14:paraId="22BF967C" w14:textId="77777777" w:rsidR="00401E72" w:rsidRPr="006E6048" w:rsidRDefault="00401E72" w:rsidP="00A21BAE">
            <w:r w:rsidRPr="006E6048">
              <w:t>Number of edges</w:t>
            </w:r>
          </w:p>
        </w:tc>
        <w:tc>
          <w:tcPr>
            <w:tcW w:w="3553" w:type="dxa"/>
            <w:tcBorders>
              <w:top w:val="single" w:sz="4" w:space="0" w:color="auto"/>
              <w:left w:val="single" w:sz="4" w:space="0" w:color="auto"/>
              <w:bottom w:val="single" w:sz="4" w:space="0" w:color="auto"/>
              <w:right w:val="single" w:sz="4" w:space="0" w:color="auto"/>
            </w:tcBorders>
            <w:noWrap/>
            <w:hideMark/>
          </w:tcPr>
          <w:p w14:paraId="2AFCE120" w14:textId="77777777" w:rsidR="00401E72" w:rsidRPr="006E6048" w:rsidRDefault="00401E72" w:rsidP="00A21BAE">
            <w:r w:rsidRPr="006E6048">
              <w:t>Number of edges</w:t>
            </w:r>
          </w:p>
        </w:tc>
        <w:tc>
          <w:tcPr>
            <w:tcW w:w="965" w:type="dxa"/>
            <w:tcBorders>
              <w:top w:val="single" w:sz="4" w:space="0" w:color="auto"/>
              <w:left w:val="single" w:sz="4" w:space="0" w:color="auto"/>
              <w:bottom w:val="single" w:sz="4" w:space="0" w:color="auto"/>
              <w:right w:val="single" w:sz="4" w:space="0" w:color="auto"/>
            </w:tcBorders>
            <w:noWrap/>
            <w:hideMark/>
          </w:tcPr>
          <w:p w14:paraId="42554671" w14:textId="77777777" w:rsidR="00401E72" w:rsidRPr="006E6048" w:rsidRDefault="00401E72" w:rsidP="00A21BAE">
            <w:r w:rsidRPr="006E6048">
              <w:t>2</w:t>
            </w:r>
          </w:p>
        </w:tc>
      </w:tr>
      <w:tr w:rsidR="00401E72" w14:paraId="31AC9C1A"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7B0434"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415CF417" w14:textId="77777777" w:rsidR="00401E72" w:rsidRPr="006E6048" w:rsidRDefault="00401E72" w:rsidP="00A21BAE">
            <w:r w:rsidRPr="006E6048">
              <w:t>Number of nodes</w:t>
            </w:r>
          </w:p>
        </w:tc>
        <w:tc>
          <w:tcPr>
            <w:tcW w:w="3553" w:type="dxa"/>
            <w:tcBorders>
              <w:top w:val="single" w:sz="4" w:space="0" w:color="auto"/>
              <w:left w:val="single" w:sz="4" w:space="0" w:color="auto"/>
              <w:bottom w:val="single" w:sz="4" w:space="0" w:color="auto"/>
              <w:right w:val="single" w:sz="4" w:space="0" w:color="auto"/>
            </w:tcBorders>
            <w:noWrap/>
            <w:hideMark/>
          </w:tcPr>
          <w:p w14:paraId="260CEED9" w14:textId="77777777" w:rsidR="00401E72" w:rsidRPr="006E6048" w:rsidRDefault="00401E72" w:rsidP="00A21BAE">
            <w:r w:rsidRPr="006E6048">
              <w:t>Number of nodes</w:t>
            </w:r>
          </w:p>
        </w:tc>
        <w:tc>
          <w:tcPr>
            <w:tcW w:w="965" w:type="dxa"/>
            <w:tcBorders>
              <w:top w:val="single" w:sz="4" w:space="0" w:color="auto"/>
              <w:left w:val="single" w:sz="4" w:space="0" w:color="auto"/>
              <w:bottom w:val="single" w:sz="4" w:space="0" w:color="auto"/>
              <w:right w:val="single" w:sz="4" w:space="0" w:color="auto"/>
            </w:tcBorders>
            <w:noWrap/>
            <w:hideMark/>
          </w:tcPr>
          <w:p w14:paraId="5933C22A" w14:textId="77777777" w:rsidR="00401E72" w:rsidRPr="006E6048" w:rsidRDefault="00401E72" w:rsidP="00A21BAE">
            <w:r w:rsidRPr="006E6048">
              <w:t>1</w:t>
            </w:r>
          </w:p>
        </w:tc>
      </w:tr>
      <w:tr w:rsidR="00401E72" w14:paraId="4B0526F7"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ED58ED" w14:textId="77777777" w:rsidR="00401E72" w:rsidRPr="006E6048" w:rsidRDefault="00401E72" w:rsidP="00A21BAE"/>
        </w:tc>
        <w:tc>
          <w:tcPr>
            <w:tcW w:w="3669" w:type="dxa"/>
            <w:vMerge w:val="restart"/>
            <w:tcBorders>
              <w:top w:val="single" w:sz="4" w:space="0" w:color="auto"/>
              <w:left w:val="single" w:sz="4" w:space="0" w:color="auto"/>
              <w:bottom w:val="single" w:sz="4" w:space="0" w:color="auto"/>
              <w:right w:val="single" w:sz="4" w:space="0" w:color="auto"/>
            </w:tcBorders>
            <w:hideMark/>
          </w:tcPr>
          <w:p w14:paraId="3D7960E0" w14:textId="77777777" w:rsidR="00401E72" w:rsidRPr="006E6048" w:rsidRDefault="00401E72" w:rsidP="00A21BAE">
            <w:r w:rsidRPr="006E6048">
              <w:t>Density</w:t>
            </w:r>
          </w:p>
        </w:tc>
        <w:tc>
          <w:tcPr>
            <w:tcW w:w="3553" w:type="dxa"/>
            <w:tcBorders>
              <w:top w:val="single" w:sz="4" w:space="0" w:color="auto"/>
              <w:left w:val="single" w:sz="4" w:space="0" w:color="auto"/>
              <w:bottom w:val="single" w:sz="4" w:space="0" w:color="auto"/>
              <w:right w:val="single" w:sz="4" w:space="0" w:color="auto"/>
            </w:tcBorders>
            <w:noWrap/>
            <w:hideMark/>
          </w:tcPr>
          <w:p w14:paraId="748656FA" w14:textId="77777777" w:rsidR="00401E72" w:rsidRPr="006E6048" w:rsidRDefault="00401E72" w:rsidP="00A21BAE">
            <w:r w:rsidRPr="006E6048">
              <w:t>Density</w:t>
            </w:r>
          </w:p>
        </w:tc>
        <w:tc>
          <w:tcPr>
            <w:tcW w:w="965" w:type="dxa"/>
            <w:tcBorders>
              <w:top w:val="single" w:sz="4" w:space="0" w:color="auto"/>
              <w:left w:val="single" w:sz="4" w:space="0" w:color="auto"/>
              <w:bottom w:val="single" w:sz="4" w:space="0" w:color="auto"/>
              <w:right w:val="single" w:sz="4" w:space="0" w:color="auto"/>
            </w:tcBorders>
            <w:noWrap/>
            <w:hideMark/>
          </w:tcPr>
          <w:p w14:paraId="60C39A59" w14:textId="77777777" w:rsidR="00401E72" w:rsidRPr="006E6048" w:rsidRDefault="00401E72" w:rsidP="00A21BAE">
            <w:r w:rsidRPr="006E6048">
              <w:t>15</w:t>
            </w:r>
          </w:p>
        </w:tc>
      </w:tr>
      <w:tr w:rsidR="00401E72" w14:paraId="15ADA1C1"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B4BB62" w14:textId="77777777" w:rsidR="00401E72" w:rsidRPr="006E6048" w:rsidRDefault="00401E72" w:rsidP="00A21BAE"/>
        </w:tc>
        <w:tc>
          <w:tcPr>
            <w:tcW w:w="0" w:type="auto"/>
            <w:vMerge/>
            <w:tcBorders>
              <w:top w:val="single" w:sz="4" w:space="0" w:color="auto"/>
              <w:left w:val="single" w:sz="4" w:space="0" w:color="auto"/>
              <w:bottom w:val="single" w:sz="4" w:space="0" w:color="auto"/>
              <w:right w:val="single" w:sz="4" w:space="0" w:color="auto"/>
            </w:tcBorders>
            <w:vAlign w:val="center"/>
            <w:hideMark/>
          </w:tcPr>
          <w:p w14:paraId="7385566C" w14:textId="77777777" w:rsidR="00401E72" w:rsidRPr="006E6048" w:rsidRDefault="00401E72" w:rsidP="00A21BAE"/>
        </w:tc>
        <w:tc>
          <w:tcPr>
            <w:tcW w:w="3553" w:type="dxa"/>
            <w:tcBorders>
              <w:top w:val="single" w:sz="4" w:space="0" w:color="auto"/>
              <w:left w:val="single" w:sz="4" w:space="0" w:color="auto"/>
              <w:bottom w:val="single" w:sz="4" w:space="0" w:color="auto"/>
              <w:right w:val="single" w:sz="4" w:space="0" w:color="auto"/>
            </w:tcBorders>
            <w:noWrap/>
            <w:hideMark/>
          </w:tcPr>
          <w:p w14:paraId="5D51536F" w14:textId="77777777" w:rsidR="00401E72" w:rsidRPr="006E6048" w:rsidRDefault="00401E72" w:rsidP="00A21BAE">
            <w:r w:rsidRPr="006E6048">
              <w:t>Weighted density</w:t>
            </w:r>
          </w:p>
        </w:tc>
        <w:tc>
          <w:tcPr>
            <w:tcW w:w="965" w:type="dxa"/>
            <w:tcBorders>
              <w:top w:val="single" w:sz="4" w:space="0" w:color="auto"/>
              <w:left w:val="single" w:sz="4" w:space="0" w:color="auto"/>
              <w:bottom w:val="single" w:sz="4" w:space="0" w:color="auto"/>
              <w:right w:val="single" w:sz="4" w:space="0" w:color="auto"/>
            </w:tcBorders>
            <w:noWrap/>
            <w:hideMark/>
          </w:tcPr>
          <w:p w14:paraId="13FAC03D" w14:textId="77777777" w:rsidR="00401E72" w:rsidRPr="006E6048" w:rsidRDefault="00401E72" w:rsidP="00A21BAE">
            <w:r w:rsidRPr="006E6048">
              <w:t>1</w:t>
            </w:r>
          </w:p>
        </w:tc>
      </w:tr>
      <w:tr w:rsidR="00401E72" w14:paraId="0C273327"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23286E"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7CD2CA17" w14:textId="77777777" w:rsidR="00401E72" w:rsidRPr="006E6048" w:rsidRDefault="00401E72" w:rsidP="00A21BAE">
            <w:r w:rsidRPr="006E6048">
              <w:t>Betweenness centralization</w:t>
            </w:r>
          </w:p>
        </w:tc>
        <w:tc>
          <w:tcPr>
            <w:tcW w:w="3553" w:type="dxa"/>
            <w:tcBorders>
              <w:top w:val="single" w:sz="4" w:space="0" w:color="auto"/>
              <w:left w:val="single" w:sz="4" w:space="0" w:color="auto"/>
              <w:bottom w:val="single" w:sz="4" w:space="0" w:color="auto"/>
              <w:right w:val="single" w:sz="4" w:space="0" w:color="auto"/>
            </w:tcBorders>
            <w:noWrap/>
            <w:hideMark/>
          </w:tcPr>
          <w:p w14:paraId="3D9FD528" w14:textId="77777777" w:rsidR="00401E72" w:rsidRPr="006E6048" w:rsidRDefault="00401E72" w:rsidP="00A21BAE">
            <w:r w:rsidRPr="006E6048">
              <w:t>Betweenness centralization</w:t>
            </w:r>
          </w:p>
        </w:tc>
        <w:tc>
          <w:tcPr>
            <w:tcW w:w="965" w:type="dxa"/>
            <w:tcBorders>
              <w:top w:val="single" w:sz="4" w:space="0" w:color="auto"/>
              <w:left w:val="single" w:sz="4" w:space="0" w:color="auto"/>
              <w:bottom w:val="single" w:sz="4" w:space="0" w:color="auto"/>
              <w:right w:val="single" w:sz="4" w:space="0" w:color="auto"/>
            </w:tcBorders>
            <w:noWrap/>
            <w:hideMark/>
          </w:tcPr>
          <w:p w14:paraId="37C142AA" w14:textId="77777777" w:rsidR="00401E72" w:rsidRPr="006E6048" w:rsidRDefault="00401E72" w:rsidP="00A21BAE">
            <w:r w:rsidRPr="006E6048">
              <w:t>1</w:t>
            </w:r>
          </w:p>
        </w:tc>
      </w:tr>
      <w:tr w:rsidR="00401E72" w14:paraId="3CB6E5AD"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E205E8"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38096B99" w14:textId="77777777" w:rsidR="00401E72" w:rsidRPr="006E6048" w:rsidRDefault="00401E72" w:rsidP="00A21BAE">
            <w:r w:rsidRPr="006E6048">
              <w:t>Closeness centralization</w:t>
            </w:r>
          </w:p>
        </w:tc>
        <w:tc>
          <w:tcPr>
            <w:tcW w:w="3553" w:type="dxa"/>
            <w:tcBorders>
              <w:top w:val="single" w:sz="4" w:space="0" w:color="auto"/>
              <w:left w:val="single" w:sz="4" w:space="0" w:color="auto"/>
              <w:bottom w:val="single" w:sz="4" w:space="0" w:color="auto"/>
              <w:right w:val="single" w:sz="4" w:space="0" w:color="auto"/>
            </w:tcBorders>
            <w:noWrap/>
            <w:hideMark/>
          </w:tcPr>
          <w:p w14:paraId="5C71B003" w14:textId="77777777" w:rsidR="00401E72" w:rsidRPr="006E6048" w:rsidRDefault="00401E72" w:rsidP="00A21BAE">
            <w:r w:rsidRPr="006E6048">
              <w:t>Closeness centralization</w:t>
            </w:r>
          </w:p>
        </w:tc>
        <w:tc>
          <w:tcPr>
            <w:tcW w:w="965" w:type="dxa"/>
            <w:tcBorders>
              <w:top w:val="single" w:sz="4" w:space="0" w:color="auto"/>
              <w:left w:val="single" w:sz="4" w:space="0" w:color="auto"/>
              <w:bottom w:val="single" w:sz="4" w:space="0" w:color="auto"/>
              <w:right w:val="single" w:sz="4" w:space="0" w:color="auto"/>
            </w:tcBorders>
            <w:noWrap/>
            <w:hideMark/>
          </w:tcPr>
          <w:p w14:paraId="107A3E5B" w14:textId="77777777" w:rsidR="00401E72" w:rsidRPr="006E6048" w:rsidRDefault="00401E72" w:rsidP="00A21BAE">
            <w:r w:rsidRPr="006E6048">
              <w:t>1</w:t>
            </w:r>
          </w:p>
        </w:tc>
      </w:tr>
      <w:tr w:rsidR="00401E72" w14:paraId="0B749E6D"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95F5AA" w14:textId="77777777" w:rsidR="00401E72" w:rsidRPr="006E6048" w:rsidRDefault="00401E72" w:rsidP="00A21BAE"/>
        </w:tc>
        <w:tc>
          <w:tcPr>
            <w:tcW w:w="3669" w:type="dxa"/>
            <w:vMerge w:val="restart"/>
            <w:tcBorders>
              <w:top w:val="single" w:sz="4" w:space="0" w:color="auto"/>
              <w:left w:val="single" w:sz="4" w:space="0" w:color="auto"/>
              <w:bottom w:val="single" w:sz="4" w:space="0" w:color="auto"/>
              <w:right w:val="single" w:sz="4" w:space="0" w:color="auto"/>
            </w:tcBorders>
            <w:hideMark/>
          </w:tcPr>
          <w:p w14:paraId="46FE501A" w14:textId="77777777" w:rsidR="00401E72" w:rsidRPr="006E6048" w:rsidRDefault="00401E72" w:rsidP="00A21BAE">
            <w:pPr>
              <w:rPr>
                <w:lang w:val="en-US"/>
              </w:rPr>
            </w:pPr>
            <w:r w:rsidRPr="006E6048">
              <w:rPr>
                <w:lang w:val="en-US"/>
              </w:rPr>
              <w:t>Global transitivity/global clustering coefficient</w:t>
            </w:r>
          </w:p>
        </w:tc>
        <w:tc>
          <w:tcPr>
            <w:tcW w:w="3553" w:type="dxa"/>
            <w:tcBorders>
              <w:top w:val="single" w:sz="4" w:space="0" w:color="auto"/>
              <w:left w:val="single" w:sz="4" w:space="0" w:color="auto"/>
              <w:bottom w:val="single" w:sz="4" w:space="0" w:color="auto"/>
              <w:right w:val="single" w:sz="4" w:space="0" w:color="auto"/>
            </w:tcBorders>
            <w:noWrap/>
            <w:hideMark/>
          </w:tcPr>
          <w:p w14:paraId="2553CB04" w14:textId="77777777" w:rsidR="00401E72" w:rsidRPr="006E6048" w:rsidRDefault="00401E72" w:rsidP="00A21BAE">
            <w:r w:rsidRPr="006E6048">
              <w:t>Global clustering coefficient</w:t>
            </w:r>
          </w:p>
        </w:tc>
        <w:tc>
          <w:tcPr>
            <w:tcW w:w="965" w:type="dxa"/>
            <w:tcBorders>
              <w:top w:val="single" w:sz="4" w:space="0" w:color="auto"/>
              <w:left w:val="single" w:sz="4" w:space="0" w:color="auto"/>
              <w:bottom w:val="single" w:sz="4" w:space="0" w:color="auto"/>
              <w:right w:val="single" w:sz="4" w:space="0" w:color="auto"/>
            </w:tcBorders>
            <w:noWrap/>
            <w:hideMark/>
          </w:tcPr>
          <w:p w14:paraId="1AA01C91" w14:textId="77777777" w:rsidR="00401E72" w:rsidRPr="006E6048" w:rsidRDefault="00401E72" w:rsidP="00A21BAE">
            <w:r w:rsidRPr="006E6048">
              <w:t>4</w:t>
            </w:r>
          </w:p>
        </w:tc>
      </w:tr>
      <w:tr w:rsidR="00401E72" w14:paraId="65CA34C6"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EE7479" w14:textId="77777777" w:rsidR="00401E72" w:rsidRPr="006E6048" w:rsidRDefault="00401E72" w:rsidP="00A21BAE"/>
        </w:tc>
        <w:tc>
          <w:tcPr>
            <w:tcW w:w="0" w:type="auto"/>
            <w:vMerge/>
            <w:tcBorders>
              <w:top w:val="single" w:sz="4" w:space="0" w:color="auto"/>
              <w:left w:val="single" w:sz="4" w:space="0" w:color="auto"/>
              <w:bottom w:val="single" w:sz="4" w:space="0" w:color="auto"/>
              <w:right w:val="single" w:sz="4" w:space="0" w:color="auto"/>
            </w:tcBorders>
            <w:vAlign w:val="center"/>
            <w:hideMark/>
          </w:tcPr>
          <w:p w14:paraId="3DF6F443" w14:textId="77777777" w:rsidR="00401E72" w:rsidRPr="006E6048" w:rsidRDefault="00401E72" w:rsidP="00A21BAE">
            <w:pPr>
              <w:rPr>
                <w:lang w:val="en-US"/>
              </w:rPr>
            </w:pPr>
          </w:p>
        </w:tc>
        <w:tc>
          <w:tcPr>
            <w:tcW w:w="3553" w:type="dxa"/>
            <w:tcBorders>
              <w:top w:val="single" w:sz="4" w:space="0" w:color="auto"/>
              <w:left w:val="single" w:sz="4" w:space="0" w:color="auto"/>
              <w:bottom w:val="single" w:sz="4" w:space="0" w:color="auto"/>
              <w:right w:val="single" w:sz="4" w:space="0" w:color="auto"/>
            </w:tcBorders>
            <w:noWrap/>
            <w:hideMark/>
          </w:tcPr>
          <w:p w14:paraId="460591EB" w14:textId="77777777" w:rsidR="00401E72" w:rsidRPr="006E6048" w:rsidRDefault="00401E72" w:rsidP="00A21BAE">
            <w:r w:rsidRPr="006E6048">
              <w:t>Transitive closure</w:t>
            </w:r>
          </w:p>
        </w:tc>
        <w:tc>
          <w:tcPr>
            <w:tcW w:w="965" w:type="dxa"/>
            <w:tcBorders>
              <w:top w:val="single" w:sz="4" w:space="0" w:color="auto"/>
              <w:left w:val="single" w:sz="4" w:space="0" w:color="auto"/>
              <w:bottom w:val="single" w:sz="4" w:space="0" w:color="auto"/>
              <w:right w:val="single" w:sz="4" w:space="0" w:color="auto"/>
            </w:tcBorders>
            <w:noWrap/>
            <w:hideMark/>
          </w:tcPr>
          <w:p w14:paraId="5EBBCD92" w14:textId="77777777" w:rsidR="00401E72" w:rsidRPr="006E6048" w:rsidRDefault="00401E72" w:rsidP="00A21BAE">
            <w:r w:rsidRPr="006E6048">
              <w:t>1</w:t>
            </w:r>
          </w:p>
        </w:tc>
      </w:tr>
      <w:tr w:rsidR="00401E72" w14:paraId="60605B2E"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578EDC" w14:textId="77777777" w:rsidR="00401E72" w:rsidRPr="006E6048" w:rsidRDefault="00401E72" w:rsidP="00A21BAE"/>
        </w:tc>
        <w:tc>
          <w:tcPr>
            <w:tcW w:w="0" w:type="auto"/>
            <w:vMerge/>
            <w:tcBorders>
              <w:top w:val="single" w:sz="4" w:space="0" w:color="auto"/>
              <w:left w:val="single" w:sz="4" w:space="0" w:color="auto"/>
              <w:bottom w:val="single" w:sz="4" w:space="0" w:color="auto"/>
              <w:right w:val="single" w:sz="4" w:space="0" w:color="auto"/>
            </w:tcBorders>
            <w:vAlign w:val="center"/>
            <w:hideMark/>
          </w:tcPr>
          <w:p w14:paraId="4F105C39" w14:textId="77777777" w:rsidR="00401E72" w:rsidRPr="006E6048" w:rsidRDefault="00401E72" w:rsidP="00A21BAE">
            <w:pPr>
              <w:rPr>
                <w:lang w:val="en-US"/>
              </w:rPr>
            </w:pPr>
          </w:p>
        </w:tc>
        <w:tc>
          <w:tcPr>
            <w:tcW w:w="3553" w:type="dxa"/>
            <w:tcBorders>
              <w:top w:val="single" w:sz="4" w:space="0" w:color="auto"/>
              <w:left w:val="single" w:sz="4" w:space="0" w:color="auto"/>
              <w:bottom w:val="single" w:sz="4" w:space="0" w:color="auto"/>
              <w:right w:val="single" w:sz="4" w:space="0" w:color="auto"/>
            </w:tcBorders>
            <w:noWrap/>
            <w:hideMark/>
          </w:tcPr>
          <w:p w14:paraId="41AEC96E" w14:textId="77777777" w:rsidR="00401E72" w:rsidRPr="006E6048" w:rsidRDefault="00401E72" w:rsidP="00A21BAE">
            <w:r w:rsidRPr="006E6048">
              <w:t>Activity-based closure</w:t>
            </w:r>
          </w:p>
        </w:tc>
        <w:tc>
          <w:tcPr>
            <w:tcW w:w="965" w:type="dxa"/>
            <w:tcBorders>
              <w:top w:val="single" w:sz="4" w:space="0" w:color="auto"/>
              <w:left w:val="single" w:sz="4" w:space="0" w:color="auto"/>
              <w:bottom w:val="single" w:sz="4" w:space="0" w:color="auto"/>
              <w:right w:val="single" w:sz="4" w:space="0" w:color="auto"/>
            </w:tcBorders>
            <w:noWrap/>
            <w:hideMark/>
          </w:tcPr>
          <w:p w14:paraId="697248D1" w14:textId="77777777" w:rsidR="00401E72" w:rsidRPr="006E6048" w:rsidRDefault="00401E72" w:rsidP="00A21BAE">
            <w:r w:rsidRPr="006E6048">
              <w:t>1</w:t>
            </w:r>
          </w:p>
        </w:tc>
      </w:tr>
      <w:tr w:rsidR="00401E72" w14:paraId="06D15159"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96EB12"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17C4F8F1" w14:textId="77777777" w:rsidR="00401E72" w:rsidRPr="006E6048" w:rsidRDefault="00401E72" w:rsidP="00A21BAE">
            <w:r w:rsidRPr="006E6048">
              <w:t>Assortativity</w:t>
            </w:r>
          </w:p>
        </w:tc>
        <w:tc>
          <w:tcPr>
            <w:tcW w:w="3553" w:type="dxa"/>
            <w:tcBorders>
              <w:top w:val="single" w:sz="4" w:space="0" w:color="auto"/>
              <w:left w:val="single" w:sz="4" w:space="0" w:color="auto"/>
              <w:bottom w:val="single" w:sz="4" w:space="0" w:color="auto"/>
              <w:right w:val="single" w:sz="4" w:space="0" w:color="auto"/>
            </w:tcBorders>
            <w:noWrap/>
            <w:hideMark/>
          </w:tcPr>
          <w:p w14:paraId="7A8F0280" w14:textId="77777777" w:rsidR="00401E72" w:rsidRPr="006E6048" w:rsidRDefault="00401E72" w:rsidP="00A21BAE">
            <w:r w:rsidRPr="006E6048">
              <w:t>Assortativity</w:t>
            </w:r>
          </w:p>
        </w:tc>
        <w:tc>
          <w:tcPr>
            <w:tcW w:w="965" w:type="dxa"/>
            <w:tcBorders>
              <w:top w:val="single" w:sz="4" w:space="0" w:color="auto"/>
              <w:left w:val="single" w:sz="4" w:space="0" w:color="auto"/>
              <w:bottom w:val="single" w:sz="4" w:space="0" w:color="auto"/>
              <w:right w:val="single" w:sz="4" w:space="0" w:color="auto"/>
            </w:tcBorders>
            <w:noWrap/>
            <w:hideMark/>
          </w:tcPr>
          <w:p w14:paraId="5B5FD73E" w14:textId="77777777" w:rsidR="00401E72" w:rsidRPr="006E6048" w:rsidRDefault="00401E72" w:rsidP="00A21BAE">
            <w:r w:rsidRPr="006E6048">
              <w:t>5</w:t>
            </w:r>
          </w:p>
        </w:tc>
      </w:tr>
      <w:tr w:rsidR="00401E72" w14:paraId="65B0A3A5"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72A856C" w14:textId="77777777" w:rsidR="00401E72" w:rsidRPr="006E6048" w:rsidRDefault="00401E72" w:rsidP="00A21BAE"/>
        </w:tc>
        <w:tc>
          <w:tcPr>
            <w:tcW w:w="3669" w:type="dxa"/>
            <w:vMerge w:val="restart"/>
            <w:tcBorders>
              <w:top w:val="single" w:sz="4" w:space="0" w:color="auto"/>
              <w:left w:val="single" w:sz="4" w:space="0" w:color="auto"/>
              <w:bottom w:val="single" w:sz="4" w:space="0" w:color="auto"/>
              <w:right w:val="single" w:sz="4" w:space="0" w:color="auto"/>
            </w:tcBorders>
            <w:hideMark/>
          </w:tcPr>
          <w:p w14:paraId="254D3BA8" w14:textId="77777777" w:rsidR="00401E72" w:rsidRPr="006E6048" w:rsidRDefault="00401E72" w:rsidP="00A21BAE">
            <w:r w:rsidRPr="006E6048">
              <w:t>Network diameter</w:t>
            </w:r>
          </w:p>
        </w:tc>
        <w:tc>
          <w:tcPr>
            <w:tcW w:w="3553" w:type="dxa"/>
            <w:tcBorders>
              <w:top w:val="single" w:sz="4" w:space="0" w:color="auto"/>
              <w:left w:val="single" w:sz="4" w:space="0" w:color="auto"/>
              <w:bottom w:val="single" w:sz="4" w:space="0" w:color="auto"/>
              <w:right w:val="single" w:sz="4" w:space="0" w:color="auto"/>
            </w:tcBorders>
            <w:noWrap/>
            <w:hideMark/>
          </w:tcPr>
          <w:p w14:paraId="1EF65115" w14:textId="77777777" w:rsidR="00401E72" w:rsidRPr="006E6048" w:rsidRDefault="00401E72" w:rsidP="00A21BAE">
            <w:r w:rsidRPr="006E6048">
              <w:t>Network diameter</w:t>
            </w:r>
          </w:p>
        </w:tc>
        <w:tc>
          <w:tcPr>
            <w:tcW w:w="965" w:type="dxa"/>
            <w:tcBorders>
              <w:top w:val="single" w:sz="4" w:space="0" w:color="auto"/>
              <w:left w:val="single" w:sz="4" w:space="0" w:color="auto"/>
              <w:bottom w:val="single" w:sz="4" w:space="0" w:color="auto"/>
              <w:right w:val="single" w:sz="4" w:space="0" w:color="auto"/>
            </w:tcBorders>
            <w:noWrap/>
            <w:hideMark/>
          </w:tcPr>
          <w:p w14:paraId="6A915D2E" w14:textId="77777777" w:rsidR="00401E72" w:rsidRPr="006E6048" w:rsidRDefault="00401E72" w:rsidP="00A21BAE">
            <w:r>
              <w:t>6</w:t>
            </w:r>
          </w:p>
        </w:tc>
      </w:tr>
      <w:tr w:rsidR="00401E72" w14:paraId="21F9E054"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82ED66" w14:textId="77777777" w:rsidR="00401E72" w:rsidRPr="006E6048" w:rsidRDefault="00401E72" w:rsidP="00A21BAE"/>
        </w:tc>
        <w:tc>
          <w:tcPr>
            <w:tcW w:w="0" w:type="auto"/>
            <w:vMerge/>
            <w:tcBorders>
              <w:top w:val="single" w:sz="4" w:space="0" w:color="auto"/>
              <w:left w:val="single" w:sz="4" w:space="0" w:color="auto"/>
              <w:bottom w:val="single" w:sz="4" w:space="0" w:color="auto"/>
              <w:right w:val="single" w:sz="4" w:space="0" w:color="auto"/>
            </w:tcBorders>
            <w:vAlign w:val="center"/>
            <w:hideMark/>
          </w:tcPr>
          <w:p w14:paraId="6DDA3094" w14:textId="77777777" w:rsidR="00401E72" w:rsidRPr="006E6048" w:rsidRDefault="00401E72" w:rsidP="00A21BAE"/>
        </w:tc>
        <w:tc>
          <w:tcPr>
            <w:tcW w:w="3553" w:type="dxa"/>
            <w:tcBorders>
              <w:top w:val="single" w:sz="4" w:space="0" w:color="auto"/>
              <w:left w:val="single" w:sz="4" w:space="0" w:color="auto"/>
              <w:bottom w:val="single" w:sz="4" w:space="0" w:color="auto"/>
              <w:right w:val="single" w:sz="4" w:space="0" w:color="auto"/>
            </w:tcBorders>
            <w:noWrap/>
            <w:hideMark/>
          </w:tcPr>
          <w:p w14:paraId="66868564" w14:textId="77777777" w:rsidR="00401E72" w:rsidRPr="006E6048" w:rsidRDefault="00401E72" w:rsidP="00A21BAE">
            <w:r w:rsidRPr="006E6048">
              <w:t>Normalized diameter</w:t>
            </w:r>
          </w:p>
        </w:tc>
        <w:tc>
          <w:tcPr>
            <w:tcW w:w="965" w:type="dxa"/>
            <w:tcBorders>
              <w:top w:val="single" w:sz="4" w:space="0" w:color="auto"/>
              <w:left w:val="single" w:sz="4" w:space="0" w:color="auto"/>
              <w:bottom w:val="single" w:sz="4" w:space="0" w:color="auto"/>
              <w:right w:val="single" w:sz="4" w:space="0" w:color="auto"/>
            </w:tcBorders>
            <w:noWrap/>
            <w:hideMark/>
          </w:tcPr>
          <w:p w14:paraId="51B82F42" w14:textId="77777777" w:rsidR="00401E72" w:rsidRPr="006E6048" w:rsidRDefault="00401E72" w:rsidP="00A21BAE">
            <w:r w:rsidRPr="006E6048">
              <w:t>1</w:t>
            </w:r>
          </w:p>
        </w:tc>
      </w:tr>
      <w:tr w:rsidR="00401E72" w14:paraId="50BCBBFF"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A1FB8D5"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7E026D56" w14:textId="77777777" w:rsidR="00401E72" w:rsidRPr="006E6048" w:rsidRDefault="00401E72" w:rsidP="00A21BAE">
            <w:r w:rsidRPr="006E6048">
              <w:t>Network reciprocity</w:t>
            </w:r>
          </w:p>
        </w:tc>
        <w:tc>
          <w:tcPr>
            <w:tcW w:w="3553" w:type="dxa"/>
            <w:tcBorders>
              <w:top w:val="single" w:sz="4" w:space="0" w:color="auto"/>
              <w:left w:val="single" w:sz="4" w:space="0" w:color="auto"/>
              <w:bottom w:val="single" w:sz="4" w:space="0" w:color="auto"/>
              <w:right w:val="single" w:sz="4" w:space="0" w:color="auto"/>
            </w:tcBorders>
            <w:noWrap/>
            <w:hideMark/>
          </w:tcPr>
          <w:p w14:paraId="3E2971A8" w14:textId="77777777" w:rsidR="00401E72" w:rsidRPr="006E6048" w:rsidRDefault="00401E72" w:rsidP="00A21BAE">
            <w:r w:rsidRPr="006E6048">
              <w:t>Network reciprocity</w:t>
            </w:r>
          </w:p>
        </w:tc>
        <w:tc>
          <w:tcPr>
            <w:tcW w:w="965" w:type="dxa"/>
            <w:tcBorders>
              <w:top w:val="single" w:sz="4" w:space="0" w:color="auto"/>
              <w:left w:val="single" w:sz="4" w:space="0" w:color="auto"/>
              <w:bottom w:val="single" w:sz="4" w:space="0" w:color="auto"/>
              <w:right w:val="single" w:sz="4" w:space="0" w:color="auto"/>
            </w:tcBorders>
            <w:noWrap/>
            <w:hideMark/>
          </w:tcPr>
          <w:p w14:paraId="56FA05C8" w14:textId="77777777" w:rsidR="00401E72" w:rsidRPr="006E6048" w:rsidRDefault="00401E72" w:rsidP="00A21BAE">
            <w:r w:rsidRPr="006E6048">
              <w:t>2</w:t>
            </w:r>
          </w:p>
        </w:tc>
      </w:tr>
      <w:tr w:rsidR="00401E72" w14:paraId="7E020BFB"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850684"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5157F0D6" w14:textId="77777777" w:rsidR="00401E72" w:rsidRPr="006E6048" w:rsidRDefault="00401E72" w:rsidP="00A21BAE">
            <w:r w:rsidRPr="006E6048">
              <w:t>Modularity</w:t>
            </w:r>
          </w:p>
        </w:tc>
        <w:tc>
          <w:tcPr>
            <w:tcW w:w="3553" w:type="dxa"/>
            <w:tcBorders>
              <w:top w:val="single" w:sz="4" w:space="0" w:color="auto"/>
              <w:left w:val="single" w:sz="4" w:space="0" w:color="auto"/>
              <w:bottom w:val="single" w:sz="4" w:space="0" w:color="auto"/>
              <w:right w:val="single" w:sz="4" w:space="0" w:color="auto"/>
            </w:tcBorders>
            <w:noWrap/>
            <w:hideMark/>
          </w:tcPr>
          <w:p w14:paraId="35BF1763" w14:textId="77777777" w:rsidR="00401E72" w:rsidRPr="006E6048" w:rsidRDefault="00401E72" w:rsidP="00A21BAE">
            <w:r w:rsidRPr="006E6048">
              <w:t>Modularity</w:t>
            </w:r>
          </w:p>
        </w:tc>
        <w:tc>
          <w:tcPr>
            <w:tcW w:w="965" w:type="dxa"/>
            <w:tcBorders>
              <w:top w:val="single" w:sz="4" w:space="0" w:color="auto"/>
              <w:left w:val="single" w:sz="4" w:space="0" w:color="auto"/>
              <w:bottom w:val="single" w:sz="4" w:space="0" w:color="auto"/>
              <w:right w:val="single" w:sz="4" w:space="0" w:color="auto"/>
            </w:tcBorders>
            <w:noWrap/>
            <w:hideMark/>
          </w:tcPr>
          <w:p w14:paraId="7EF0FC0A" w14:textId="77777777" w:rsidR="00401E72" w:rsidRPr="006E6048" w:rsidRDefault="00401E72" w:rsidP="00A21BAE">
            <w:r w:rsidRPr="006E6048">
              <w:t>4</w:t>
            </w:r>
          </w:p>
        </w:tc>
      </w:tr>
      <w:tr w:rsidR="00401E72" w14:paraId="021FBF83"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F92A23B"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276689A0" w14:textId="77777777" w:rsidR="00401E72" w:rsidRPr="006E6048" w:rsidRDefault="00401E72" w:rsidP="00A21BAE">
            <w:r w:rsidRPr="006E6048">
              <w:t>Small-worldness index</w:t>
            </w:r>
          </w:p>
        </w:tc>
        <w:tc>
          <w:tcPr>
            <w:tcW w:w="3553" w:type="dxa"/>
            <w:tcBorders>
              <w:top w:val="single" w:sz="4" w:space="0" w:color="auto"/>
              <w:left w:val="single" w:sz="4" w:space="0" w:color="auto"/>
              <w:bottom w:val="single" w:sz="4" w:space="0" w:color="auto"/>
              <w:right w:val="single" w:sz="4" w:space="0" w:color="auto"/>
            </w:tcBorders>
            <w:noWrap/>
            <w:hideMark/>
          </w:tcPr>
          <w:p w14:paraId="23BA90F3" w14:textId="77777777" w:rsidR="00401E72" w:rsidRPr="006E6048" w:rsidRDefault="00401E72" w:rsidP="00A21BAE">
            <w:r w:rsidRPr="006E6048">
              <w:t>Small-worldness index</w:t>
            </w:r>
          </w:p>
        </w:tc>
        <w:tc>
          <w:tcPr>
            <w:tcW w:w="965" w:type="dxa"/>
            <w:tcBorders>
              <w:top w:val="single" w:sz="4" w:space="0" w:color="auto"/>
              <w:left w:val="single" w:sz="4" w:space="0" w:color="auto"/>
              <w:bottom w:val="single" w:sz="4" w:space="0" w:color="auto"/>
              <w:right w:val="single" w:sz="4" w:space="0" w:color="auto"/>
            </w:tcBorders>
            <w:noWrap/>
            <w:hideMark/>
          </w:tcPr>
          <w:p w14:paraId="47577B3D" w14:textId="77777777" w:rsidR="00401E72" w:rsidRPr="006E6048" w:rsidRDefault="00401E72" w:rsidP="00A21BAE">
            <w:r w:rsidRPr="006E6048">
              <w:t>1</w:t>
            </w:r>
          </w:p>
        </w:tc>
      </w:tr>
      <w:tr w:rsidR="00401E72" w14:paraId="46D6A854"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02AABB"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5C5C8CDE" w14:textId="77777777" w:rsidR="00401E72" w:rsidRPr="006E6048" w:rsidRDefault="00401E72" w:rsidP="00A21BAE">
            <w:r w:rsidRPr="006E6048">
              <w:t>Node connectivity/cohesion</w:t>
            </w:r>
          </w:p>
        </w:tc>
        <w:tc>
          <w:tcPr>
            <w:tcW w:w="3553" w:type="dxa"/>
            <w:tcBorders>
              <w:top w:val="single" w:sz="4" w:space="0" w:color="auto"/>
              <w:left w:val="single" w:sz="4" w:space="0" w:color="auto"/>
              <w:bottom w:val="single" w:sz="4" w:space="0" w:color="auto"/>
              <w:right w:val="single" w:sz="4" w:space="0" w:color="auto"/>
            </w:tcBorders>
            <w:noWrap/>
            <w:hideMark/>
          </w:tcPr>
          <w:p w14:paraId="659515AF" w14:textId="77777777" w:rsidR="00401E72" w:rsidRPr="006E6048" w:rsidRDefault="00401E72" w:rsidP="00A21BAE">
            <w:r w:rsidRPr="006E6048">
              <w:t>Node connectivity</w:t>
            </w:r>
          </w:p>
        </w:tc>
        <w:tc>
          <w:tcPr>
            <w:tcW w:w="965" w:type="dxa"/>
            <w:tcBorders>
              <w:top w:val="single" w:sz="4" w:space="0" w:color="auto"/>
              <w:left w:val="single" w:sz="4" w:space="0" w:color="auto"/>
              <w:bottom w:val="single" w:sz="4" w:space="0" w:color="auto"/>
              <w:right w:val="single" w:sz="4" w:space="0" w:color="auto"/>
            </w:tcBorders>
            <w:noWrap/>
            <w:hideMark/>
          </w:tcPr>
          <w:p w14:paraId="236DD024" w14:textId="77777777" w:rsidR="00401E72" w:rsidRPr="006E6048" w:rsidRDefault="00401E72" w:rsidP="00A21BAE">
            <w:r w:rsidRPr="006E6048">
              <w:t>1</w:t>
            </w:r>
          </w:p>
        </w:tc>
      </w:tr>
      <w:tr w:rsidR="00401E72" w14:paraId="5B2F7FBF"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0481A6"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2BEE7CB2" w14:textId="77777777" w:rsidR="00401E72" w:rsidRPr="006E6048" w:rsidRDefault="00401E72" w:rsidP="00A21BAE">
            <w:r w:rsidRPr="006E6048">
              <w:t>Activity spread</w:t>
            </w:r>
          </w:p>
        </w:tc>
        <w:tc>
          <w:tcPr>
            <w:tcW w:w="3553" w:type="dxa"/>
            <w:tcBorders>
              <w:top w:val="single" w:sz="4" w:space="0" w:color="auto"/>
              <w:left w:val="single" w:sz="4" w:space="0" w:color="auto"/>
              <w:bottom w:val="single" w:sz="4" w:space="0" w:color="auto"/>
              <w:right w:val="single" w:sz="4" w:space="0" w:color="auto"/>
            </w:tcBorders>
            <w:noWrap/>
            <w:hideMark/>
          </w:tcPr>
          <w:p w14:paraId="773285C3" w14:textId="77777777" w:rsidR="00401E72" w:rsidRPr="006E6048" w:rsidRDefault="00401E72" w:rsidP="00A21BAE">
            <w:r w:rsidRPr="006E6048">
              <w:t>Activity spread</w:t>
            </w:r>
          </w:p>
        </w:tc>
        <w:tc>
          <w:tcPr>
            <w:tcW w:w="965" w:type="dxa"/>
            <w:tcBorders>
              <w:top w:val="single" w:sz="4" w:space="0" w:color="auto"/>
              <w:left w:val="single" w:sz="4" w:space="0" w:color="auto"/>
              <w:bottom w:val="single" w:sz="4" w:space="0" w:color="auto"/>
              <w:right w:val="single" w:sz="4" w:space="0" w:color="auto"/>
            </w:tcBorders>
            <w:noWrap/>
            <w:hideMark/>
          </w:tcPr>
          <w:p w14:paraId="68428685" w14:textId="77777777" w:rsidR="00401E72" w:rsidRPr="006E6048" w:rsidRDefault="00401E72" w:rsidP="00A21BAE">
            <w:r w:rsidRPr="006E6048">
              <w:t>1</w:t>
            </w:r>
          </w:p>
        </w:tc>
      </w:tr>
      <w:tr w:rsidR="00401E72" w14:paraId="4D632C0F"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8449DA6"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0B60CC4A" w14:textId="77777777" w:rsidR="00401E72" w:rsidRPr="006E6048" w:rsidRDefault="00401E72" w:rsidP="00A21BAE">
            <w:r w:rsidRPr="006E6048">
              <w:t>Popularity spread</w:t>
            </w:r>
          </w:p>
        </w:tc>
        <w:tc>
          <w:tcPr>
            <w:tcW w:w="3553" w:type="dxa"/>
            <w:tcBorders>
              <w:top w:val="single" w:sz="4" w:space="0" w:color="auto"/>
              <w:left w:val="single" w:sz="4" w:space="0" w:color="auto"/>
              <w:bottom w:val="single" w:sz="4" w:space="0" w:color="auto"/>
              <w:right w:val="single" w:sz="4" w:space="0" w:color="auto"/>
            </w:tcBorders>
            <w:noWrap/>
            <w:hideMark/>
          </w:tcPr>
          <w:p w14:paraId="1B89E457" w14:textId="77777777" w:rsidR="00401E72" w:rsidRPr="006E6048" w:rsidRDefault="00401E72" w:rsidP="00A21BAE">
            <w:r w:rsidRPr="006E6048">
              <w:t>Popularity spread</w:t>
            </w:r>
          </w:p>
        </w:tc>
        <w:tc>
          <w:tcPr>
            <w:tcW w:w="965" w:type="dxa"/>
            <w:tcBorders>
              <w:top w:val="single" w:sz="4" w:space="0" w:color="auto"/>
              <w:left w:val="single" w:sz="4" w:space="0" w:color="auto"/>
              <w:bottom w:val="single" w:sz="4" w:space="0" w:color="auto"/>
              <w:right w:val="single" w:sz="4" w:space="0" w:color="auto"/>
            </w:tcBorders>
            <w:noWrap/>
            <w:hideMark/>
          </w:tcPr>
          <w:p w14:paraId="14098C97" w14:textId="77777777" w:rsidR="00401E72" w:rsidRPr="006E6048" w:rsidRDefault="00401E72" w:rsidP="00A21BAE">
            <w:r w:rsidRPr="006E6048">
              <w:t>1</w:t>
            </w:r>
          </w:p>
        </w:tc>
      </w:tr>
      <w:tr w:rsidR="00401E72" w14:paraId="29B219FA"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9E25EB"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7E21ACD7" w14:textId="77777777" w:rsidR="00401E72" w:rsidRPr="006E6048" w:rsidRDefault="00401E72" w:rsidP="00A21BAE">
            <w:r w:rsidRPr="006E6048">
              <w:t>Bipartiteness</w:t>
            </w:r>
          </w:p>
        </w:tc>
        <w:tc>
          <w:tcPr>
            <w:tcW w:w="3553" w:type="dxa"/>
            <w:tcBorders>
              <w:top w:val="single" w:sz="4" w:space="0" w:color="auto"/>
              <w:left w:val="single" w:sz="4" w:space="0" w:color="auto"/>
              <w:bottom w:val="single" w:sz="4" w:space="0" w:color="auto"/>
              <w:right w:val="single" w:sz="4" w:space="0" w:color="auto"/>
            </w:tcBorders>
            <w:noWrap/>
            <w:hideMark/>
          </w:tcPr>
          <w:p w14:paraId="6CF0B9B3" w14:textId="77777777" w:rsidR="00401E72" w:rsidRPr="006E6048" w:rsidRDefault="00401E72" w:rsidP="00A21BAE">
            <w:r w:rsidRPr="006E6048">
              <w:t>Bipartiteness</w:t>
            </w:r>
          </w:p>
        </w:tc>
        <w:tc>
          <w:tcPr>
            <w:tcW w:w="965" w:type="dxa"/>
            <w:tcBorders>
              <w:top w:val="single" w:sz="4" w:space="0" w:color="auto"/>
              <w:left w:val="single" w:sz="4" w:space="0" w:color="auto"/>
              <w:bottom w:val="single" w:sz="4" w:space="0" w:color="auto"/>
              <w:right w:val="single" w:sz="4" w:space="0" w:color="auto"/>
            </w:tcBorders>
            <w:noWrap/>
            <w:hideMark/>
          </w:tcPr>
          <w:p w14:paraId="6A110322" w14:textId="77777777" w:rsidR="00401E72" w:rsidRPr="006E6048" w:rsidRDefault="00401E72" w:rsidP="00A21BAE">
            <w:r w:rsidRPr="006E6048">
              <w:t>1</w:t>
            </w:r>
          </w:p>
        </w:tc>
      </w:tr>
      <w:tr w:rsidR="00401E72" w14:paraId="3FB6FE7C"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9B5181"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519298DB" w14:textId="77777777" w:rsidR="00401E72" w:rsidRPr="006E6048" w:rsidRDefault="00401E72" w:rsidP="00A21BAE">
            <w:r w:rsidRPr="006E6048">
              <w:t>Radius</w:t>
            </w:r>
          </w:p>
        </w:tc>
        <w:tc>
          <w:tcPr>
            <w:tcW w:w="3553" w:type="dxa"/>
            <w:tcBorders>
              <w:top w:val="single" w:sz="4" w:space="0" w:color="auto"/>
              <w:left w:val="single" w:sz="4" w:space="0" w:color="auto"/>
              <w:bottom w:val="single" w:sz="4" w:space="0" w:color="auto"/>
              <w:right w:val="single" w:sz="4" w:space="0" w:color="auto"/>
            </w:tcBorders>
            <w:noWrap/>
            <w:hideMark/>
          </w:tcPr>
          <w:p w14:paraId="7FFEDEF9" w14:textId="77777777" w:rsidR="00401E72" w:rsidRPr="006E6048" w:rsidRDefault="00401E72" w:rsidP="00A21BAE">
            <w:r w:rsidRPr="006E6048">
              <w:t>Radius</w:t>
            </w:r>
          </w:p>
        </w:tc>
        <w:tc>
          <w:tcPr>
            <w:tcW w:w="965" w:type="dxa"/>
            <w:tcBorders>
              <w:top w:val="single" w:sz="4" w:space="0" w:color="auto"/>
              <w:left w:val="single" w:sz="4" w:space="0" w:color="auto"/>
              <w:bottom w:val="single" w:sz="4" w:space="0" w:color="auto"/>
              <w:right w:val="single" w:sz="4" w:space="0" w:color="auto"/>
            </w:tcBorders>
            <w:noWrap/>
            <w:hideMark/>
          </w:tcPr>
          <w:p w14:paraId="6FBCF95B" w14:textId="77777777" w:rsidR="00401E72" w:rsidRPr="006E6048" w:rsidRDefault="00401E72" w:rsidP="00A21BAE">
            <w:r w:rsidRPr="006E6048">
              <w:t>1</w:t>
            </w:r>
          </w:p>
        </w:tc>
      </w:tr>
      <w:tr w:rsidR="00401E72" w14:paraId="0D6F8E97"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4DC093"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43E1A5F6" w14:textId="77777777" w:rsidR="00401E72" w:rsidRPr="006E6048" w:rsidRDefault="00401E72" w:rsidP="00A21BAE">
            <w:r w:rsidRPr="006E6048">
              <w:t>Spectral radius</w:t>
            </w:r>
          </w:p>
        </w:tc>
        <w:tc>
          <w:tcPr>
            <w:tcW w:w="3553" w:type="dxa"/>
            <w:tcBorders>
              <w:top w:val="single" w:sz="4" w:space="0" w:color="auto"/>
              <w:left w:val="single" w:sz="4" w:space="0" w:color="auto"/>
              <w:bottom w:val="single" w:sz="4" w:space="0" w:color="auto"/>
              <w:right w:val="single" w:sz="4" w:space="0" w:color="auto"/>
            </w:tcBorders>
            <w:noWrap/>
            <w:hideMark/>
          </w:tcPr>
          <w:p w14:paraId="42A8B10C" w14:textId="77777777" w:rsidR="00401E72" w:rsidRPr="006E6048" w:rsidRDefault="00401E72" w:rsidP="00A21BAE">
            <w:r w:rsidRPr="006E6048">
              <w:t>Spectral radius</w:t>
            </w:r>
          </w:p>
        </w:tc>
        <w:tc>
          <w:tcPr>
            <w:tcW w:w="965" w:type="dxa"/>
            <w:tcBorders>
              <w:top w:val="single" w:sz="4" w:space="0" w:color="auto"/>
              <w:left w:val="single" w:sz="4" w:space="0" w:color="auto"/>
              <w:bottom w:val="single" w:sz="4" w:space="0" w:color="auto"/>
              <w:right w:val="single" w:sz="4" w:space="0" w:color="auto"/>
            </w:tcBorders>
            <w:noWrap/>
            <w:hideMark/>
          </w:tcPr>
          <w:p w14:paraId="5C9CFBAA" w14:textId="77777777" w:rsidR="00401E72" w:rsidRPr="006E6048" w:rsidRDefault="00401E72" w:rsidP="00A21BAE">
            <w:r w:rsidRPr="006E6048">
              <w:t>1</w:t>
            </w:r>
          </w:p>
        </w:tc>
      </w:tr>
      <w:tr w:rsidR="00401E72" w14:paraId="0E6809AF"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BDE491"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0EF63A83" w14:textId="77777777" w:rsidR="00401E72" w:rsidRPr="006E6048" w:rsidRDefault="00401E72" w:rsidP="00A21BAE">
            <w:r w:rsidRPr="006E6048">
              <w:t>Spectral gap</w:t>
            </w:r>
          </w:p>
        </w:tc>
        <w:tc>
          <w:tcPr>
            <w:tcW w:w="3553" w:type="dxa"/>
            <w:tcBorders>
              <w:top w:val="single" w:sz="4" w:space="0" w:color="auto"/>
              <w:left w:val="single" w:sz="4" w:space="0" w:color="auto"/>
              <w:bottom w:val="single" w:sz="4" w:space="0" w:color="auto"/>
              <w:right w:val="single" w:sz="4" w:space="0" w:color="auto"/>
            </w:tcBorders>
            <w:noWrap/>
            <w:hideMark/>
          </w:tcPr>
          <w:p w14:paraId="172F7109" w14:textId="77777777" w:rsidR="00401E72" w:rsidRPr="006E6048" w:rsidRDefault="00401E72" w:rsidP="00A21BAE">
            <w:r w:rsidRPr="006E6048">
              <w:t>Spectral gap</w:t>
            </w:r>
          </w:p>
        </w:tc>
        <w:tc>
          <w:tcPr>
            <w:tcW w:w="965" w:type="dxa"/>
            <w:tcBorders>
              <w:top w:val="single" w:sz="4" w:space="0" w:color="auto"/>
              <w:left w:val="single" w:sz="4" w:space="0" w:color="auto"/>
              <w:bottom w:val="single" w:sz="4" w:space="0" w:color="auto"/>
              <w:right w:val="single" w:sz="4" w:space="0" w:color="auto"/>
            </w:tcBorders>
            <w:noWrap/>
            <w:hideMark/>
          </w:tcPr>
          <w:p w14:paraId="121017A7" w14:textId="77777777" w:rsidR="00401E72" w:rsidRPr="006E6048" w:rsidRDefault="00401E72" w:rsidP="00A21BAE">
            <w:r w:rsidRPr="006E6048">
              <w:t>1</w:t>
            </w:r>
          </w:p>
        </w:tc>
      </w:tr>
      <w:tr w:rsidR="00401E72" w14:paraId="2246B793"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84831E6"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14AF2EA8" w14:textId="77777777" w:rsidR="00401E72" w:rsidRPr="006E6048" w:rsidRDefault="00401E72" w:rsidP="00A21BAE">
            <w:r w:rsidRPr="006E6048">
              <w:t>Global rich-club coefficient</w:t>
            </w:r>
          </w:p>
        </w:tc>
        <w:tc>
          <w:tcPr>
            <w:tcW w:w="3553" w:type="dxa"/>
            <w:tcBorders>
              <w:top w:val="single" w:sz="4" w:space="0" w:color="auto"/>
              <w:left w:val="single" w:sz="4" w:space="0" w:color="auto"/>
              <w:bottom w:val="single" w:sz="4" w:space="0" w:color="auto"/>
              <w:right w:val="single" w:sz="4" w:space="0" w:color="auto"/>
            </w:tcBorders>
            <w:noWrap/>
            <w:hideMark/>
          </w:tcPr>
          <w:p w14:paraId="1F9D9E4D" w14:textId="77777777" w:rsidR="00401E72" w:rsidRPr="006E6048" w:rsidRDefault="00401E72" w:rsidP="00A21BAE">
            <w:r w:rsidRPr="006E6048">
              <w:t>Global rich-club coefficient</w:t>
            </w:r>
          </w:p>
        </w:tc>
        <w:tc>
          <w:tcPr>
            <w:tcW w:w="965" w:type="dxa"/>
            <w:tcBorders>
              <w:top w:val="single" w:sz="4" w:space="0" w:color="auto"/>
              <w:left w:val="single" w:sz="4" w:space="0" w:color="auto"/>
              <w:bottom w:val="single" w:sz="4" w:space="0" w:color="auto"/>
              <w:right w:val="single" w:sz="4" w:space="0" w:color="auto"/>
            </w:tcBorders>
            <w:noWrap/>
            <w:hideMark/>
          </w:tcPr>
          <w:p w14:paraId="7CCEBD72" w14:textId="77777777" w:rsidR="00401E72" w:rsidRPr="006E6048" w:rsidRDefault="00401E72" w:rsidP="00A21BAE">
            <w:r w:rsidRPr="006E6048">
              <w:t>1</w:t>
            </w:r>
          </w:p>
        </w:tc>
      </w:tr>
      <w:tr w:rsidR="00401E72" w14:paraId="2B4EBB72" w14:textId="77777777" w:rsidTr="00A21BA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DFD514E"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4A24DB14" w14:textId="77777777" w:rsidR="00401E72" w:rsidRPr="006E6048" w:rsidRDefault="00401E72" w:rsidP="00A21BAE">
            <w:r w:rsidRPr="006E6048">
              <w:t>Inverse eigen ratio</w:t>
            </w:r>
          </w:p>
        </w:tc>
        <w:tc>
          <w:tcPr>
            <w:tcW w:w="3553" w:type="dxa"/>
            <w:tcBorders>
              <w:top w:val="single" w:sz="4" w:space="0" w:color="auto"/>
              <w:left w:val="single" w:sz="4" w:space="0" w:color="auto"/>
              <w:bottom w:val="single" w:sz="4" w:space="0" w:color="auto"/>
              <w:right w:val="single" w:sz="4" w:space="0" w:color="auto"/>
            </w:tcBorders>
            <w:noWrap/>
            <w:hideMark/>
          </w:tcPr>
          <w:p w14:paraId="02F55B85" w14:textId="77777777" w:rsidR="00401E72" w:rsidRPr="006E6048" w:rsidRDefault="00401E72" w:rsidP="00A21BAE">
            <w:r w:rsidRPr="006E6048">
              <w:t>Inverse eigen ratio</w:t>
            </w:r>
          </w:p>
        </w:tc>
        <w:tc>
          <w:tcPr>
            <w:tcW w:w="965" w:type="dxa"/>
            <w:tcBorders>
              <w:top w:val="single" w:sz="4" w:space="0" w:color="auto"/>
              <w:left w:val="single" w:sz="4" w:space="0" w:color="auto"/>
              <w:bottom w:val="single" w:sz="4" w:space="0" w:color="auto"/>
              <w:right w:val="single" w:sz="4" w:space="0" w:color="auto"/>
            </w:tcBorders>
            <w:noWrap/>
            <w:hideMark/>
          </w:tcPr>
          <w:p w14:paraId="19C4BB36" w14:textId="77777777" w:rsidR="00401E72" w:rsidRPr="006E6048" w:rsidRDefault="00401E72" w:rsidP="00A21BAE">
            <w:r w:rsidRPr="006E6048">
              <w:t>1</w:t>
            </w:r>
          </w:p>
        </w:tc>
      </w:tr>
      <w:tr w:rsidR="00401E72" w14:paraId="644AD7D2" w14:textId="77777777" w:rsidTr="00A21BAE">
        <w:trPr>
          <w:trHeight w:val="288"/>
        </w:trPr>
        <w:tc>
          <w:tcPr>
            <w:tcW w:w="875" w:type="dxa"/>
            <w:vMerge w:val="restart"/>
            <w:tcBorders>
              <w:top w:val="single" w:sz="4" w:space="0" w:color="auto"/>
              <w:left w:val="single" w:sz="4" w:space="0" w:color="auto"/>
              <w:bottom w:val="single" w:sz="4" w:space="0" w:color="auto"/>
              <w:right w:val="single" w:sz="4" w:space="0" w:color="auto"/>
            </w:tcBorders>
            <w:hideMark/>
          </w:tcPr>
          <w:p w14:paraId="0679D112" w14:textId="77777777" w:rsidR="00401E72" w:rsidRPr="006E6048" w:rsidRDefault="00401E72" w:rsidP="00A21BAE">
            <w:r w:rsidRPr="006E6048">
              <w:t xml:space="preserve">Aggregate </w:t>
            </w:r>
            <w:r w:rsidRPr="006E6048">
              <w:lastRenderedPageBreak/>
              <w:t>network-level</w:t>
            </w:r>
          </w:p>
        </w:tc>
        <w:tc>
          <w:tcPr>
            <w:tcW w:w="3669" w:type="dxa"/>
            <w:tcBorders>
              <w:top w:val="single" w:sz="4" w:space="0" w:color="auto"/>
              <w:left w:val="single" w:sz="4" w:space="0" w:color="auto"/>
              <w:bottom w:val="single" w:sz="4" w:space="0" w:color="auto"/>
              <w:right w:val="single" w:sz="4" w:space="0" w:color="auto"/>
            </w:tcBorders>
            <w:noWrap/>
            <w:hideMark/>
          </w:tcPr>
          <w:p w14:paraId="0A564C0D" w14:textId="77777777" w:rsidR="00401E72" w:rsidRPr="006E6048" w:rsidRDefault="00401E72" w:rsidP="00A21BAE">
            <w:pPr>
              <w:rPr>
                <w:lang w:val="en-US"/>
              </w:rPr>
            </w:pPr>
            <w:r w:rsidRPr="006E6048">
              <w:rPr>
                <w:lang w:val="en-US"/>
              </w:rPr>
              <w:lastRenderedPageBreak/>
              <w:t>Aggregate measures of degree centrality</w:t>
            </w:r>
          </w:p>
        </w:tc>
        <w:tc>
          <w:tcPr>
            <w:tcW w:w="3553" w:type="dxa"/>
            <w:tcBorders>
              <w:top w:val="single" w:sz="4" w:space="0" w:color="auto"/>
              <w:left w:val="single" w:sz="4" w:space="0" w:color="auto"/>
              <w:bottom w:val="single" w:sz="4" w:space="0" w:color="auto"/>
              <w:right w:val="single" w:sz="4" w:space="0" w:color="auto"/>
            </w:tcBorders>
            <w:noWrap/>
            <w:hideMark/>
          </w:tcPr>
          <w:p w14:paraId="2BB03E27" w14:textId="77777777" w:rsidR="00401E72" w:rsidRPr="006E6048" w:rsidRDefault="00401E72" w:rsidP="00A21BAE">
            <w:r w:rsidRPr="006E6048">
              <w:t>Average degree</w:t>
            </w:r>
          </w:p>
        </w:tc>
        <w:tc>
          <w:tcPr>
            <w:tcW w:w="965" w:type="dxa"/>
            <w:tcBorders>
              <w:top w:val="single" w:sz="4" w:space="0" w:color="auto"/>
              <w:left w:val="single" w:sz="4" w:space="0" w:color="auto"/>
              <w:bottom w:val="single" w:sz="4" w:space="0" w:color="auto"/>
              <w:right w:val="single" w:sz="4" w:space="0" w:color="auto"/>
            </w:tcBorders>
            <w:noWrap/>
            <w:hideMark/>
          </w:tcPr>
          <w:p w14:paraId="234D372F" w14:textId="77777777" w:rsidR="00401E72" w:rsidRPr="006E6048" w:rsidRDefault="00401E72" w:rsidP="00A21BAE">
            <w:r w:rsidRPr="006E6048">
              <w:t>4</w:t>
            </w:r>
          </w:p>
        </w:tc>
      </w:tr>
      <w:tr w:rsidR="00401E72" w14:paraId="4304DED1"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4673A6" w14:textId="77777777" w:rsidR="00401E72" w:rsidRPr="006E6048" w:rsidRDefault="00401E72" w:rsidP="00A21BAE"/>
        </w:tc>
        <w:tc>
          <w:tcPr>
            <w:tcW w:w="3669" w:type="dxa"/>
            <w:vMerge w:val="restart"/>
            <w:tcBorders>
              <w:top w:val="single" w:sz="4" w:space="0" w:color="auto"/>
              <w:left w:val="single" w:sz="4" w:space="0" w:color="auto"/>
              <w:bottom w:val="single" w:sz="4" w:space="0" w:color="auto"/>
              <w:right w:val="single" w:sz="4" w:space="0" w:color="auto"/>
            </w:tcBorders>
            <w:hideMark/>
          </w:tcPr>
          <w:p w14:paraId="77CF7168" w14:textId="77777777" w:rsidR="00401E72" w:rsidRPr="006E6048" w:rsidRDefault="00401E72" w:rsidP="00A21BAE">
            <w:pPr>
              <w:rPr>
                <w:lang w:val="en-US"/>
              </w:rPr>
            </w:pPr>
            <w:r w:rsidRPr="006E6048">
              <w:rPr>
                <w:lang w:val="en-US"/>
              </w:rPr>
              <w:t>Aggregate measures of degree centrality for directed networks</w:t>
            </w:r>
          </w:p>
        </w:tc>
        <w:tc>
          <w:tcPr>
            <w:tcW w:w="3553" w:type="dxa"/>
            <w:tcBorders>
              <w:top w:val="single" w:sz="4" w:space="0" w:color="auto"/>
              <w:left w:val="single" w:sz="4" w:space="0" w:color="auto"/>
              <w:bottom w:val="single" w:sz="4" w:space="0" w:color="auto"/>
              <w:right w:val="single" w:sz="4" w:space="0" w:color="auto"/>
            </w:tcBorders>
            <w:noWrap/>
            <w:hideMark/>
          </w:tcPr>
          <w:p w14:paraId="6C3E9545" w14:textId="77777777" w:rsidR="00401E72" w:rsidRPr="006E6048" w:rsidRDefault="00401E72" w:rsidP="00A21BAE">
            <w:r w:rsidRPr="006E6048">
              <w:t>Average in-degree</w:t>
            </w:r>
          </w:p>
        </w:tc>
        <w:tc>
          <w:tcPr>
            <w:tcW w:w="965" w:type="dxa"/>
            <w:tcBorders>
              <w:top w:val="single" w:sz="4" w:space="0" w:color="auto"/>
              <w:left w:val="single" w:sz="4" w:space="0" w:color="auto"/>
              <w:bottom w:val="single" w:sz="4" w:space="0" w:color="auto"/>
              <w:right w:val="single" w:sz="4" w:space="0" w:color="auto"/>
            </w:tcBorders>
            <w:noWrap/>
            <w:hideMark/>
          </w:tcPr>
          <w:p w14:paraId="37F166E3" w14:textId="77777777" w:rsidR="00401E72" w:rsidRPr="006E6048" w:rsidRDefault="00401E72" w:rsidP="00A21BAE">
            <w:r w:rsidRPr="006E6048">
              <w:t>1</w:t>
            </w:r>
          </w:p>
        </w:tc>
      </w:tr>
      <w:tr w:rsidR="00401E72" w14:paraId="0990F60F"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E4D54A" w14:textId="77777777" w:rsidR="00401E72" w:rsidRPr="006E6048" w:rsidRDefault="00401E72" w:rsidP="00A21BAE"/>
        </w:tc>
        <w:tc>
          <w:tcPr>
            <w:tcW w:w="0" w:type="auto"/>
            <w:vMerge/>
            <w:tcBorders>
              <w:top w:val="single" w:sz="4" w:space="0" w:color="auto"/>
              <w:left w:val="single" w:sz="4" w:space="0" w:color="auto"/>
              <w:bottom w:val="single" w:sz="4" w:space="0" w:color="auto"/>
              <w:right w:val="single" w:sz="4" w:space="0" w:color="auto"/>
            </w:tcBorders>
            <w:vAlign w:val="center"/>
            <w:hideMark/>
          </w:tcPr>
          <w:p w14:paraId="61D737CB" w14:textId="77777777" w:rsidR="00401E72" w:rsidRPr="006E6048" w:rsidRDefault="00401E72" w:rsidP="00A21BAE">
            <w:pPr>
              <w:rPr>
                <w:lang w:val="en-US"/>
              </w:rPr>
            </w:pPr>
          </w:p>
        </w:tc>
        <w:tc>
          <w:tcPr>
            <w:tcW w:w="3553" w:type="dxa"/>
            <w:tcBorders>
              <w:top w:val="single" w:sz="4" w:space="0" w:color="auto"/>
              <w:left w:val="single" w:sz="4" w:space="0" w:color="auto"/>
              <w:bottom w:val="single" w:sz="4" w:space="0" w:color="auto"/>
              <w:right w:val="single" w:sz="4" w:space="0" w:color="auto"/>
            </w:tcBorders>
            <w:noWrap/>
            <w:hideMark/>
          </w:tcPr>
          <w:p w14:paraId="188464A1" w14:textId="77777777" w:rsidR="00401E72" w:rsidRPr="006E6048" w:rsidRDefault="00401E72" w:rsidP="00A21BAE">
            <w:r w:rsidRPr="006E6048">
              <w:t>Average out-degree</w:t>
            </w:r>
          </w:p>
        </w:tc>
        <w:tc>
          <w:tcPr>
            <w:tcW w:w="965" w:type="dxa"/>
            <w:tcBorders>
              <w:top w:val="single" w:sz="4" w:space="0" w:color="auto"/>
              <w:left w:val="single" w:sz="4" w:space="0" w:color="auto"/>
              <w:bottom w:val="single" w:sz="4" w:space="0" w:color="auto"/>
              <w:right w:val="single" w:sz="4" w:space="0" w:color="auto"/>
            </w:tcBorders>
            <w:noWrap/>
            <w:hideMark/>
          </w:tcPr>
          <w:p w14:paraId="2A152DF6" w14:textId="77777777" w:rsidR="00401E72" w:rsidRPr="006E6048" w:rsidRDefault="00401E72" w:rsidP="00A21BAE">
            <w:r w:rsidRPr="006E6048">
              <w:t>1</w:t>
            </w:r>
          </w:p>
        </w:tc>
      </w:tr>
      <w:tr w:rsidR="00401E72" w14:paraId="062BABBA"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3C6010"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3C3E0BA5" w14:textId="77777777" w:rsidR="00401E72" w:rsidRPr="006E6048" w:rsidRDefault="00401E72" w:rsidP="00A21BAE">
            <w:pPr>
              <w:rPr>
                <w:lang w:val="en-US"/>
              </w:rPr>
            </w:pPr>
            <w:r w:rsidRPr="006E6048">
              <w:rPr>
                <w:lang w:val="en-US"/>
              </w:rPr>
              <w:t>Aggregate measures of betweenness centrality</w:t>
            </w:r>
          </w:p>
        </w:tc>
        <w:tc>
          <w:tcPr>
            <w:tcW w:w="3553" w:type="dxa"/>
            <w:tcBorders>
              <w:top w:val="single" w:sz="4" w:space="0" w:color="auto"/>
              <w:left w:val="single" w:sz="4" w:space="0" w:color="auto"/>
              <w:bottom w:val="single" w:sz="4" w:space="0" w:color="auto"/>
              <w:right w:val="single" w:sz="4" w:space="0" w:color="auto"/>
            </w:tcBorders>
            <w:noWrap/>
            <w:hideMark/>
          </w:tcPr>
          <w:p w14:paraId="33519DDF" w14:textId="77777777" w:rsidR="00401E72" w:rsidRPr="006E6048" w:rsidRDefault="00401E72" w:rsidP="00A21BAE">
            <w:r w:rsidRPr="006E6048">
              <w:t>Average betweenness</w:t>
            </w:r>
          </w:p>
        </w:tc>
        <w:tc>
          <w:tcPr>
            <w:tcW w:w="965" w:type="dxa"/>
            <w:tcBorders>
              <w:top w:val="single" w:sz="4" w:space="0" w:color="auto"/>
              <w:left w:val="single" w:sz="4" w:space="0" w:color="auto"/>
              <w:bottom w:val="single" w:sz="4" w:space="0" w:color="auto"/>
              <w:right w:val="single" w:sz="4" w:space="0" w:color="auto"/>
            </w:tcBorders>
            <w:noWrap/>
            <w:hideMark/>
          </w:tcPr>
          <w:p w14:paraId="5D224130" w14:textId="77777777" w:rsidR="00401E72" w:rsidRPr="006E6048" w:rsidRDefault="00401E72" w:rsidP="00A21BAE">
            <w:r w:rsidRPr="006E6048">
              <w:t>2</w:t>
            </w:r>
          </w:p>
        </w:tc>
      </w:tr>
      <w:tr w:rsidR="00401E72" w14:paraId="0CFCE86F"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67B784"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29F81E98" w14:textId="77777777" w:rsidR="00401E72" w:rsidRPr="006E6048" w:rsidRDefault="00401E72" w:rsidP="00A21BAE">
            <w:pPr>
              <w:rPr>
                <w:lang w:val="en-US"/>
              </w:rPr>
            </w:pPr>
            <w:r w:rsidRPr="006E6048">
              <w:rPr>
                <w:lang w:val="en-US"/>
              </w:rPr>
              <w:t>Aggregate measures of closeness centrality</w:t>
            </w:r>
          </w:p>
        </w:tc>
        <w:tc>
          <w:tcPr>
            <w:tcW w:w="3553" w:type="dxa"/>
            <w:tcBorders>
              <w:top w:val="single" w:sz="4" w:space="0" w:color="auto"/>
              <w:left w:val="single" w:sz="4" w:space="0" w:color="auto"/>
              <w:bottom w:val="single" w:sz="4" w:space="0" w:color="auto"/>
              <w:right w:val="single" w:sz="4" w:space="0" w:color="auto"/>
            </w:tcBorders>
            <w:noWrap/>
            <w:hideMark/>
          </w:tcPr>
          <w:p w14:paraId="2EBA6651" w14:textId="77777777" w:rsidR="00401E72" w:rsidRPr="006E6048" w:rsidRDefault="00401E72" w:rsidP="00A21BAE">
            <w:r w:rsidRPr="006E6048">
              <w:t>Average closeness</w:t>
            </w:r>
          </w:p>
        </w:tc>
        <w:tc>
          <w:tcPr>
            <w:tcW w:w="965" w:type="dxa"/>
            <w:tcBorders>
              <w:top w:val="single" w:sz="4" w:space="0" w:color="auto"/>
              <w:left w:val="single" w:sz="4" w:space="0" w:color="auto"/>
              <w:bottom w:val="single" w:sz="4" w:space="0" w:color="auto"/>
              <w:right w:val="single" w:sz="4" w:space="0" w:color="auto"/>
            </w:tcBorders>
            <w:noWrap/>
            <w:hideMark/>
          </w:tcPr>
          <w:p w14:paraId="3FF3F4A3" w14:textId="77777777" w:rsidR="00401E72" w:rsidRPr="006E6048" w:rsidRDefault="00401E72" w:rsidP="00A21BAE">
            <w:r w:rsidRPr="006E6048">
              <w:t>1</w:t>
            </w:r>
          </w:p>
        </w:tc>
      </w:tr>
      <w:tr w:rsidR="00401E72" w14:paraId="0BA8B33E"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D6DAE48"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53C3F6B1" w14:textId="77777777" w:rsidR="00401E72" w:rsidRPr="006E6048" w:rsidRDefault="00401E72" w:rsidP="00A21BAE">
            <w:r w:rsidRPr="006E6048">
              <w:t>Average geodesic distance</w:t>
            </w:r>
          </w:p>
        </w:tc>
        <w:tc>
          <w:tcPr>
            <w:tcW w:w="3553" w:type="dxa"/>
            <w:tcBorders>
              <w:top w:val="single" w:sz="4" w:space="0" w:color="auto"/>
              <w:left w:val="single" w:sz="4" w:space="0" w:color="auto"/>
              <w:bottom w:val="single" w:sz="4" w:space="0" w:color="auto"/>
              <w:right w:val="single" w:sz="4" w:space="0" w:color="auto"/>
            </w:tcBorders>
            <w:noWrap/>
            <w:hideMark/>
          </w:tcPr>
          <w:p w14:paraId="1FDBCBC7" w14:textId="77777777" w:rsidR="00401E72" w:rsidRPr="006E6048" w:rsidRDefault="00401E72" w:rsidP="00A21BAE">
            <w:r w:rsidRPr="006E6048">
              <w:t>Average geodesic distance</w:t>
            </w:r>
          </w:p>
        </w:tc>
        <w:tc>
          <w:tcPr>
            <w:tcW w:w="965" w:type="dxa"/>
            <w:tcBorders>
              <w:top w:val="single" w:sz="4" w:space="0" w:color="auto"/>
              <w:left w:val="single" w:sz="4" w:space="0" w:color="auto"/>
              <w:bottom w:val="single" w:sz="4" w:space="0" w:color="auto"/>
              <w:right w:val="single" w:sz="4" w:space="0" w:color="auto"/>
            </w:tcBorders>
            <w:noWrap/>
            <w:hideMark/>
          </w:tcPr>
          <w:p w14:paraId="4E256536" w14:textId="77777777" w:rsidR="00401E72" w:rsidRPr="006E6048" w:rsidRDefault="00401E72" w:rsidP="00A21BAE">
            <w:r>
              <w:t>6</w:t>
            </w:r>
          </w:p>
        </w:tc>
      </w:tr>
      <w:tr w:rsidR="00401E72" w14:paraId="79C8D25C" w14:textId="77777777" w:rsidTr="00A21BAE">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F11734"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7914233E" w14:textId="77777777" w:rsidR="00401E72" w:rsidRPr="006E6048" w:rsidRDefault="00401E72" w:rsidP="00A21BAE">
            <w:r w:rsidRPr="006E6048">
              <w:t>Global efficiency</w:t>
            </w:r>
          </w:p>
        </w:tc>
        <w:tc>
          <w:tcPr>
            <w:tcW w:w="3553" w:type="dxa"/>
            <w:tcBorders>
              <w:top w:val="single" w:sz="4" w:space="0" w:color="auto"/>
              <w:left w:val="single" w:sz="4" w:space="0" w:color="auto"/>
              <w:bottom w:val="single" w:sz="4" w:space="0" w:color="auto"/>
              <w:right w:val="single" w:sz="4" w:space="0" w:color="auto"/>
            </w:tcBorders>
            <w:hideMark/>
          </w:tcPr>
          <w:p w14:paraId="1498FD4F" w14:textId="77777777" w:rsidR="00401E72" w:rsidRPr="006E6048" w:rsidRDefault="00401E72" w:rsidP="00A21BAE">
            <w:r w:rsidRPr="006E6048">
              <w:t>Global efficiency</w:t>
            </w:r>
          </w:p>
        </w:tc>
        <w:tc>
          <w:tcPr>
            <w:tcW w:w="965" w:type="dxa"/>
            <w:tcBorders>
              <w:top w:val="single" w:sz="4" w:space="0" w:color="auto"/>
              <w:left w:val="single" w:sz="4" w:space="0" w:color="auto"/>
              <w:bottom w:val="single" w:sz="4" w:space="0" w:color="auto"/>
              <w:right w:val="single" w:sz="4" w:space="0" w:color="auto"/>
            </w:tcBorders>
            <w:noWrap/>
            <w:hideMark/>
          </w:tcPr>
          <w:p w14:paraId="4C3A75DF" w14:textId="77777777" w:rsidR="00401E72" w:rsidRPr="006E6048" w:rsidRDefault="00401E72" w:rsidP="00A21BAE">
            <w:r w:rsidRPr="006E6048">
              <w:t>1</w:t>
            </w:r>
          </w:p>
        </w:tc>
      </w:tr>
      <w:tr w:rsidR="00401E72" w14:paraId="1FB52D68" w14:textId="77777777" w:rsidTr="00A21BA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3B1846" w14:textId="77777777" w:rsidR="00401E72" w:rsidRPr="006E6048" w:rsidRDefault="00401E72" w:rsidP="00A21BAE"/>
        </w:tc>
        <w:tc>
          <w:tcPr>
            <w:tcW w:w="3669" w:type="dxa"/>
            <w:tcBorders>
              <w:top w:val="single" w:sz="4" w:space="0" w:color="auto"/>
              <w:left w:val="single" w:sz="4" w:space="0" w:color="auto"/>
              <w:bottom w:val="single" w:sz="4" w:space="0" w:color="auto"/>
              <w:right w:val="single" w:sz="4" w:space="0" w:color="auto"/>
            </w:tcBorders>
            <w:hideMark/>
          </w:tcPr>
          <w:p w14:paraId="7E1EEADA" w14:textId="77777777" w:rsidR="00401E72" w:rsidRPr="006E6048" w:rsidRDefault="00401E72" w:rsidP="00A21BAE">
            <w:r w:rsidRPr="006E6048">
              <w:t>Average network strength</w:t>
            </w:r>
          </w:p>
        </w:tc>
        <w:tc>
          <w:tcPr>
            <w:tcW w:w="3553" w:type="dxa"/>
            <w:tcBorders>
              <w:top w:val="single" w:sz="4" w:space="0" w:color="auto"/>
              <w:left w:val="single" w:sz="4" w:space="0" w:color="auto"/>
              <w:bottom w:val="single" w:sz="4" w:space="0" w:color="auto"/>
              <w:right w:val="single" w:sz="4" w:space="0" w:color="auto"/>
            </w:tcBorders>
            <w:noWrap/>
            <w:hideMark/>
          </w:tcPr>
          <w:p w14:paraId="03249A98" w14:textId="77777777" w:rsidR="00401E72" w:rsidRPr="006E6048" w:rsidRDefault="00401E72" w:rsidP="00A21BAE">
            <w:r w:rsidRPr="006E6048">
              <w:t>Average network strength</w:t>
            </w:r>
          </w:p>
        </w:tc>
        <w:tc>
          <w:tcPr>
            <w:tcW w:w="965" w:type="dxa"/>
            <w:tcBorders>
              <w:top w:val="single" w:sz="4" w:space="0" w:color="auto"/>
              <w:left w:val="single" w:sz="4" w:space="0" w:color="auto"/>
              <w:bottom w:val="single" w:sz="4" w:space="0" w:color="auto"/>
              <w:right w:val="single" w:sz="4" w:space="0" w:color="auto"/>
            </w:tcBorders>
            <w:noWrap/>
            <w:hideMark/>
          </w:tcPr>
          <w:p w14:paraId="2E4B7430" w14:textId="77777777" w:rsidR="00401E72" w:rsidRPr="006E6048" w:rsidRDefault="00401E72" w:rsidP="00A21BAE">
            <w:r w:rsidRPr="006E6048">
              <w:t>1</w:t>
            </w:r>
          </w:p>
        </w:tc>
      </w:tr>
    </w:tbl>
    <w:p w14:paraId="049BC2B4" w14:textId="77777777" w:rsidR="00401E72" w:rsidRDefault="00401E72" w:rsidP="00401E72"/>
    <w:p w14:paraId="668937A6" w14:textId="77777777" w:rsidR="00401E72" w:rsidRPr="00D44092" w:rsidRDefault="00401E72" w:rsidP="00401E72">
      <w:pPr>
        <w:pStyle w:val="Titre2"/>
        <w:rPr>
          <w:lang w:val="en-GB"/>
        </w:rPr>
      </w:pPr>
      <w:r w:rsidRPr="00D44092">
        <w:rPr>
          <w:lang w:val="en-GB"/>
        </w:rPr>
        <w:t>Table S7: Confidence assessment scores of all included articles</w:t>
      </w:r>
    </w:p>
    <w:tbl>
      <w:tblPr>
        <w:tblStyle w:val="Grilledutableau"/>
        <w:tblW w:w="0" w:type="auto"/>
        <w:tblLook w:val="04A0" w:firstRow="1" w:lastRow="0" w:firstColumn="1" w:lastColumn="0" w:noHBand="0" w:noVBand="1"/>
      </w:tblPr>
      <w:tblGrid>
        <w:gridCol w:w="2405"/>
        <w:gridCol w:w="1559"/>
        <w:gridCol w:w="1701"/>
        <w:gridCol w:w="1418"/>
        <w:gridCol w:w="1417"/>
      </w:tblGrid>
      <w:tr w:rsidR="00401E72" w:rsidRPr="00231D8F" w14:paraId="6A4A56AC" w14:textId="77777777" w:rsidTr="00A21BAE">
        <w:trPr>
          <w:trHeight w:val="288"/>
        </w:trPr>
        <w:tc>
          <w:tcPr>
            <w:tcW w:w="2405" w:type="dxa"/>
            <w:noWrap/>
            <w:hideMark/>
          </w:tcPr>
          <w:p w14:paraId="3928C75A" w14:textId="77777777" w:rsidR="00401E72" w:rsidRPr="00231D8F" w:rsidRDefault="00401E72" w:rsidP="00A21BAE">
            <w:pPr>
              <w:rPr>
                <w:b/>
                <w:bCs/>
              </w:rPr>
            </w:pPr>
            <w:r>
              <w:rPr>
                <w:b/>
                <w:bCs/>
              </w:rPr>
              <w:t>Article</w:t>
            </w:r>
          </w:p>
        </w:tc>
        <w:tc>
          <w:tcPr>
            <w:tcW w:w="1559" w:type="dxa"/>
            <w:noWrap/>
            <w:hideMark/>
          </w:tcPr>
          <w:p w14:paraId="6C749EAF" w14:textId="77777777" w:rsidR="00401E72" w:rsidRPr="00231D8F" w:rsidRDefault="00401E72" w:rsidP="00A21BAE">
            <w:pPr>
              <w:rPr>
                <w:b/>
                <w:bCs/>
              </w:rPr>
            </w:pPr>
            <w:r>
              <w:rPr>
                <w:b/>
                <w:bCs/>
              </w:rPr>
              <w:t>0 count</w:t>
            </w:r>
          </w:p>
        </w:tc>
        <w:tc>
          <w:tcPr>
            <w:tcW w:w="1701" w:type="dxa"/>
            <w:noWrap/>
            <w:hideMark/>
          </w:tcPr>
          <w:p w14:paraId="50F89B5B" w14:textId="77777777" w:rsidR="00401E72" w:rsidRPr="00231D8F" w:rsidRDefault="00401E72" w:rsidP="00A21BAE">
            <w:pPr>
              <w:rPr>
                <w:b/>
                <w:bCs/>
              </w:rPr>
            </w:pPr>
            <w:r>
              <w:rPr>
                <w:b/>
                <w:bCs/>
              </w:rPr>
              <w:t>1 count</w:t>
            </w:r>
          </w:p>
        </w:tc>
        <w:tc>
          <w:tcPr>
            <w:tcW w:w="1418" w:type="dxa"/>
            <w:noWrap/>
            <w:hideMark/>
          </w:tcPr>
          <w:p w14:paraId="6C6CCE98" w14:textId="77777777" w:rsidR="00401E72" w:rsidRPr="00231D8F" w:rsidRDefault="00401E72" w:rsidP="00A21BAE">
            <w:pPr>
              <w:rPr>
                <w:b/>
                <w:bCs/>
              </w:rPr>
            </w:pPr>
            <w:r>
              <w:rPr>
                <w:b/>
                <w:bCs/>
              </w:rPr>
              <w:t>2 count</w:t>
            </w:r>
          </w:p>
        </w:tc>
        <w:tc>
          <w:tcPr>
            <w:tcW w:w="1417" w:type="dxa"/>
            <w:noWrap/>
            <w:hideMark/>
          </w:tcPr>
          <w:p w14:paraId="253E8393" w14:textId="77777777" w:rsidR="00401E72" w:rsidRPr="00231D8F" w:rsidRDefault="00401E72" w:rsidP="00A21BAE">
            <w:pPr>
              <w:rPr>
                <w:b/>
                <w:bCs/>
              </w:rPr>
            </w:pPr>
            <w:r>
              <w:rPr>
                <w:b/>
                <w:bCs/>
              </w:rPr>
              <w:t>3 count</w:t>
            </w:r>
          </w:p>
        </w:tc>
      </w:tr>
      <w:tr w:rsidR="00401E72" w:rsidRPr="00231D8F" w14:paraId="0AB0E11B" w14:textId="77777777" w:rsidTr="00A21BAE">
        <w:trPr>
          <w:trHeight w:val="288"/>
        </w:trPr>
        <w:tc>
          <w:tcPr>
            <w:tcW w:w="2405" w:type="dxa"/>
            <w:noWrap/>
            <w:hideMark/>
          </w:tcPr>
          <w:p w14:paraId="40EBEE22" w14:textId="77777777" w:rsidR="00401E72" w:rsidRPr="00231D8F" w:rsidRDefault="00401E72" w:rsidP="00A21BAE">
            <w:r>
              <w:t xml:space="preserve">Alexopoulos et al., 2015 </w:t>
            </w:r>
            <w:r>
              <w:fldChar w:fldCharType="begin"/>
            </w:r>
            <w:r>
              <w:instrText xml:space="preserve"> ADDIN ZOTERO_ITEM CSL_CITATION {"citationID":"hdrpXnIC","properties":{"formattedCitation":"(96)","plainCitation":"(96)","noteIndex":0},"citationItems":[{"id":1607,"uris":["http://zotero.org/users/9294180/items/8SVWQINV"],"itemData":{"id":1607,"type":"article-journal","abstract":"Introduction: Interhospital transfers (ITs) could provide insight into regional healthcare efficiency and evidence for policymaking. The aim of this study was to analyse ITs carried out in the Western Greece region over a nine-year period.\nMethods: Archives of the National Center of Emergency Medical Services of Patras and official healthcare resources were used to analyze patient transfers from rural to ‘reception’ hospitals in the area, during the period 2003–2011, by hospital, medical, seasonal and population variations.\nResults: A total of 2500 ITs from the eight rural hospitals to the central ones in the metropolitan area of Patras were monitored yearly. Transfer rates per population ranged between less than 0.3% and more than 1.0%. Only a few patients transferred outside the area (0.9%). Almost 10% of total transfers regarded diagnostic evaluation (mostly CT scan). Transfer rates were inversely related to hospital admission rates (Pearson –0.973, p=0.027), while time (in minutes) (Pearson –0.903, p=0.036) and distance (in kilometers) between the rural and central hospitals (Pearson –0.907, p=0.034) also exhibited significant relationships. The level of understaffing does not have a clear effect on ITs.\nConclusions: By monitoring ITs, it becomes evident where efforts should be prioritized and which of the interconnections should be optimized in a specific network of health care. In this case, interventions should be focused towards the (a) very high transfer rates from the general hospital (GH) of Aigio, (b) lack of orthopedists at GH Kalavryta, which could provide a 24 hour emergency service in a tourist ski area, (c) understaffing in the microbiological laboratory and lack of a CT scanner at GH Mesologi, and (d) lack of radiologists in several hospitals, rendering the installed equipment worthless. By monitoring the ITs, real needs and win–win actions may emerge in the complex interplay of infrastructural factors.","container-title":"Rural and Remote Health","DOI":"10.22605/RRH3228","ISSN":"1445-6354","journalAbbreviation":"RRH","language":"en","source":"DOI.org (Crossref)","title":"Monitoring interhospital transfers in Western Greece during 2003-2011: its role in health policy","title-short":"Monitoring interhospital transfers in Western Greece during 2003-2011","URL":"https://www.rrh.org.au/journal/article/3228","author":[{"family":"Alexopoulos","given":"Evangelos"},{"family":"Kalyva","given":"Athanasia"},{"family":"Merekoulias","given":"Georgios"},{"family":"Niakas","given":"Dimitris"}],"accessed":{"date-parts":[["2025",4,10]]},"issued":{"date-parts":[["2015",10,13]]}}}],"schema":"https://github.com/citation-style-language/schema/raw/master/csl-citation.json"} </w:instrText>
            </w:r>
            <w:r>
              <w:fldChar w:fldCharType="separate"/>
            </w:r>
            <w:r w:rsidRPr="00B423CC">
              <w:rPr>
                <w:rFonts w:cs="Calibri"/>
              </w:rPr>
              <w:t>(96)</w:t>
            </w:r>
            <w:r>
              <w:fldChar w:fldCharType="end"/>
            </w:r>
          </w:p>
        </w:tc>
        <w:tc>
          <w:tcPr>
            <w:tcW w:w="1559" w:type="dxa"/>
            <w:noWrap/>
            <w:hideMark/>
          </w:tcPr>
          <w:p w14:paraId="361B6C8A" w14:textId="77777777" w:rsidR="00401E72" w:rsidRPr="00231D8F" w:rsidRDefault="00401E72" w:rsidP="00A21BAE">
            <w:r w:rsidRPr="00231D8F">
              <w:t>2</w:t>
            </w:r>
          </w:p>
        </w:tc>
        <w:tc>
          <w:tcPr>
            <w:tcW w:w="1701" w:type="dxa"/>
            <w:noWrap/>
            <w:hideMark/>
          </w:tcPr>
          <w:p w14:paraId="551FA9F9" w14:textId="77777777" w:rsidR="00401E72" w:rsidRPr="00231D8F" w:rsidRDefault="00401E72" w:rsidP="00A21BAE">
            <w:r w:rsidRPr="00231D8F">
              <w:t>5</w:t>
            </w:r>
          </w:p>
        </w:tc>
        <w:tc>
          <w:tcPr>
            <w:tcW w:w="1418" w:type="dxa"/>
            <w:noWrap/>
            <w:hideMark/>
          </w:tcPr>
          <w:p w14:paraId="3AC88601" w14:textId="77777777" w:rsidR="00401E72" w:rsidRPr="00231D8F" w:rsidRDefault="00401E72" w:rsidP="00A21BAE">
            <w:r w:rsidRPr="00231D8F">
              <w:t>2</w:t>
            </w:r>
          </w:p>
        </w:tc>
        <w:tc>
          <w:tcPr>
            <w:tcW w:w="1417" w:type="dxa"/>
            <w:noWrap/>
            <w:hideMark/>
          </w:tcPr>
          <w:p w14:paraId="39C9B851" w14:textId="77777777" w:rsidR="00401E72" w:rsidRPr="00231D8F" w:rsidRDefault="00401E72" w:rsidP="00A21BAE">
            <w:r w:rsidRPr="00231D8F">
              <w:t>3</w:t>
            </w:r>
          </w:p>
        </w:tc>
      </w:tr>
      <w:tr w:rsidR="00401E72" w:rsidRPr="00231D8F" w14:paraId="5781B44A" w14:textId="77777777" w:rsidTr="00A21BAE">
        <w:trPr>
          <w:trHeight w:val="288"/>
        </w:trPr>
        <w:tc>
          <w:tcPr>
            <w:tcW w:w="2405" w:type="dxa"/>
            <w:noWrap/>
          </w:tcPr>
          <w:p w14:paraId="3EB88EF1" w14:textId="77777777" w:rsidR="00401E72" w:rsidRDefault="00401E72" w:rsidP="00A21BAE">
            <w:r w:rsidRPr="00231D8F">
              <w:t>Asl</w:t>
            </w:r>
            <w:r>
              <w:t xml:space="preserve"> et al., </w:t>
            </w:r>
            <w:r w:rsidRPr="00231D8F">
              <w:t>2025a</w:t>
            </w:r>
            <w:r>
              <w:t xml:space="preserve"> </w:t>
            </w:r>
            <w:r>
              <w:fldChar w:fldCharType="begin"/>
            </w:r>
            <w:r>
              <w:instrText xml:space="preserve"> ADDIN ZOTERO_ITEM CSL_CITATION {"citationID":"RnfTcg0m","properties":{"formattedCitation":"(91)","plainCitation":"(91)","noteIndex":0},"citationItems":[{"id":2405,"uris":["http://zotero.org/users/9294180/items/EDU86Y79"],"itemData":{"id":2405,"type":"article-journal","abstract":"The degree of connectivity among hospital wards and the dynamic nonlinear flow of patients cause bottlenecks to begin in non-priority wards, accumulate within the paths, distribute throughout the hospital, and emerge as overflow in crucial wards. This requires a network-based modeling approach to address the bottlenecks caused by second- and third-order wards and to significantly influence the overall and emergent performance of multiple wards. Understanding the relative merits of different network modeling and analysis approaches in this complex environment is often challenging and requires a holistic strategy to identify persistent bottlenecks and provide evidence-based scenarios. This article introduces a novel hybrid modeling approach that integrates network analysis algorithms and agent-based network simulation of patient flow over a complete hospital network. Through network analysis, such as structural hole and flow algorithms, the approach identifies common persistent bottlenecks from the flow and structural perspectives, while percolation and perturbation analyses measure the performance improvement of wards based on variations in patient flow, and the simulations enable the investigation of scenarios. The results indicate the wards and patient types that can contribute to improving the hospital’s performance. The proposed approach facilitates holistic, dynamic modeling of hospitals, irrespective of their network scale, and enables the identification of bottleneck sources and their associated paths, contributing to a comprehensive assessment of the system’s performance.","container-title":"IEEE Access","DOI":"10.1109/ACCESS.2025.3580174","ISSN":"2169-3536","journalAbbreviation":"IEEE Access","page":"104538-104554","title":"A Hybrid Approach to Model Hospitals and Evaluate Wards’ Performances","volume":"13","author":[{"literal":"A. Boodaghian Asl"},{"literal":"L. Marzano"},{"literal":"J. Raghothama"},{"literal":"A. S. Darwich"},{"literal":"N. Falk"},{"literal":"P. Bodeby"},{"literal":"S. Meijer"}],"issued":{"date-parts":[["2025"]]}}}],"schema":"https://github.com/citation-style-language/schema/raw/master/csl-citation.json"} </w:instrText>
            </w:r>
            <w:r>
              <w:fldChar w:fldCharType="separate"/>
            </w:r>
            <w:r w:rsidRPr="00B423CC">
              <w:rPr>
                <w:rFonts w:cs="Calibri"/>
              </w:rPr>
              <w:t>(91)</w:t>
            </w:r>
            <w:r>
              <w:fldChar w:fldCharType="end"/>
            </w:r>
          </w:p>
        </w:tc>
        <w:tc>
          <w:tcPr>
            <w:tcW w:w="1559" w:type="dxa"/>
            <w:noWrap/>
          </w:tcPr>
          <w:p w14:paraId="49508DFD" w14:textId="77777777" w:rsidR="00401E72" w:rsidRPr="00231D8F" w:rsidRDefault="00401E72" w:rsidP="00A21BAE">
            <w:r w:rsidRPr="00231D8F">
              <w:t>0</w:t>
            </w:r>
          </w:p>
        </w:tc>
        <w:tc>
          <w:tcPr>
            <w:tcW w:w="1701" w:type="dxa"/>
            <w:noWrap/>
          </w:tcPr>
          <w:p w14:paraId="326405F7" w14:textId="77777777" w:rsidR="00401E72" w:rsidRPr="00231D8F" w:rsidRDefault="00401E72" w:rsidP="00A21BAE">
            <w:r w:rsidRPr="00231D8F">
              <w:t>4</w:t>
            </w:r>
          </w:p>
        </w:tc>
        <w:tc>
          <w:tcPr>
            <w:tcW w:w="1418" w:type="dxa"/>
            <w:noWrap/>
          </w:tcPr>
          <w:p w14:paraId="4245B384" w14:textId="77777777" w:rsidR="00401E72" w:rsidRPr="00231D8F" w:rsidRDefault="00401E72" w:rsidP="00A21BAE">
            <w:r w:rsidRPr="00231D8F">
              <w:t>3</w:t>
            </w:r>
          </w:p>
        </w:tc>
        <w:tc>
          <w:tcPr>
            <w:tcW w:w="1417" w:type="dxa"/>
            <w:noWrap/>
          </w:tcPr>
          <w:p w14:paraId="0704A02E" w14:textId="77777777" w:rsidR="00401E72" w:rsidRPr="00231D8F" w:rsidRDefault="00401E72" w:rsidP="00A21BAE">
            <w:r w:rsidRPr="00231D8F">
              <w:t>4</w:t>
            </w:r>
          </w:p>
        </w:tc>
      </w:tr>
      <w:tr w:rsidR="00401E72" w:rsidRPr="00231D8F" w14:paraId="0DDDFCE8" w14:textId="77777777" w:rsidTr="00A21BAE">
        <w:trPr>
          <w:trHeight w:val="288"/>
        </w:trPr>
        <w:tc>
          <w:tcPr>
            <w:tcW w:w="2405" w:type="dxa"/>
            <w:noWrap/>
          </w:tcPr>
          <w:p w14:paraId="25EE61D6" w14:textId="77777777" w:rsidR="00401E72" w:rsidRDefault="00401E72" w:rsidP="00A21BAE">
            <w:r w:rsidRPr="00231D8F">
              <w:t>Asl</w:t>
            </w:r>
            <w:r>
              <w:t xml:space="preserve"> et al., </w:t>
            </w:r>
            <w:r w:rsidRPr="00231D8F">
              <w:t>2025b</w:t>
            </w:r>
            <w:r>
              <w:t xml:space="preserve"> </w:t>
            </w:r>
            <w:r>
              <w:fldChar w:fldCharType="begin"/>
            </w:r>
            <w:r>
              <w:instrText xml:space="preserve"> ADDIN ZOTERO_ITEM CSL_CITATION {"citationID":"wJeABjne","properties":{"formattedCitation":"(92)","plainCitation":"(92)","noteIndex":0},"citationItems":[{"id":2393,"uris":["http://zotero.org/users/9294180/items/7Y9DAUJC"],"itemData":{"id":2393,"type":"article-journal","abstract":"Hospitals are complex systems, and the flow of patients is dynamic and nonlinear in such systems. Network representation allows flow algorithms to observe bottlenecks as candidates for optimisation. To model the dynamic behaviour of the patient flow, we need to consider the variability in arrival rates and service times (length of stay). Previously proposed dynamic flow algorithms mainly focused on arrival and departure rates, inflow and outflow, edges’ and vertices’ capacity, and routing, with applications mainly in transportation and telecommunication. In hospitals, bottlenecks that emerge from the patients’ flow are a result of the vertices (wards) behaviour defined by capacity (beds), number of servers (staff), service time variability, and edges (care pathways) distribution probability. We offer a modified flow algorithm that takes a hospital network, iterates over the patients’ arrival rates, and measures the flow with respect to vertices’ capacities, servers, service time variability, edge capacity, and distribution probability. The result is a dynamic residual graph to measure the bottlenecks’ persistency and severity, identify the root causes of bottlenecks, and wards’ dynamic nonlinear behaviour. The algorithm provides a quick holistic view of hospital performance and the analysis of the edges and vertices’ behaviour over time. © 2025 Elsevier B.V., All rights reserved.","archive":"Scopus","container-title":"Scientific Reports","DOI":"10.1038/s41598-025-96536-z","issue":"1","title":"A dynamic nonlinear flow algorithm to model patient flow","URL":"https://www.scopus.com/inward/record.uri?eid=2-s2.0-105003208282&amp;doi=10.1038%2Fs41598-025-96536-z&amp;partnerID=40&amp;md5=42f3d417a63530aef1cbeae8a2ba6aea","volume":"15","author":[{"family":"Boodaghian Asl","given":"A."},{"family":"Raghothama","given":"J."},{"family":"Darwich","given":"A.S."},{"family":"Meijer","given":"S."}],"issued":{"date-parts":[["2025"]]}}}],"schema":"https://github.com/citation-style-language/schema/raw/master/csl-citation.json"} </w:instrText>
            </w:r>
            <w:r>
              <w:fldChar w:fldCharType="separate"/>
            </w:r>
            <w:r w:rsidRPr="00B423CC">
              <w:rPr>
                <w:rFonts w:cs="Calibri"/>
              </w:rPr>
              <w:t>(92)</w:t>
            </w:r>
            <w:r>
              <w:fldChar w:fldCharType="end"/>
            </w:r>
          </w:p>
        </w:tc>
        <w:tc>
          <w:tcPr>
            <w:tcW w:w="1559" w:type="dxa"/>
            <w:noWrap/>
          </w:tcPr>
          <w:p w14:paraId="452C183F" w14:textId="77777777" w:rsidR="00401E72" w:rsidRPr="00231D8F" w:rsidRDefault="00401E72" w:rsidP="00A21BAE">
            <w:r w:rsidRPr="00231D8F">
              <w:t>0</w:t>
            </w:r>
          </w:p>
        </w:tc>
        <w:tc>
          <w:tcPr>
            <w:tcW w:w="1701" w:type="dxa"/>
            <w:noWrap/>
          </w:tcPr>
          <w:p w14:paraId="47AB09FE" w14:textId="77777777" w:rsidR="00401E72" w:rsidRPr="00231D8F" w:rsidRDefault="00401E72" w:rsidP="00A21BAE">
            <w:r w:rsidRPr="00231D8F">
              <w:t>4</w:t>
            </w:r>
          </w:p>
        </w:tc>
        <w:tc>
          <w:tcPr>
            <w:tcW w:w="1418" w:type="dxa"/>
            <w:noWrap/>
          </w:tcPr>
          <w:p w14:paraId="07AB3EB4" w14:textId="77777777" w:rsidR="00401E72" w:rsidRPr="00231D8F" w:rsidRDefault="00401E72" w:rsidP="00A21BAE">
            <w:r w:rsidRPr="00231D8F">
              <w:t>3</w:t>
            </w:r>
          </w:p>
        </w:tc>
        <w:tc>
          <w:tcPr>
            <w:tcW w:w="1417" w:type="dxa"/>
            <w:noWrap/>
          </w:tcPr>
          <w:p w14:paraId="4F91224E" w14:textId="77777777" w:rsidR="00401E72" w:rsidRPr="00231D8F" w:rsidRDefault="00401E72" w:rsidP="00A21BAE">
            <w:r w:rsidRPr="00231D8F">
              <w:t>4</w:t>
            </w:r>
          </w:p>
        </w:tc>
      </w:tr>
      <w:tr w:rsidR="00401E72" w:rsidRPr="00231D8F" w14:paraId="6003939C" w14:textId="77777777" w:rsidTr="00A21BAE">
        <w:trPr>
          <w:trHeight w:val="288"/>
        </w:trPr>
        <w:tc>
          <w:tcPr>
            <w:tcW w:w="2405" w:type="dxa"/>
            <w:noWrap/>
            <w:hideMark/>
          </w:tcPr>
          <w:p w14:paraId="183BF958" w14:textId="77777777" w:rsidR="00401E72" w:rsidRPr="00231D8F" w:rsidRDefault="00401E72" w:rsidP="00A21BAE">
            <w:r w:rsidRPr="00231D8F">
              <w:t>Assareh</w:t>
            </w:r>
            <w:r>
              <w:t xml:space="preserve"> et al., </w:t>
            </w:r>
            <w:r w:rsidRPr="00231D8F">
              <w:t>2017</w:t>
            </w:r>
            <w:r>
              <w:t xml:space="preserve"> </w:t>
            </w:r>
            <w:r>
              <w:fldChar w:fldCharType="begin"/>
            </w:r>
            <w:r>
              <w:instrText xml:space="preserve"> ADDIN ZOTERO_ITEM CSL_CITATION {"citationID":"VD1xRCme","properties":{"formattedCitation":"(44)","plainCitation":"(44)","noteIndex":0},"citationItems":[{"id":1606,"uris":["http://zotero.org/users/9294180/items/DIFXNAR8"],"itemData":{"id":1606,"type":"article-journal","abstract":"Objective. The aim of the present study was to explore characteristics of interhospital transfers (IHT) and sharing of care among hospitals in New South Wales (NSW), Australia.\nMethods. Data were extracted from patient-level linked hospital administrative datasets for separations from all NSW acute care hospitals from 1 July 2013 to 30 June 2015. Patient discharge and arrival information was used to identify IHTs. Characteristics of patients and related hospitals were then analysed.\nResults. Transfer-in patients accounted for 3.9% of all NSW admitted patients and, overall, 7.3% of NSW admissions were associated with transfers (IHT rate). Patients with injuries and circulatory system diseases had the highest IHT rate, accounting for one-third of all IHTs. Patients were more often transferred to larger than smaller hospitals (61% vs 29%). Compared with private hospitals, public hospitals had a higher IHT rate (8.4% vs 5.1%) and a greater proportion of transferout IHTs (52% vs 28%). Larger public hospitals had lower IHT rates (3–8%) compared with smaller public hospitals (13–26%). Larger public hospitals received and retransferred higher proportions of IHT patients (52–58% and 11% respectively) than their smaller counterparts (26–30% and 2–3% respectively). Less than one-quarter of IHTs were between the public and private sectors or between government health regions. The number of interacting hospitals and their interactions varied across hospital peer groups.\nConclusion. NSW IHTs were often to hospitals with greater speciality services. The patterns of interhospital interactions could be affected by organisational and regional preferences.","container-title":"Australian Health Review","DOI":"10.1071/AH16117","ISSN":"0156-5788","issue":"6","journalAbbreviation":"Aust. Health Review","language":"en","page":"672","source":"DOI.org (Crossref)","title":"Exploring interhospital transfers and partnerships in the hospital sector in New South Wales, Australia","volume":"41","author":[{"family":"Assareh","given":"Hassan"},{"family":"Achat","given":"Helen M."},{"family":"Levesque","given":"Jean-Frederic"},{"family":"Leeder","given":"Stephen R."}],"issued":{"date-parts":[["2017"]]}}}],"schema":"https://github.com/citation-style-language/schema/raw/master/csl-citation.json"} </w:instrText>
            </w:r>
            <w:r>
              <w:fldChar w:fldCharType="separate"/>
            </w:r>
            <w:r w:rsidRPr="00735B0C">
              <w:t>(44)</w:t>
            </w:r>
            <w:r>
              <w:fldChar w:fldCharType="end"/>
            </w:r>
          </w:p>
        </w:tc>
        <w:tc>
          <w:tcPr>
            <w:tcW w:w="1559" w:type="dxa"/>
            <w:noWrap/>
            <w:hideMark/>
          </w:tcPr>
          <w:p w14:paraId="4FD96D20" w14:textId="77777777" w:rsidR="00401E72" w:rsidRPr="00231D8F" w:rsidRDefault="00401E72" w:rsidP="00A21BAE">
            <w:r w:rsidRPr="00231D8F">
              <w:t>3</w:t>
            </w:r>
          </w:p>
        </w:tc>
        <w:tc>
          <w:tcPr>
            <w:tcW w:w="1701" w:type="dxa"/>
            <w:noWrap/>
            <w:hideMark/>
          </w:tcPr>
          <w:p w14:paraId="633C3B64" w14:textId="77777777" w:rsidR="00401E72" w:rsidRPr="00231D8F" w:rsidRDefault="00401E72" w:rsidP="00A21BAE">
            <w:r w:rsidRPr="00231D8F">
              <w:t>4</w:t>
            </w:r>
          </w:p>
        </w:tc>
        <w:tc>
          <w:tcPr>
            <w:tcW w:w="1418" w:type="dxa"/>
            <w:noWrap/>
            <w:hideMark/>
          </w:tcPr>
          <w:p w14:paraId="18BF5235" w14:textId="77777777" w:rsidR="00401E72" w:rsidRPr="00231D8F" w:rsidRDefault="00401E72" w:rsidP="00A21BAE">
            <w:r w:rsidRPr="00231D8F">
              <w:t>2</w:t>
            </w:r>
          </w:p>
        </w:tc>
        <w:tc>
          <w:tcPr>
            <w:tcW w:w="1417" w:type="dxa"/>
            <w:noWrap/>
            <w:hideMark/>
          </w:tcPr>
          <w:p w14:paraId="7EC17DC9" w14:textId="77777777" w:rsidR="00401E72" w:rsidRPr="00231D8F" w:rsidRDefault="00401E72" w:rsidP="00A21BAE">
            <w:r w:rsidRPr="00231D8F">
              <w:t>3</w:t>
            </w:r>
          </w:p>
        </w:tc>
      </w:tr>
      <w:tr w:rsidR="00401E72" w:rsidRPr="00231D8F" w14:paraId="792F0031" w14:textId="77777777" w:rsidTr="00A21BAE">
        <w:trPr>
          <w:trHeight w:val="288"/>
        </w:trPr>
        <w:tc>
          <w:tcPr>
            <w:tcW w:w="2405" w:type="dxa"/>
            <w:noWrap/>
            <w:hideMark/>
          </w:tcPr>
          <w:p w14:paraId="0442B0CD" w14:textId="77777777" w:rsidR="00401E72" w:rsidRPr="00231D8F" w:rsidRDefault="00401E72" w:rsidP="00A21BAE">
            <w:r w:rsidRPr="00231D8F">
              <w:t>Bartolucci</w:t>
            </w:r>
            <w:r>
              <w:t xml:space="preserve"> et al., </w:t>
            </w:r>
            <w:r w:rsidRPr="00231D8F">
              <w:t>2023</w:t>
            </w:r>
            <w:r>
              <w:t xml:space="preserve"> </w:t>
            </w:r>
            <w:r>
              <w:fldChar w:fldCharType="begin"/>
            </w:r>
            <w:r>
              <w:instrText xml:space="preserve"> ADDIN ZOTERO_ITEM CSL_CITATION {"citationID":"o7ZfuxAN","properties":{"formattedCitation":"(58)","plainCitation":"(58)","noteIndex":0},"citationItems":[{"id":1605,"uris":["http://zotero.org/users/9294180/items/3IJWTY4S"],"itemData":{"id":1605,"type":"article-journal","abstract":"Motivated by an application about interhospital connections, we propose a modelling approach for data referred to a temporal network. The approach may be seen as an extension of the one recently proposed in Bianchi et al. (2020) and, in turn, of the popular p1 and p2 models by Holland and Leinhardt (1981) and van Duijn et al. (2004), on which the latter is built. The proposed extension consists in the introduction of covariates and in the adoption of a hierarchical Bayesian inferential approach that shows advantages in the specific application. For Bayesian inference we rely on a Markov chain Monte Carlo algorithm that produces samples from the posterior distribution of the model parameters. The application is based on original data on patient referral relations among 127 hospitals serving a large regional community of patients in Italy from 2014 to 2018. Results indicate that interhospital collaborative behaviours are primarily local and that collaborative attitudes vary at different time occasions of the considered period and in accordance with the level of competition faced by hospital organisations.","container-title":"Journal of the Royal Statistical Society Series A: Statistics in Society","DOI":"10.1093/jrsssa/qnad036","ISSN":"0964-1998, 1467-985X","issue":"3","language":"en","license":"https://academic.oup.com/pages/standard-publication-reuse-rights","page":"422-440","source":"DOI.org (Crossref)","title":"Temporal analysis of hospital network data by hierarchical Bayesian p2 models with covariates","volume":"186","author":[{"family":"Bartolucci","given":"Francesco"},{"family":"Li Donni","given":"Paolo"},{"family":"Mira","given":"Antonietta"}],"issued":{"date-parts":[["2023",7,1]]}}}],"schema":"https://github.com/citation-style-language/schema/raw/master/csl-citation.json"} </w:instrText>
            </w:r>
            <w:r>
              <w:fldChar w:fldCharType="separate"/>
            </w:r>
            <w:r w:rsidRPr="00735B0C">
              <w:t>(58)</w:t>
            </w:r>
            <w:r>
              <w:fldChar w:fldCharType="end"/>
            </w:r>
          </w:p>
        </w:tc>
        <w:tc>
          <w:tcPr>
            <w:tcW w:w="1559" w:type="dxa"/>
            <w:noWrap/>
            <w:hideMark/>
          </w:tcPr>
          <w:p w14:paraId="0D8555E2" w14:textId="77777777" w:rsidR="00401E72" w:rsidRPr="00231D8F" w:rsidRDefault="00401E72" w:rsidP="00A21BAE">
            <w:r w:rsidRPr="00231D8F">
              <w:t>0</w:t>
            </w:r>
          </w:p>
        </w:tc>
        <w:tc>
          <w:tcPr>
            <w:tcW w:w="1701" w:type="dxa"/>
            <w:noWrap/>
            <w:hideMark/>
          </w:tcPr>
          <w:p w14:paraId="4F3C756D" w14:textId="77777777" w:rsidR="00401E72" w:rsidRPr="00231D8F" w:rsidRDefault="00401E72" w:rsidP="00A21BAE">
            <w:r w:rsidRPr="00231D8F">
              <w:t>5</w:t>
            </w:r>
          </w:p>
        </w:tc>
        <w:tc>
          <w:tcPr>
            <w:tcW w:w="1418" w:type="dxa"/>
            <w:noWrap/>
            <w:hideMark/>
          </w:tcPr>
          <w:p w14:paraId="5D71A486" w14:textId="77777777" w:rsidR="00401E72" w:rsidRPr="00231D8F" w:rsidRDefault="00401E72" w:rsidP="00A21BAE">
            <w:r w:rsidRPr="00231D8F">
              <w:t>1</w:t>
            </w:r>
          </w:p>
        </w:tc>
        <w:tc>
          <w:tcPr>
            <w:tcW w:w="1417" w:type="dxa"/>
            <w:noWrap/>
            <w:hideMark/>
          </w:tcPr>
          <w:p w14:paraId="6BC17EEB" w14:textId="77777777" w:rsidR="00401E72" w:rsidRPr="00231D8F" w:rsidRDefault="00401E72" w:rsidP="00A21BAE">
            <w:r w:rsidRPr="00231D8F">
              <w:t>6</w:t>
            </w:r>
          </w:p>
        </w:tc>
      </w:tr>
      <w:tr w:rsidR="00401E72" w:rsidRPr="00231D8F" w14:paraId="7C13DE30" w14:textId="77777777" w:rsidTr="00A21BAE">
        <w:trPr>
          <w:trHeight w:val="288"/>
        </w:trPr>
        <w:tc>
          <w:tcPr>
            <w:tcW w:w="2405" w:type="dxa"/>
            <w:noWrap/>
            <w:hideMark/>
          </w:tcPr>
          <w:p w14:paraId="1B275DB3" w14:textId="77777777" w:rsidR="00401E72" w:rsidRPr="00231D8F" w:rsidRDefault="00401E72" w:rsidP="00A21BAE">
            <w:r w:rsidRPr="00231D8F">
              <w:t>Bartsch</w:t>
            </w:r>
            <w:r>
              <w:t xml:space="preserve"> et al., </w:t>
            </w:r>
            <w:r w:rsidRPr="00231D8F">
              <w:t>2014</w:t>
            </w:r>
            <w:r>
              <w:t xml:space="preserve"> </w:t>
            </w:r>
            <w:r>
              <w:fldChar w:fldCharType="begin"/>
            </w:r>
            <w:r>
              <w:instrText xml:space="preserve"> ADDIN ZOTERO_ITEM CSL_CITATION {"citationID":"91NsnKhB","properties":{"formattedCitation":"(42)","plainCitation":"(42)","noteIndex":0},"citationItems":[{"id":434,"uris":["http://zotero.org/users/9294180/items/HZUT6A25"],"itemData":{"id":434,"type":"article-journal","abstract":"Norovirus outbreak may spread among hospitals via patient sharing. Within 30 days, it spread 4.1-17.5% of the time (R0 3.74). Highlights need to cooperatively track and control outbreaks","container-title":"Open Forum Infectious Diseases","DOI":"10.1093/ofid/ofu030","ISSN":"2328-8957","issue":"2","journalAbbreviation":"Open Forum Infect Dis","note":"PMID: 25734110\nPMCID: PMC4281820","page":"ofu030","source":"PubMed Central","title":"The Spread and Control of Norovirus Outbreaks Among Hospitals in a Region: A Simulation Model","title-short":"The Spread and Control of Norovirus Outbreaks Among Hospitals in a Region","volume":"1","author":[{"family":"Bartsch","given":"Sarah M."},{"family":"Huang","given":"Susan S."},{"family":"Wong","given":"Kim F."},{"family":"Avery","given":"Taliser R."},{"family":"Lee","given":"Bruce Y."}],"issued":{"date-parts":[["2014",7,2]]}}}],"schema":"https://github.com/citation-style-language/schema/raw/master/csl-citation.json"} </w:instrText>
            </w:r>
            <w:r>
              <w:fldChar w:fldCharType="separate"/>
            </w:r>
            <w:r w:rsidRPr="001E7A4C">
              <w:t>(42)</w:t>
            </w:r>
            <w:r>
              <w:fldChar w:fldCharType="end"/>
            </w:r>
          </w:p>
        </w:tc>
        <w:tc>
          <w:tcPr>
            <w:tcW w:w="1559" w:type="dxa"/>
            <w:noWrap/>
            <w:hideMark/>
          </w:tcPr>
          <w:p w14:paraId="50426648" w14:textId="77777777" w:rsidR="00401E72" w:rsidRPr="00231D8F" w:rsidRDefault="00401E72" w:rsidP="00A21BAE">
            <w:r w:rsidRPr="00231D8F">
              <w:t>1</w:t>
            </w:r>
          </w:p>
        </w:tc>
        <w:tc>
          <w:tcPr>
            <w:tcW w:w="1701" w:type="dxa"/>
            <w:noWrap/>
            <w:hideMark/>
          </w:tcPr>
          <w:p w14:paraId="1E5AB239" w14:textId="77777777" w:rsidR="00401E72" w:rsidRPr="00231D8F" w:rsidRDefault="00401E72" w:rsidP="00A21BAE">
            <w:r w:rsidRPr="00231D8F">
              <w:t>3</w:t>
            </w:r>
          </w:p>
        </w:tc>
        <w:tc>
          <w:tcPr>
            <w:tcW w:w="1418" w:type="dxa"/>
            <w:noWrap/>
            <w:hideMark/>
          </w:tcPr>
          <w:p w14:paraId="1873F4EC" w14:textId="77777777" w:rsidR="00401E72" w:rsidRPr="00231D8F" w:rsidRDefault="00401E72" w:rsidP="00A21BAE">
            <w:r w:rsidRPr="00231D8F">
              <w:t>6</w:t>
            </w:r>
          </w:p>
        </w:tc>
        <w:tc>
          <w:tcPr>
            <w:tcW w:w="1417" w:type="dxa"/>
            <w:noWrap/>
            <w:hideMark/>
          </w:tcPr>
          <w:p w14:paraId="3387CEC3" w14:textId="77777777" w:rsidR="00401E72" w:rsidRPr="00231D8F" w:rsidRDefault="00401E72" w:rsidP="00A21BAE">
            <w:r w:rsidRPr="00231D8F">
              <w:t>2</w:t>
            </w:r>
          </w:p>
        </w:tc>
      </w:tr>
      <w:tr w:rsidR="00401E72" w:rsidRPr="00231D8F" w14:paraId="3F239A39" w14:textId="77777777" w:rsidTr="00A21BAE">
        <w:trPr>
          <w:trHeight w:val="288"/>
        </w:trPr>
        <w:tc>
          <w:tcPr>
            <w:tcW w:w="2405" w:type="dxa"/>
            <w:noWrap/>
            <w:hideMark/>
          </w:tcPr>
          <w:p w14:paraId="213FBEFE" w14:textId="77777777" w:rsidR="00401E72" w:rsidRPr="00231D8F" w:rsidRDefault="00401E72" w:rsidP="00A21BAE">
            <w:r w:rsidRPr="00231D8F">
              <w:t>Bean</w:t>
            </w:r>
            <w:r>
              <w:t xml:space="preserve"> et al., </w:t>
            </w:r>
            <w:r w:rsidRPr="00231D8F">
              <w:t>2017</w:t>
            </w:r>
            <w:r>
              <w:t xml:space="preserve"> </w:t>
            </w:r>
            <w:r>
              <w:fldChar w:fldCharType="begin"/>
            </w:r>
            <w:r>
              <w:instrText xml:space="preserve"> ADDIN ZOTERO_ITEM CSL_CITATION {"citationID":"2Uhipk4S","properties":{"formattedCitation":"(53)","plainCitation":"(53)","noteIndex":0},"citationItems":[{"id":1603,"uris":["http://zotero.org/users/9294180/items/QGYMBBYY"],"itemData":{"id":1603,"type":"article-journal","container-title":"PLOS ONE","DOI":"10.1371/journal.pone.0185912","ISSN":"1932-6203","issue":"10","journalAbbreviation":"PLoS ONE","language":"en","page":"e0185912","source":"DOI.org (Crossref)","title":"Network analysis of patient flow in two UK acute care hospitals identifies key sub-networks for A&amp;E performance","volume":"12","author":[{"family":"Bean","given":"Daniel M."},{"family":"Stringer","given":"Clive"},{"family":"Beeknoo","given":"Neeraj"},{"family":"Teo","given":"James"},{"family":"Dobson","given":"Richard J. B."}],"editor":[{"family":"Lambiotte","given":"Renaud"}],"issued":{"date-parts":[["2017",10,2]]}}}],"schema":"https://github.com/citation-style-language/schema/raw/master/csl-citation.json"} </w:instrText>
            </w:r>
            <w:r>
              <w:fldChar w:fldCharType="separate"/>
            </w:r>
            <w:r w:rsidRPr="00735B0C">
              <w:t>(53)</w:t>
            </w:r>
            <w:r>
              <w:fldChar w:fldCharType="end"/>
            </w:r>
          </w:p>
        </w:tc>
        <w:tc>
          <w:tcPr>
            <w:tcW w:w="1559" w:type="dxa"/>
            <w:noWrap/>
            <w:hideMark/>
          </w:tcPr>
          <w:p w14:paraId="258ECAF3" w14:textId="77777777" w:rsidR="00401E72" w:rsidRPr="00231D8F" w:rsidRDefault="00401E72" w:rsidP="00A21BAE">
            <w:r w:rsidRPr="00231D8F">
              <w:t>0</w:t>
            </w:r>
          </w:p>
        </w:tc>
        <w:tc>
          <w:tcPr>
            <w:tcW w:w="1701" w:type="dxa"/>
            <w:noWrap/>
            <w:hideMark/>
          </w:tcPr>
          <w:p w14:paraId="720C9A5A" w14:textId="77777777" w:rsidR="00401E72" w:rsidRPr="00231D8F" w:rsidRDefault="00401E72" w:rsidP="00A21BAE">
            <w:r w:rsidRPr="00231D8F">
              <w:t>6</w:t>
            </w:r>
          </w:p>
        </w:tc>
        <w:tc>
          <w:tcPr>
            <w:tcW w:w="1418" w:type="dxa"/>
            <w:noWrap/>
            <w:hideMark/>
          </w:tcPr>
          <w:p w14:paraId="688A52DF" w14:textId="77777777" w:rsidR="00401E72" w:rsidRPr="00231D8F" w:rsidRDefault="00401E72" w:rsidP="00A21BAE">
            <w:r w:rsidRPr="00231D8F">
              <w:t>3</w:t>
            </w:r>
          </w:p>
        </w:tc>
        <w:tc>
          <w:tcPr>
            <w:tcW w:w="1417" w:type="dxa"/>
            <w:noWrap/>
            <w:hideMark/>
          </w:tcPr>
          <w:p w14:paraId="1D9A2FAC" w14:textId="77777777" w:rsidR="00401E72" w:rsidRPr="00231D8F" w:rsidRDefault="00401E72" w:rsidP="00A21BAE">
            <w:r w:rsidRPr="00231D8F">
              <w:t>3</w:t>
            </w:r>
          </w:p>
        </w:tc>
      </w:tr>
      <w:tr w:rsidR="00401E72" w:rsidRPr="00231D8F" w14:paraId="15FA879C" w14:textId="77777777" w:rsidTr="00A21BAE">
        <w:trPr>
          <w:trHeight w:val="288"/>
        </w:trPr>
        <w:tc>
          <w:tcPr>
            <w:tcW w:w="2405" w:type="dxa"/>
            <w:noWrap/>
            <w:hideMark/>
          </w:tcPr>
          <w:p w14:paraId="53E05426" w14:textId="77777777" w:rsidR="00401E72" w:rsidRPr="00231D8F" w:rsidRDefault="00401E72" w:rsidP="00A21BAE">
            <w:r w:rsidRPr="00231D8F">
              <w:t>Belik</w:t>
            </w:r>
            <w:r>
              <w:t xml:space="preserve"> et al., </w:t>
            </w:r>
            <w:r w:rsidRPr="00231D8F">
              <w:t>2016</w:t>
            </w:r>
            <w:r>
              <w:t xml:space="preserve"> </w:t>
            </w:r>
            <w:r>
              <w:fldChar w:fldCharType="begin"/>
            </w:r>
            <w:r>
              <w:instrText xml:space="preserve"> ADDIN ZOTERO_ITEM CSL_CITATION {"citationID":"79trmAQ3","properties":{"formattedCitation":"(6)","plainCitation":"(6)","noteIndex":0},"citationItems":[{"id":1629,"uris":["http://zotero.org/users/9294180/items/VSJ2GUNQ"],"itemData":{"id":1629,"type":"chapter","abstract":"The spread of hospital-related infections such as antibiotic-resistant pathogens forms a major challenge in public healthcare systems world-wide. One of the driving mechanisms of the pathogen spread are referrals or transfers of patients (hosts) between hospitals or readmissions after their stay in the community, constituting a dynamical network of hospitals. We analyze referral patterns of 1 million patients from one Federal State in Germany over the period of three years. We extract the underlying statistics of relocation patterns and build an agent-based computational model of pathogen spread. We simulate an outbreak of an SIS-type infection (susceptible-infected-susceptible) and evaluate characteristic time scales and prevalence levels. For such recurrent diseases, we finally investigate the effect of control measures based on screening and isolation of incoming patients.","container-title":"Control of Self-Organizing Nonlinear Systems","event-place":"Cham","ISBN":"978-3-319-28028-8","language":"en","note":"DOI: 10.1007/978-3-319-28028-8_22","page":"431-440","publisher":"Springer International Publishing","publisher-place":"Cham","source":"Springer Link","title":"Control of Epidemics on Hospital Networks","URL":"https://doi.org/10.1007/978-3-319-28028-8_22","author":[{"family":"Belik","given":"Vitaly"},{"family":"Hövel","given":"Philipp"},{"family":"Mikolajczyk","given":"Rafael"}],"editor":[{"family":"Schöll","given":"Eckehard"},{"family":"Klapp","given":"Sabine H. L."},{"family":"Hövel","given":"Philipp"}],"accessed":{"date-parts":[["2025",1,27]]},"issued":{"date-parts":[["2016"]]}}}],"schema":"https://github.com/citation-style-language/schema/raw/master/csl-citation.json"} </w:instrText>
            </w:r>
            <w:r>
              <w:fldChar w:fldCharType="separate"/>
            </w:r>
            <w:r w:rsidRPr="001145E7">
              <w:rPr>
                <w:rFonts w:cs="Calibri"/>
              </w:rPr>
              <w:t>(6)</w:t>
            </w:r>
            <w:r>
              <w:fldChar w:fldCharType="end"/>
            </w:r>
          </w:p>
        </w:tc>
        <w:tc>
          <w:tcPr>
            <w:tcW w:w="1559" w:type="dxa"/>
            <w:noWrap/>
            <w:hideMark/>
          </w:tcPr>
          <w:p w14:paraId="60090EAB" w14:textId="77777777" w:rsidR="00401E72" w:rsidRPr="00231D8F" w:rsidRDefault="00401E72" w:rsidP="00A21BAE">
            <w:r w:rsidRPr="00231D8F">
              <w:t>1</w:t>
            </w:r>
          </w:p>
        </w:tc>
        <w:tc>
          <w:tcPr>
            <w:tcW w:w="1701" w:type="dxa"/>
            <w:noWrap/>
            <w:hideMark/>
          </w:tcPr>
          <w:p w14:paraId="5684A04B" w14:textId="77777777" w:rsidR="00401E72" w:rsidRPr="00231D8F" w:rsidRDefault="00401E72" w:rsidP="00A21BAE">
            <w:r w:rsidRPr="00231D8F">
              <w:t>5</w:t>
            </w:r>
          </w:p>
        </w:tc>
        <w:tc>
          <w:tcPr>
            <w:tcW w:w="1418" w:type="dxa"/>
            <w:noWrap/>
            <w:hideMark/>
          </w:tcPr>
          <w:p w14:paraId="390645D9" w14:textId="77777777" w:rsidR="00401E72" w:rsidRPr="00231D8F" w:rsidRDefault="00401E72" w:rsidP="00A21BAE">
            <w:r w:rsidRPr="00231D8F">
              <w:t>4</w:t>
            </w:r>
          </w:p>
        </w:tc>
        <w:tc>
          <w:tcPr>
            <w:tcW w:w="1417" w:type="dxa"/>
            <w:noWrap/>
            <w:hideMark/>
          </w:tcPr>
          <w:p w14:paraId="40B25F30" w14:textId="77777777" w:rsidR="00401E72" w:rsidRPr="00231D8F" w:rsidRDefault="00401E72" w:rsidP="00A21BAE">
            <w:r w:rsidRPr="00231D8F">
              <w:t>2</w:t>
            </w:r>
          </w:p>
        </w:tc>
      </w:tr>
      <w:tr w:rsidR="00401E72" w:rsidRPr="00231D8F" w14:paraId="19968F2D" w14:textId="77777777" w:rsidTr="00A21BAE">
        <w:trPr>
          <w:trHeight w:val="288"/>
        </w:trPr>
        <w:tc>
          <w:tcPr>
            <w:tcW w:w="2405" w:type="dxa"/>
            <w:noWrap/>
            <w:hideMark/>
          </w:tcPr>
          <w:p w14:paraId="473136FA" w14:textId="77777777" w:rsidR="00401E72" w:rsidRPr="00231D8F" w:rsidRDefault="00401E72" w:rsidP="00A21BAE">
            <w:r w:rsidRPr="00231D8F">
              <w:t>Belik</w:t>
            </w:r>
            <w:r>
              <w:t xml:space="preserve"> et al., </w:t>
            </w:r>
            <w:r w:rsidRPr="00231D8F">
              <w:t>2017</w:t>
            </w:r>
            <w:r>
              <w:t xml:space="preserve"> </w:t>
            </w:r>
            <w:r>
              <w:fldChar w:fldCharType="begin"/>
            </w:r>
            <w:r>
              <w:instrText xml:space="preserve"> ADDIN ZOTERO_ITEM CSL_CITATION {"citationID":"KLR2Iv8G","properties":{"formattedCitation":"(39)","plainCitation":"(39)","noteIndex":0},"citationItems":[{"id":1601,"uris":["http://zotero.org/users/9294180/items/9WSIKMIY"],"itemData":{"id":1601,"type":"chapter","abstract":"Antimicrobial-resistant pathogens constitute a major threat for health care systems worldwide. The hospital-related pathway is a key mechanism of their spread. Contrary to intra-hospital transmission data that requires sophisticated contact tracing technologies, data on inter-hospital transmission is collected on a regular basis. We investigate the dataset of patient referrals between hospitals in a large region of Germany. This dataset contains approximately one million patients over a 3-year period. The dataset is used to build a dynamic network of hospitals where nodes are hospitals and edges represent movements of patients between them. We consider the worst-case scenario of a highly contagious disease corresponding to deterministic infection dynamics. Furthermore, we investigate the impact on epidemic processes of the correction to the temporal network due to home (or community) visits of possibly contagious patients returning to hospitals. Moreover, we implement an extensive stochastic agent-based computational model of epidemics on this network. By leveraging the topological and temporal network structure for epidemic control, we propose intervention schemes able to hinder spread. Our approach can be used to design optimal control strategies for containment of nosocomial diseases in health-care networks.","container-title":"Temporal Network Epidemiology","event-place":"Singapore","ISBN":"978-981-10-5286-6","language":"en","note":"collection-title: Theoretical Biology\nDOI: 10.1007/978-981-10-5287-3_9","page":"199-214","publisher":"Springer Singapore","publisher-place":"Singapore","source":"DOI.org (Crossref)","title":"Leveraging Topological and Temporal Structure of Hospital Referral Networks for Epidemic Control","URL":"http://link.springer.com/10.1007/978-981-10-5287-3_9","editor":[{"family":"Masuda","given":"Naoki"},{"family":"Holme","given":"Petter"}],"author":[{"family":"Belik","given":"Vitaly"},{"family":"Karch","given":"André"},{"family":"Hövel","given":"Philipp"},{"family":"Mikolajczyk","given":"Rafael"}],"accessed":{"date-parts":[["2025",4,10]]},"issued":{"date-parts":[["2017"]]}}}],"schema":"https://github.com/citation-style-language/schema/raw/master/csl-citation.json"} </w:instrText>
            </w:r>
            <w:r>
              <w:fldChar w:fldCharType="separate"/>
            </w:r>
            <w:r w:rsidRPr="001E7A4C">
              <w:t>(39)</w:t>
            </w:r>
            <w:r>
              <w:fldChar w:fldCharType="end"/>
            </w:r>
          </w:p>
        </w:tc>
        <w:tc>
          <w:tcPr>
            <w:tcW w:w="1559" w:type="dxa"/>
            <w:noWrap/>
            <w:hideMark/>
          </w:tcPr>
          <w:p w14:paraId="4616DD5A" w14:textId="77777777" w:rsidR="00401E72" w:rsidRPr="00231D8F" w:rsidRDefault="00401E72" w:rsidP="00A21BAE">
            <w:r w:rsidRPr="00231D8F">
              <w:t>1</w:t>
            </w:r>
          </w:p>
        </w:tc>
        <w:tc>
          <w:tcPr>
            <w:tcW w:w="1701" w:type="dxa"/>
            <w:noWrap/>
            <w:hideMark/>
          </w:tcPr>
          <w:p w14:paraId="763698F0" w14:textId="77777777" w:rsidR="00401E72" w:rsidRPr="00231D8F" w:rsidRDefault="00401E72" w:rsidP="00A21BAE">
            <w:r w:rsidRPr="00231D8F">
              <w:t>4</w:t>
            </w:r>
          </w:p>
        </w:tc>
        <w:tc>
          <w:tcPr>
            <w:tcW w:w="1418" w:type="dxa"/>
            <w:noWrap/>
            <w:hideMark/>
          </w:tcPr>
          <w:p w14:paraId="279627D3" w14:textId="77777777" w:rsidR="00401E72" w:rsidRPr="00231D8F" w:rsidRDefault="00401E72" w:rsidP="00A21BAE">
            <w:r w:rsidRPr="00231D8F">
              <w:t>6</w:t>
            </w:r>
          </w:p>
        </w:tc>
        <w:tc>
          <w:tcPr>
            <w:tcW w:w="1417" w:type="dxa"/>
            <w:noWrap/>
            <w:hideMark/>
          </w:tcPr>
          <w:p w14:paraId="46828E36" w14:textId="77777777" w:rsidR="00401E72" w:rsidRPr="00231D8F" w:rsidRDefault="00401E72" w:rsidP="00A21BAE">
            <w:r w:rsidRPr="00231D8F">
              <w:t>1</w:t>
            </w:r>
          </w:p>
        </w:tc>
      </w:tr>
      <w:tr w:rsidR="00401E72" w:rsidRPr="00231D8F" w14:paraId="1AB7A295" w14:textId="77777777" w:rsidTr="00A21BAE">
        <w:trPr>
          <w:trHeight w:val="288"/>
        </w:trPr>
        <w:tc>
          <w:tcPr>
            <w:tcW w:w="2405" w:type="dxa"/>
            <w:noWrap/>
            <w:hideMark/>
          </w:tcPr>
          <w:p w14:paraId="3FFF77DB" w14:textId="77777777" w:rsidR="00401E72" w:rsidRPr="00231D8F" w:rsidRDefault="00401E72" w:rsidP="00A21BAE">
            <w:r w:rsidRPr="00231D8F">
              <w:t>Bergmark</w:t>
            </w:r>
            <w:r>
              <w:t xml:space="preserve"> et al., </w:t>
            </w:r>
            <w:r w:rsidRPr="00231D8F">
              <w:t>2023</w:t>
            </w:r>
            <w:r>
              <w:t xml:space="preserve"> </w:t>
            </w:r>
            <w:r>
              <w:fldChar w:fldCharType="begin"/>
            </w:r>
            <w:r>
              <w:instrText xml:space="preserve"> ADDIN ZOTERO_ITEM CSL_CITATION {"citationID":"sepS9i6M","properties":{"formattedCitation":"(22)","plainCitation":"(22)","noteIndex":0},"citationItems":[{"id":1600,"uris":["http://zotero.org/users/9294180/items/IA9QGTA8"],"itemData":{"id":1600,"type":"article-journal","abstract":"Objective The interdependence of hospitals is underappreciated in patient outcomes studies. We used a network science approach to foreground this interdependence. Specifically, within two large state-based interhospital networks, we examined the relationship of a hospital’s network position with in-hospital mortality and length of stay.","container-title":"PLOS ONE","DOI":"10.1371/journal.pone.0281871","ISSN":"1932-6203","issue":"3","journalAbbreviation":"PLoS ONE","language":"en","page":"e0281871","source":"DOI.org (Crossref)","title":"Association of hospital centrality in inter-hospital patient-sharing networks with patient mortality and length of stay","volume":"18","author":[{"family":"Bergmark","given":"Regan W."},{"family":"Jin","given":"Ginger"},{"family":"Semco","given":"Robert S."},{"family":"Santolini","given":"Marc"},{"family":"Olsen","given":"Margaret A."},{"family":"Dhand","given":"Amar"}],"editor":[{"family":"Santulli","given":"Gaetano"}],"issued":{"date-parts":[["2023",3,15]]}}}],"schema":"https://github.com/citation-style-language/schema/raw/master/csl-citation.json"} </w:instrText>
            </w:r>
            <w:r>
              <w:fldChar w:fldCharType="separate"/>
            </w:r>
            <w:r w:rsidRPr="001145E7">
              <w:rPr>
                <w:rFonts w:cs="Calibri"/>
              </w:rPr>
              <w:t>(22)</w:t>
            </w:r>
            <w:r>
              <w:fldChar w:fldCharType="end"/>
            </w:r>
          </w:p>
        </w:tc>
        <w:tc>
          <w:tcPr>
            <w:tcW w:w="1559" w:type="dxa"/>
            <w:noWrap/>
            <w:hideMark/>
          </w:tcPr>
          <w:p w14:paraId="46A5E37A" w14:textId="77777777" w:rsidR="00401E72" w:rsidRPr="00231D8F" w:rsidRDefault="00401E72" w:rsidP="00A21BAE">
            <w:r w:rsidRPr="00231D8F">
              <w:t>1</w:t>
            </w:r>
          </w:p>
        </w:tc>
        <w:tc>
          <w:tcPr>
            <w:tcW w:w="1701" w:type="dxa"/>
            <w:noWrap/>
            <w:hideMark/>
          </w:tcPr>
          <w:p w14:paraId="65148DC5" w14:textId="77777777" w:rsidR="00401E72" w:rsidRPr="00231D8F" w:rsidRDefault="00401E72" w:rsidP="00A21BAE">
            <w:r w:rsidRPr="00231D8F">
              <w:t>2</w:t>
            </w:r>
          </w:p>
        </w:tc>
        <w:tc>
          <w:tcPr>
            <w:tcW w:w="1418" w:type="dxa"/>
            <w:noWrap/>
            <w:hideMark/>
          </w:tcPr>
          <w:p w14:paraId="608F9F39" w14:textId="77777777" w:rsidR="00401E72" w:rsidRPr="00231D8F" w:rsidRDefault="00401E72" w:rsidP="00A21BAE">
            <w:r w:rsidRPr="00231D8F">
              <w:t>2</w:t>
            </w:r>
          </w:p>
        </w:tc>
        <w:tc>
          <w:tcPr>
            <w:tcW w:w="1417" w:type="dxa"/>
            <w:noWrap/>
            <w:hideMark/>
          </w:tcPr>
          <w:p w14:paraId="00DC33B0" w14:textId="77777777" w:rsidR="00401E72" w:rsidRPr="00231D8F" w:rsidRDefault="00401E72" w:rsidP="00A21BAE">
            <w:r w:rsidRPr="00231D8F">
              <w:t>7</w:t>
            </w:r>
          </w:p>
        </w:tc>
      </w:tr>
      <w:tr w:rsidR="00401E72" w:rsidRPr="00231D8F" w14:paraId="0791A083" w14:textId="77777777" w:rsidTr="00A21BAE">
        <w:trPr>
          <w:trHeight w:val="288"/>
        </w:trPr>
        <w:tc>
          <w:tcPr>
            <w:tcW w:w="2405" w:type="dxa"/>
            <w:noWrap/>
            <w:hideMark/>
          </w:tcPr>
          <w:p w14:paraId="11E4F816" w14:textId="77777777" w:rsidR="00401E72" w:rsidRPr="00231D8F" w:rsidRDefault="00401E72" w:rsidP="00A21BAE">
            <w:r w:rsidRPr="00231D8F">
              <w:t>Berta</w:t>
            </w:r>
            <w:r>
              <w:t xml:space="preserve"> et al., </w:t>
            </w:r>
            <w:r w:rsidRPr="00231D8F">
              <w:t>2022</w:t>
            </w:r>
            <w:r>
              <w:t xml:space="preserve"> </w:t>
            </w:r>
            <w:r>
              <w:fldChar w:fldCharType="begin"/>
            </w:r>
            <w:r>
              <w:instrText xml:space="preserve"> ADDIN ZOTERO_ITEM CSL_CITATION {"citationID":"HMBr1kST","properties":{"formattedCitation":"(85)","plainCitation":"(85)","noteIndex":0},"citationItems":[{"id":1599,"uris":["http://zotero.org/users/9294180/items/5RZ2LBA4"],"itemData":{"id":1599,"type":"article-journal","abstract":"Motivated by reasons such as patients’ needs, lack of resources, technologies or skills, and quality, hospital managers may engage in cooperative behaviours. We study the determinants of patients’ transfers, a speciﬁc form of cooperation, and quantify its association with the quality delivered by the origin and destination hospital. Using Italian administrative data, we handle the network structure embedded in the data by adopting an over-dispersed Poisson mixed model. The results show a positive relationship between hospital cooperation and quality. The introduction of transferal protocols that exploit information on hospital quality may further improve the overall quality of the healthcare sector.","container-title":"Regional Studies","DOI":"10.1080/00343404.2021.2009792","ISSN":"0034-3404, 1360-0591","issue":"11","journalAbbreviation":"Regional Studies","language":"en","page":"1858-1873","source":"DOI.org (Crossref)","title":"The association between hospital cooperation and the quality of healthcare","volume":"56","author":[{"family":"Berta","given":"Paolo"},{"family":"Vinciotti","given":"Veronica"},{"family":"Moscone","given":"Francesco"}],"issued":{"date-parts":[["2022",11,2]]}}}],"schema":"https://github.com/citation-style-language/schema/raw/master/csl-citation.json"} </w:instrText>
            </w:r>
            <w:r>
              <w:fldChar w:fldCharType="separate"/>
            </w:r>
            <w:r w:rsidRPr="00EF2F5A">
              <w:rPr>
                <w:rFonts w:cs="Calibri"/>
              </w:rPr>
              <w:t>(85)</w:t>
            </w:r>
            <w:r>
              <w:fldChar w:fldCharType="end"/>
            </w:r>
          </w:p>
        </w:tc>
        <w:tc>
          <w:tcPr>
            <w:tcW w:w="1559" w:type="dxa"/>
            <w:noWrap/>
            <w:hideMark/>
          </w:tcPr>
          <w:p w14:paraId="180E2DB0" w14:textId="77777777" w:rsidR="00401E72" w:rsidRPr="00231D8F" w:rsidRDefault="00401E72" w:rsidP="00A21BAE">
            <w:r w:rsidRPr="00231D8F">
              <w:t>1</w:t>
            </w:r>
          </w:p>
        </w:tc>
        <w:tc>
          <w:tcPr>
            <w:tcW w:w="1701" w:type="dxa"/>
            <w:noWrap/>
            <w:hideMark/>
          </w:tcPr>
          <w:p w14:paraId="72FB71EB" w14:textId="77777777" w:rsidR="00401E72" w:rsidRPr="00231D8F" w:rsidRDefault="00401E72" w:rsidP="00A21BAE">
            <w:r w:rsidRPr="00231D8F">
              <w:t>2</w:t>
            </w:r>
          </w:p>
        </w:tc>
        <w:tc>
          <w:tcPr>
            <w:tcW w:w="1418" w:type="dxa"/>
            <w:noWrap/>
            <w:hideMark/>
          </w:tcPr>
          <w:p w14:paraId="334E36AD" w14:textId="77777777" w:rsidR="00401E72" w:rsidRPr="00231D8F" w:rsidRDefault="00401E72" w:rsidP="00A21BAE">
            <w:r w:rsidRPr="00231D8F">
              <w:t>3</w:t>
            </w:r>
          </w:p>
        </w:tc>
        <w:tc>
          <w:tcPr>
            <w:tcW w:w="1417" w:type="dxa"/>
            <w:noWrap/>
            <w:hideMark/>
          </w:tcPr>
          <w:p w14:paraId="5A94551A" w14:textId="77777777" w:rsidR="00401E72" w:rsidRPr="00231D8F" w:rsidRDefault="00401E72" w:rsidP="00A21BAE">
            <w:r w:rsidRPr="00231D8F">
              <w:t>6</w:t>
            </w:r>
          </w:p>
        </w:tc>
      </w:tr>
      <w:tr w:rsidR="00401E72" w:rsidRPr="00231D8F" w14:paraId="1E723FEA" w14:textId="77777777" w:rsidTr="00A21BAE">
        <w:trPr>
          <w:trHeight w:val="288"/>
        </w:trPr>
        <w:tc>
          <w:tcPr>
            <w:tcW w:w="2405" w:type="dxa"/>
            <w:noWrap/>
            <w:hideMark/>
          </w:tcPr>
          <w:p w14:paraId="78C781CD" w14:textId="77777777" w:rsidR="00401E72" w:rsidRPr="00231D8F" w:rsidRDefault="00401E72" w:rsidP="00A21BAE">
            <w:r w:rsidRPr="00231D8F">
              <w:t>Bower</w:t>
            </w:r>
            <w:r>
              <w:t xml:space="preserve"> et al., </w:t>
            </w:r>
            <w:r w:rsidRPr="00231D8F">
              <w:t>2020</w:t>
            </w:r>
            <w:r>
              <w:t xml:space="preserve"> </w:t>
            </w:r>
            <w:r>
              <w:fldChar w:fldCharType="begin"/>
            </w:r>
            <w:r>
              <w:instrText xml:space="preserve"> ADDIN ZOTERO_ITEM CSL_CITATION {"citationID":"tOWWTWLO","properties":{"formattedCitation":"(49)","plainCitation":"(49)","noteIndex":0},"citationItems":[{"id":1598,"uris":["http://zotero.org/users/9294180/items/HJ7CXERZ"],"itemData":{"id":1598,"type":"article-journal","abstract":"Background. Carbapenem-resistant Enterobacteriaceae (CRE) are an urgent threat with potential for rapid spread. We evaluated the role of Medicare patient movement between facilities to model the spread of CRE within a region.\nMethods.  Through population-based CRE surveillance in the 8-county Atlanta (GA) metropolitan area, all Escherichia coli, Enterobacter spp., or Klebsiella spp. resistant to ≥1 carbapenem were reported from residents. CRE was attributed to a facility based on timing of culture and facility exposures. Centrality metrics were calculated from 2016 Medicare data and compared to CREtransfer derived centrality metrics by Spearman correlation.\nResults.  During 2016, 283 incident CRE cases with concurrent or prior year facility stays were identified; cases were attributed mostly to acute care hospitals (ACHs; 141, 50%) and skilled nursing facilities (SNFs; 113, 40%), and less frequently to long-term acute care hospitals (LTACHs; 29, 10%). Attribution was widespread, originating at 17 of 20 ACHs (85%), 7 of 8 (88%) LTACHs, but only 35 of 65 (54%) SNFs. Betweenness of Medicare patient transfers strongly correlated with betweenness of CRE case-transfer data in ACHs (r = 0.75; P &lt; .01) and LTACHs (r = 0.77; P = .03), but not in SNFs (r = 0.02; P = 0.85). We noted 6 SNFs with high CREderived betweenness but low Medicare-derived betweenness.\nConclusions.  CRE infections originate from almost all ACHs and half of SNFs. We identified a subset of SNFs central to the CRE transfer network but not the Medicare transfer network; other factors may explain CRE patient movement in these facilities.","container-title":"Clinical Infectious Diseases","DOI":"10.1093/cid/ciz154","ISSN":"1058-4838, 1537-6591","issue":"1","language":"en","license":"https://academic.oup.com/journals/pages/open_access/funder_policies/chorus/standard_publication_model","page":"75-81","source":"DOI.org (Crossref)","title":"Evaluating Movement of Patients With Carbapenem-resistant &lt;i&gt;Enterobacteriaceae&lt;/i&gt; Infections in the Greater Atlanta Metropolitan Area Using Social Network Analysis","volume":"70","author":[{"family":"Bower","given":"Chris W"},{"family":"Fridkin","given":"Cass"},{"family":"Wolford","given":"Hannah M"},{"family":"Slayton","given":"Rachel B"},{"family":"Kubes","given":"Julianne N"},{"family":"Jacob","given":"Jesse T"},{"family":"Ray","given":"Susan M"},{"family":"Fridkin","given":"Scott K"}],"issued":{"date-parts":[["2020",1,1]]}}}],"schema":"https://github.com/citation-style-language/schema/raw/master/csl-citation.json"} </w:instrText>
            </w:r>
            <w:r>
              <w:fldChar w:fldCharType="separate"/>
            </w:r>
            <w:r w:rsidRPr="00735B0C">
              <w:t>(49)</w:t>
            </w:r>
            <w:r>
              <w:fldChar w:fldCharType="end"/>
            </w:r>
          </w:p>
        </w:tc>
        <w:tc>
          <w:tcPr>
            <w:tcW w:w="1559" w:type="dxa"/>
            <w:noWrap/>
            <w:hideMark/>
          </w:tcPr>
          <w:p w14:paraId="18CB88DD" w14:textId="77777777" w:rsidR="00401E72" w:rsidRPr="00231D8F" w:rsidRDefault="00401E72" w:rsidP="00A21BAE">
            <w:r w:rsidRPr="00231D8F">
              <w:t>1</w:t>
            </w:r>
          </w:p>
        </w:tc>
        <w:tc>
          <w:tcPr>
            <w:tcW w:w="1701" w:type="dxa"/>
            <w:noWrap/>
            <w:hideMark/>
          </w:tcPr>
          <w:p w14:paraId="534E55A2" w14:textId="77777777" w:rsidR="00401E72" w:rsidRPr="00231D8F" w:rsidRDefault="00401E72" w:rsidP="00A21BAE">
            <w:r w:rsidRPr="00231D8F">
              <w:t>3</w:t>
            </w:r>
          </w:p>
        </w:tc>
        <w:tc>
          <w:tcPr>
            <w:tcW w:w="1418" w:type="dxa"/>
            <w:noWrap/>
            <w:hideMark/>
          </w:tcPr>
          <w:p w14:paraId="7F380F66" w14:textId="77777777" w:rsidR="00401E72" w:rsidRPr="00231D8F" w:rsidRDefault="00401E72" w:rsidP="00A21BAE">
            <w:r w:rsidRPr="00231D8F">
              <w:t>3</w:t>
            </w:r>
          </w:p>
        </w:tc>
        <w:tc>
          <w:tcPr>
            <w:tcW w:w="1417" w:type="dxa"/>
            <w:noWrap/>
            <w:hideMark/>
          </w:tcPr>
          <w:p w14:paraId="24B3BD4F" w14:textId="77777777" w:rsidR="00401E72" w:rsidRPr="00231D8F" w:rsidRDefault="00401E72" w:rsidP="00A21BAE">
            <w:r w:rsidRPr="00231D8F">
              <w:t>5</w:t>
            </w:r>
          </w:p>
        </w:tc>
      </w:tr>
      <w:tr w:rsidR="00401E72" w:rsidRPr="00231D8F" w14:paraId="1CB731E6" w14:textId="77777777" w:rsidTr="00A21BAE">
        <w:trPr>
          <w:trHeight w:val="288"/>
        </w:trPr>
        <w:tc>
          <w:tcPr>
            <w:tcW w:w="2405" w:type="dxa"/>
            <w:noWrap/>
            <w:hideMark/>
          </w:tcPr>
          <w:p w14:paraId="200AC109" w14:textId="77777777" w:rsidR="00401E72" w:rsidRPr="00231D8F" w:rsidRDefault="00401E72" w:rsidP="00A21BAE">
            <w:r w:rsidRPr="00231D8F">
              <w:t>Bush</w:t>
            </w:r>
            <w:r>
              <w:t xml:space="preserve"> et al., </w:t>
            </w:r>
            <w:r w:rsidRPr="00231D8F">
              <w:t>2019</w:t>
            </w:r>
            <w:r>
              <w:t xml:space="preserve"> </w:t>
            </w:r>
            <w:r>
              <w:fldChar w:fldCharType="begin"/>
            </w:r>
            <w:r>
              <w:instrText xml:space="preserve"> ADDIN ZOTERO_ITEM CSL_CITATION {"citationID":"YGtSYVyz","properties":{"formattedCitation":"(54)","plainCitation":"(54)","noteIndex":0},"citationItems":[{"id":1597,"uris":["http://zotero.org/users/9294180/items/VCLQNJN8"],"itemData":{"id":1597,"type":"article-journal","abstract":"Objective: To examine the relationship between unit-wide Clostridium difficile infection (CDI) susceptibility and inpatient mobility and to create contagion centrality as a new predictive measure of CDI. Design: Retrospective cohort study.\nMethods: A mobility network was constructed using 2 years of patient electronic health record data for a 739-bed hospital (n = 72,636 admissions). Network centrality measures were calculated for each hospital unit (node) providing clinical context for each in terms of patient transfers between units (ie, edges). Daily unit-wide CDI susceptibility scores were calculated using logistic regression and were compared to network centrality measures to determine the relationship between unit CDI susceptibility and patient mobility.\nResults: Closeness centrality was a statistically significant measure associated with unit susceptibility (P &lt; .05), highlighting the importance of incoming patient mobility in CDI prevention at the unit level. Contagion centrality (CC) was calculated using inpatient transfer rates, unit-wide susceptibility of CDI, and current hospital CDI infections. The contagion centrality measure was statistically significant (P &lt; .05) with our outcome of hospital-onset CDI cases, and it captured the additional opportunities for transmission associated with inpatient transfers. We have used this analysis to create easily interpretable clinical tools showing this relationship as well as the risk of hospital-onset CDI in real time, and these tools can be implemented in hospital EHR systems.\nConclusions: Quantifying and visualizing the combination of inpatient transfers, unit-wide risk, and current infections help identify hospital units at risk of developing a CDI outbreak and, thus, provide clinicians and infection prevention staff with advanced warning and specific location data to inform prevention efforts.","container-title":"Infection Control &amp; Hospital Epidemiology","DOI":"10.1017/ice.2019.288","ISSN":"0899-823X, 1559-6834","issue":"12","journalAbbreviation":"Infect. Control Hosp. Epidemiol.","language":"en","license":"http://creativecommons.org/licenses/by-nc-nd/4.0/","page":"1380-1386","source":"DOI.org (Crossref)","title":"Predicting hospital-onset &lt;i&gt;Clostridium difficile&lt;/i&gt; using patient mobility data: A network approach","title-short":"Predicting hospital-onset &lt;i&gt;Clostridium difficile&lt;/i&gt; using patient mobility data","volume":"40","author":[{"family":"Bush","given":"Kristen"},{"family":"Barbosa","given":"Hugo"},{"family":"Farooq","given":"Samir"},{"family":"Weisenthal","given":"Samuel J."},{"family":"Trayhan","given":"Melissa"},{"family":"White","given":"Robert J."},{"family":"Noyes","given":"Ekaterina I."},{"family":"Ghoshal","given":"Gourab"},{"family":"Zand","given":"Martin S."}],"issued":{"date-parts":[["2019",12]]}}}],"schema":"https://github.com/citation-style-language/schema/raw/master/csl-citation.json"} </w:instrText>
            </w:r>
            <w:r>
              <w:fldChar w:fldCharType="separate"/>
            </w:r>
            <w:r w:rsidRPr="00735B0C">
              <w:t>(54)</w:t>
            </w:r>
            <w:r>
              <w:fldChar w:fldCharType="end"/>
            </w:r>
          </w:p>
        </w:tc>
        <w:tc>
          <w:tcPr>
            <w:tcW w:w="1559" w:type="dxa"/>
            <w:noWrap/>
            <w:hideMark/>
          </w:tcPr>
          <w:p w14:paraId="579C459E" w14:textId="77777777" w:rsidR="00401E72" w:rsidRPr="00231D8F" w:rsidRDefault="00401E72" w:rsidP="00A21BAE">
            <w:r w:rsidRPr="00231D8F">
              <w:t>2</w:t>
            </w:r>
          </w:p>
        </w:tc>
        <w:tc>
          <w:tcPr>
            <w:tcW w:w="1701" w:type="dxa"/>
            <w:noWrap/>
            <w:hideMark/>
          </w:tcPr>
          <w:p w14:paraId="2127A5F4" w14:textId="77777777" w:rsidR="00401E72" w:rsidRPr="00231D8F" w:rsidRDefault="00401E72" w:rsidP="00A21BAE">
            <w:r w:rsidRPr="00231D8F">
              <w:t>2</w:t>
            </w:r>
          </w:p>
        </w:tc>
        <w:tc>
          <w:tcPr>
            <w:tcW w:w="1418" w:type="dxa"/>
            <w:noWrap/>
            <w:hideMark/>
          </w:tcPr>
          <w:p w14:paraId="0916362B" w14:textId="77777777" w:rsidR="00401E72" w:rsidRPr="00231D8F" w:rsidRDefault="00401E72" w:rsidP="00A21BAE">
            <w:r w:rsidRPr="00231D8F">
              <w:t>5</w:t>
            </w:r>
          </w:p>
        </w:tc>
        <w:tc>
          <w:tcPr>
            <w:tcW w:w="1417" w:type="dxa"/>
            <w:noWrap/>
            <w:hideMark/>
          </w:tcPr>
          <w:p w14:paraId="3428CFC3" w14:textId="77777777" w:rsidR="00401E72" w:rsidRPr="00231D8F" w:rsidRDefault="00401E72" w:rsidP="00A21BAE">
            <w:r w:rsidRPr="00231D8F">
              <w:t>3</w:t>
            </w:r>
          </w:p>
        </w:tc>
      </w:tr>
      <w:tr w:rsidR="00401E72" w:rsidRPr="00231D8F" w14:paraId="50560D76" w14:textId="77777777" w:rsidTr="00A21BAE">
        <w:trPr>
          <w:trHeight w:val="288"/>
        </w:trPr>
        <w:tc>
          <w:tcPr>
            <w:tcW w:w="2405" w:type="dxa"/>
            <w:noWrap/>
            <w:hideMark/>
          </w:tcPr>
          <w:p w14:paraId="3B021807" w14:textId="77777777" w:rsidR="00401E72" w:rsidRPr="00231D8F" w:rsidRDefault="00401E72" w:rsidP="00A21BAE">
            <w:r w:rsidRPr="00231D8F">
              <w:t>Caimo</w:t>
            </w:r>
            <w:r>
              <w:t xml:space="preserve"> et al., </w:t>
            </w:r>
            <w:r w:rsidRPr="00231D8F">
              <w:t>2017</w:t>
            </w:r>
            <w:r>
              <w:t xml:space="preserve"> </w:t>
            </w:r>
            <w:r>
              <w:fldChar w:fldCharType="begin"/>
            </w:r>
            <w:r>
              <w:instrText xml:space="preserve"> ADDIN ZOTERO_ITEM CSL_CITATION {"citationID":"56KYhOO0","properties":{"formattedCitation":"(32)","plainCitation":"(32)","noteIndex":0},"citationItems":[{"id":1596,"uris":["http://zotero.org/users/9294180/items/Q87FX5TL"],"itemData":{"id":1596,"type":"article-journal","abstract":"Using original data that we have collected on referral relations between 110 hospitals serving a large regional community, we show how recently derived Bayesian exponential random graph models may be adopted to illuminate core empirical issues in research on relational coordination among healthcare organisations. We show how a rigorous Bayesian computation approach supports a fully probabilistic analytical framework that alleviates well‐known problems in the estimation of model parameters of exponential random graph models. We also show how the main structural features of interhospital patient referral networks that prior studies have described can be reproduced with accuracy by specifying the system of local dependencies that produce – but at the same time are induced by – decentralised collaborative arrangements between hospitals. Copyright © 2017 John Wiley &amp; Sons, Ltd.","container-title":"Statistics in Medicine","DOI":"10.1002/sim.7301","ISSN":"0277-6715, 1097-0258","issue":"18","journalAbbreviation":"Statistics in Medicine","language":"en","license":"http://onlinelibrary.wiley.com/termsAndConditions#vor","page":"2902-2920","source":"DOI.org (Crossref)","title":"Bayesian exponential random graph modelling of interhospital patient referral networks","volume":"36","author":[{"family":"Caimo","given":"Alberto"},{"family":"Pallotti","given":"Francesca"},{"family":"Lomi","given":"Alessandro"}],"issued":{"date-parts":[["2017",8,15]]}}}],"schema":"https://github.com/citation-style-language/schema/raw/master/csl-citation.json"} </w:instrText>
            </w:r>
            <w:r>
              <w:fldChar w:fldCharType="separate"/>
            </w:r>
            <w:r w:rsidRPr="00E56AA7">
              <w:t>(32)</w:t>
            </w:r>
            <w:r>
              <w:fldChar w:fldCharType="end"/>
            </w:r>
          </w:p>
        </w:tc>
        <w:tc>
          <w:tcPr>
            <w:tcW w:w="1559" w:type="dxa"/>
            <w:noWrap/>
            <w:hideMark/>
          </w:tcPr>
          <w:p w14:paraId="5A60855B" w14:textId="77777777" w:rsidR="00401E72" w:rsidRPr="00231D8F" w:rsidRDefault="00401E72" w:rsidP="00A21BAE">
            <w:r w:rsidRPr="00231D8F">
              <w:t>3</w:t>
            </w:r>
          </w:p>
        </w:tc>
        <w:tc>
          <w:tcPr>
            <w:tcW w:w="1701" w:type="dxa"/>
            <w:noWrap/>
            <w:hideMark/>
          </w:tcPr>
          <w:p w14:paraId="43E8D278" w14:textId="77777777" w:rsidR="00401E72" w:rsidRPr="00231D8F" w:rsidRDefault="00401E72" w:rsidP="00A21BAE">
            <w:r w:rsidRPr="00231D8F">
              <w:t>2</w:t>
            </w:r>
          </w:p>
        </w:tc>
        <w:tc>
          <w:tcPr>
            <w:tcW w:w="1418" w:type="dxa"/>
            <w:noWrap/>
            <w:hideMark/>
          </w:tcPr>
          <w:p w14:paraId="55DF1A56" w14:textId="77777777" w:rsidR="00401E72" w:rsidRPr="00231D8F" w:rsidRDefault="00401E72" w:rsidP="00A21BAE">
            <w:r w:rsidRPr="00231D8F">
              <w:t>3</w:t>
            </w:r>
          </w:p>
        </w:tc>
        <w:tc>
          <w:tcPr>
            <w:tcW w:w="1417" w:type="dxa"/>
            <w:noWrap/>
            <w:hideMark/>
          </w:tcPr>
          <w:p w14:paraId="6B023FCA" w14:textId="77777777" w:rsidR="00401E72" w:rsidRPr="00231D8F" w:rsidRDefault="00401E72" w:rsidP="00A21BAE">
            <w:r w:rsidRPr="00231D8F">
              <w:t>4</w:t>
            </w:r>
          </w:p>
        </w:tc>
      </w:tr>
      <w:tr w:rsidR="00401E72" w:rsidRPr="00231D8F" w14:paraId="603929B4" w14:textId="77777777" w:rsidTr="00A21BAE">
        <w:trPr>
          <w:trHeight w:val="288"/>
        </w:trPr>
        <w:tc>
          <w:tcPr>
            <w:tcW w:w="2405" w:type="dxa"/>
            <w:noWrap/>
            <w:hideMark/>
          </w:tcPr>
          <w:p w14:paraId="104F430F" w14:textId="77777777" w:rsidR="00401E72" w:rsidRPr="00231D8F" w:rsidRDefault="00401E72" w:rsidP="00A21BAE">
            <w:r w:rsidRPr="00231D8F">
              <w:t>Chang</w:t>
            </w:r>
            <w:r>
              <w:t xml:space="preserve"> et al., </w:t>
            </w:r>
            <w:r w:rsidRPr="00231D8F">
              <w:t>2016</w:t>
            </w:r>
            <w:r>
              <w:t xml:space="preserve"> </w:t>
            </w:r>
            <w:r>
              <w:fldChar w:fldCharType="begin"/>
            </w:r>
            <w:r>
              <w:instrText xml:space="preserve"> ADDIN ZOTERO_ITEM CSL_CITATION {"citationID":"LGgHmpzT","properties":{"formattedCitation":"(57)","plainCitation":"(57)","noteIndex":0},"citationItems":[{"id":1595,"uris":["http://zotero.org/users/9294180/items/SM65GUMV"],"itemData":{"id":1595,"type":"article-journal","abstract":"Background: Methicillin-resistant Staphylococcus aureus (MRSA) is one of the most common healthcare-associated pathogens. To examine the role of inter-hospital patient sharing on MRSA transmission, a previous study collected 2,214 samples from 30 hospitals in Orange County, California and showed by spa typing that genetic differentiation decreased significantly with increased patient sharing. In the current study, we focused on the 986 samples with spa type t008 from the same population.\nMethods: We used genome sequencing to determine the effect of patient sharing on genetic differentiation between hospitals. Genetic differentiation was measured by between-hospital genetic diversity, FST, and the proportion of nearly identical isolates between hospitals.\nResults: Surprisingly, we found very similar genetic diversity within and between hospitals, and no significant association between patient sharing and genetic differentiation measured by FST. However, in contrast to FST, there was a significant association between patient sharing and the proportion of nearly identical isolates between hospitals. We propose that the proportion of nearly identical isolates is more powerful at determining transmission dynamics than traditional estimators of genetic differentiation (FST) when gene flow between populations is high, since it is more responsive to recent transmission events. Our hypothesis was supported by the results from coalescent simulations.\nConclusions: Our results suggested that there was a high level of gene flow between hospitals facilitated by patient sharing, and that the proportion of nearly identical isolates is more sensitive to population structure than FST when gene flow is high.","container-title":"Genome Medicine","DOI":"10.1186/s13073-016-0274-3","ISSN":"1756-994X","issue":"1","journalAbbreviation":"Genome Med","language":"en","page":"18","source":"DOI.org (Crossref)","title":"Identifying the effect of patient sharing on between-hospital genetic differentiation of methicillin-resistant Staphylococcus aureus","volume":"8","author":[{"family":"Chang","given":"Hsiao-Han"},{"family":"Dordel","given":"Janina"},{"family":"Donker","given":"Tjibbe"},{"family":"Worby","given":"Colin J."},{"family":"Feil","given":"Edward J."},{"family":"Hanage","given":"William P."},{"family":"Bentley","given":"Stephen D."},{"family":"Huang","given":"Susan S."},{"family":"Lipsitch","given":"Marc"}],"issued":{"date-parts":[["2016",12]]}}}],"schema":"https://github.com/citation-style-language/schema/raw/master/csl-citation.json"} </w:instrText>
            </w:r>
            <w:r>
              <w:fldChar w:fldCharType="separate"/>
            </w:r>
            <w:r w:rsidRPr="00735B0C">
              <w:t>(57)</w:t>
            </w:r>
            <w:r>
              <w:fldChar w:fldCharType="end"/>
            </w:r>
          </w:p>
        </w:tc>
        <w:tc>
          <w:tcPr>
            <w:tcW w:w="1559" w:type="dxa"/>
            <w:noWrap/>
            <w:hideMark/>
          </w:tcPr>
          <w:p w14:paraId="4BCC4C19" w14:textId="77777777" w:rsidR="00401E72" w:rsidRPr="00231D8F" w:rsidRDefault="00401E72" w:rsidP="00A21BAE">
            <w:r w:rsidRPr="00231D8F">
              <w:t>4</w:t>
            </w:r>
          </w:p>
        </w:tc>
        <w:tc>
          <w:tcPr>
            <w:tcW w:w="1701" w:type="dxa"/>
            <w:noWrap/>
            <w:hideMark/>
          </w:tcPr>
          <w:p w14:paraId="77903704" w14:textId="77777777" w:rsidR="00401E72" w:rsidRPr="00231D8F" w:rsidRDefault="00401E72" w:rsidP="00A21BAE">
            <w:r w:rsidRPr="00231D8F">
              <w:t>4</w:t>
            </w:r>
          </w:p>
        </w:tc>
        <w:tc>
          <w:tcPr>
            <w:tcW w:w="1418" w:type="dxa"/>
            <w:noWrap/>
            <w:hideMark/>
          </w:tcPr>
          <w:p w14:paraId="729B8FC8" w14:textId="77777777" w:rsidR="00401E72" w:rsidRPr="00231D8F" w:rsidRDefault="00401E72" w:rsidP="00A21BAE">
            <w:r w:rsidRPr="00231D8F">
              <w:t>3</w:t>
            </w:r>
          </w:p>
        </w:tc>
        <w:tc>
          <w:tcPr>
            <w:tcW w:w="1417" w:type="dxa"/>
            <w:noWrap/>
            <w:hideMark/>
          </w:tcPr>
          <w:p w14:paraId="54E7EB42" w14:textId="77777777" w:rsidR="00401E72" w:rsidRPr="00231D8F" w:rsidRDefault="00401E72" w:rsidP="00A21BAE">
            <w:r w:rsidRPr="00231D8F">
              <w:t>1</w:t>
            </w:r>
          </w:p>
        </w:tc>
      </w:tr>
      <w:tr w:rsidR="00401E72" w:rsidRPr="00231D8F" w14:paraId="2F56C339" w14:textId="77777777" w:rsidTr="00A21BAE">
        <w:trPr>
          <w:trHeight w:val="288"/>
        </w:trPr>
        <w:tc>
          <w:tcPr>
            <w:tcW w:w="2405" w:type="dxa"/>
            <w:noWrap/>
            <w:hideMark/>
          </w:tcPr>
          <w:p w14:paraId="0C01B95B" w14:textId="77777777" w:rsidR="00401E72" w:rsidRPr="00231D8F" w:rsidRDefault="00401E72" w:rsidP="00A21BAE">
            <w:r w:rsidRPr="00231D8F">
              <w:t>Chrusciel</w:t>
            </w:r>
            <w:r>
              <w:t xml:space="preserve"> et al., </w:t>
            </w:r>
            <w:r w:rsidRPr="00231D8F">
              <w:t>2021</w:t>
            </w:r>
            <w:r>
              <w:t xml:space="preserve"> </w:t>
            </w:r>
            <w:r>
              <w:fldChar w:fldCharType="begin"/>
            </w:r>
            <w:r>
              <w:instrText xml:space="preserve"> ADDIN ZOTERO_ITEM CSL_CITATION {"citationID":"JBvRKr7l","properties":{"formattedCitation":"(15)","plainCitation":"(15)","noteIndex":0},"citationItems":[{"id":1594,"uris":["http://zotero.org/users/9294180/items/SRUHX6R7"],"itemData":{"id":1594,"type":"article-journal","abstract":"Background: Hospitals in the public and private sectors tend to join larger organizations to form hospital groups. This increasingly frequent mode of functioning raises the question of how countries should organize their health system, according to the interactions already present between their hospitals. The objective of this study was to identify distinctive profiles of French hospitals according to their characteristics and their role in the French hospital network.\nMethods: Data were extracted from the national hospital database for year 2016. The database was restricted to public hospitals that practiced medicine, surgery or obstetrics. Hospitals profiles were determined using the k-means method. The variables entered in the clustering algorithm were: the number of stays, the effective diversity of hospital activity, and a network-based mobility indicator (proportion of stays followed by another stay in a different hospital of the same Regional Hospital Group within 90 days).\nResults: Three hospital groups were identified by the clustering algorithm. The first group was constituted of 34 large hospitals (median 82,100 annual stays, interquartile range 69,004 – 117,774) with a very diverse activity. The second group contained medium-sized hospitals (with a median of 258 beds, interquartile range 164 - 377). The third group featured less diversity regarding the type of stay (with a mean of 8 effective activity domains, standard deviation 2.73), a smaller size and a higher proportion of patients that subsequently visited other hospitals (11%). The most frequent type of patient mobility occurred from the hospitals in group 2 to the hospitals in group 1 (29%). The reverse direction was less frequent (19%).\nConclusions: The French hospital network is organized around three categories of public hospitals, with an unbalanced and disassortative patient flow. This type of organization has implications for hospital planning and infectious diseases control.","container-title":"BMC Health Services Research","DOI":"10.1186/s12913-021-07215-4","ISSN":"1472-6963","issue":"1","journalAbbreviation":"BMC Health Serv Res","language":"en","page":"1244","source":"DOI.org (Crossref)","title":"Making sense of the French public hospital system: a network-based approach to hospital clustering using unsupervised learning methods","title-short":"Making sense of the French public hospital system","volume":"21","author":[{"family":"Chrusciel","given":"Jan"},{"family":"Le Guillou","given":"Adrien"},{"family":"Daoud","given":"Eric"},{"family":"Laplanche","given":"David"},{"family":"Steunou","given":"Sandra"},{"family":"Clément","given":"Marie-Caroline"},{"family":"Sanchez","given":"Stéphane"}],"issued":{"date-parts":[["2021",11,17]]}}}],"schema":"https://github.com/citation-style-language/schema/raw/master/csl-citation.json"} </w:instrText>
            </w:r>
            <w:r>
              <w:fldChar w:fldCharType="separate"/>
            </w:r>
            <w:r w:rsidRPr="001145E7">
              <w:rPr>
                <w:rFonts w:cs="Calibri"/>
              </w:rPr>
              <w:t>(15)</w:t>
            </w:r>
            <w:r>
              <w:fldChar w:fldCharType="end"/>
            </w:r>
          </w:p>
        </w:tc>
        <w:tc>
          <w:tcPr>
            <w:tcW w:w="1559" w:type="dxa"/>
            <w:noWrap/>
            <w:hideMark/>
          </w:tcPr>
          <w:p w14:paraId="39309F2B" w14:textId="77777777" w:rsidR="00401E72" w:rsidRPr="00231D8F" w:rsidRDefault="00401E72" w:rsidP="00A21BAE">
            <w:r w:rsidRPr="00231D8F">
              <w:t>0</w:t>
            </w:r>
          </w:p>
        </w:tc>
        <w:tc>
          <w:tcPr>
            <w:tcW w:w="1701" w:type="dxa"/>
            <w:noWrap/>
            <w:hideMark/>
          </w:tcPr>
          <w:p w14:paraId="1956F690" w14:textId="77777777" w:rsidR="00401E72" w:rsidRPr="00231D8F" w:rsidRDefault="00401E72" w:rsidP="00A21BAE">
            <w:r w:rsidRPr="00231D8F">
              <w:t>4</w:t>
            </w:r>
          </w:p>
        </w:tc>
        <w:tc>
          <w:tcPr>
            <w:tcW w:w="1418" w:type="dxa"/>
            <w:noWrap/>
            <w:hideMark/>
          </w:tcPr>
          <w:p w14:paraId="383D9FCB" w14:textId="77777777" w:rsidR="00401E72" w:rsidRPr="00231D8F" w:rsidRDefault="00401E72" w:rsidP="00A21BAE">
            <w:r w:rsidRPr="00231D8F">
              <w:t>2</w:t>
            </w:r>
          </w:p>
        </w:tc>
        <w:tc>
          <w:tcPr>
            <w:tcW w:w="1417" w:type="dxa"/>
            <w:noWrap/>
            <w:hideMark/>
          </w:tcPr>
          <w:p w14:paraId="2F281267" w14:textId="77777777" w:rsidR="00401E72" w:rsidRPr="00231D8F" w:rsidRDefault="00401E72" w:rsidP="00A21BAE">
            <w:r w:rsidRPr="00231D8F">
              <w:t>6</w:t>
            </w:r>
          </w:p>
        </w:tc>
      </w:tr>
      <w:tr w:rsidR="00401E72" w:rsidRPr="00231D8F" w14:paraId="4CE4A8A3" w14:textId="77777777" w:rsidTr="00A21BAE">
        <w:trPr>
          <w:trHeight w:val="288"/>
        </w:trPr>
        <w:tc>
          <w:tcPr>
            <w:tcW w:w="2405" w:type="dxa"/>
            <w:noWrap/>
            <w:hideMark/>
          </w:tcPr>
          <w:p w14:paraId="2E8C3853" w14:textId="77777777" w:rsidR="00401E72" w:rsidRPr="00231D8F" w:rsidRDefault="00401E72" w:rsidP="00A21BAE">
            <w:r w:rsidRPr="00231D8F">
              <w:t>Ciccolini</w:t>
            </w:r>
            <w:r>
              <w:t xml:space="preserve"> et al., </w:t>
            </w:r>
            <w:r w:rsidRPr="00231D8F">
              <w:t>2014</w:t>
            </w:r>
            <w:r>
              <w:t xml:space="preserve"> </w:t>
            </w:r>
            <w:r>
              <w:fldChar w:fldCharType="begin"/>
            </w:r>
            <w:r>
              <w:instrText xml:space="preserve"> ADDIN ZOTERO_ITEM CSL_CITATION {"citationID":"Qju8ntnb","properties":{"formattedCitation":"(11)","plainCitation":"(11)","noteIndex":0},"citationItems":[{"id":4,"uris":["http://zotero.org/users/9294180/items/EHIZ9XVR"],"itemData":{"id":4,"type":"paper-conference","container-title":"Proceedings of the National Academy of Sciences of the United States of America","language":"en","page":"2271–2276","title":"Efficient surveillance for healthcare- associated infections spreading between hospitals","volume":"111","author":[{"family":"Ciccolini","given":"M."},{"family":"Donker","given":"T."},{"family":"Grundmann","given":"H."}],"issued":{"date-parts":[["2014"]]}}}],"schema":"https://github.com/citation-style-language/schema/raw/master/csl-citation.json"} </w:instrText>
            </w:r>
            <w:r>
              <w:fldChar w:fldCharType="separate"/>
            </w:r>
            <w:r w:rsidRPr="001145E7">
              <w:rPr>
                <w:rFonts w:cs="Calibri"/>
              </w:rPr>
              <w:t>(11)</w:t>
            </w:r>
            <w:r>
              <w:fldChar w:fldCharType="end"/>
            </w:r>
          </w:p>
        </w:tc>
        <w:tc>
          <w:tcPr>
            <w:tcW w:w="1559" w:type="dxa"/>
            <w:noWrap/>
            <w:hideMark/>
          </w:tcPr>
          <w:p w14:paraId="5459A117" w14:textId="77777777" w:rsidR="00401E72" w:rsidRPr="00231D8F" w:rsidRDefault="00401E72" w:rsidP="00A21BAE">
            <w:r w:rsidRPr="00231D8F">
              <w:t>1</w:t>
            </w:r>
          </w:p>
        </w:tc>
        <w:tc>
          <w:tcPr>
            <w:tcW w:w="1701" w:type="dxa"/>
            <w:noWrap/>
            <w:hideMark/>
          </w:tcPr>
          <w:p w14:paraId="0D85E080" w14:textId="77777777" w:rsidR="00401E72" w:rsidRPr="00231D8F" w:rsidRDefault="00401E72" w:rsidP="00A21BAE">
            <w:r w:rsidRPr="00231D8F">
              <w:t>3</w:t>
            </w:r>
          </w:p>
        </w:tc>
        <w:tc>
          <w:tcPr>
            <w:tcW w:w="1418" w:type="dxa"/>
            <w:noWrap/>
            <w:hideMark/>
          </w:tcPr>
          <w:p w14:paraId="64024C9D" w14:textId="77777777" w:rsidR="00401E72" w:rsidRPr="00231D8F" w:rsidRDefault="00401E72" w:rsidP="00A21BAE">
            <w:r w:rsidRPr="00231D8F">
              <w:t>2</w:t>
            </w:r>
          </w:p>
        </w:tc>
        <w:tc>
          <w:tcPr>
            <w:tcW w:w="1417" w:type="dxa"/>
            <w:noWrap/>
            <w:hideMark/>
          </w:tcPr>
          <w:p w14:paraId="47421321" w14:textId="77777777" w:rsidR="00401E72" w:rsidRPr="00231D8F" w:rsidRDefault="00401E72" w:rsidP="00A21BAE">
            <w:r w:rsidRPr="00231D8F">
              <w:t>7</w:t>
            </w:r>
          </w:p>
        </w:tc>
      </w:tr>
      <w:tr w:rsidR="00401E72" w:rsidRPr="00231D8F" w14:paraId="77DEFA24" w14:textId="77777777" w:rsidTr="00A21BAE">
        <w:trPr>
          <w:trHeight w:val="288"/>
        </w:trPr>
        <w:tc>
          <w:tcPr>
            <w:tcW w:w="2405" w:type="dxa"/>
            <w:noWrap/>
            <w:hideMark/>
          </w:tcPr>
          <w:p w14:paraId="7B265246" w14:textId="77777777" w:rsidR="00401E72" w:rsidRPr="00231D8F" w:rsidRDefault="00401E72" w:rsidP="00A21BAE">
            <w:r w:rsidRPr="00231D8F">
              <w:t>Cioffi</w:t>
            </w:r>
            <w:r>
              <w:t xml:space="preserve"> et al., </w:t>
            </w:r>
            <w:r w:rsidRPr="00231D8F">
              <w:t>2018</w:t>
            </w:r>
            <w:r>
              <w:t xml:space="preserve"> </w:t>
            </w:r>
            <w:r>
              <w:fldChar w:fldCharType="begin"/>
            </w:r>
            <w:r>
              <w:instrText xml:space="preserve"> ADDIN ZOTERO_ITEM CSL_CITATION {"citationID":"izky0FC9","properties":{"formattedCitation":"(55)","plainCitation":"(55)","noteIndex":0},"citationItems":[{"id":1546,"uris":["http://zotero.org/users/9294180/items/EK3CHQQN"],"itemData":{"id":1546,"type":"article-journal","abstract":"Comprehending complex behavior of flow within a graph is of interest to clinicians and mathematicians alike. In this study we examine admission, discharge, and transfer data of patients within a hospital system, and process the importance of nodes through several graph metrics. One common metric, which measures population densities through a continuous time Markov process, will be compared against centrality measures, a technique more often used in social media studies. Our findings show that centrality measures capture behavior related to the topology of the network that may be missed by Markov processes. This suggests that, for determining the allocation of resources between departments of a hospital, centrality measures in some cases may prove more suitable for interpreting patient flow data. Departmental rankings and suitable instances for the application for each graph metric are provided.","language":"en","source":"Zotero","title":"A Network-Theoretic Analysis of Hospital Admission, Transfer, and Discharge Data","author":[{"family":"Cioffi","given":"Maria"},{"family":"Mukhtar","given":"Naba"},{"family":"Ryan","given":"Nathan C"},{"family":"Klobusicky","given":"Joe J"}],"issued":{"date-parts":[["2018"]]}}}],"schema":"https://github.com/citation-style-language/schema/raw/master/csl-citation.json"} </w:instrText>
            </w:r>
            <w:r>
              <w:fldChar w:fldCharType="separate"/>
            </w:r>
            <w:r w:rsidRPr="00735B0C">
              <w:t>(55)</w:t>
            </w:r>
            <w:r>
              <w:fldChar w:fldCharType="end"/>
            </w:r>
          </w:p>
        </w:tc>
        <w:tc>
          <w:tcPr>
            <w:tcW w:w="1559" w:type="dxa"/>
            <w:noWrap/>
            <w:hideMark/>
          </w:tcPr>
          <w:p w14:paraId="082F3833" w14:textId="77777777" w:rsidR="00401E72" w:rsidRPr="00231D8F" w:rsidRDefault="00401E72" w:rsidP="00A21BAE">
            <w:r w:rsidRPr="00231D8F">
              <w:t>2</w:t>
            </w:r>
          </w:p>
        </w:tc>
        <w:tc>
          <w:tcPr>
            <w:tcW w:w="1701" w:type="dxa"/>
            <w:noWrap/>
            <w:hideMark/>
          </w:tcPr>
          <w:p w14:paraId="168BBE3E" w14:textId="77777777" w:rsidR="00401E72" w:rsidRPr="00231D8F" w:rsidRDefault="00401E72" w:rsidP="00A21BAE">
            <w:r w:rsidRPr="00231D8F">
              <w:t>3</w:t>
            </w:r>
          </w:p>
        </w:tc>
        <w:tc>
          <w:tcPr>
            <w:tcW w:w="1418" w:type="dxa"/>
            <w:noWrap/>
            <w:hideMark/>
          </w:tcPr>
          <w:p w14:paraId="0A0E0F78" w14:textId="77777777" w:rsidR="00401E72" w:rsidRPr="00231D8F" w:rsidRDefault="00401E72" w:rsidP="00A21BAE">
            <w:r w:rsidRPr="00231D8F">
              <w:t>4</w:t>
            </w:r>
          </w:p>
        </w:tc>
        <w:tc>
          <w:tcPr>
            <w:tcW w:w="1417" w:type="dxa"/>
            <w:noWrap/>
            <w:hideMark/>
          </w:tcPr>
          <w:p w14:paraId="587411E2" w14:textId="77777777" w:rsidR="00401E72" w:rsidRPr="00231D8F" w:rsidRDefault="00401E72" w:rsidP="00A21BAE">
            <w:r w:rsidRPr="00231D8F">
              <w:t>3</w:t>
            </w:r>
          </w:p>
        </w:tc>
      </w:tr>
      <w:tr w:rsidR="00401E72" w:rsidRPr="00231D8F" w14:paraId="0E6456BC" w14:textId="77777777" w:rsidTr="00A21BAE">
        <w:trPr>
          <w:trHeight w:val="288"/>
        </w:trPr>
        <w:tc>
          <w:tcPr>
            <w:tcW w:w="2405" w:type="dxa"/>
            <w:noWrap/>
            <w:hideMark/>
          </w:tcPr>
          <w:p w14:paraId="402F3EA0" w14:textId="77777777" w:rsidR="00401E72" w:rsidRPr="00231D8F" w:rsidRDefault="00401E72" w:rsidP="00A21BAE">
            <w:r w:rsidRPr="00231D8F">
              <w:t>Clarke</w:t>
            </w:r>
            <w:r>
              <w:t xml:space="preserve"> et al., </w:t>
            </w:r>
            <w:r w:rsidRPr="00231D8F">
              <w:t>2018</w:t>
            </w:r>
            <w:r>
              <w:t xml:space="preserve"> </w:t>
            </w:r>
            <w:r>
              <w:fldChar w:fldCharType="begin"/>
            </w:r>
            <w:r>
              <w:instrText xml:space="preserve"> ADDIN ZOTERO_ITEM CSL_CITATION {"citationID":"ORnL8cD2","properties":{"formattedCitation":"(33)","plainCitation":"(33)","noteIndex":0},"citationItems":[{"id":1592,"uris":["http://zotero.org/users/9294180/items/KWWVL3K3"],"itemData":{"id":1592,"type":"article-journal","abstract":"Abstract\n            Effective sharing of clinical information between care providers is a critical component of a safe, efficient health system. National data-sharing systems may be costly, politically contentious and do not reflect local patterns of care delivery. This study examines hospital attendances in England from 2013 to 2015 to identify instances of patient sharing between hospitals. Of 19.6 million patients receiving care from 155 hospital care providers, 130 million presentations were identified. On 14.7 million occasions (12%), patients attended a different hospital to the one they attended on their previous interaction. A network of hospitals was constructed based on the frequency of patient sharing between hospitals which was partitioned using the Louvain algorithm into ten distinct data-sharing communities, improving the continuity of data sharing in such instances from 0 to 65–95%. Locally implemented data-sharing communities of hospitals may achieve effective accessibility of clinical information without a large-scale national interoperable information system.","container-title":"npj Digital Medicine","DOI":"10.1038/s41746-018-0072-y","ISSN":"2398-6352","issue":"1","journalAbbreviation":"npj Digital Med","language":"en","page":"65","source":"DOI.org (Crossref)","title":"Guiding interoperable electronic health records through patient-sharing networks","volume":"1","author":[{"family":"Clarke","given":"Jonathan M."},{"family":"Warren","given":"Leigh R."},{"family":"Arora","given":"Sonal"},{"family":"Barahona","given":"Mauricio"},{"family":"Darzi","given":"Ara W."}],"issued":{"date-parts":[["2018",12,10]]}}}],"schema":"https://github.com/citation-style-language/schema/raw/master/csl-citation.json"} </w:instrText>
            </w:r>
            <w:r>
              <w:fldChar w:fldCharType="separate"/>
            </w:r>
            <w:r w:rsidRPr="00E56AA7">
              <w:t>(33)</w:t>
            </w:r>
            <w:r>
              <w:fldChar w:fldCharType="end"/>
            </w:r>
          </w:p>
        </w:tc>
        <w:tc>
          <w:tcPr>
            <w:tcW w:w="1559" w:type="dxa"/>
            <w:noWrap/>
            <w:hideMark/>
          </w:tcPr>
          <w:p w14:paraId="6F824A3A" w14:textId="77777777" w:rsidR="00401E72" w:rsidRPr="00231D8F" w:rsidRDefault="00401E72" w:rsidP="00A21BAE">
            <w:r w:rsidRPr="00231D8F">
              <w:t>2</w:t>
            </w:r>
          </w:p>
        </w:tc>
        <w:tc>
          <w:tcPr>
            <w:tcW w:w="1701" w:type="dxa"/>
            <w:noWrap/>
            <w:hideMark/>
          </w:tcPr>
          <w:p w14:paraId="7466858F" w14:textId="77777777" w:rsidR="00401E72" w:rsidRPr="00231D8F" w:rsidRDefault="00401E72" w:rsidP="00A21BAE">
            <w:r w:rsidRPr="00231D8F">
              <w:t>3</w:t>
            </w:r>
          </w:p>
        </w:tc>
        <w:tc>
          <w:tcPr>
            <w:tcW w:w="1418" w:type="dxa"/>
            <w:noWrap/>
            <w:hideMark/>
          </w:tcPr>
          <w:p w14:paraId="1C1EADC5" w14:textId="77777777" w:rsidR="00401E72" w:rsidRPr="00231D8F" w:rsidRDefault="00401E72" w:rsidP="00A21BAE">
            <w:r w:rsidRPr="00231D8F">
              <w:t>3</w:t>
            </w:r>
          </w:p>
        </w:tc>
        <w:tc>
          <w:tcPr>
            <w:tcW w:w="1417" w:type="dxa"/>
            <w:noWrap/>
            <w:hideMark/>
          </w:tcPr>
          <w:p w14:paraId="5FFD2AEB" w14:textId="77777777" w:rsidR="00401E72" w:rsidRPr="00231D8F" w:rsidRDefault="00401E72" w:rsidP="00A21BAE">
            <w:r w:rsidRPr="00231D8F">
              <w:t>4</w:t>
            </w:r>
          </w:p>
        </w:tc>
      </w:tr>
      <w:tr w:rsidR="00401E72" w:rsidRPr="00231D8F" w14:paraId="73184FC7" w14:textId="77777777" w:rsidTr="00A21BAE">
        <w:trPr>
          <w:trHeight w:val="288"/>
        </w:trPr>
        <w:tc>
          <w:tcPr>
            <w:tcW w:w="2405" w:type="dxa"/>
            <w:noWrap/>
            <w:hideMark/>
          </w:tcPr>
          <w:p w14:paraId="3A602A36" w14:textId="77777777" w:rsidR="00401E72" w:rsidRPr="00231D8F" w:rsidRDefault="00401E72" w:rsidP="00A21BAE">
            <w:r w:rsidRPr="00231D8F">
              <w:t>DiDiodato</w:t>
            </w:r>
            <w:r>
              <w:t xml:space="preserve"> et al., </w:t>
            </w:r>
            <w:r w:rsidRPr="00231D8F">
              <w:t>2018</w:t>
            </w:r>
            <w:r>
              <w:t xml:space="preserve"> </w:t>
            </w:r>
            <w:r>
              <w:fldChar w:fldCharType="begin"/>
            </w:r>
            <w:r>
              <w:instrText xml:space="preserve"> ADDIN ZOTERO_ITEM CSL_CITATION {"citationID":"sDyCYTG1","properties":{"formattedCitation":"(34)","plainCitation":"(34)","noteIndex":0},"citationItems":[{"id":1591,"uris":["http://zotero.org/users/9294180/items/IKFX22UI"],"itemData":{"id":1591,"type":"article-journal","abstract":"Background: The objective of this study is to determine the impact of interhospital patient transfers on the risk of Clostridium diﬃcile infection (CDI).\nMethods: The number of interhospital patient transfers and CDI cases for 11 academic and 40 large community hospitals (LCHs) were available from 2010-2015. These data were used to compute a CDI score for each sending facility as a measure of CDI pressure on the receiving facility. This CDI score was included as a variable in a multilevel mixed-effect Poisson regression model of CDI cases. Other covariates included year, CDI testing strategy, antimicrobial stewardship program (ASP), and criteria used for patient isolation. Hospital-speciﬁc random effects were estimated for the baseline rate of CDI (intercept) and ASP effect (slope).\nResults: The CDI score ranged from 0-103, with a mean score ± SD of 20.4 ± 21.8. Every 10-point increase in the CDI score was associated with a 4.5% increase in the incidence of CDI in the receiving academic hospital (95% conﬁdence interval [CI], 0.9-8.5) and 3.6% increase in the receiving LCHs (95% CI, 0.3-7). The random components of the model varied signiﬁcantly, with a strong negative correlation of −0.85 (95% CI, −0.94 to −0.65).\nConclusions: Our results suggest interhospital patient transfers increase the risk of CDI. ASPs appear to reduce this risk; however, these ASP effects demonstrate signiﬁcant heterogeneity across hospitals. © 2018 Association for Professionals in Infection Control and Epidemiology, Inc. Published by Elsevier Inc. All rights reserved.","container-title":"American Journal of Infection Control","DOI":"10.1016/j.ajic.2017.08.018","ISSN":"01966553","issue":"2","journalAbbreviation":"American Journal of Infection Control","language":"en","page":"191-196","source":"DOI.org (Crossref)","title":"Interhospital patient transfers between Ontario's academic and large community hospitals increase the risk of Clostridium difficile infection","volume":"46","author":[{"family":"DiDiodato","given":"Giulio"},{"family":"McArthur","given":"Leslie"}],"issued":{"date-parts":[["2018",2]]}}}],"schema":"https://github.com/citation-style-language/schema/raw/master/csl-citation.json"} </w:instrText>
            </w:r>
            <w:r>
              <w:fldChar w:fldCharType="separate"/>
            </w:r>
            <w:r w:rsidRPr="00E56AA7">
              <w:t>(34)</w:t>
            </w:r>
            <w:r>
              <w:fldChar w:fldCharType="end"/>
            </w:r>
          </w:p>
        </w:tc>
        <w:tc>
          <w:tcPr>
            <w:tcW w:w="1559" w:type="dxa"/>
            <w:noWrap/>
            <w:hideMark/>
          </w:tcPr>
          <w:p w14:paraId="16403123" w14:textId="77777777" w:rsidR="00401E72" w:rsidRPr="00231D8F" w:rsidRDefault="00401E72" w:rsidP="00A21BAE">
            <w:r w:rsidRPr="00231D8F">
              <w:t>3</w:t>
            </w:r>
          </w:p>
        </w:tc>
        <w:tc>
          <w:tcPr>
            <w:tcW w:w="1701" w:type="dxa"/>
            <w:noWrap/>
            <w:hideMark/>
          </w:tcPr>
          <w:p w14:paraId="37A9C530" w14:textId="77777777" w:rsidR="00401E72" w:rsidRPr="00231D8F" w:rsidRDefault="00401E72" w:rsidP="00A21BAE">
            <w:r w:rsidRPr="00231D8F">
              <w:t>3</w:t>
            </w:r>
          </w:p>
        </w:tc>
        <w:tc>
          <w:tcPr>
            <w:tcW w:w="1418" w:type="dxa"/>
            <w:noWrap/>
            <w:hideMark/>
          </w:tcPr>
          <w:p w14:paraId="06FE8221" w14:textId="77777777" w:rsidR="00401E72" w:rsidRPr="00231D8F" w:rsidRDefault="00401E72" w:rsidP="00A21BAE">
            <w:r w:rsidRPr="00231D8F">
              <w:t>4</w:t>
            </w:r>
          </w:p>
        </w:tc>
        <w:tc>
          <w:tcPr>
            <w:tcW w:w="1417" w:type="dxa"/>
            <w:noWrap/>
            <w:hideMark/>
          </w:tcPr>
          <w:p w14:paraId="6CD2EE99" w14:textId="77777777" w:rsidR="00401E72" w:rsidRPr="00231D8F" w:rsidRDefault="00401E72" w:rsidP="00A21BAE">
            <w:r w:rsidRPr="00231D8F">
              <w:t>2</w:t>
            </w:r>
          </w:p>
        </w:tc>
      </w:tr>
      <w:tr w:rsidR="00401E72" w:rsidRPr="00231D8F" w14:paraId="65B18500" w14:textId="77777777" w:rsidTr="00A21BAE">
        <w:trPr>
          <w:trHeight w:val="288"/>
        </w:trPr>
        <w:tc>
          <w:tcPr>
            <w:tcW w:w="2405" w:type="dxa"/>
            <w:noWrap/>
            <w:hideMark/>
          </w:tcPr>
          <w:p w14:paraId="06B96A3A" w14:textId="77777777" w:rsidR="00401E72" w:rsidRPr="00231D8F" w:rsidRDefault="00401E72" w:rsidP="00A21BAE">
            <w:r w:rsidRPr="00231D8F">
              <w:t>Di</w:t>
            </w:r>
            <w:r>
              <w:t xml:space="preserve"> </w:t>
            </w:r>
            <w:r w:rsidRPr="00231D8F">
              <w:t>Vincenzo</w:t>
            </w:r>
            <w:r>
              <w:t xml:space="preserve"> et al., </w:t>
            </w:r>
            <w:r w:rsidRPr="00231D8F">
              <w:t>2018</w:t>
            </w:r>
            <w:r>
              <w:t xml:space="preserve"> </w:t>
            </w:r>
            <w:r>
              <w:fldChar w:fldCharType="begin"/>
            </w:r>
            <w:r>
              <w:instrText xml:space="preserve"> ADDIN ZOTERO_ITEM CSL_CITATION {"citationID":"0fe0atIA","properties":{"formattedCitation":"(48)","plainCitation":"(48)","noteIndex":0},"citationItems":[{"id":1590,"uris":["http://zotero.org/users/9294180/items/IFYSNUR3"],"itemData":{"id":1590,"type":"article-journal","abstract":"Background: Despite an extensive body of knowledge exists on network outcomes and on how hospital network structures may contribute to the creation of outcomes at different levels of analysis, less attention has been paid to understanding how and why hospital organizational networks evolve and change. The aim of this paper is to study the dynamics of networking behaviors of hospital organizations.\nMethods: Stochastic actor-based model for network dynamics was used to quantitatively examine data covering six-years of patient transfer relations among 35 hospital organizations. Specifically, the study investigated about determinants of patient transfer evolution modeling partner selection choice as a combination of multiple organizational attributes and endogenous network-based processes.\nResults: The results indicate that having overlapping specialties and treating patients with the same case-mix decrease the likelihood of observing network ties between hospitals. Also, results revealed as geographical proximity and membership of the same LHA have a positive impact on the networking behavior of hospitals organizations, there is a propensity in the network to choose larger hospitals as partners, and to transfer patients between hospitals facing similar levels of operational uncertainty.\nConclusions: Organizational attributes (overlapping specialties and case-mix), institutional factors (LHA), and geographical proximity matter in the formation and shaping of hospital networks over time. Managers can benefit from the use of these findings by clearly identifying the role and strategic positioning of their hospital with respect to the entire network. Social network analysis can yield novel information and also aid policy makers in the formation of interventions, encouraging alliances among providers as well as planning health system restructuring.","container-title":"BMC Health Services Research","DOI":"10.1186/s12913-018-3144-4","ISSN":"1472-6963","issue":"1","journalAbbreviation":"BMC Health Serv Res","language":"en","page":"334","source":"DOI.org (Crossref)","title":"Exploring the networking behaviors of hospital organizations","volume":"18","author":[{"family":"Di Vincenzo","given":"Fausto"}],"issued":{"date-parts":[["2018",12]]}}}],"schema":"https://github.com/citation-style-language/schema/raw/master/csl-citation.json"} </w:instrText>
            </w:r>
            <w:r>
              <w:fldChar w:fldCharType="separate"/>
            </w:r>
            <w:r w:rsidRPr="00735B0C">
              <w:t>(48)</w:t>
            </w:r>
            <w:r>
              <w:fldChar w:fldCharType="end"/>
            </w:r>
          </w:p>
        </w:tc>
        <w:tc>
          <w:tcPr>
            <w:tcW w:w="1559" w:type="dxa"/>
            <w:noWrap/>
            <w:hideMark/>
          </w:tcPr>
          <w:p w14:paraId="122CD9F6" w14:textId="77777777" w:rsidR="00401E72" w:rsidRPr="00231D8F" w:rsidRDefault="00401E72" w:rsidP="00A21BAE">
            <w:r w:rsidRPr="00231D8F">
              <w:t>1</w:t>
            </w:r>
          </w:p>
        </w:tc>
        <w:tc>
          <w:tcPr>
            <w:tcW w:w="1701" w:type="dxa"/>
            <w:noWrap/>
            <w:hideMark/>
          </w:tcPr>
          <w:p w14:paraId="5DB27042" w14:textId="77777777" w:rsidR="00401E72" w:rsidRPr="00231D8F" w:rsidRDefault="00401E72" w:rsidP="00A21BAE">
            <w:r w:rsidRPr="00231D8F">
              <w:t>1</w:t>
            </w:r>
          </w:p>
        </w:tc>
        <w:tc>
          <w:tcPr>
            <w:tcW w:w="1418" w:type="dxa"/>
            <w:noWrap/>
            <w:hideMark/>
          </w:tcPr>
          <w:p w14:paraId="21896F2B" w14:textId="77777777" w:rsidR="00401E72" w:rsidRPr="00231D8F" w:rsidRDefault="00401E72" w:rsidP="00A21BAE">
            <w:r w:rsidRPr="00231D8F">
              <w:t>4</w:t>
            </w:r>
          </w:p>
        </w:tc>
        <w:tc>
          <w:tcPr>
            <w:tcW w:w="1417" w:type="dxa"/>
            <w:noWrap/>
            <w:hideMark/>
          </w:tcPr>
          <w:p w14:paraId="307A7A45" w14:textId="77777777" w:rsidR="00401E72" w:rsidRPr="00231D8F" w:rsidRDefault="00401E72" w:rsidP="00A21BAE">
            <w:r w:rsidRPr="00231D8F">
              <w:t>6</w:t>
            </w:r>
          </w:p>
        </w:tc>
      </w:tr>
      <w:tr w:rsidR="00401E72" w:rsidRPr="00231D8F" w14:paraId="2D52553A" w14:textId="77777777" w:rsidTr="00A21BAE">
        <w:trPr>
          <w:trHeight w:val="288"/>
        </w:trPr>
        <w:tc>
          <w:tcPr>
            <w:tcW w:w="2405" w:type="dxa"/>
            <w:noWrap/>
            <w:hideMark/>
          </w:tcPr>
          <w:p w14:paraId="66484C54" w14:textId="77777777" w:rsidR="00401E72" w:rsidRPr="00231D8F" w:rsidRDefault="00401E72" w:rsidP="00A21BAE">
            <w:r w:rsidRPr="00231D8F">
              <w:t>Donker</w:t>
            </w:r>
            <w:r>
              <w:t xml:space="preserve"> et al., </w:t>
            </w:r>
            <w:r w:rsidRPr="00231D8F">
              <w:t>2010</w:t>
            </w:r>
            <w:r>
              <w:t xml:space="preserve"> </w:t>
            </w:r>
            <w:r>
              <w:fldChar w:fldCharType="begin"/>
            </w:r>
            <w:r>
              <w:instrText xml:space="preserve"> ADDIN ZOTERO_ITEM CSL_CITATION {"citationID":"I7Uj8UN5","properties":{"formattedCitation":"(10)","plainCitation":"(10)","noteIndex":0},"citationItems":[{"id":482,"uris":["http://zotero.org/users/9294180/items/BTULT4SR"],"itemData":{"id":482,"type":"article-journal","container-title":"Plos Computational Biology","language":"en","page":"6","title":"Patient referral patterns and the spread of hospital- acquired infections through national health care networks","author":[{"family":"Donker","given":"T."},{"family":"Wallinga","given":"J."},{"family":"Grundmann","given":"H."}],"issued":{"date-parts":[["2010"]]}}}],"schema":"https://github.com/citation-style-language/schema/raw/master/csl-citation.json"} </w:instrText>
            </w:r>
            <w:r>
              <w:fldChar w:fldCharType="separate"/>
            </w:r>
            <w:r w:rsidRPr="001145E7">
              <w:rPr>
                <w:rFonts w:cs="Calibri"/>
              </w:rPr>
              <w:t>(10)</w:t>
            </w:r>
            <w:r>
              <w:fldChar w:fldCharType="end"/>
            </w:r>
          </w:p>
        </w:tc>
        <w:tc>
          <w:tcPr>
            <w:tcW w:w="1559" w:type="dxa"/>
            <w:noWrap/>
            <w:hideMark/>
          </w:tcPr>
          <w:p w14:paraId="7EA531F7" w14:textId="77777777" w:rsidR="00401E72" w:rsidRPr="00231D8F" w:rsidRDefault="00401E72" w:rsidP="00A21BAE">
            <w:r w:rsidRPr="00231D8F">
              <w:t>0</w:t>
            </w:r>
          </w:p>
        </w:tc>
        <w:tc>
          <w:tcPr>
            <w:tcW w:w="1701" w:type="dxa"/>
            <w:noWrap/>
            <w:hideMark/>
          </w:tcPr>
          <w:p w14:paraId="227ACFD0" w14:textId="77777777" w:rsidR="00401E72" w:rsidRPr="00231D8F" w:rsidRDefault="00401E72" w:rsidP="00A21BAE">
            <w:r w:rsidRPr="00231D8F">
              <w:t>2</w:t>
            </w:r>
          </w:p>
        </w:tc>
        <w:tc>
          <w:tcPr>
            <w:tcW w:w="1418" w:type="dxa"/>
            <w:noWrap/>
            <w:hideMark/>
          </w:tcPr>
          <w:p w14:paraId="5C83146F" w14:textId="77777777" w:rsidR="00401E72" w:rsidRPr="00231D8F" w:rsidRDefault="00401E72" w:rsidP="00A21BAE">
            <w:r w:rsidRPr="00231D8F">
              <w:t>4</w:t>
            </w:r>
          </w:p>
        </w:tc>
        <w:tc>
          <w:tcPr>
            <w:tcW w:w="1417" w:type="dxa"/>
            <w:noWrap/>
            <w:hideMark/>
          </w:tcPr>
          <w:p w14:paraId="2BB3D72B" w14:textId="77777777" w:rsidR="00401E72" w:rsidRPr="00231D8F" w:rsidRDefault="00401E72" w:rsidP="00A21BAE">
            <w:r w:rsidRPr="00231D8F">
              <w:t>6</w:t>
            </w:r>
          </w:p>
        </w:tc>
      </w:tr>
      <w:tr w:rsidR="00401E72" w:rsidRPr="00231D8F" w14:paraId="17551A2E" w14:textId="77777777" w:rsidTr="00A21BAE">
        <w:trPr>
          <w:trHeight w:val="288"/>
        </w:trPr>
        <w:tc>
          <w:tcPr>
            <w:tcW w:w="2405" w:type="dxa"/>
            <w:noWrap/>
            <w:hideMark/>
          </w:tcPr>
          <w:p w14:paraId="4A9C6C49" w14:textId="77777777" w:rsidR="00401E72" w:rsidRPr="00231D8F" w:rsidRDefault="00401E72" w:rsidP="00A21BAE">
            <w:r w:rsidRPr="00231D8F">
              <w:t>Donker</w:t>
            </w:r>
            <w:r>
              <w:t xml:space="preserve"> et al., </w:t>
            </w:r>
            <w:r w:rsidRPr="00231D8F">
              <w:t>2012</w:t>
            </w:r>
            <w:r>
              <w:t xml:space="preserve"> </w:t>
            </w:r>
            <w:r>
              <w:fldChar w:fldCharType="begin"/>
            </w:r>
            <w:r>
              <w:instrText xml:space="preserve"> ADDIN ZOTERO_ITEM CSL_CITATION {"citationID":"og1pFzw2","properties":{"formattedCitation":"(9)","plainCitation":"(9)","noteIndex":0},"citationItems":[{"id":427,"uris":["http://zotero.org/users/9294180/items/IHHYR2ZH"],"itemData":{"id":427,"type":"article-journal","abstract":"Hospital-acquired infections (HAI) are often seen as preventable incidents that result from unsafe practices or poor hospital hygiene. This however ignores the fact that transmissibility is not only a property of the causative organisms but also of the hosts who can translocate bacteria when moving between hospitals. In an epidemiological sense, hospitals become connected through the patients they share. We here postulate that the degree of hospital connectedness crucially influences the rates of infections caused by hospital-acquired bacteria. To test this hypothesis, we mapped the movement of patients based on the UK-NHS Hospital Episode Statistics and observed that the proportion of patients admitted to a hospital after a recent episode in another hospital correlates with the hospital-specific incidence rate of MRSA bacteraemia as recorded by mandatory reporting. We observed a positive correlation between hospital connectedness and MRSA bacteraemia incidence rate that is significant for all financial years since 2001 except for 2008–09. All years combined, this correlation is positive and significantly different from zero (partial correlation coefficient r = 0.33 (0.28 to 0.38)). When comparing the referral pattern for English hospitals with referral patterns observed in the Netherlands, we predict that English hospitals more likely see a swifter and more sustained spread of HAIs. Our results indicate that hospitals cannot be viewed as individual units but rather should be viewed as connected elements of larger modular networks. Our findings stress the importance of cooperative effects that will have a bearing on the planning of health care systems, patient management and hospital infection control.","container-title":"PLOS ONE","DOI":"10.1371/journal.pone.0035002","ISSN":"1932-6203","issue":"4","journalAbbreviation":"PLOS ONE","language":"en","note":"publisher: Public Library of Science","page":"e35002","source":"PLoS Journals","title":"Hospital Networks and the Dispersal of Hospital-Acquired Pathogens by Patient Transfer","volume":"7","author":[{"family":"Donker","given":"Tjibbe"},{"family":"Wallinga","given":"Jacco"},{"family":"Slack","given":"Richard"},{"family":"Grundmann","given":"Hajo"}],"issued":{"date-parts":[["2012",4,25]]}}}],"schema":"https://github.com/citation-style-language/schema/raw/master/csl-citation.json"} </w:instrText>
            </w:r>
            <w:r>
              <w:fldChar w:fldCharType="separate"/>
            </w:r>
            <w:r w:rsidRPr="001145E7">
              <w:rPr>
                <w:rFonts w:cs="Calibri"/>
              </w:rPr>
              <w:t>(9)</w:t>
            </w:r>
            <w:r>
              <w:fldChar w:fldCharType="end"/>
            </w:r>
          </w:p>
        </w:tc>
        <w:tc>
          <w:tcPr>
            <w:tcW w:w="1559" w:type="dxa"/>
            <w:noWrap/>
            <w:hideMark/>
          </w:tcPr>
          <w:p w14:paraId="6DF2FAAB" w14:textId="77777777" w:rsidR="00401E72" w:rsidRPr="00231D8F" w:rsidRDefault="00401E72" w:rsidP="00A21BAE">
            <w:r w:rsidRPr="00231D8F">
              <w:t>0</w:t>
            </w:r>
          </w:p>
        </w:tc>
        <w:tc>
          <w:tcPr>
            <w:tcW w:w="1701" w:type="dxa"/>
            <w:noWrap/>
            <w:hideMark/>
          </w:tcPr>
          <w:p w14:paraId="1D875D45" w14:textId="77777777" w:rsidR="00401E72" w:rsidRPr="00231D8F" w:rsidRDefault="00401E72" w:rsidP="00A21BAE">
            <w:r w:rsidRPr="00231D8F">
              <w:t>2</w:t>
            </w:r>
          </w:p>
        </w:tc>
        <w:tc>
          <w:tcPr>
            <w:tcW w:w="1418" w:type="dxa"/>
            <w:noWrap/>
            <w:hideMark/>
          </w:tcPr>
          <w:p w14:paraId="6D11F050" w14:textId="77777777" w:rsidR="00401E72" w:rsidRPr="00231D8F" w:rsidRDefault="00401E72" w:rsidP="00A21BAE">
            <w:r w:rsidRPr="00231D8F">
              <w:t>4</w:t>
            </w:r>
          </w:p>
        </w:tc>
        <w:tc>
          <w:tcPr>
            <w:tcW w:w="1417" w:type="dxa"/>
            <w:noWrap/>
            <w:hideMark/>
          </w:tcPr>
          <w:p w14:paraId="643D1B81" w14:textId="77777777" w:rsidR="00401E72" w:rsidRPr="00231D8F" w:rsidRDefault="00401E72" w:rsidP="00A21BAE">
            <w:r w:rsidRPr="00231D8F">
              <w:t>7</w:t>
            </w:r>
          </w:p>
        </w:tc>
      </w:tr>
      <w:tr w:rsidR="00401E72" w:rsidRPr="00231D8F" w14:paraId="72934984" w14:textId="77777777" w:rsidTr="00A21BAE">
        <w:trPr>
          <w:trHeight w:val="288"/>
        </w:trPr>
        <w:tc>
          <w:tcPr>
            <w:tcW w:w="2405" w:type="dxa"/>
            <w:noWrap/>
            <w:hideMark/>
          </w:tcPr>
          <w:p w14:paraId="36DA02EB" w14:textId="77777777" w:rsidR="00401E72" w:rsidRPr="00231D8F" w:rsidRDefault="00401E72" w:rsidP="00A21BAE">
            <w:r w:rsidRPr="00231D8F">
              <w:t>Donker</w:t>
            </w:r>
            <w:r>
              <w:t xml:space="preserve"> et al., </w:t>
            </w:r>
            <w:r w:rsidRPr="00231D8F">
              <w:t>2014</w:t>
            </w:r>
            <w:r>
              <w:t xml:space="preserve"> </w:t>
            </w:r>
            <w:r>
              <w:fldChar w:fldCharType="begin"/>
            </w:r>
            <w:r>
              <w:instrText xml:space="preserve"> ADDIN ZOTERO_ITEM CSL_CITATION {"citationID":"fE7T4ZMZ","properties":{"formattedCitation":"(80)","plainCitation":"(80)","noteIndex":0},"citationItems":[{"id":484,"uris":["http://zotero.org/users/9294180/items/RUR43D59"],"itemData":{"id":484,"type":"article-journal","container-title":"Journal of Hospital Infection","language":"en","page":"34–41","title":"Dispersal of antibiotic-resistant high-risk clones by hospital networks: changing the patient direction can make all the difference","volume":"86","author":[{"family":"Donker","given":"T."},{"family":"Wallinga","given":"J."},{"family":"Grundmann","given":"H."}],"issued":{"date-parts":[["2014"]]}}}],"schema":"https://github.com/citation-style-language/schema/raw/master/csl-citation.json"} </w:instrText>
            </w:r>
            <w:r>
              <w:fldChar w:fldCharType="separate"/>
            </w:r>
            <w:r w:rsidRPr="00EF2F5A">
              <w:rPr>
                <w:rFonts w:cs="Calibri"/>
              </w:rPr>
              <w:t>(80)</w:t>
            </w:r>
            <w:r>
              <w:fldChar w:fldCharType="end"/>
            </w:r>
          </w:p>
        </w:tc>
        <w:tc>
          <w:tcPr>
            <w:tcW w:w="1559" w:type="dxa"/>
            <w:noWrap/>
            <w:hideMark/>
          </w:tcPr>
          <w:p w14:paraId="64AED1A7" w14:textId="77777777" w:rsidR="00401E72" w:rsidRPr="00231D8F" w:rsidRDefault="00401E72" w:rsidP="00A21BAE">
            <w:r w:rsidRPr="00231D8F">
              <w:t>0</w:t>
            </w:r>
          </w:p>
        </w:tc>
        <w:tc>
          <w:tcPr>
            <w:tcW w:w="1701" w:type="dxa"/>
            <w:noWrap/>
            <w:hideMark/>
          </w:tcPr>
          <w:p w14:paraId="21ADDD2B" w14:textId="77777777" w:rsidR="00401E72" w:rsidRPr="00231D8F" w:rsidRDefault="00401E72" w:rsidP="00A21BAE">
            <w:r w:rsidRPr="00231D8F">
              <w:t>2</w:t>
            </w:r>
          </w:p>
        </w:tc>
        <w:tc>
          <w:tcPr>
            <w:tcW w:w="1418" w:type="dxa"/>
            <w:noWrap/>
            <w:hideMark/>
          </w:tcPr>
          <w:p w14:paraId="260A8ADF" w14:textId="77777777" w:rsidR="00401E72" w:rsidRPr="00231D8F" w:rsidRDefault="00401E72" w:rsidP="00A21BAE">
            <w:r w:rsidRPr="00231D8F">
              <w:t>4</w:t>
            </w:r>
          </w:p>
        </w:tc>
        <w:tc>
          <w:tcPr>
            <w:tcW w:w="1417" w:type="dxa"/>
            <w:noWrap/>
            <w:hideMark/>
          </w:tcPr>
          <w:p w14:paraId="7D7E5517" w14:textId="77777777" w:rsidR="00401E72" w:rsidRPr="00231D8F" w:rsidRDefault="00401E72" w:rsidP="00A21BAE">
            <w:r w:rsidRPr="00231D8F">
              <w:t>6</w:t>
            </w:r>
          </w:p>
        </w:tc>
      </w:tr>
      <w:tr w:rsidR="00401E72" w:rsidRPr="00231D8F" w14:paraId="4F92C6A9" w14:textId="77777777" w:rsidTr="00A21BAE">
        <w:trPr>
          <w:trHeight w:val="288"/>
        </w:trPr>
        <w:tc>
          <w:tcPr>
            <w:tcW w:w="2405" w:type="dxa"/>
            <w:noWrap/>
            <w:hideMark/>
          </w:tcPr>
          <w:p w14:paraId="17783807" w14:textId="77777777" w:rsidR="00401E72" w:rsidRPr="00231D8F" w:rsidRDefault="00401E72" w:rsidP="00A21BAE">
            <w:r w:rsidRPr="00231D8F">
              <w:lastRenderedPageBreak/>
              <w:t>Donker</w:t>
            </w:r>
            <w:r>
              <w:t xml:space="preserve"> et al., </w:t>
            </w:r>
            <w:r w:rsidRPr="00231D8F">
              <w:t>2017a</w:t>
            </w:r>
            <w:r>
              <w:t xml:space="preserve"> </w:t>
            </w:r>
            <w:r>
              <w:fldChar w:fldCharType="begin"/>
            </w:r>
            <w:r>
              <w:instrText xml:space="preserve"> ADDIN ZOTERO_ITEM CSL_CITATION {"citationID":"icXFu8Jj","properties":{"formattedCitation":"(13)","plainCitation":"(13)","noteIndex":0},"citationItems":[{"id":1586,"uris":["http://zotero.org/users/9294180/items/3DSX6TED"],"itemData":{"id":1586,"type":"article-journal","abstract":"Conclusions: In contrast to the focus on import screening based on assigning a few hospitals as ‘high risk’, patient transfers between hospitals with small AMR problems in the same region often pose a larger absolute threat than patient transfers from hospitals in other regions with large problems, even if the prevalence in other regions is orders of magnitude higher. Because the difference in numbers of exchanged patients, between and within regions, was mostly larger than the difference in CPE prevalence, it would be more effective for hospitals to focus on their own populations or region to inform control efforts rather than focussing on problems elsewhere.","container-title":"BMC Medicine","DOI":"10.1186/s12916-017-0844-2","ISSN":"1741-7015","issue":"1","journalAbbreviation":"BMC Med","language":"en","page":"86","source":"DOI.org (Crossref)","title":"The relative importance of large problems far away versus small problems closer to home: insights into limiting the spread of antimicrobial resistance in England","title-short":"The relative importance of large problems far away versus small problems closer to home","volume":"15","author":[{"family":"Donker","given":"Tjibbe"},{"family":"Henderson","given":"Katherine L."},{"family":"Hopkins","given":"Katie L."},{"family":"Dodgson","given":"Andrew R."},{"family":"Thomas","given":"Stephanie"},{"family":"Crook","given":"Derrick W."},{"family":"Peto","given":"Tim E. A."},{"family":"Johnson","given":"Alan P."},{"family":"Woodford","given":"Neil"},{"family":"Walker","given":"A. Sarah"},{"family":"Robotham","given":"Julie V."}],"issued":{"date-parts":[["2017",12]]}}}],"schema":"https://github.com/citation-style-language/schema/raw/master/csl-citation.json"} </w:instrText>
            </w:r>
            <w:r>
              <w:fldChar w:fldCharType="separate"/>
            </w:r>
            <w:r w:rsidRPr="001145E7">
              <w:rPr>
                <w:rFonts w:cs="Calibri"/>
              </w:rPr>
              <w:t>(13)</w:t>
            </w:r>
            <w:r>
              <w:fldChar w:fldCharType="end"/>
            </w:r>
          </w:p>
        </w:tc>
        <w:tc>
          <w:tcPr>
            <w:tcW w:w="1559" w:type="dxa"/>
            <w:noWrap/>
            <w:hideMark/>
          </w:tcPr>
          <w:p w14:paraId="7A0A2DBF" w14:textId="77777777" w:rsidR="00401E72" w:rsidRPr="00231D8F" w:rsidRDefault="00401E72" w:rsidP="00A21BAE">
            <w:r w:rsidRPr="00231D8F">
              <w:t>0</w:t>
            </w:r>
          </w:p>
        </w:tc>
        <w:tc>
          <w:tcPr>
            <w:tcW w:w="1701" w:type="dxa"/>
            <w:noWrap/>
            <w:hideMark/>
          </w:tcPr>
          <w:p w14:paraId="7389E3FB" w14:textId="77777777" w:rsidR="00401E72" w:rsidRPr="00231D8F" w:rsidRDefault="00401E72" w:rsidP="00A21BAE">
            <w:r w:rsidRPr="00231D8F">
              <w:t>3</w:t>
            </w:r>
          </w:p>
        </w:tc>
        <w:tc>
          <w:tcPr>
            <w:tcW w:w="1418" w:type="dxa"/>
            <w:noWrap/>
            <w:hideMark/>
          </w:tcPr>
          <w:p w14:paraId="0BFC0E18" w14:textId="77777777" w:rsidR="00401E72" w:rsidRPr="00231D8F" w:rsidRDefault="00401E72" w:rsidP="00A21BAE">
            <w:r w:rsidRPr="00231D8F">
              <w:t>3</w:t>
            </w:r>
          </w:p>
        </w:tc>
        <w:tc>
          <w:tcPr>
            <w:tcW w:w="1417" w:type="dxa"/>
            <w:noWrap/>
            <w:hideMark/>
          </w:tcPr>
          <w:p w14:paraId="5FB57693" w14:textId="77777777" w:rsidR="00401E72" w:rsidRPr="00231D8F" w:rsidRDefault="00401E72" w:rsidP="00A21BAE">
            <w:r w:rsidRPr="00231D8F">
              <w:t>7</w:t>
            </w:r>
          </w:p>
        </w:tc>
      </w:tr>
      <w:tr w:rsidR="00401E72" w:rsidRPr="00231D8F" w14:paraId="08C66498" w14:textId="77777777" w:rsidTr="00A21BAE">
        <w:trPr>
          <w:trHeight w:val="288"/>
        </w:trPr>
        <w:tc>
          <w:tcPr>
            <w:tcW w:w="2405" w:type="dxa"/>
            <w:noWrap/>
            <w:hideMark/>
          </w:tcPr>
          <w:p w14:paraId="4CDC1264" w14:textId="77777777" w:rsidR="00401E72" w:rsidRPr="00231D8F" w:rsidRDefault="00401E72" w:rsidP="00A21BAE">
            <w:r w:rsidRPr="00231D8F">
              <w:t>Donker</w:t>
            </w:r>
            <w:r>
              <w:t xml:space="preserve"> et al., </w:t>
            </w:r>
            <w:r w:rsidRPr="00231D8F">
              <w:t>2017b</w:t>
            </w:r>
            <w:r>
              <w:t xml:space="preserve"> </w:t>
            </w:r>
            <w:r>
              <w:fldChar w:fldCharType="begin"/>
            </w:r>
            <w:r>
              <w:instrText xml:space="preserve"> ADDIN ZOTERO_ITEM CSL_CITATION {"citationID":"Ovs9PFKh","properties":{"formattedCitation":"(90)","plainCitation":"(90)","noteIndex":0},"citationItems":[{"id":1585,"uris":["http://zotero.org/users/9294180/items/LEV7KAXE"],"itemData":{"id":1585,"type":"article-journal","abstract":"Antibiotic resistance forms a serious threat to the health of hospitalised patients, rendering otherwise treatable bacterial infections potentially life-threatening. A thorough understanding of the mechanisms by which resistance spreads between patients in different hospitals is required in order to design effective control strategies. We measured the differences between bacterial populations of 52 hospitals in the United Kingdom and Ireland, using whole-genome sequences from 1085 MRSA clonal complex 22 isolates collected between 1998 and 2012. The genetic differences between bacterial populations were compared with the number of patients transferred between hospitals and their regional structure. The MRSA populations within single hospitals, regions and countries were genetically distinct from the rest of the bacterial population at each of these levels. Hospitals from the same patient referral regions showed more similar MRSA populations, as did hospitals sharing many patients. Furthermore, the bacterial populations from different time-periods within the same hospital were generally more similar to each other than contemporaneous bacterial populations from different hospitals. We conclude that, while a large part of the dispersal and expansion of MRSA takes place among patients seeking care in single hospitals, inter-hospital spread of resistant bacteria is by no means a rare occurrence. Hospitals are exposed to constant introductions of MRSA on a number of levels: (1) most MRSA is received from hospitals that directly transfer large numbers of patients, while (2) fewer introductions happen between regions or (3) across national borders, reflecting lower numbers of transferred patients. A joint coordinated control effort between hospitals, is therefore paramount for the national control of MRSA, antibiotic-resistant bacteria and other hospitalassociated pathogens.","container-title":"Microbial Genomics","DOI":"10.1099/mgen.0.000113","ISSN":"2057-5858","issue":"7","language":"en","license":"http://creativecommons.org/licenses/by/4.0/","source":"DOI.org (Crossref)","title":"Population genetic structuring of methicillin-resistant Staphylococcus aureus clone EMRSA-15 within UK reflects patient referral patterns","URL":"https://www.microbiologyresearch.org/content/journal/mgen/10.1099/mgen.0.000113","volume":"3","author":[{"family":"Donker","given":"Tjibbe"},{"family":"Reuter","given":"Sandra"},{"family":"Scriberras","given":"James"},{"family":"Reynolds","given":"Rosy"},{"family":"Brown","given":"Nicholas M."},{"family":"Török","given":"M. Estée"},{"family":"James","given":"Richard"},{"family":"Network","given":"East Of England Microbiology Research"},{"family":"Aanensen","given":"David M."},{"family":"Bentley","given":"Stephen D."},{"family":"Holden","given":"Matthew T. G."},{"family":"Parkhill","given":"Julian"},{"family":"Spratt","given":"Brian G."},{"family":"Peacock","given":"Sharon J."},{"family":"Feil","given":"Edward J."},{"family":"Grundmann","given":"Hajo"}],"accessed":{"date-parts":[["2025",4,10]]},"issued":{"date-parts":[["2017",8,1]]}}}],"schema":"https://github.com/citation-style-language/schema/raw/master/csl-citation.json"} </w:instrText>
            </w:r>
            <w:r>
              <w:fldChar w:fldCharType="separate"/>
            </w:r>
            <w:r w:rsidRPr="00B423CC">
              <w:rPr>
                <w:rFonts w:cs="Calibri"/>
              </w:rPr>
              <w:t>(90)</w:t>
            </w:r>
            <w:r>
              <w:fldChar w:fldCharType="end"/>
            </w:r>
          </w:p>
        </w:tc>
        <w:tc>
          <w:tcPr>
            <w:tcW w:w="1559" w:type="dxa"/>
            <w:noWrap/>
            <w:hideMark/>
          </w:tcPr>
          <w:p w14:paraId="31BA6DBB" w14:textId="77777777" w:rsidR="00401E72" w:rsidRPr="00231D8F" w:rsidRDefault="00401E72" w:rsidP="00A21BAE">
            <w:r w:rsidRPr="00231D8F">
              <w:t>1</w:t>
            </w:r>
          </w:p>
        </w:tc>
        <w:tc>
          <w:tcPr>
            <w:tcW w:w="1701" w:type="dxa"/>
            <w:noWrap/>
            <w:hideMark/>
          </w:tcPr>
          <w:p w14:paraId="58106BE2" w14:textId="77777777" w:rsidR="00401E72" w:rsidRPr="00231D8F" w:rsidRDefault="00401E72" w:rsidP="00A21BAE">
            <w:r w:rsidRPr="00231D8F">
              <w:t>3</w:t>
            </w:r>
          </w:p>
        </w:tc>
        <w:tc>
          <w:tcPr>
            <w:tcW w:w="1418" w:type="dxa"/>
            <w:noWrap/>
            <w:hideMark/>
          </w:tcPr>
          <w:p w14:paraId="0907ABD9" w14:textId="77777777" w:rsidR="00401E72" w:rsidRPr="00231D8F" w:rsidRDefault="00401E72" w:rsidP="00A21BAE">
            <w:r w:rsidRPr="00231D8F">
              <w:t>3</w:t>
            </w:r>
          </w:p>
        </w:tc>
        <w:tc>
          <w:tcPr>
            <w:tcW w:w="1417" w:type="dxa"/>
            <w:noWrap/>
            <w:hideMark/>
          </w:tcPr>
          <w:p w14:paraId="06586925" w14:textId="77777777" w:rsidR="00401E72" w:rsidRPr="00231D8F" w:rsidRDefault="00401E72" w:rsidP="00A21BAE">
            <w:r w:rsidRPr="00231D8F">
              <w:t>6</w:t>
            </w:r>
          </w:p>
        </w:tc>
      </w:tr>
      <w:tr w:rsidR="00401E72" w:rsidRPr="00231D8F" w14:paraId="39337B96" w14:textId="77777777" w:rsidTr="00A21BAE">
        <w:trPr>
          <w:trHeight w:val="288"/>
        </w:trPr>
        <w:tc>
          <w:tcPr>
            <w:tcW w:w="2405" w:type="dxa"/>
            <w:noWrap/>
            <w:hideMark/>
          </w:tcPr>
          <w:p w14:paraId="3E0DDEE1" w14:textId="77777777" w:rsidR="00401E72" w:rsidRPr="00231D8F" w:rsidRDefault="00401E72" w:rsidP="00A21BAE">
            <w:r w:rsidRPr="00231D8F">
              <w:t>Donker</w:t>
            </w:r>
            <w:r>
              <w:t xml:space="preserve"> et al., </w:t>
            </w:r>
            <w:r w:rsidRPr="00231D8F">
              <w:t>2017c</w:t>
            </w:r>
            <w:r>
              <w:t xml:space="preserve"> </w:t>
            </w:r>
            <w:r>
              <w:fldChar w:fldCharType="begin"/>
            </w:r>
            <w:r>
              <w:instrText xml:space="preserve"> ADDIN ZOTERO_ITEM CSL_CITATION {"citationID":"hwuC92cL","properties":{"formattedCitation":"(81)","plainCitation":"(81)","noteIndex":0},"citationItems":[{"id":1584,"uris":["http://zotero.org/users/9294180/items/QNHBZXTH"],"itemData":{"id":1584,"type":"article-journal","abstract":"Hospital networks, formed by patients visiting multiple hospitals, affect the spread of hospitalassociated infections, resulting in differences in risks for hospitals depending on their network position. These networks are increasingly used to inform strategies to prevent and control the spread of hospital-associated pathogens. However, many studies only consider patients that are received directly from the initial hospital, without considering the effect of indirect trajectories through the network. We determine the optimal way to measure the distance between hospitals within the network, by reconstructing the English hospital network based on shared patients in 2014–2015, and simulating the spread of a hospital-associated pathogen between hospitals, taking into consideration that each intermediate hospital conveys a delay in the further spread of the pathogen. While the risk of transferring a hospitalassociated pathogen between directly neighbouring hospitals is a direct reflection of the number of shared patients, the distance between two hospitals far-away in the network is determined largely by the number of intermediate hospitals in the network. Because the network is dense, most long distance transmission chains in fact involve only few intermediate steps, spreading along the many weak links. The dense connectivity of hospital networks, together with a strong regional structure, causes hospital-associated pathogens to spread from the initial outbreak in a two-step process: first, the directly surrounding hospitals are affected through the strong connections, second all other hospitals receive introductions through the multitude of weaker links. Although the strong connections matter for local spread, weak links in the network can offer ideal routes for hospital-associated pathogens to travel further faster. This hold important implications for infection prevention and control efforts: if a local outbreak is not controlled in time, colonised patients will appear in other regions, irrespective of the distance to the initial outbreak, making import screening ever more difficult.","container-title":"PLOS Computational Biology","DOI":"10.1371/journal.pcbi.1005622","ISSN":"1553-7358","issue":"8","journalAbbreviation":"PLoS Comput Biol","language":"en","page":"e1005622","source":"DOI.org (Crossref)","title":"Measuring distance through dense weighted networks: The case of hospital-associated pathogens","title-short":"Measuring distance through dense weighted networks","volume":"13","author":[{"family":"Donker","given":"Tjibbe"},{"family":"Smieszek","given":"Timo"},{"family":"Henderson","given":"Katherine L."},{"family":"Johnson","given":"Alan P."},{"family":"Walker","given":"A. Sarah"},{"family":"Robotham","given":"Julie V."}],"editor":[{"family":"Lessler","given":"Justin"}],"issued":{"date-parts":[["2017",8,3]]}}}],"schema":"https://github.com/citation-style-language/schema/raw/master/csl-citation.json"} </w:instrText>
            </w:r>
            <w:r>
              <w:fldChar w:fldCharType="separate"/>
            </w:r>
            <w:r w:rsidRPr="00EF2F5A">
              <w:rPr>
                <w:rFonts w:cs="Calibri"/>
              </w:rPr>
              <w:t>(81)</w:t>
            </w:r>
            <w:r>
              <w:fldChar w:fldCharType="end"/>
            </w:r>
          </w:p>
        </w:tc>
        <w:tc>
          <w:tcPr>
            <w:tcW w:w="1559" w:type="dxa"/>
            <w:noWrap/>
            <w:hideMark/>
          </w:tcPr>
          <w:p w14:paraId="352C3867" w14:textId="77777777" w:rsidR="00401E72" w:rsidRPr="00231D8F" w:rsidRDefault="00401E72" w:rsidP="00A21BAE">
            <w:r w:rsidRPr="00231D8F">
              <w:t>0</w:t>
            </w:r>
          </w:p>
        </w:tc>
        <w:tc>
          <w:tcPr>
            <w:tcW w:w="1701" w:type="dxa"/>
            <w:noWrap/>
            <w:hideMark/>
          </w:tcPr>
          <w:p w14:paraId="7C7C9903" w14:textId="77777777" w:rsidR="00401E72" w:rsidRPr="00231D8F" w:rsidRDefault="00401E72" w:rsidP="00A21BAE">
            <w:r w:rsidRPr="00231D8F">
              <w:t>1</w:t>
            </w:r>
          </w:p>
        </w:tc>
        <w:tc>
          <w:tcPr>
            <w:tcW w:w="1418" w:type="dxa"/>
            <w:noWrap/>
            <w:hideMark/>
          </w:tcPr>
          <w:p w14:paraId="530700E0" w14:textId="77777777" w:rsidR="00401E72" w:rsidRPr="00231D8F" w:rsidRDefault="00401E72" w:rsidP="00A21BAE">
            <w:r w:rsidRPr="00231D8F">
              <w:t>5</w:t>
            </w:r>
          </w:p>
        </w:tc>
        <w:tc>
          <w:tcPr>
            <w:tcW w:w="1417" w:type="dxa"/>
            <w:noWrap/>
            <w:hideMark/>
          </w:tcPr>
          <w:p w14:paraId="4EB963B8" w14:textId="77777777" w:rsidR="00401E72" w:rsidRPr="00231D8F" w:rsidRDefault="00401E72" w:rsidP="00A21BAE">
            <w:r w:rsidRPr="00231D8F">
              <w:t>7</w:t>
            </w:r>
          </w:p>
        </w:tc>
      </w:tr>
      <w:tr w:rsidR="00401E72" w:rsidRPr="00231D8F" w14:paraId="1F9C65AF" w14:textId="77777777" w:rsidTr="00A21BAE">
        <w:trPr>
          <w:trHeight w:val="288"/>
        </w:trPr>
        <w:tc>
          <w:tcPr>
            <w:tcW w:w="2405" w:type="dxa"/>
            <w:noWrap/>
            <w:hideMark/>
          </w:tcPr>
          <w:p w14:paraId="0718F8FF" w14:textId="77777777" w:rsidR="00401E72" w:rsidRPr="00231D8F" w:rsidRDefault="00401E72" w:rsidP="00A21BAE">
            <w:r w:rsidRPr="00231D8F">
              <w:t>Donker</w:t>
            </w:r>
            <w:r>
              <w:t xml:space="preserve"> et al., </w:t>
            </w:r>
            <w:r w:rsidRPr="00231D8F">
              <w:t>2019</w:t>
            </w:r>
            <w:r>
              <w:t xml:space="preserve"> </w:t>
            </w:r>
            <w:r>
              <w:fldChar w:fldCharType="begin"/>
            </w:r>
            <w:r>
              <w:instrText xml:space="preserve"> ADDIN ZOTERO_ITEM CSL_CITATION {"citationID":"4MYpZEsW","properties":{"formattedCitation":"(47)","plainCitation":"(47)","noteIndex":0},"citationItems":[{"id":1583,"uris":["http://zotero.org/users/9294180/items/PDLY9YNI"],"itemData":{"id":1583,"type":"article-journal","abstract":"Hospital performance is often measured using self-reported statistics, such as the incidence of hospital-transmitted micro-organisms or those exhibiting antimicrobial resistance (AMR), encouraging hospitals with high levels to improve their performance. However, hospitals that increase screening efforts will appear to have a higher incidence and perform poorly, undermining comparison between hospitals and disincentivising testing, thus hampering infection control. We propose a surveillance system in which hospitals test patients previously discharged from other hospitals and report observed cases. Using English National Health Service (NHS) Hospital Episode Statistics data, we analysed patient movements across England and assessed the number of hospitals required to participate in such a reporting scheme to deliver robust estimates of incidence. With over 1.2 million admissions to English hospitals previously discharged from other hospitals annually, even when only a fraction of hospitals (41/155) participate (each screening at least 1000 of these admissions), the proposed surveillance system can estimate incidence across all hospitals. By reporting on other hospitals, the reporting of incidence is separated from the task of improving own performance. Therefore the incentives for increasing performance can be aligned to increase (rather than decrease) screening efforts, thus delivering both more comparable figures on the AMR problems across hospitals and improving infection control efforts.","container-title":"PLOS ONE","DOI":"10.1371/journal.pone.0219994","ISSN":"1932-6203","issue":"7","journalAbbreviation":"PLoS ONE","language":"en","page":"e0219994","source":"DOI.org (Crossref)","title":"Using hospital network-based surveillance for antimicrobial resistance as a more robust alternative to self-reporting","volume":"14","author":[{"family":"Donker","given":"Tjibbe"},{"family":"Smieszek","given":"Timo"},{"family":"Henderson","given":"Katherine L."},{"family":"Walker","given":"Timothy M."},{"family":"Hope","given":"Russell"},{"family":"Johnson","given":"Alan P."},{"family":"Woodford","given":"Neil"},{"family":"Crook","given":"Derrick W."},{"family":"Peto","given":"Tim E. A."},{"family":"Walker","given":"A. Sarah"},{"family":"Robotham","given":"Julie V."}],"editor":[{"family":"Friedrich","given":"Alex"}],"issued":{"date-parts":[["2019",7,25]]}}}],"schema":"https://github.com/citation-style-language/schema/raw/master/csl-citation.json"} </w:instrText>
            </w:r>
            <w:r>
              <w:fldChar w:fldCharType="separate"/>
            </w:r>
            <w:r w:rsidRPr="00735B0C">
              <w:t>(47)</w:t>
            </w:r>
            <w:r>
              <w:fldChar w:fldCharType="end"/>
            </w:r>
          </w:p>
        </w:tc>
        <w:tc>
          <w:tcPr>
            <w:tcW w:w="1559" w:type="dxa"/>
            <w:noWrap/>
            <w:hideMark/>
          </w:tcPr>
          <w:p w14:paraId="6414F765" w14:textId="77777777" w:rsidR="00401E72" w:rsidRPr="00231D8F" w:rsidRDefault="00401E72" w:rsidP="00A21BAE">
            <w:r w:rsidRPr="00231D8F">
              <w:t>2</w:t>
            </w:r>
          </w:p>
        </w:tc>
        <w:tc>
          <w:tcPr>
            <w:tcW w:w="1701" w:type="dxa"/>
            <w:noWrap/>
            <w:hideMark/>
          </w:tcPr>
          <w:p w14:paraId="1363D6B4" w14:textId="77777777" w:rsidR="00401E72" w:rsidRPr="00231D8F" w:rsidRDefault="00401E72" w:rsidP="00A21BAE">
            <w:r w:rsidRPr="00231D8F">
              <w:t>1</w:t>
            </w:r>
          </w:p>
        </w:tc>
        <w:tc>
          <w:tcPr>
            <w:tcW w:w="1418" w:type="dxa"/>
            <w:noWrap/>
            <w:hideMark/>
          </w:tcPr>
          <w:p w14:paraId="78307847" w14:textId="77777777" w:rsidR="00401E72" w:rsidRPr="00231D8F" w:rsidRDefault="00401E72" w:rsidP="00A21BAE">
            <w:r w:rsidRPr="00231D8F">
              <w:t>5</w:t>
            </w:r>
          </w:p>
        </w:tc>
        <w:tc>
          <w:tcPr>
            <w:tcW w:w="1417" w:type="dxa"/>
            <w:noWrap/>
            <w:hideMark/>
          </w:tcPr>
          <w:p w14:paraId="7683212B" w14:textId="77777777" w:rsidR="00401E72" w:rsidRPr="00231D8F" w:rsidRDefault="00401E72" w:rsidP="00A21BAE">
            <w:r w:rsidRPr="00231D8F">
              <w:t>4</w:t>
            </w:r>
          </w:p>
        </w:tc>
      </w:tr>
      <w:tr w:rsidR="00401E72" w:rsidRPr="00231D8F" w14:paraId="3446FAEA" w14:textId="77777777" w:rsidTr="00A21BAE">
        <w:trPr>
          <w:trHeight w:val="288"/>
        </w:trPr>
        <w:tc>
          <w:tcPr>
            <w:tcW w:w="2405" w:type="dxa"/>
            <w:noWrap/>
          </w:tcPr>
          <w:p w14:paraId="4DF5B62D" w14:textId="77777777" w:rsidR="00401E72" w:rsidRPr="00231D8F" w:rsidRDefault="00401E72" w:rsidP="00A21BAE">
            <w:r w:rsidRPr="00231D8F">
              <w:t>Donvito</w:t>
            </w:r>
            <w:r>
              <w:t xml:space="preserve"> et al., </w:t>
            </w:r>
            <w:r w:rsidRPr="00231D8F">
              <w:t>2025</w:t>
            </w:r>
            <w:r>
              <w:t xml:space="preserve"> </w:t>
            </w:r>
            <w:r>
              <w:fldChar w:fldCharType="begin"/>
            </w:r>
            <w:r>
              <w:instrText xml:space="preserve"> ADDIN ZOTERO_ITEM CSL_CITATION {"citationID":"jTFZsfo7","properties":{"formattedCitation":"(82)","plainCitation":"(82)","noteIndex":0},"citationItems":[{"id":2377,"uris":["http://zotero.org/users/9294180/items/HKRTHN77"],"itemData":{"id":2377,"type":"article-journal","abstract":"Background: Patient transfers occur frequently between hospital departments and wards, and bring with them the risk of interdepartmental transmission of antibiotic-resistant bacteria (ARB). These bacteria form a risk to patients already susceptible to colonization and infection. Aim: To assess the impact of the severe acute respiratory syndrome coronavirus-2 (SARS-CoV-2) pandemic on the intrahospital network of a large German university hospital. Methods: Using data collected from the hospital between 2019 and 2023, a model was developed to represent an intrahospital transfer network with all patient movements between all wards by creating a time-sliced temporal network for each month. The network was described, and its robustness against the spread of ARB was assessed by simulating outbreaks between wards. Findings: In April 2020, when many elective surgeries were cancelled due to the SARS-CoV-2 pandemic, the robustness of the network increased strongly in comparison with all other months. Despite the network being relatively stable over the study period, it was affected by an internal change in hospital structure due to a hospital merger. Conclusion: The intrahospital transfer network was affected by external influences due to the SARS-CoV-2 pandemic, slowing down the potential spread of nosocomial pathogens. The network was generally stable and recovered quickly, although an internal force affected the structure of the network. A better understanding of the influence of patient transfers will help in the design of intervention strategies against the spread of antimicrobial resistance within hospitals. © 2025 Elsevier B.V., All rights reserved.","archive":"Scopus","container-title":"Journal of Hospital Infection","DOI":"10.1016/j.jhin.2025.04.032","page":"68-75","title":"Impact of the SARS-CoV-2 pandemic on hospital robustness to the spread of antibiotic-resistant bacteria in a large German university hospital","volume":"162","author":[{"family":"Donvito","given":"G."},{"family":"Bürkin","given":"F."},{"family":"Donker","given":"T."}],"issued":{"date-parts":[["2025"]]}}}],"schema":"https://github.com/citation-style-language/schema/raw/master/csl-citation.json"} </w:instrText>
            </w:r>
            <w:r>
              <w:fldChar w:fldCharType="separate"/>
            </w:r>
            <w:r w:rsidRPr="00EF2F5A">
              <w:rPr>
                <w:rFonts w:cs="Calibri"/>
              </w:rPr>
              <w:t>(82)</w:t>
            </w:r>
            <w:r>
              <w:fldChar w:fldCharType="end"/>
            </w:r>
          </w:p>
        </w:tc>
        <w:tc>
          <w:tcPr>
            <w:tcW w:w="1559" w:type="dxa"/>
            <w:noWrap/>
          </w:tcPr>
          <w:p w14:paraId="665AC0C0" w14:textId="77777777" w:rsidR="00401E72" w:rsidRPr="00231D8F" w:rsidRDefault="00401E72" w:rsidP="00A21BAE">
            <w:r w:rsidRPr="00231D8F">
              <w:t>0</w:t>
            </w:r>
          </w:p>
        </w:tc>
        <w:tc>
          <w:tcPr>
            <w:tcW w:w="1701" w:type="dxa"/>
            <w:noWrap/>
          </w:tcPr>
          <w:p w14:paraId="42A16EE0" w14:textId="77777777" w:rsidR="00401E72" w:rsidRPr="00231D8F" w:rsidRDefault="00401E72" w:rsidP="00A21BAE">
            <w:r w:rsidRPr="00231D8F">
              <w:t>1</w:t>
            </w:r>
          </w:p>
        </w:tc>
        <w:tc>
          <w:tcPr>
            <w:tcW w:w="1418" w:type="dxa"/>
            <w:noWrap/>
          </w:tcPr>
          <w:p w14:paraId="46275B25" w14:textId="77777777" w:rsidR="00401E72" w:rsidRPr="00231D8F" w:rsidRDefault="00401E72" w:rsidP="00A21BAE">
            <w:r w:rsidRPr="00231D8F">
              <w:t>4</w:t>
            </w:r>
          </w:p>
        </w:tc>
        <w:tc>
          <w:tcPr>
            <w:tcW w:w="1417" w:type="dxa"/>
            <w:noWrap/>
          </w:tcPr>
          <w:p w14:paraId="6EE07720" w14:textId="77777777" w:rsidR="00401E72" w:rsidRPr="00231D8F" w:rsidRDefault="00401E72" w:rsidP="00A21BAE">
            <w:r w:rsidRPr="00231D8F">
              <w:t>6</w:t>
            </w:r>
          </w:p>
        </w:tc>
      </w:tr>
      <w:tr w:rsidR="00401E72" w:rsidRPr="00231D8F" w14:paraId="068F9A65" w14:textId="77777777" w:rsidTr="00A21BAE">
        <w:trPr>
          <w:trHeight w:val="288"/>
        </w:trPr>
        <w:tc>
          <w:tcPr>
            <w:tcW w:w="2405" w:type="dxa"/>
            <w:noWrap/>
            <w:hideMark/>
          </w:tcPr>
          <w:p w14:paraId="2214B941" w14:textId="77777777" w:rsidR="00401E72" w:rsidRPr="00231D8F" w:rsidRDefault="00401E72" w:rsidP="00A21BAE">
            <w:r w:rsidRPr="00231D8F">
              <w:t>Evangelista</w:t>
            </w:r>
            <w:r>
              <w:t xml:space="preserve"> et al., </w:t>
            </w:r>
            <w:r w:rsidRPr="00231D8F">
              <w:t>2015</w:t>
            </w:r>
            <w:r>
              <w:t xml:space="preserve"> </w:t>
            </w:r>
            <w:r>
              <w:fldChar w:fldCharType="begin"/>
            </w:r>
            <w:r>
              <w:instrText xml:space="preserve"> ADDIN ZOTERO_ITEM CSL_CITATION {"citationID":"1flHczTV","properties":{"formattedCitation":"(71)","plainCitation":"(71)","noteIndex":0},"citationItems":[{"id":1547,"uris":["http://zotero.org/users/9294180/items/CB6UG7AG"],"itemData":{"id":1547,"type":"article-journal","abstract":"Patients transfers are an essential routine in care supplying and are considered a crucial form of inter-hospital collaboration in any Regional Health System. Previous organizational studies about the phenomenon adopted the resource dependency theory, demonstrating that transfers occur for because resources are not homogenously distributed between hospitals. More recently, it has been observed that patient transfers are driven by complex system of determinants and not only by the lack of resources. This paper, adopting a geographical view, observed that the theoretical lens of proximity are useful to better understand the phenomenon. Analyzing data on the patients transfers between the 35 hospitals of Abruzzo (Italy) Regional Health System through Multiple Regression-Quadratic Assignment Procedure, the study demonstrated that the different dimensions of proximity have a signiﬁcant impact on the inter-hospitals patients transfers. Policy makers, health care executives and health geographers may take into account these logics in designing the territorial system of care.","container-title":"GeoJournal","DOI":"10.1007/s10708-015-9662-2","ISSN":"0343-2521, 1572-9893","issue":"5","journalAbbreviation":"GeoJournal","language":"en","page":"771-778","source":"DOI.org (Crossref)","title":"The geographics of patients transfers: the case of an Italian Regional Health System","title-short":"The geographics of patients transfers","volume":"81","author":[{"family":"Evangelista","given":"Valentina"}],"issued":{"date-parts":[["2015"]]}}}],"schema":"https://github.com/citation-style-language/schema/raw/master/csl-citation.json"} </w:instrText>
            </w:r>
            <w:r>
              <w:fldChar w:fldCharType="separate"/>
            </w:r>
            <w:r w:rsidRPr="00EF2F5A">
              <w:rPr>
                <w:rFonts w:cs="Calibri"/>
              </w:rPr>
              <w:t>(71)</w:t>
            </w:r>
            <w:r>
              <w:fldChar w:fldCharType="end"/>
            </w:r>
          </w:p>
        </w:tc>
        <w:tc>
          <w:tcPr>
            <w:tcW w:w="1559" w:type="dxa"/>
            <w:noWrap/>
            <w:hideMark/>
          </w:tcPr>
          <w:p w14:paraId="1013A8B7" w14:textId="77777777" w:rsidR="00401E72" w:rsidRPr="00231D8F" w:rsidRDefault="00401E72" w:rsidP="00A21BAE">
            <w:r w:rsidRPr="00231D8F">
              <w:t>1</w:t>
            </w:r>
          </w:p>
        </w:tc>
        <w:tc>
          <w:tcPr>
            <w:tcW w:w="1701" w:type="dxa"/>
            <w:noWrap/>
            <w:hideMark/>
          </w:tcPr>
          <w:p w14:paraId="5D3C2D80" w14:textId="77777777" w:rsidR="00401E72" w:rsidRPr="00231D8F" w:rsidRDefault="00401E72" w:rsidP="00A21BAE">
            <w:r w:rsidRPr="00231D8F">
              <w:t>4</w:t>
            </w:r>
          </w:p>
        </w:tc>
        <w:tc>
          <w:tcPr>
            <w:tcW w:w="1418" w:type="dxa"/>
            <w:noWrap/>
            <w:hideMark/>
          </w:tcPr>
          <w:p w14:paraId="68AA6A1A" w14:textId="77777777" w:rsidR="00401E72" w:rsidRPr="00231D8F" w:rsidRDefault="00401E72" w:rsidP="00A21BAE">
            <w:r w:rsidRPr="00231D8F">
              <w:t>6</w:t>
            </w:r>
          </w:p>
        </w:tc>
        <w:tc>
          <w:tcPr>
            <w:tcW w:w="1417" w:type="dxa"/>
            <w:noWrap/>
            <w:hideMark/>
          </w:tcPr>
          <w:p w14:paraId="6CB56925" w14:textId="77777777" w:rsidR="00401E72" w:rsidRPr="00231D8F" w:rsidRDefault="00401E72" w:rsidP="00A21BAE">
            <w:r w:rsidRPr="00231D8F">
              <w:t>1</w:t>
            </w:r>
          </w:p>
        </w:tc>
      </w:tr>
      <w:tr w:rsidR="00401E72" w:rsidRPr="00231D8F" w14:paraId="16D3F04D" w14:textId="77777777" w:rsidTr="00A21BAE">
        <w:trPr>
          <w:trHeight w:val="288"/>
        </w:trPr>
        <w:tc>
          <w:tcPr>
            <w:tcW w:w="2405" w:type="dxa"/>
            <w:noWrap/>
            <w:hideMark/>
          </w:tcPr>
          <w:p w14:paraId="4E22C22C" w14:textId="77777777" w:rsidR="00401E72" w:rsidRPr="00231D8F" w:rsidRDefault="00401E72" w:rsidP="00A21BAE">
            <w:r w:rsidRPr="00231D8F">
              <w:t>Fernandez-Gracia</w:t>
            </w:r>
            <w:r>
              <w:t xml:space="preserve"> et al., </w:t>
            </w:r>
            <w:r w:rsidRPr="00231D8F">
              <w:t>2017</w:t>
            </w:r>
            <w:r>
              <w:t xml:space="preserve"> </w:t>
            </w:r>
            <w:r>
              <w:fldChar w:fldCharType="begin"/>
            </w:r>
            <w:r>
              <w:instrText xml:space="preserve"> ADDIN ZOTERO_ITEM CSL_CITATION {"citationID":"aTKtl9zy","properties":{"formattedCitation":"(14)","plainCitation":"(14)","noteIndex":0},"citationItems":[{"id":1422,"uris":["http://zotero.org/users/9294180/items/EJWGFFJV"],"itemData":{"id":1422,"type":"article-journal","abstract":"Antibiotic-resistant bacterial infections are a substantial source of morbidity and mortality and have a common reservoir in inpatient settings. Transferring patients between facilities could be a mechanism for the spread of these infections. We wanted to assess whether a network of hospitals, linked by inpatient transfers, contributes to the spread of nosocomial infections and investigate how network structure may be leveraged to design efficient surveillance systems. We construct a network defined by the transfer of Medicare patients across US inpatient facilities using a 100% sample of inpatient discharge claims from 2006–2007. We show the association between network structure and C. difficile incidence, with a 1% increase in a facility’s C. difficile incidence being associated with a 0.53% increase in C. difficile incidence of neighboring facilities. Finally, we used network science methods to determine the facilities to monitor to maximize surveillance efficiency. An optimal surveillance strategy for selecting “sensor” hospitals, based on their network position, detects 80% of the C. difficile infections using only 2% of hospitals as sensors. Selecting a small fraction of facilities as “sensors” could be a cost-effective mechanism to monitor emerging nosocomial infections.","container-title":"Scientific Reports","DOI":"10.1038/s41598-017-02245-7","ISSN":"2045-2322","issue":"1","journalAbbreviation":"Sci Rep","language":"en","license":"2017 The Author(s)","note":"publisher: Nature Publishing Group","page":"2930","source":"www.nature.com","title":"Influence of a patient transfer network of US inpatient facilities on the incidence of nosocomial infections","volume":"7","author":[{"family":"Fernández-Gracia","given":"Juan"},{"family":"Onnela","given":"Jukka-Pekka"},{"family":"Barnett","given":"Michael L."},{"family":"Eguíluz","given":"Víctor M."},{"family":"Christakis","given":"Nicholas A."}],"issued":{"date-parts":[["2017",6,7]]}}}],"schema":"https://github.com/citation-style-language/schema/raw/master/csl-citation.json"} </w:instrText>
            </w:r>
            <w:r>
              <w:fldChar w:fldCharType="separate"/>
            </w:r>
            <w:r w:rsidRPr="00936D5A">
              <w:rPr>
                <w:rFonts w:cs="Calibri"/>
              </w:rPr>
              <w:t>(14)</w:t>
            </w:r>
            <w:r>
              <w:fldChar w:fldCharType="end"/>
            </w:r>
          </w:p>
        </w:tc>
        <w:tc>
          <w:tcPr>
            <w:tcW w:w="1559" w:type="dxa"/>
            <w:noWrap/>
            <w:hideMark/>
          </w:tcPr>
          <w:p w14:paraId="267FF5A4" w14:textId="77777777" w:rsidR="00401E72" w:rsidRPr="00231D8F" w:rsidRDefault="00401E72" w:rsidP="00A21BAE">
            <w:r w:rsidRPr="00231D8F">
              <w:t>0</w:t>
            </w:r>
          </w:p>
        </w:tc>
        <w:tc>
          <w:tcPr>
            <w:tcW w:w="1701" w:type="dxa"/>
            <w:noWrap/>
            <w:hideMark/>
          </w:tcPr>
          <w:p w14:paraId="15FF5E63" w14:textId="77777777" w:rsidR="00401E72" w:rsidRPr="00231D8F" w:rsidRDefault="00401E72" w:rsidP="00A21BAE">
            <w:r w:rsidRPr="00231D8F">
              <w:t>3</w:t>
            </w:r>
          </w:p>
        </w:tc>
        <w:tc>
          <w:tcPr>
            <w:tcW w:w="1418" w:type="dxa"/>
            <w:noWrap/>
            <w:hideMark/>
          </w:tcPr>
          <w:p w14:paraId="00D4AC39" w14:textId="77777777" w:rsidR="00401E72" w:rsidRPr="00231D8F" w:rsidRDefault="00401E72" w:rsidP="00A21BAE">
            <w:r w:rsidRPr="00231D8F">
              <w:t>5</w:t>
            </w:r>
          </w:p>
        </w:tc>
        <w:tc>
          <w:tcPr>
            <w:tcW w:w="1417" w:type="dxa"/>
            <w:noWrap/>
            <w:hideMark/>
          </w:tcPr>
          <w:p w14:paraId="79DFB948" w14:textId="77777777" w:rsidR="00401E72" w:rsidRPr="00231D8F" w:rsidRDefault="00401E72" w:rsidP="00A21BAE">
            <w:r w:rsidRPr="00231D8F">
              <w:t>4</w:t>
            </w:r>
          </w:p>
        </w:tc>
      </w:tr>
      <w:tr w:rsidR="00401E72" w:rsidRPr="00231D8F" w14:paraId="0B0718C8" w14:textId="77777777" w:rsidTr="00A21BAE">
        <w:trPr>
          <w:trHeight w:val="288"/>
        </w:trPr>
        <w:tc>
          <w:tcPr>
            <w:tcW w:w="2405" w:type="dxa"/>
            <w:noWrap/>
            <w:hideMark/>
          </w:tcPr>
          <w:p w14:paraId="5BB683A0" w14:textId="77777777" w:rsidR="00401E72" w:rsidRPr="00231D8F" w:rsidRDefault="00401E72" w:rsidP="00A21BAE">
            <w:r w:rsidRPr="00231D8F">
              <w:t>Han</w:t>
            </w:r>
            <w:r>
              <w:t xml:space="preserve"> et al., </w:t>
            </w:r>
            <w:r w:rsidRPr="00231D8F">
              <w:t>2019</w:t>
            </w:r>
            <w:r>
              <w:t xml:space="preserve"> </w:t>
            </w:r>
            <w:r>
              <w:fldChar w:fldCharType="begin"/>
            </w:r>
            <w:r>
              <w:instrText xml:space="preserve"> ADDIN ZOTERO_ITEM CSL_CITATION {"citationID":"Yb5DKxR7","properties":{"formattedCitation":"(76)","plainCitation":"(76)","noteIndex":0},"citationItems":[{"id":1581,"uris":["http://zotero.org/users/9294180/items/C8BVHNP9"],"itemData":{"id":1581,"type":"article-journal","abstract":"Carbapenem-resistant Klebsiella pneumoniae (CRKP) is an antibiotic resistance threat of the highest priority. Given the limited treatment options for this multidrug-resistant organism (MDRO), there is an urgent need for targeted strategies to prevent transmission. Here, we applied whole-genome sequencing to a comprehensive collection of clinical isolates to reconstruct regional transmission pathways and analyzed this transmission network in the context of statewide patient transfer data and patient-level clinical data to identify drivers of regional transmission. We found that high regional CRKP burdens were due to a small number of regional introductions, with subsequent regional proliferation occurring via patient transfers among health care facilities. While CRKP was predicted to have been imported into each facility multiple times, there was substantial variation in the ratio of intrafacility transmission events per importation, indicating that ampliﬁcation occurs unevenly across regional facilities. While myriad factors likely inﬂuence intrafacility transmission rates, an understudied one is the potential for clinical characteristics of colonized and infected patients to inﬂuence their propensity for transmission. Supporting the contribution of highrisk patients to elevated transmission rates, we observed that patients colonized and infected with CRKP in high-transmission facilities had higher rates of carbapenem use, malnutrition, and dialysis and were older. This report highlights the potential for regional infection prevention efforts that are grounded in genomic epidemiology to identify the patients and facilities that make the greatest contribution to regional MDRO prevalence, thereby facilitating the design of precision interventions of maximal impact.","container-title":"Antimicrobial Agents and Chemotherapy","DOI":"10.1128/AAC.01622-19","ISSN":"0066-4804, 1098-6596","issue":"11","journalAbbreviation":"Antimicrob Agents Chemother","language":"en","page":"e01622-19","source":"DOI.org (Crossref)","title":"Whole-Genome Sequencing To Identify Drivers of Carbapenem-Resistant Klebsiella pneumoniae Transmission within and between Regional Long-Term Acute-Care Hospitals","volume":"63","author":[{"family":"Han","given":"Jennifer H."},{"family":"Lapp","given":"Zena"},{"family":"Bushman","given":"Frederic"},{"family":"Lautenbach","given":"Ebbing"},{"family":"Goldstein","given":"Ellie J. C."},{"family":"Mattei","given":"Lisa"},{"family":"Hofstaedter","given":"Casey E."},{"family":"Kim","given":"Dorothy"},{"family":"Nachamkin","given":"Irving"},{"family":"Garrigan","given":"Charles"},{"family":"Jain","given":"Tanya"},{"family":"Bilker","given":"Warren"},{"family":"Wolford","given":"Hannah M."},{"family":"Slayton","given":"Rachel B."},{"family":"Wise","given":"Jacqueleen"},{"family":"Tolomeo","given":"Pam"},{"family":"Snitkin","given":"Evan S."}],"issued":{"date-parts":[["2019",11]]}}}],"schema":"https://github.com/citation-style-language/schema/raw/master/csl-citation.json"} </w:instrText>
            </w:r>
            <w:r>
              <w:fldChar w:fldCharType="separate"/>
            </w:r>
            <w:r w:rsidRPr="00EF2F5A">
              <w:rPr>
                <w:rFonts w:cs="Calibri"/>
              </w:rPr>
              <w:t>(76)</w:t>
            </w:r>
            <w:r>
              <w:fldChar w:fldCharType="end"/>
            </w:r>
          </w:p>
        </w:tc>
        <w:tc>
          <w:tcPr>
            <w:tcW w:w="1559" w:type="dxa"/>
            <w:noWrap/>
            <w:hideMark/>
          </w:tcPr>
          <w:p w14:paraId="03E4802C" w14:textId="77777777" w:rsidR="00401E72" w:rsidRPr="00231D8F" w:rsidRDefault="00401E72" w:rsidP="00A21BAE">
            <w:r w:rsidRPr="00231D8F">
              <w:t>3</w:t>
            </w:r>
          </w:p>
        </w:tc>
        <w:tc>
          <w:tcPr>
            <w:tcW w:w="1701" w:type="dxa"/>
            <w:noWrap/>
            <w:hideMark/>
          </w:tcPr>
          <w:p w14:paraId="7015D2CD" w14:textId="77777777" w:rsidR="00401E72" w:rsidRPr="00231D8F" w:rsidRDefault="00401E72" w:rsidP="00A21BAE">
            <w:r w:rsidRPr="00231D8F">
              <w:t>2</w:t>
            </w:r>
          </w:p>
        </w:tc>
        <w:tc>
          <w:tcPr>
            <w:tcW w:w="1418" w:type="dxa"/>
            <w:noWrap/>
            <w:hideMark/>
          </w:tcPr>
          <w:p w14:paraId="1044F2DE" w14:textId="77777777" w:rsidR="00401E72" w:rsidRPr="00231D8F" w:rsidRDefault="00401E72" w:rsidP="00A21BAE">
            <w:r w:rsidRPr="00231D8F">
              <w:t>3</w:t>
            </w:r>
          </w:p>
        </w:tc>
        <w:tc>
          <w:tcPr>
            <w:tcW w:w="1417" w:type="dxa"/>
            <w:noWrap/>
            <w:hideMark/>
          </w:tcPr>
          <w:p w14:paraId="4025F3CF" w14:textId="77777777" w:rsidR="00401E72" w:rsidRPr="00231D8F" w:rsidRDefault="00401E72" w:rsidP="00A21BAE">
            <w:r w:rsidRPr="00231D8F">
              <w:t>4</w:t>
            </w:r>
          </w:p>
        </w:tc>
      </w:tr>
      <w:tr w:rsidR="00401E72" w:rsidRPr="00231D8F" w14:paraId="304703E2" w14:textId="77777777" w:rsidTr="00A21BAE">
        <w:trPr>
          <w:trHeight w:val="288"/>
        </w:trPr>
        <w:tc>
          <w:tcPr>
            <w:tcW w:w="2405" w:type="dxa"/>
            <w:noWrap/>
            <w:hideMark/>
          </w:tcPr>
          <w:p w14:paraId="2A4E5632" w14:textId="77777777" w:rsidR="00401E72" w:rsidRPr="00231D8F" w:rsidRDefault="00401E72" w:rsidP="00A21BAE">
            <w:r w:rsidRPr="00231D8F">
              <w:t>Huang</w:t>
            </w:r>
            <w:r>
              <w:t xml:space="preserve"> et al., </w:t>
            </w:r>
            <w:r w:rsidRPr="00231D8F">
              <w:t>2010</w:t>
            </w:r>
            <w:r>
              <w:t xml:space="preserve"> </w:t>
            </w:r>
            <w:r>
              <w:fldChar w:fldCharType="begin"/>
            </w:r>
            <w:r>
              <w:instrText xml:space="preserve"> ADDIN ZOTERO_ITEM CSL_CITATION {"citationID":"m6QfDpxk","properties":{"formattedCitation":"(4)","plainCitation":"(4)","noteIndex":0},"citationItems":[{"id":421,"uris":["http://zotero.org/users/9294180/items/USYBTPHB"],"itemData":{"id":421,"type":"article-journal","abstract":"BACKGROUND\nAssessments of infectious disease spread in hospitals seldom account for interfacility patient sharing. This is particularly important for pathogens with prolonged incubation periods or carrier states.\n\nMETHODS\nWe quantified patient sharing among all 32 hospitals in Orange County (OC), California, using hospital discharge data. Same-day transfers between hospitals were considered “direct” transfers, and events in which patients were shared between hospitals after an intervening stay at home or elsewhere were considered “indirect” patient-sharing events. We assessed the frequency of readmissions to another OC hospital within various time points from discharge and examined interhospital sharing of patients with Clostridium difficile infection.\n\nRESULTS\nIn 2005, OC hospitals had 319,918 admissions. Twenty-nine percent of patients were admitted at least twice, with a median interval between discharge and readmission of 53 days. Of the patients with 2 or more admissions, 75% were admitted to more than 1 hospital. Ninety-four percent of interhospital patient sharing occurred indirectly. When we used 10 shared patients as a measure of potential interhospital exposure, 6 (19%) of 32 hospitals “exposed” more than 50% of all OC hospitals within 6 months, and 17 (53%) exposed more than 50% within 12 months. Hospitals shared 1 or more patient with a median of 28 other hospitals. When we evaluated patients with C. difficile infection, 25% were readmitted within 12 weeks; 41% were readmitted to different hospitals, and less than 30% of these readmissions were direct transfers.\n\nCONCLUSIONS\nIn a large metropolitan county, interhospital patient sharing was a potential avenue for transmission of infectious agents. Indirect sharing with an intervening stay at home or elsewhere composed the bulk of potential exposures and occurred unbeknownst to hospitals.","container-title":"Infection control and hospital epidemiology : the official journal of the Society of Hospital Epidemiologists of America","DOI":"10.1086/656747","ISSN":"0899-823X","issue":"11","journalAbbreviation":"Infect Control Hosp Epidemiol","note":"PMID: 20874503\nPMCID: PMC3064463","page":"1160-1169","source":"PubMed Central","title":"Quantifying Interhospital Patient Sharing as a Mechanism for Infectious Disease Spread","volume":"31","author":[{"family":"Huang","given":"Susan S."},{"family":"Avery","given":"Taliser R."},{"family":"Song","given":"Yeohan"},{"family":"Elkins","given":"Kristen R."},{"family":"Nguyen","given":"Christopher C."},{"family":"Nutter","given":"Sandra K."},{"family":"Nafday","given":"Alaka S."},{"family":"Condon","given":"Curtis J."},{"family":"Chang","given":"Michael T."},{"family":"Chrest","given":"David"},{"family":"Boos","given":"John"},{"family":"Bobashev","given":"Georgiy"},{"family":"Wheaton","given":"William"},{"family":"Frank","given":"Steven A."},{"family":"Platt","given":"Richard"},{"family":"Lipsitch","given":"Marc"},{"family":"Bush","given":"Robin M."},{"family":"Eubank","given":"Stephen"},{"family":"Burke","given":"Donald S."},{"family":"Lee","given":"Bruce Y."}],"issued":{"date-parts":[["2010",11]]}}}],"schema":"https://github.com/citation-style-language/schema/raw/master/csl-citation.json"} </w:instrText>
            </w:r>
            <w:r>
              <w:fldChar w:fldCharType="separate"/>
            </w:r>
            <w:r w:rsidRPr="00936D5A">
              <w:rPr>
                <w:rFonts w:cs="Calibri"/>
              </w:rPr>
              <w:t>(4)</w:t>
            </w:r>
            <w:r>
              <w:fldChar w:fldCharType="end"/>
            </w:r>
          </w:p>
        </w:tc>
        <w:tc>
          <w:tcPr>
            <w:tcW w:w="1559" w:type="dxa"/>
            <w:noWrap/>
            <w:hideMark/>
          </w:tcPr>
          <w:p w14:paraId="1A4D9615" w14:textId="77777777" w:rsidR="00401E72" w:rsidRPr="00231D8F" w:rsidRDefault="00401E72" w:rsidP="00A21BAE">
            <w:r w:rsidRPr="00231D8F">
              <w:t>2</w:t>
            </w:r>
          </w:p>
        </w:tc>
        <w:tc>
          <w:tcPr>
            <w:tcW w:w="1701" w:type="dxa"/>
            <w:noWrap/>
            <w:hideMark/>
          </w:tcPr>
          <w:p w14:paraId="2D8355E8" w14:textId="77777777" w:rsidR="00401E72" w:rsidRPr="00231D8F" w:rsidRDefault="00401E72" w:rsidP="00A21BAE">
            <w:r w:rsidRPr="00231D8F">
              <w:t>3</w:t>
            </w:r>
          </w:p>
        </w:tc>
        <w:tc>
          <w:tcPr>
            <w:tcW w:w="1418" w:type="dxa"/>
            <w:noWrap/>
            <w:hideMark/>
          </w:tcPr>
          <w:p w14:paraId="22837A8D" w14:textId="77777777" w:rsidR="00401E72" w:rsidRPr="00231D8F" w:rsidRDefault="00401E72" w:rsidP="00A21BAE">
            <w:r w:rsidRPr="00231D8F">
              <w:t>4</w:t>
            </w:r>
          </w:p>
        </w:tc>
        <w:tc>
          <w:tcPr>
            <w:tcW w:w="1417" w:type="dxa"/>
            <w:noWrap/>
            <w:hideMark/>
          </w:tcPr>
          <w:p w14:paraId="290141D3" w14:textId="77777777" w:rsidR="00401E72" w:rsidRPr="00231D8F" w:rsidRDefault="00401E72" w:rsidP="00A21BAE">
            <w:r w:rsidRPr="00231D8F">
              <w:t>3</w:t>
            </w:r>
          </w:p>
        </w:tc>
      </w:tr>
      <w:tr w:rsidR="00401E72" w:rsidRPr="00231D8F" w14:paraId="28EA8725" w14:textId="77777777" w:rsidTr="00A21BAE">
        <w:trPr>
          <w:trHeight w:val="288"/>
        </w:trPr>
        <w:tc>
          <w:tcPr>
            <w:tcW w:w="2405" w:type="dxa"/>
            <w:noWrap/>
            <w:hideMark/>
          </w:tcPr>
          <w:p w14:paraId="2F6CD2D7" w14:textId="77777777" w:rsidR="00401E72" w:rsidRPr="00231D8F" w:rsidRDefault="00401E72" w:rsidP="00A21BAE">
            <w:r w:rsidRPr="00231D8F">
              <w:t>Justice</w:t>
            </w:r>
            <w:r>
              <w:t xml:space="preserve"> et al., </w:t>
            </w:r>
            <w:r w:rsidRPr="00231D8F">
              <w:t>2022</w:t>
            </w:r>
            <w:r>
              <w:t xml:space="preserve"> </w:t>
            </w:r>
            <w:r>
              <w:fldChar w:fldCharType="begin"/>
            </w:r>
            <w:r>
              <w:instrText xml:space="preserve"> ADDIN ZOTERO_ITEM CSL_CITATION {"citationID":"CTGVfbtb","properties":{"formattedCitation":"(23)","plainCitation":"(23)","noteIndex":0},"citationItems":[{"id":1410,"uris":["http://zotero.org/users/9294180/items/ZI9436LR"],"itemData":{"id":1410,"type":"article-journal","abstract":"Constructing accurate patient transfer networks between hospitals is critical for understanding the spread of healthcare associated infections through statistical and mathematical modeling, and for determining optimal screening and treatment strategies. The Healthcare Cost &amp; Utilization Project (HCUP) State Inpatient Databases (SID) provide valuable information on patient transfers from publicly obtainable claims databases, yet often give an incomplete picture due to missingness of patient tracking identifiers. We designed a novel imputation algorithm that enabled us to estimate the true number of patient transfers between each pair of hospitals in a state over a specified time period and age group in the presence of these missing identifiers. We then validated the algorithm’s performance through a series of simulation experiments using the HCUP SID, and finally tested the algorithm on multiple states’ genuine data. Our proposed method significantly reduced the total mean squared error in predicting the true number of transfers amongst hospitals for all simulation experiments, and it also yielded epidemic simulations that more closely approximated those corresponding to the true patient transfer network.","container-title":"Health Services and Outcomes Research Methodology","DOI":"10.1007/s10742-021-00249-5","ISSN":"1572-9400","issue":"1","journalAbbreviation":"Health Serv Outcomes Res Method","language":"en","page":"1-15","source":"Springer Link","title":"Inferring patient transfer networks between healthcare facilities","volume":"22","author":[{"family":"Justice","given":"Samuel A."},{"family":"Sewell","given":"Daniel K."},{"family":"Miller","given":"Aaron C."},{"family":"Simmering","given":"Jacob E."},{"family":"Polgreen","given":"Philip M."},{"literal":"For the CDC MInD-Healthcare Program"}],"issued":{"date-parts":[["2022",3,1]]}}}],"schema":"https://github.com/citation-style-language/schema/raw/master/csl-citation.json"} </w:instrText>
            </w:r>
            <w:r>
              <w:fldChar w:fldCharType="separate"/>
            </w:r>
            <w:r w:rsidRPr="003B31CE">
              <w:rPr>
                <w:rFonts w:cs="Calibri"/>
              </w:rPr>
              <w:t>(23)</w:t>
            </w:r>
            <w:r>
              <w:fldChar w:fldCharType="end"/>
            </w:r>
          </w:p>
        </w:tc>
        <w:tc>
          <w:tcPr>
            <w:tcW w:w="1559" w:type="dxa"/>
            <w:noWrap/>
            <w:hideMark/>
          </w:tcPr>
          <w:p w14:paraId="7CE13E7F" w14:textId="77777777" w:rsidR="00401E72" w:rsidRPr="00231D8F" w:rsidRDefault="00401E72" w:rsidP="00A21BAE">
            <w:r w:rsidRPr="00231D8F">
              <w:t>1</w:t>
            </w:r>
          </w:p>
        </w:tc>
        <w:tc>
          <w:tcPr>
            <w:tcW w:w="1701" w:type="dxa"/>
            <w:noWrap/>
            <w:hideMark/>
          </w:tcPr>
          <w:p w14:paraId="68277769" w14:textId="77777777" w:rsidR="00401E72" w:rsidRPr="00231D8F" w:rsidRDefault="00401E72" w:rsidP="00A21BAE">
            <w:r w:rsidRPr="00231D8F">
              <w:t>2</w:t>
            </w:r>
          </w:p>
        </w:tc>
        <w:tc>
          <w:tcPr>
            <w:tcW w:w="1418" w:type="dxa"/>
            <w:noWrap/>
            <w:hideMark/>
          </w:tcPr>
          <w:p w14:paraId="4D1CD8ED" w14:textId="77777777" w:rsidR="00401E72" w:rsidRPr="00231D8F" w:rsidRDefault="00401E72" w:rsidP="00A21BAE">
            <w:r w:rsidRPr="00231D8F">
              <w:t>5</w:t>
            </w:r>
          </w:p>
        </w:tc>
        <w:tc>
          <w:tcPr>
            <w:tcW w:w="1417" w:type="dxa"/>
            <w:noWrap/>
            <w:hideMark/>
          </w:tcPr>
          <w:p w14:paraId="66BAD782" w14:textId="77777777" w:rsidR="00401E72" w:rsidRPr="00231D8F" w:rsidRDefault="00401E72" w:rsidP="00A21BAE">
            <w:r w:rsidRPr="00231D8F">
              <w:t>4</w:t>
            </w:r>
          </w:p>
        </w:tc>
      </w:tr>
      <w:tr w:rsidR="00401E72" w:rsidRPr="00231D8F" w14:paraId="7F94D96C" w14:textId="77777777" w:rsidTr="00A21BAE">
        <w:trPr>
          <w:trHeight w:val="288"/>
        </w:trPr>
        <w:tc>
          <w:tcPr>
            <w:tcW w:w="2405" w:type="dxa"/>
            <w:noWrap/>
            <w:hideMark/>
          </w:tcPr>
          <w:p w14:paraId="484F6604" w14:textId="77777777" w:rsidR="00401E72" w:rsidRPr="00231D8F" w:rsidRDefault="00401E72" w:rsidP="00A21BAE">
            <w:r w:rsidRPr="00231D8F">
              <w:t>Ke</w:t>
            </w:r>
            <w:r>
              <w:t xml:space="preserve"> et al., </w:t>
            </w:r>
            <w:r w:rsidRPr="00231D8F">
              <w:t>2012</w:t>
            </w:r>
            <w:r>
              <w:t xml:space="preserve"> </w:t>
            </w:r>
            <w:r>
              <w:fldChar w:fldCharType="begin"/>
            </w:r>
            <w:r>
              <w:instrText xml:space="preserve"> ADDIN ZOTERO_ITEM CSL_CITATION {"citationID":"5I5uqfnR","properties":{"formattedCitation":"(37)","plainCitation":"(37)","noteIndex":0},"citationItems":[{"id":1578,"uris":["http://zotero.org/users/9294180/items/WL7HV5KV"],"itemData":{"id":1578,"type":"article-journal","abstract":"Rates of hospital-acquired infections, specifically methicillin-resistant\n              Staphylococcus aureus\n              (MRSA), are increasingly being used as indicators for quality of hospital hygiene. There has been much effort on understanding the transmission process at the hospital level; however, interhospital population-based transmission remains poorly defined. We evaluated whether the proportion of shared patients between hospitals was correlated with genetic similarity of MRSA strains from those hospitals. Using data collected from 30 of 32 hospitals in Orange County, California, multivariate linear regression showed that for each twofold increase in the proportion of patients shared between 2 hospitals, there was a 7.7% reduction in genetic heterogeneity between the hospitals’ MRSA populations (permutation\n              P\n              value = 0.0356). Pairs of hospitals that both served adults had more similar MRSA populations than pairs including a pediatric hospital. These findings suggest that concerted efforts among hospitals that share large numbers of patients may be synergistic to prevent MRSA transmission.","container-title":"Proceedings of the National Academy of Sciences","DOI":"10.1073/pnas.1113578109","ISSN":"0027-8424, 1091-6490","issue":"17","journalAbbreviation":"Proc. Natl. Acad. Sci. U.S.A.","language":"en","page":"6763-6768","source":"DOI.org (Crossref)","title":"Patient sharing and population genetic structure of methicillin-resistant &lt;i&gt;Staphylococcus aureus&lt;/i&gt;","volume":"109","author":[{"family":"Ke","given":"Weixiong"},{"family":"Huang","given":"Susan S."},{"family":"Hudson","given":"Lyndsey O."},{"family":"Elkins","given":"Kristen R."},{"family":"Nguyen","given":"Christopher C."},{"family":"Spratt","given":"Brian G."},{"family":"Murphy","given":"Courtney R."},{"family":"Avery","given":"Taliser R."},{"family":"Lipsitch","given":"Marc"}],"issued":{"date-parts":[["2012",4,24]]}}}],"schema":"https://github.com/citation-style-language/schema/raw/master/csl-citation.json"} </w:instrText>
            </w:r>
            <w:r>
              <w:fldChar w:fldCharType="separate"/>
            </w:r>
            <w:r w:rsidRPr="00EF2F5A">
              <w:rPr>
                <w:rFonts w:cs="Calibri"/>
              </w:rPr>
              <w:t>(37)</w:t>
            </w:r>
            <w:r>
              <w:fldChar w:fldCharType="end"/>
            </w:r>
          </w:p>
        </w:tc>
        <w:tc>
          <w:tcPr>
            <w:tcW w:w="1559" w:type="dxa"/>
            <w:noWrap/>
            <w:hideMark/>
          </w:tcPr>
          <w:p w14:paraId="29097D8C" w14:textId="77777777" w:rsidR="00401E72" w:rsidRPr="00231D8F" w:rsidRDefault="00401E72" w:rsidP="00A21BAE">
            <w:r w:rsidRPr="00231D8F">
              <w:t>3</w:t>
            </w:r>
          </w:p>
        </w:tc>
        <w:tc>
          <w:tcPr>
            <w:tcW w:w="1701" w:type="dxa"/>
            <w:noWrap/>
            <w:hideMark/>
          </w:tcPr>
          <w:p w14:paraId="6C223262" w14:textId="77777777" w:rsidR="00401E72" w:rsidRPr="00231D8F" w:rsidRDefault="00401E72" w:rsidP="00A21BAE">
            <w:r w:rsidRPr="00231D8F">
              <w:t>3</w:t>
            </w:r>
          </w:p>
        </w:tc>
        <w:tc>
          <w:tcPr>
            <w:tcW w:w="1418" w:type="dxa"/>
            <w:noWrap/>
            <w:hideMark/>
          </w:tcPr>
          <w:p w14:paraId="76F3C139" w14:textId="77777777" w:rsidR="00401E72" w:rsidRPr="00231D8F" w:rsidRDefault="00401E72" w:rsidP="00A21BAE">
            <w:r w:rsidRPr="00231D8F">
              <w:t>5</w:t>
            </w:r>
          </w:p>
        </w:tc>
        <w:tc>
          <w:tcPr>
            <w:tcW w:w="1417" w:type="dxa"/>
            <w:noWrap/>
            <w:hideMark/>
          </w:tcPr>
          <w:p w14:paraId="0048B001" w14:textId="77777777" w:rsidR="00401E72" w:rsidRPr="00231D8F" w:rsidRDefault="00401E72" w:rsidP="00A21BAE">
            <w:r w:rsidRPr="00231D8F">
              <w:t>2</w:t>
            </w:r>
          </w:p>
        </w:tc>
      </w:tr>
      <w:tr w:rsidR="00401E72" w:rsidRPr="00231D8F" w14:paraId="2F8A1538" w14:textId="77777777" w:rsidTr="00A21BAE">
        <w:trPr>
          <w:trHeight w:val="288"/>
        </w:trPr>
        <w:tc>
          <w:tcPr>
            <w:tcW w:w="2405" w:type="dxa"/>
            <w:noWrap/>
            <w:hideMark/>
          </w:tcPr>
          <w:p w14:paraId="0C65F3E2" w14:textId="77777777" w:rsidR="00401E72" w:rsidRPr="00231D8F" w:rsidRDefault="00401E72" w:rsidP="00A21BAE">
            <w:r w:rsidRPr="00231D8F">
              <w:t>Kitts</w:t>
            </w:r>
            <w:r>
              <w:t xml:space="preserve"> et al., </w:t>
            </w:r>
            <w:r w:rsidRPr="00231D8F">
              <w:t>2017</w:t>
            </w:r>
            <w:r>
              <w:t xml:space="preserve"> </w:t>
            </w:r>
            <w:r>
              <w:fldChar w:fldCharType="begin"/>
            </w:r>
            <w:r>
              <w:instrText xml:space="preserve"> ADDIN ZOTERO_ITEM CSL_CITATION {"citationID":"YZ9hHlTa","properties":{"formattedCitation":"(72)","plainCitation":"(72)","noteIndex":0},"citationItems":[{"id":1577,"uris":["http://zotero.org/users/9294180/items/TD59GFHC"],"itemData":{"id":1577,"type":"article-journal","container-title":"American Journal of Sociology","DOI":"10.1086/693704","ISSN":"0002-9602, 1537-5390","issue":"3","journalAbbreviation":"American Journal of Sociology","language":"en","page":"850-910","source":"DOI.org (Crossref)","title":"Investigating the Temporal Dynamics of Interorganizational Exchange: Patient Transfers among Italian Hospitals","title-short":"Investigating the Temporal Dynamics of Interorganizational Exchange","volume":"123","author":[{"family":"Kitts","given":"James A."},{"family":"Lomi","given":"Alessandro"},{"family":"Mascia","given":"Daniele"},{"family":"Pallotti","given":"Francesca"},{"family":"Quintane","given":"Eric"}],"issued":{"date-parts":[["2017",11]]}}}],"schema":"https://github.com/citation-style-language/schema/raw/master/csl-citation.json"} </w:instrText>
            </w:r>
            <w:r>
              <w:fldChar w:fldCharType="separate"/>
            </w:r>
            <w:r w:rsidRPr="00EF2F5A">
              <w:rPr>
                <w:rFonts w:cs="Calibri"/>
              </w:rPr>
              <w:t>(72)</w:t>
            </w:r>
            <w:r>
              <w:fldChar w:fldCharType="end"/>
            </w:r>
          </w:p>
        </w:tc>
        <w:tc>
          <w:tcPr>
            <w:tcW w:w="1559" w:type="dxa"/>
            <w:noWrap/>
            <w:hideMark/>
          </w:tcPr>
          <w:p w14:paraId="3E49D954" w14:textId="77777777" w:rsidR="00401E72" w:rsidRPr="00231D8F" w:rsidRDefault="00401E72" w:rsidP="00A21BAE">
            <w:r w:rsidRPr="00231D8F">
              <w:t>1</w:t>
            </w:r>
          </w:p>
        </w:tc>
        <w:tc>
          <w:tcPr>
            <w:tcW w:w="1701" w:type="dxa"/>
            <w:noWrap/>
            <w:hideMark/>
          </w:tcPr>
          <w:p w14:paraId="32233625" w14:textId="77777777" w:rsidR="00401E72" w:rsidRPr="00231D8F" w:rsidRDefault="00401E72" w:rsidP="00A21BAE">
            <w:r w:rsidRPr="00231D8F">
              <w:t>2</w:t>
            </w:r>
          </w:p>
        </w:tc>
        <w:tc>
          <w:tcPr>
            <w:tcW w:w="1418" w:type="dxa"/>
            <w:noWrap/>
            <w:hideMark/>
          </w:tcPr>
          <w:p w14:paraId="0BE0FFFD" w14:textId="77777777" w:rsidR="00401E72" w:rsidRPr="00231D8F" w:rsidRDefault="00401E72" w:rsidP="00A21BAE">
            <w:r w:rsidRPr="00231D8F">
              <w:t>4</w:t>
            </w:r>
          </w:p>
        </w:tc>
        <w:tc>
          <w:tcPr>
            <w:tcW w:w="1417" w:type="dxa"/>
            <w:noWrap/>
            <w:hideMark/>
          </w:tcPr>
          <w:p w14:paraId="51C93885" w14:textId="77777777" w:rsidR="00401E72" w:rsidRPr="00231D8F" w:rsidRDefault="00401E72" w:rsidP="00A21BAE">
            <w:r w:rsidRPr="00231D8F">
              <w:t>5</w:t>
            </w:r>
          </w:p>
        </w:tc>
      </w:tr>
      <w:tr w:rsidR="00401E72" w:rsidRPr="00231D8F" w14:paraId="6D631599" w14:textId="77777777" w:rsidTr="00A21BAE">
        <w:trPr>
          <w:trHeight w:val="288"/>
        </w:trPr>
        <w:tc>
          <w:tcPr>
            <w:tcW w:w="2405" w:type="dxa"/>
            <w:noWrap/>
          </w:tcPr>
          <w:p w14:paraId="5F5CC315" w14:textId="77777777" w:rsidR="00401E72" w:rsidRPr="00231D8F" w:rsidRDefault="00401E72" w:rsidP="00A21BAE">
            <w:r w:rsidRPr="00231D8F">
              <w:t>Lapp</w:t>
            </w:r>
            <w:r>
              <w:t xml:space="preserve"> et al., </w:t>
            </w:r>
            <w:r w:rsidRPr="00231D8F">
              <w:t>2023</w:t>
            </w:r>
            <w:r>
              <w:t xml:space="preserve"> </w:t>
            </w:r>
            <w:r>
              <w:fldChar w:fldCharType="begin"/>
            </w:r>
            <w:r>
              <w:instrText xml:space="preserve"> ADDIN ZOTERO_ITEM CSL_CITATION {"citationID":"hT9xnK4N","properties":{"formattedCitation":"(77)","plainCitation":"(77)","noteIndex":0},"citationItems":[{"id":2461,"uris":["http://zotero.org/users/9294180/items/DPINVMQC"],"itemData":{"id":2461,"type":"article-journal","abstract":"Carbapenem-resistant Enterobacterales (CRE) are among the most concerning antibiotic resistance threats due to high rates of multidrug resistance, transmissibility in health care settings, and high mortality rates. We evaluated the potential for regional genomic surveillance to track the spread of bla&lt;inf&gt;KPC&lt;/inf&gt;-carrying CRE (KPC-CRE) by using isolate collections from health care facilities in three U.S. states. Clinical isolates were collected from Connecticut (2017 to 2018), Minnesota (2012 to 2018), and Tennessee (2016 to 2017) through the U.S. Centers for Disease Control and Prevention’s Multi-site Gram-negative Surveillance Initiative (MuGSI) and additional surveillance. KPC-CRE isolates were whole-genome sequenced, yielding 255 isolates from 214 patients across 96 facilities. Case report data on patient comorbidities, facility exposures, and interfacility patient transfer were extracted. We observed that in Connecticut, most KPC-CRE isolates showed evidence of importation from outside the state, with limited local transmission. In Minnesota, cases were mainly from sporadic importation and transmission of bla&lt;inf&gt;KPC&lt;/inf&gt;-carrying Klebsiella pneumoniae ST258, and clonal expansion of bla&lt;inf&gt;KPC&lt;/inf&gt;-carrying Enterobacter hormaechei ST171, primarily at a single focal facility and its satellite facilities. In Tennessee, we observed transmission of diverse strains of bla&lt;inf&gt;KPC&lt;/inf&gt;-carrying Enterobacter and Klesbiella, with evidence that most derived from the local acquisition of bla&lt;inf&gt;KPC&lt;/inf&gt; plasmids circulating in an interconnected regional health care network. Thus, the underlying processes driving KPC-CRE burden can differ substantially across regions and can be discerned through regional genomic surveillance. This study provides proof of concept that integrating genomic data with information on interfacility patient transfers can provide insights into locations and drivers of regional KPC-CRE burden that can enable targeted interventions. © 2023 Elsevier B.V., All rights reserved.","archive":"Scopus","container-title":"Journal of Clinical Microbiology","DOI":"10.1128/jcm.00259-23","issue":"8","title":"Distinct Origins and Transmission Pathways of blaKPC Enterobacterales across Three U.S. States","URL":"https://www.scopus.com/inward/record.uri?eid=2-s2.0-85168788323&amp;doi=10.1128%2Fjcm.00259-23&amp;partnerID=40&amp;md5=08926a243e8980555510e5aafa00f032","volume":"61","author":[{"family":"Lapp","given":"Z."},{"family":"Octaria","given":"R."},{"family":"O’Malley","given":"S.M."},{"family":"Nguyen","given":"T.N."},{"family":"Wolford","given":"H."},{"family":"Crawford","given":"R."},{"family":"Moore","given":"C."},{"family":"Vagnone","given":"P.S."},{"family":"Noel","given":"D."},{"family":"Duffy","given":"N."}],"issued":{"date-parts":[["2023"]]}}}],"schema":"https://github.com/citation-style-language/schema/raw/master/csl-citation.json"} </w:instrText>
            </w:r>
            <w:r>
              <w:fldChar w:fldCharType="separate"/>
            </w:r>
            <w:r w:rsidRPr="00EF2F5A">
              <w:rPr>
                <w:rFonts w:cs="Calibri"/>
              </w:rPr>
              <w:t>(77)</w:t>
            </w:r>
            <w:r>
              <w:fldChar w:fldCharType="end"/>
            </w:r>
          </w:p>
        </w:tc>
        <w:tc>
          <w:tcPr>
            <w:tcW w:w="1559" w:type="dxa"/>
            <w:noWrap/>
          </w:tcPr>
          <w:p w14:paraId="04B4F03F" w14:textId="77777777" w:rsidR="00401E72" w:rsidRPr="00231D8F" w:rsidRDefault="00401E72" w:rsidP="00A21BAE">
            <w:r w:rsidRPr="00231D8F">
              <w:t>0</w:t>
            </w:r>
          </w:p>
        </w:tc>
        <w:tc>
          <w:tcPr>
            <w:tcW w:w="1701" w:type="dxa"/>
            <w:noWrap/>
          </w:tcPr>
          <w:p w14:paraId="2C715EC7" w14:textId="77777777" w:rsidR="00401E72" w:rsidRPr="00231D8F" w:rsidRDefault="00401E72" w:rsidP="00A21BAE">
            <w:r w:rsidRPr="00231D8F">
              <w:t>2</w:t>
            </w:r>
          </w:p>
        </w:tc>
        <w:tc>
          <w:tcPr>
            <w:tcW w:w="1418" w:type="dxa"/>
            <w:noWrap/>
          </w:tcPr>
          <w:p w14:paraId="144DD37C" w14:textId="77777777" w:rsidR="00401E72" w:rsidRPr="00231D8F" w:rsidRDefault="00401E72" w:rsidP="00A21BAE">
            <w:r w:rsidRPr="00231D8F">
              <w:t>2</w:t>
            </w:r>
          </w:p>
        </w:tc>
        <w:tc>
          <w:tcPr>
            <w:tcW w:w="1417" w:type="dxa"/>
            <w:noWrap/>
          </w:tcPr>
          <w:p w14:paraId="08B6F1B3" w14:textId="77777777" w:rsidR="00401E72" w:rsidRPr="00231D8F" w:rsidRDefault="00401E72" w:rsidP="00A21BAE">
            <w:r w:rsidRPr="00231D8F">
              <w:t>7</w:t>
            </w:r>
          </w:p>
        </w:tc>
      </w:tr>
      <w:tr w:rsidR="00401E72" w:rsidRPr="00231D8F" w14:paraId="287146B0" w14:textId="77777777" w:rsidTr="00A21BAE">
        <w:trPr>
          <w:trHeight w:val="288"/>
        </w:trPr>
        <w:tc>
          <w:tcPr>
            <w:tcW w:w="2405" w:type="dxa"/>
            <w:noWrap/>
            <w:hideMark/>
          </w:tcPr>
          <w:p w14:paraId="0D4089EB" w14:textId="77777777" w:rsidR="00401E72" w:rsidRPr="00231D8F" w:rsidRDefault="00401E72" w:rsidP="00A21BAE">
            <w:r w:rsidRPr="00231D8F">
              <w:t>Lee</w:t>
            </w:r>
            <w:r>
              <w:t xml:space="preserve"> et al., </w:t>
            </w:r>
            <w:r w:rsidRPr="00231D8F">
              <w:t>2011a</w:t>
            </w:r>
            <w:r>
              <w:t xml:space="preserve"> </w:t>
            </w:r>
            <w:r>
              <w:fldChar w:fldCharType="begin"/>
            </w:r>
            <w:r>
              <w:instrText xml:space="preserve"> ADDIN ZOTERO_ITEM CSL_CITATION {"citationID":"i3fh6zBu","properties":{"formattedCitation":"(59)","plainCitation":"(59)","noteIndex":0},"citationItems":[{"id":1576,"uris":["http://zotero.org/users/9294180/items/S2M7RLXF"],"itemData":{"id":1576,"type":"article-journal","abstract":"Objectives. We applied social network analyses to determine how hospitals within Orange County, California, are interconnected by patient sharing, a system which may have numerous public health implications.\nMethods. Our analyses considered 2 general patient-sharing networks: uninterrupted patient sharing (UPS; i.e., direct interhospital transfers) and total patient sharing (TPS; i.e., all interhospital patient sharing, including patients with intervening nonhospital stays). We considered these networks at 3 thresholds of patient sharing: at least 1, at least 10, and at least 100 patients shared.\nResults. Geographically proximate hospitals were somewhat more likely to share patients, but many hospitals shared patients with distant hospitals. Number of patient admissions and percentage of cancer patients were associated with greater connectivity across the system. The TPS network revealed numerous connections not seen in the UPS network, meaning that direct transfers only accounted for a fraction of total patient sharing.\nConclusions. Our analysis demonstrated that Orange County’s 32 hospitals were highly and heterogeneously interconnected by patient sharing. Different hospital populations had different levels of inﬂuence over the patient-sharing network. (Am J Public Health. 2011;101:707–713. doi:10.2105/AJPH.2010. 202754)","container-title":"American Journal of Public Health","DOI":"10.2105/AJPH.2010.202754","ISSN":"0090-0036, 1541-0048","issue":"4","journalAbbreviation":"Am J Public Health","language":"en","page":"707-713","source":"DOI.org (Crossref)","title":"Social Network Analysis of Patient Sharing Among Hospitals in Orange County, California","volume":"101","author":[{"family":"Lee","given":"Bruce Y."},{"family":"McGlone","given":"Sarah M."},{"family":"Song","given":"Yeohan"},{"family":"Avery","given":"Taliser R."},{"family":"Eubank","given":"Stephen"},{"family":"Chang","given":"Chung-Chou"},{"family":"Bailey","given":"Rachel R."},{"family":"Wagener","given":"Diane K."},{"family":"Burke","given":"Donald S."},{"family":"Platt","given":"Richard"},{"family":"Huang","given":"Susan S."}],"issued":{"date-parts":[["2011",4]]}}}],"schema":"https://github.com/citation-style-language/schema/raw/master/csl-citation.json"} </w:instrText>
            </w:r>
            <w:r>
              <w:fldChar w:fldCharType="separate"/>
            </w:r>
            <w:r w:rsidRPr="00EF2F5A">
              <w:rPr>
                <w:rFonts w:cs="Calibri"/>
              </w:rPr>
              <w:t>(59)</w:t>
            </w:r>
            <w:r>
              <w:fldChar w:fldCharType="end"/>
            </w:r>
          </w:p>
        </w:tc>
        <w:tc>
          <w:tcPr>
            <w:tcW w:w="1559" w:type="dxa"/>
            <w:noWrap/>
            <w:hideMark/>
          </w:tcPr>
          <w:p w14:paraId="7FF7AF3E" w14:textId="77777777" w:rsidR="00401E72" w:rsidRPr="00231D8F" w:rsidRDefault="00401E72" w:rsidP="00A21BAE">
            <w:r w:rsidRPr="00231D8F">
              <w:t>2</w:t>
            </w:r>
          </w:p>
        </w:tc>
        <w:tc>
          <w:tcPr>
            <w:tcW w:w="1701" w:type="dxa"/>
            <w:noWrap/>
            <w:hideMark/>
          </w:tcPr>
          <w:p w14:paraId="5C0AEA89" w14:textId="77777777" w:rsidR="00401E72" w:rsidRPr="00231D8F" w:rsidRDefault="00401E72" w:rsidP="00A21BAE">
            <w:r w:rsidRPr="00231D8F">
              <w:t>3</w:t>
            </w:r>
          </w:p>
        </w:tc>
        <w:tc>
          <w:tcPr>
            <w:tcW w:w="1418" w:type="dxa"/>
            <w:noWrap/>
            <w:hideMark/>
          </w:tcPr>
          <w:p w14:paraId="29D48447" w14:textId="77777777" w:rsidR="00401E72" w:rsidRPr="00231D8F" w:rsidRDefault="00401E72" w:rsidP="00A21BAE">
            <w:r w:rsidRPr="00231D8F">
              <w:t>4</w:t>
            </w:r>
          </w:p>
        </w:tc>
        <w:tc>
          <w:tcPr>
            <w:tcW w:w="1417" w:type="dxa"/>
            <w:noWrap/>
            <w:hideMark/>
          </w:tcPr>
          <w:p w14:paraId="58E370F5" w14:textId="77777777" w:rsidR="00401E72" w:rsidRPr="00231D8F" w:rsidRDefault="00401E72" w:rsidP="00A21BAE">
            <w:r w:rsidRPr="00231D8F">
              <w:t>3</w:t>
            </w:r>
          </w:p>
        </w:tc>
      </w:tr>
      <w:tr w:rsidR="00401E72" w:rsidRPr="00231D8F" w14:paraId="741C6963" w14:textId="77777777" w:rsidTr="00A21BAE">
        <w:trPr>
          <w:trHeight w:val="288"/>
        </w:trPr>
        <w:tc>
          <w:tcPr>
            <w:tcW w:w="2405" w:type="dxa"/>
            <w:noWrap/>
            <w:hideMark/>
          </w:tcPr>
          <w:p w14:paraId="1CB1A60E" w14:textId="77777777" w:rsidR="00401E72" w:rsidRPr="00231D8F" w:rsidRDefault="00401E72" w:rsidP="00A21BAE">
            <w:r w:rsidRPr="00231D8F">
              <w:t>Lee</w:t>
            </w:r>
            <w:r>
              <w:t xml:space="preserve"> et al., </w:t>
            </w:r>
            <w:r w:rsidRPr="00231D8F">
              <w:t>2011b</w:t>
            </w:r>
            <w:r>
              <w:t xml:space="preserve"> </w:t>
            </w:r>
            <w:r>
              <w:fldChar w:fldCharType="begin"/>
            </w:r>
            <w:r>
              <w:instrText xml:space="preserve"> ADDIN ZOTERO_ITEM CSL_CITATION {"citationID":"3GwJUts0","properties":{"formattedCitation":"(5)","plainCitation":"(5)","noteIndex":0},"citationItems":[{"id":416,"uris":["http://zotero.org/users/9294180/items/PEA3QBPE"],"itemData":{"id":416,"type":"article-journal","abstract":"BACKGROUND: Since hospitals in a region often share patients, an outbreak of methicillin-resistant Staphylococcus aureus (MRSA) infection in one hospital could affect other hospitals.\nMETHODS: Using extensive data collected from Orange County (OC), California, we developed a detailed agent-based model to represent patient movement among all OC hospitals. Experiments simulated MRSA outbreaks in various wards, institutions, and regions. Sensitivity analysis varied lengths of stay, intraward transmission coefficients (β), MRSA loss rate, probability of patient transfer or readmission, and time to readmission.\nRESULTS: Each simulated outbreak eventually affected all of the hospitals in the network, with effects depending on the outbreak size and location. Increasing MRSA prevalence at a single hospital (from 5% to 15%) resulted in a 2.9% average increase in relative prevalence at all other hospitals (ranging from no effect to 46.4%). Single-hospital intensive care unit outbreaks (modeled increase from 5% to 15%) caused a 1.4% average relative increase in all other OC hospitals (ranging from no effect to 12.7%).\nCONCLUSION: MRSA outbreaks may rarely be confined to a single hospital but instead may affect all of the hospitals in a region. This suggests that prevention and control strategies and policies should account for the interconnectedness of health care facilities.","container-title":"Infection Control and Hospital Epidemiology","DOI":"10.1086/660014","ISSN":"1559-6834","issue":"6","journalAbbreviation":"Infect Control Hosp Epidemiol","language":"eng","note":"PMID: 21558768\nPMCID: PMC3388111","page":"562-572","source":"PubMed","title":"Modeling the spread of methicillin-resistant Staphylococcus aureus (MRSA) outbreaks throughout the hospitals in Orange County, California","volume":"32","author":[{"family":"Lee","given":"Bruce Y."},{"family":"McGlone","given":"Sarah M."},{"family":"Wong","given":"Kim F."},{"family":"Yilmaz","given":"S. Levent"},{"family":"Avery","given":"Taliser R."},{"family":"Song","given":"Yeohan"},{"family":"Christie","given":"Richard"},{"family":"Eubank","given":"Stephen"},{"family":"Brown","given":"Shawn T."},{"family":"Epstein","given":"Joshua M."},{"family":"Parker","given":"Jon I."},{"family":"Burke","given":"Donald S."},{"family":"Platt","given":"Richard"},{"family":"Huang","given":"Susan S."}],"issued":{"date-parts":[["2011",6]]}}}],"schema":"https://github.com/citation-style-language/schema/raw/master/csl-citation.json"} </w:instrText>
            </w:r>
            <w:r>
              <w:fldChar w:fldCharType="separate"/>
            </w:r>
            <w:r w:rsidRPr="009D3B5F">
              <w:rPr>
                <w:rFonts w:cs="Calibri"/>
              </w:rPr>
              <w:t>(5)</w:t>
            </w:r>
            <w:r>
              <w:fldChar w:fldCharType="end"/>
            </w:r>
          </w:p>
        </w:tc>
        <w:tc>
          <w:tcPr>
            <w:tcW w:w="1559" w:type="dxa"/>
            <w:noWrap/>
            <w:hideMark/>
          </w:tcPr>
          <w:p w14:paraId="663C31F0" w14:textId="77777777" w:rsidR="00401E72" w:rsidRPr="00231D8F" w:rsidRDefault="00401E72" w:rsidP="00A21BAE">
            <w:r w:rsidRPr="00231D8F">
              <w:t>3</w:t>
            </w:r>
          </w:p>
        </w:tc>
        <w:tc>
          <w:tcPr>
            <w:tcW w:w="1701" w:type="dxa"/>
            <w:noWrap/>
            <w:hideMark/>
          </w:tcPr>
          <w:p w14:paraId="2E54AFA3" w14:textId="77777777" w:rsidR="00401E72" w:rsidRPr="00231D8F" w:rsidRDefault="00401E72" w:rsidP="00A21BAE">
            <w:r w:rsidRPr="00231D8F">
              <w:t>3</w:t>
            </w:r>
          </w:p>
        </w:tc>
        <w:tc>
          <w:tcPr>
            <w:tcW w:w="1418" w:type="dxa"/>
            <w:noWrap/>
            <w:hideMark/>
          </w:tcPr>
          <w:p w14:paraId="01E2C5D4" w14:textId="77777777" w:rsidR="00401E72" w:rsidRPr="00231D8F" w:rsidRDefault="00401E72" w:rsidP="00A21BAE">
            <w:r w:rsidRPr="00231D8F">
              <w:t>4</w:t>
            </w:r>
          </w:p>
        </w:tc>
        <w:tc>
          <w:tcPr>
            <w:tcW w:w="1417" w:type="dxa"/>
            <w:noWrap/>
            <w:hideMark/>
          </w:tcPr>
          <w:p w14:paraId="73CBFFAC" w14:textId="77777777" w:rsidR="00401E72" w:rsidRPr="00231D8F" w:rsidRDefault="00401E72" w:rsidP="00A21BAE">
            <w:r w:rsidRPr="00231D8F">
              <w:t>2</w:t>
            </w:r>
          </w:p>
        </w:tc>
      </w:tr>
      <w:tr w:rsidR="00401E72" w:rsidRPr="00231D8F" w14:paraId="4D125B9D" w14:textId="77777777" w:rsidTr="00A21BAE">
        <w:trPr>
          <w:trHeight w:val="288"/>
        </w:trPr>
        <w:tc>
          <w:tcPr>
            <w:tcW w:w="2405" w:type="dxa"/>
            <w:noWrap/>
            <w:hideMark/>
          </w:tcPr>
          <w:p w14:paraId="0103EE22" w14:textId="77777777" w:rsidR="00401E72" w:rsidRPr="00231D8F" w:rsidRDefault="00401E72" w:rsidP="00A21BAE">
            <w:r w:rsidRPr="00231D8F">
              <w:t>Lee</w:t>
            </w:r>
            <w:r>
              <w:t xml:space="preserve"> et al., </w:t>
            </w:r>
            <w:r w:rsidRPr="00231D8F">
              <w:t>2011c</w:t>
            </w:r>
            <w:r>
              <w:t xml:space="preserve"> </w:t>
            </w:r>
            <w:r>
              <w:fldChar w:fldCharType="begin"/>
            </w:r>
            <w:r>
              <w:instrText xml:space="preserve"> ADDIN ZOTERO_ITEM CSL_CITATION {"citationID":"Ce7eY6Ua","properties":{"formattedCitation":"(50)","plainCitation":"(50)","noteIndex":0},"citationItems":[{"id":1574,"uris":["http://zotero.org/users/9294180/items/K7UHPSE2"],"itemData":{"id":1574,"type":"article-journal","abstract":"Background: Acute care facilities are connected via patient sharing, forming a network. However, patient sharing extends beyond this immediate network to include sharing with long-term care facilities. The extent of long-term care facility patient sharing on the acute care facility network is unknown. The objective of this study was to characterize and determine the extent and pattern of patient transfers to, from, and between long-term care facilities on the network of acute care facilities in a large metropolitan county.\nMethods/Principal Findings: We applied social network constructs principles, measures, and frameworks to all 2007 annual adult and pediatric patient transfers among the healthcare facilities in Orange County, California, using data from surveys and several datasets. We evaluated general network and centrality measures as well as individual ego measures and further constructed sociograms. Our results show that over the course of a year, 66 of 72 long-term care facilities directly sent and 67 directly received patients from other long-term care facilities. Long-term care facilities added 1,524 ties between the acute care facilities when ties represented at least one patient transfer. Geodesic distance did not closely correlate with the geographic distance among facilities.\nConclusions/Significance: This study demonstrates the extent to which long-term care facilities are connected to the acute care facility patient sharing network. Many long-term care facilities were connected by patient transfers and further added many connections to the acute care facility network. This suggests that policy-makers and health officials should account for patient sharing with and among long-term care facilities as well as those among acute care facilities when evaluating policies and interventions.","container-title":"PLoS ONE","DOI":"10.1371/journal.pone.0029342","ISSN":"1932-6203","issue":"12","journalAbbreviation":"PLoS ONE","language":"en","page":"e29342","source":"DOI.org (Crossref)","title":"Long-Term Care Facilities: Important Participants of the Acute Care Facility Social Network?","title-short":"Long-Term Care Facilities","volume":"6","author":[{"family":"Lee","given":"Bruce Y."},{"family":"Song","given":"Yeohan"},{"family":"Bartsch","given":"Sarah M."},{"family":"Kim","given":"Diane S."},{"family":"Singh","given":"Ashima"},{"family":"Avery","given":"Taliser R."},{"family":"Brown","given":"Shawn T."},{"family":"Yilmaz","given":"S. Levent"},{"family":"Wong","given":"Kim F."},{"family":"Potter","given":"Margaret A."},{"family":"Burke","given":"Donald S."},{"family":"Platt","given":"Richard"},{"family":"Huang","given":"Susan S."}],"editor":[{"family":"Morgan","given":"Daniel"}],"issued":{"date-parts":[["2011",12,27]]}}}],"schema":"https://github.com/citation-style-language/schema/raw/master/csl-citation.json"} </w:instrText>
            </w:r>
            <w:r>
              <w:fldChar w:fldCharType="separate"/>
            </w:r>
            <w:r w:rsidRPr="00735B0C">
              <w:t>(50)</w:t>
            </w:r>
            <w:r>
              <w:fldChar w:fldCharType="end"/>
            </w:r>
          </w:p>
        </w:tc>
        <w:tc>
          <w:tcPr>
            <w:tcW w:w="1559" w:type="dxa"/>
            <w:noWrap/>
            <w:hideMark/>
          </w:tcPr>
          <w:p w14:paraId="0ED348E0" w14:textId="77777777" w:rsidR="00401E72" w:rsidRPr="00231D8F" w:rsidRDefault="00401E72" w:rsidP="00A21BAE">
            <w:r w:rsidRPr="00231D8F">
              <w:t>1</w:t>
            </w:r>
          </w:p>
        </w:tc>
        <w:tc>
          <w:tcPr>
            <w:tcW w:w="1701" w:type="dxa"/>
            <w:noWrap/>
            <w:hideMark/>
          </w:tcPr>
          <w:p w14:paraId="5A9F6788" w14:textId="77777777" w:rsidR="00401E72" w:rsidRPr="00231D8F" w:rsidRDefault="00401E72" w:rsidP="00A21BAE">
            <w:r w:rsidRPr="00231D8F">
              <w:t>4</w:t>
            </w:r>
          </w:p>
        </w:tc>
        <w:tc>
          <w:tcPr>
            <w:tcW w:w="1418" w:type="dxa"/>
            <w:noWrap/>
            <w:hideMark/>
          </w:tcPr>
          <w:p w14:paraId="3053AD8D" w14:textId="77777777" w:rsidR="00401E72" w:rsidRPr="00231D8F" w:rsidRDefault="00401E72" w:rsidP="00A21BAE">
            <w:r w:rsidRPr="00231D8F">
              <w:t>5</w:t>
            </w:r>
          </w:p>
        </w:tc>
        <w:tc>
          <w:tcPr>
            <w:tcW w:w="1417" w:type="dxa"/>
            <w:noWrap/>
            <w:hideMark/>
          </w:tcPr>
          <w:p w14:paraId="1535D3FD" w14:textId="77777777" w:rsidR="00401E72" w:rsidRPr="00231D8F" w:rsidRDefault="00401E72" w:rsidP="00A21BAE">
            <w:r w:rsidRPr="00231D8F">
              <w:t>2</w:t>
            </w:r>
          </w:p>
        </w:tc>
      </w:tr>
      <w:tr w:rsidR="00401E72" w:rsidRPr="00231D8F" w14:paraId="00BBD5CD" w14:textId="77777777" w:rsidTr="00A21BAE">
        <w:trPr>
          <w:trHeight w:val="288"/>
        </w:trPr>
        <w:tc>
          <w:tcPr>
            <w:tcW w:w="2405" w:type="dxa"/>
            <w:noWrap/>
            <w:hideMark/>
          </w:tcPr>
          <w:p w14:paraId="5451738B" w14:textId="77777777" w:rsidR="00401E72" w:rsidRPr="00231D8F" w:rsidRDefault="00401E72" w:rsidP="00A21BAE">
            <w:r w:rsidRPr="00231D8F">
              <w:t>Lee</w:t>
            </w:r>
            <w:r>
              <w:t xml:space="preserve"> et al., </w:t>
            </w:r>
            <w:r w:rsidRPr="00231D8F">
              <w:t>2012</w:t>
            </w:r>
            <w:r>
              <w:t xml:space="preserve"> </w:t>
            </w:r>
            <w:r>
              <w:fldChar w:fldCharType="begin"/>
            </w:r>
            <w:r>
              <w:instrText xml:space="preserve"> ADDIN ZOTERO_ITEM CSL_CITATION {"citationID":"EipJHcOx","properties":{"formattedCitation":"(86)","plainCitation":"(86)","noteIndex":0},"citationItems":[{"id":419,"uris":["http://zotero.org/users/9294180/items/UQ3KVWNR"],"itemData":{"id":419,"type":"article-journal","abstract":"Efforts to control life-threatening infections, such as with methicillin-resistant Staphylococcus aureus (MRSA), can be complicated when patients are transferred from one hospital to another. Using a detailed computer simulation model of all hospitals in Orange County, California, we explored the effects when combinations of hospitals tested all patients at admission for MRSA and adopted procedures to limit transmission among patients who tested positive. Called “contact isolation,” these procedures specify precautions for health care workers interacting with an infected patient, such as wearing gloves and gowns. Our simulation demonstrated that each hospital’s decision to test for MRSA and implement contact isolation procedures could affect the MRSA prevalence in all other hospitals. Thus, our study makes the case that further cooperation among hospitals—which is already reflected in a few limited collaborative infection control efforts under way—could help individual hospitals achieve better infection control than they could achieve on their own.","container-title":"Health affairs (Project Hope)","DOI":"10.1377/hlthaff.2011.0992","ISSN":"0278-2715","issue":"10","journalAbbreviation":"Health Aff (Millwood)","note":"PMID: 23048111\nPMCID: PMC3763190","page":"2295-2303","source":"PubMed Central","title":"Simulation Shows Hospitals That Cooperate On Infection Control Obtain Better Results Than Hospitals Acting Alone","volume":"31","author":[{"family":"Lee","given":"Bruce Y."},{"family":"Bartsch","given":"Sarah M."},{"family":"Wong","given":"Kim F."},{"family":"Yilmaz","given":"S. Levent"},{"family":"Avery","given":"Taliser R."},{"family":"Singh","given":"Ashima"},{"family":"Song","given":"Yeohan"},{"family":"Kim","given":"Diane S."},{"family":"Brown","given":"Shawn T."},{"family":"Potter","given":"Margaret A."},{"family":"Platt","given":"Richard"},{"family":"Huang","given":"Susan S."}],"issued":{"date-parts":[["2012",10]]}}}],"schema":"https://github.com/citation-style-language/schema/raw/master/csl-citation.json"} </w:instrText>
            </w:r>
            <w:r>
              <w:fldChar w:fldCharType="separate"/>
            </w:r>
            <w:r w:rsidRPr="00735B0C">
              <w:t>(86)</w:t>
            </w:r>
            <w:r>
              <w:fldChar w:fldCharType="end"/>
            </w:r>
          </w:p>
        </w:tc>
        <w:tc>
          <w:tcPr>
            <w:tcW w:w="1559" w:type="dxa"/>
            <w:noWrap/>
            <w:hideMark/>
          </w:tcPr>
          <w:p w14:paraId="53CA8FB6" w14:textId="77777777" w:rsidR="00401E72" w:rsidRPr="00231D8F" w:rsidRDefault="00401E72" w:rsidP="00A21BAE">
            <w:r w:rsidRPr="00231D8F">
              <w:t>2</w:t>
            </w:r>
          </w:p>
        </w:tc>
        <w:tc>
          <w:tcPr>
            <w:tcW w:w="1701" w:type="dxa"/>
            <w:noWrap/>
            <w:hideMark/>
          </w:tcPr>
          <w:p w14:paraId="1CF80865" w14:textId="77777777" w:rsidR="00401E72" w:rsidRPr="00231D8F" w:rsidRDefault="00401E72" w:rsidP="00A21BAE">
            <w:r w:rsidRPr="00231D8F">
              <w:t>4</w:t>
            </w:r>
          </w:p>
        </w:tc>
        <w:tc>
          <w:tcPr>
            <w:tcW w:w="1418" w:type="dxa"/>
            <w:noWrap/>
            <w:hideMark/>
          </w:tcPr>
          <w:p w14:paraId="7266C4E8" w14:textId="77777777" w:rsidR="00401E72" w:rsidRPr="00231D8F" w:rsidRDefault="00401E72" w:rsidP="00A21BAE">
            <w:r w:rsidRPr="00231D8F">
              <w:t>6</w:t>
            </w:r>
          </w:p>
        </w:tc>
        <w:tc>
          <w:tcPr>
            <w:tcW w:w="1417" w:type="dxa"/>
            <w:noWrap/>
            <w:hideMark/>
          </w:tcPr>
          <w:p w14:paraId="6B9CFDA7" w14:textId="77777777" w:rsidR="00401E72" w:rsidRPr="00231D8F" w:rsidRDefault="00401E72" w:rsidP="00A21BAE">
            <w:r w:rsidRPr="00231D8F">
              <w:t>0</w:t>
            </w:r>
          </w:p>
        </w:tc>
      </w:tr>
      <w:tr w:rsidR="00401E72" w:rsidRPr="00231D8F" w14:paraId="34BAA134" w14:textId="77777777" w:rsidTr="00A21BAE">
        <w:trPr>
          <w:trHeight w:val="288"/>
        </w:trPr>
        <w:tc>
          <w:tcPr>
            <w:tcW w:w="2405" w:type="dxa"/>
            <w:noWrap/>
            <w:hideMark/>
          </w:tcPr>
          <w:p w14:paraId="4105BCC4" w14:textId="77777777" w:rsidR="00401E72" w:rsidRPr="00231D8F" w:rsidRDefault="00401E72" w:rsidP="00A21BAE">
            <w:r w:rsidRPr="00231D8F">
              <w:t>Lee</w:t>
            </w:r>
            <w:r>
              <w:t xml:space="preserve"> et al., </w:t>
            </w:r>
            <w:r w:rsidRPr="00231D8F">
              <w:t>2013a</w:t>
            </w:r>
            <w:r>
              <w:t xml:space="preserve"> </w:t>
            </w:r>
            <w:r>
              <w:fldChar w:fldCharType="begin"/>
            </w:r>
            <w:r>
              <w:instrText xml:space="preserve"> ADDIN ZOTERO_ITEM CSL_CITATION {"citationID":"dtYdrxCe","properties":{"formattedCitation":"(29)","plainCitation":"(29)","noteIndex":0},"citationItems":[{"id":418,"uris":["http://zotero.org/users/9294180/items/ZXKJVVC5"],"itemData":{"id":418,"type":"article-journal","abstract":"BACKGROUND: Hospital infection control strategies and programs may not consider control of methicillin-resistant Staphylococcus aureus (MRSA) in nursing homes in a county.\nMETHODS: Using our Regional Healthcare Ecosystem Analyst, we augmented our existing agent-based model of all hospitals in Orange County (OC), California, by adding all nursing homes and then simulated MRSA outbreaks in various health care facilities.\nRESULTS: The addition of nursing homes substantially changed MRSA transmission dynamics throughout the county. The presence of nursing homes substantially potentiated the effects of hospital outbreaks on other hospitals, leading to an average 46.2% (range, 3.3%-156.1%) relative increase above and beyond the impact when only hospitals are included for an outbreak in OC's largest hospital. An outbreak in the largest hospital affected all other hospitals (average 2.1% relative prevalence increase) and the majority (~90%) of nursing homes (average 3.2% relative increase) after 6 months. An outbreak in the largest nursing home had effects on multiple OC hospitals, increasing MRSA prevalence in directly connected hospitals by an average 0.3% and in hospitals not directly connected through patient transfers by an average 0.1% after 6 months. A nursing home outbreak also had some effect on MRSA prevalence in other nursing homes.\nCONCLUSIONS: Nursing homes, even those not connected by direct patient transfers, may be a vital component of a hospital's infection control strategy. To achieve effective control, a hospital may want to better understand how regional nursing homes and hospitals are connected through both direct and indirect (with intervening stays at home) patient sharing.","container-title":"Medical Care","DOI":"10.1097/MLR.0b013e3182836dc2","ISSN":"1537-1948","issue":"3","journalAbbreviation":"Med Care","language":"eng","note":"PMID: 23358388\nPMCID: PMC3687037","page":"205-215","source":"PubMed","title":"The importance of nursing homes in the spread of methicillin-resistant Staphylococcus aureus (MRSA) among hospitals","volume":"51","author":[{"family":"Lee","given":"Bruce Y."},{"family":"Bartsch","given":"Sarah M."},{"family":"Wong","given":"Kim F."},{"family":"Singh","given":"Ashima"},{"family":"Avery","given":"Taliser R."},{"family":"Kim","given":"Diane S."},{"family":"Brown","given":"Shawn T."},{"family":"Murphy","given":"Courtney R."},{"family":"Yilmaz","given":"Server Levent"},{"family":"Potter","given":"Margaret A."},{"family":"Huang","given":"Susan S."}],"issued":{"date-parts":[["2013",3]]}}}],"schema":"https://github.com/citation-style-language/schema/raw/master/csl-citation.json"} </w:instrText>
            </w:r>
            <w:r>
              <w:fldChar w:fldCharType="separate"/>
            </w:r>
            <w:r w:rsidRPr="00E56AA7">
              <w:t>(29)</w:t>
            </w:r>
            <w:r>
              <w:fldChar w:fldCharType="end"/>
            </w:r>
          </w:p>
        </w:tc>
        <w:tc>
          <w:tcPr>
            <w:tcW w:w="1559" w:type="dxa"/>
            <w:noWrap/>
            <w:hideMark/>
          </w:tcPr>
          <w:p w14:paraId="142773E3" w14:textId="77777777" w:rsidR="00401E72" w:rsidRPr="00231D8F" w:rsidRDefault="00401E72" w:rsidP="00A21BAE">
            <w:r w:rsidRPr="00231D8F">
              <w:t>1</w:t>
            </w:r>
          </w:p>
        </w:tc>
        <w:tc>
          <w:tcPr>
            <w:tcW w:w="1701" w:type="dxa"/>
            <w:noWrap/>
            <w:hideMark/>
          </w:tcPr>
          <w:p w14:paraId="489591BF" w14:textId="77777777" w:rsidR="00401E72" w:rsidRPr="00231D8F" w:rsidRDefault="00401E72" w:rsidP="00A21BAE">
            <w:r w:rsidRPr="00231D8F">
              <w:t>3</w:t>
            </w:r>
          </w:p>
        </w:tc>
        <w:tc>
          <w:tcPr>
            <w:tcW w:w="1418" w:type="dxa"/>
            <w:noWrap/>
            <w:hideMark/>
          </w:tcPr>
          <w:p w14:paraId="2D0534C3" w14:textId="77777777" w:rsidR="00401E72" w:rsidRPr="00231D8F" w:rsidRDefault="00401E72" w:rsidP="00A21BAE">
            <w:r w:rsidRPr="00231D8F">
              <w:t>6</w:t>
            </w:r>
          </w:p>
        </w:tc>
        <w:tc>
          <w:tcPr>
            <w:tcW w:w="1417" w:type="dxa"/>
            <w:noWrap/>
            <w:hideMark/>
          </w:tcPr>
          <w:p w14:paraId="3BC5F7A7" w14:textId="77777777" w:rsidR="00401E72" w:rsidRPr="00231D8F" w:rsidRDefault="00401E72" w:rsidP="00A21BAE">
            <w:r w:rsidRPr="00231D8F">
              <w:t>2</w:t>
            </w:r>
          </w:p>
        </w:tc>
      </w:tr>
      <w:tr w:rsidR="00401E72" w:rsidRPr="00231D8F" w14:paraId="606533E1" w14:textId="77777777" w:rsidTr="00A21BAE">
        <w:trPr>
          <w:trHeight w:val="288"/>
        </w:trPr>
        <w:tc>
          <w:tcPr>
            <w:tcW w:w="2405" w:type="dxa"/>
            <w:noWrap/>
            <w:hideMark/>
          </w:tcPr>
          <w:p w14:paraId="76C71211" w14:textId="77777777" w:rsidR="00401E72" w:rsidRPr="00231D8F" w:rsidRDefault="00401E72" w:rsidP="00A21BAE">
            <w:r w:rsidRPr="00231D8F">
              <w:t>Lee</w:t>
            </w:r>
            <w:r>
              <w:t xml:space="preserve"> et al., </w:t>
            </w:r>
            <w:r w:rsidRPr="00231D8F">
              <w:t>2013b</w:t>
            </w:r>
            <w:r>
              <w:t xml:space="preserve"> </w:t>
            </w:r>
            <w:r>
              <w:fldChar w:fldCharType="begin"/>
            </w:r>
            <w:r>
              <w:instrText xml:space="preserve"> ADDIN ZOTERO_ITEM CSL_CITATION {"citationID":"i6kKycS0","properties":{"formattedCitation":"(38)","plainCitation":"(38)","noteIndex":0},"citationItems":[{"id":414,"uris":["http://zotero.org/users/9294180/items/KVRFZCJL"],"itemData":{"id":414,"type":"article-journal","abstract":"OBJECTIVE: As healthcare systems continue to expand and interconnect with each other through patient sharing, administrators, policy makers, infection control specialists, and other decision makers may have to take account of the entire healthcare 'ecosystem' in infection control.\nMATERIALS AND METHODS: We developed a software tool, the Regional Healthcare Ecosystem Analyst (RHEA), that can accept user-inputted data to rapidly create a detailed agent-based simulation model (ABM) of the healthcare ecosystem (ie, all healthcare facilities, their adjoining community, and patient flow among the facilities) of any region to better understand the spread and control of infectious diseases.\nRESULTS: To demonstrate RHEA's capabilities, we fed extensive data from Orange County, California, USA, into RHEA to create an ABM of a healthcare ecosystem and simulate the spread and control of methicillin-resistant Staphylococcus aureus. Various experiments explored the effects of changing different parameters (eg, degree of transmission, length of stay, and bed capacity).\nDISCUSSION: Our model emphasizes how individual healthcare facilities are components of integrated and dynamic networks connected via patient movement and how occurrences in one healthcare facility may affect many other healthcare facilities.\nCONCLUSIONS: A decision maker can utilize RHEA to generate a detailed ABM of any healthcare system of interest, which in turn can serve as a virtual laboratory to test different policies and interventions.","container-title":"Journal of the American Medical Informatics Association: JAMIA","DOI":"10.1136/amiajnl-2012-001107","ISSN":"1527-974X","issue":"e1","journalAbbreviation":"J Am Med Inform Assoc","language":"eng","note":"PMID: 23571848\nPMCID: PMC3715346","page":"e139-146","source":"PubMed","title":"The Regional Healthcare Ecosystem Analyst (RHEA): a simulation modeling tool to assist infectious disease control in a health system","title-short":"The Regional Healthcare Ecosystem Analyst (RHEA)","volume":"20","author":[{"family":"Lee","given":"Bruce Y."},{"family":"Wong","given":"Kim F."},{"family":"Bartsch","given":"Sarah M."},{"family":"Yilmaz","given":"S. Levent"},{"family":"Avery","given":"Taliser R."},{"family":"Brown","given":"Shawn T."},{"family":"Song","given":"Yeohan"},{"family":"Singh","given":"Ashima"},{"family":"Kim","given":"Diane S."},{"family":"Huang","given":"Susan S."}],"issued":{"date-parts":[["2013",6]]}}}],"schema":"https://github.com/citation-style-language/schema/raw/master/csl-citation.json"} </w:instrText>
            </w:r>
            <w:r>
              <w:fldChar w:fldCharType="separate"/>
            </w:r>
            <w:r w:rsidRPr="00EF2F5A">
              <w:rPr>
                <w:rFonts w:cs="Calibri"/>
              </w:rPr>
              <w:t>(38)</w:t>
            </w:r>
            <w:r>
              <w:fldChar w:fldCharType="end"/>
            </w:r>
          </w:p>
        </w:tc>
        <w:tc>
          <w:tcPr>
            <w:tcW w:w="1559" w:type="dxa"/>
            <w:noWrap/>
            <w:hideMark/>
          </w:tcPr>
          <w:p w14:paraId="4E0D0FA2" w14:textId="77777777" w:rsidR="00401E72" w:rsidRPr="00231D8F" w:rsidRDefault="00401E72" w:rsidP="00A21BAE">
            <w:r w:rsidRPr="00231D8F">
              <w:t>1</w:t>
            </w:r>
          </w:p>
        </w:tc>
        <w:tc>
          <w:tcPr>
            <w:tcW w:w="1701" w:type="dxa"/>
            <w:noWrap/>
            <w:hideMark/>
          </w:tcPr>
          <w:p w14:paraId="661DA49F" w14:textId="77777777" w:rsidR="00401E72" w:rsidRPr="00231D8F" w:rsidRDefault="00401E72" w:rsidP="00A21BAE">
            <w:r w:rsidRPr="00231D8F">
              <w:t>3</w:t>
            </w:r>
          </w:p>
        </w:tc>
        <w:tc>
          <w:tcPr>
            <w:tcW w:w="1418" w:type="dxa"/>
            <w:noWrap/>
            <w:hideMark/>
          </w:tcPr>
          <w:p w14:paraId="1A4161BF" w14:textId="77777777" w:rsidR="00401E72" w:rsidRPr="00231D8F" w:rsidRDefault="00401E72" w:rsidP="00A21BAE">
            <w:r w:rsidRPr="00231D8F">
              <w:t>7</w:t>
            </w:r>
          </w:p>
        </w:tc>
        <w:tc>
          <w:tcPr>
            <w:tcW w:w="1417" w:type="dxa"/>
            <w:noWrap/>
            <w:hideMark/>
          </w:tcPr>
          <w:p w14:paraId="594FAB23" w14:textId="77777777" w:rsidR="00401E72" w:rsidRPr="00231D8F" w:rsidRDefault="00401E72" w:rsidP="00A21BAE">
            <w:r w:rsidRPr="00231D8F">
              <w:t>1</w:t>
            </w:r>
          </w:p>
        </w:tc>
      </w:tr>
      <w:tr w:rsidR="00401E72" w:rsidRPr="00231D8F" w14:paraId="48A60D8B" w14:textId="77777777" w:rsidTr="00A21BAE">
        <w:trPr>
          <w:trHeight w:val="288"/>
        </w:trPr>
        <w:tc>
          <w:tcPr>
            <w:tcW w:w="2405" w:type="dxa"/>
            <w:noWrap/>
            <w:hideMark/>
          </w:tcPr>
          <w:p w14:paraId="25843A99" w14:textId="77777777" w:rsidR="00401E72" w:rsidRPr="00231D8F" w:rsidRDefault="00401E72" w:rsidP="00A21BAE">
            <w:r w:rsidRPr="00231D8F">
              <w:t>Lee</w:t>
            </w:r>
            <w:r>
              <w:t xml:space="preserve"> et al., </w:t>
            </w:r>
            <w:r w:rsidRPr="00231D8F">
              <w:t>2013c</w:t>
            </w:r>
            <w:r>
              <w:t xml:space="preserve"> </w:t>
            </w:r>
            <w:r>
              <w:fldChar w:fldCharType="begin"/>
            </w:r>
            <w:r>
              <w:instrText xml:space="preserve"> ADDIN ZOTERO_ITEM CSL_CITATION {"citationID":"swnJfi6z","properties":{"formattedCitation":"(87)","plainCitation":"(87)","noteIndex":0},"citationItems":[{"id":413,"uris":["http://zotero.org/users/9294180/items/X6LUNP28"],"itemData":{"id":413,"type":"article-journal","abstract":"Background\nBecause patients can remain colonized with vancomycin-resistant enterococci (VRE) for long periods of time, VRE may spread from one health care facility to another.\n\nMethods\nUsing the Regional Healthcare Ecosystem Analyst, an agent-based model of patient flow among all Orange County, California, hospitals and communities, we quantified the degree and speed at which changes in VRE colonization prevalence in a hospital may affect prevalence in other Orange County hospitals.\n\nResults\nA sustained 10% increase in VRE colonization prevalence in any 1 hospital caused a 2.8% (none to 62%) average relative increase in VRE prevalence in all other hospitals. Effects took from 1.5 to &gt;10 years to fully manifest. Larger hospitals tended to have greater affect on other hospitals.\n\nConclusions\nWhen monitoring and controlling VRE, decision makers may want to account for regional effects. Knowing a hospital’s connections with other health care facilities via patient sharing can help determine which hospitals to include in a surveillance or control program.","container-title":"American journal of infection control","DOI":"10.1016/j.ajic.2013.01.013","ISSN":"0196-6553","issue":"8","journalAbbreviation":"Am J Infect Control","note":"PMID: 23896284\nPMCID: PMC3836830","page":"10.1016/j.ajic.2013.01.013","source":"PubMed Central","title":"Modeling the regional spread and control of vancomycin-resistant enterococci","volume":"41","author":[{"family":"Lee","given":"Bruce Y."},{"family":"Yilmaz","given":"S. Levent"},{"family":"Wong","given":"Kim F."},{"family":"Bartsch","given":"Sarah M."},{"family":"Eubank","given":"Stephen"},{"family":"Song","given":"Yeohan"},{"family":"Avery","given":"Taliser R."},{"family":"Christie","given":"Richard"},{"family":"Brown","given":"Shawn T."},{"family":"Epstein","given":"Joshua M."},{"family":"Parker","given":"Jon I."},{"family":"Huang","given":"Susan S."}],"issued":{"date-parts":[["2013",8]]}}}],"schema":"https://github.com/citation-style-language/schema/raw/master/csl-citation.json"} </w:instrText>
            </w:r>
            <w:r>
              <w:fldChar w:fldCharType="separate"/>
            </w:r>
            <w:r w:rsidRPr="00735B0C">
              <w:t>(87)</w:t>
            </w:r>
            <w:r>
              <w:fldChar w:fldCharType="end"/>
            </w:r>
          </w:p>
        </w:tc>
        <w:tc>
          <w:tcPr>
            <w:tcW w:w="1559" w:type="dxa"/>
            <w:noWrap/>
            <w:hideMark/>
          </w:tcPr>
          <w:p w14:paraId="5CC8BCB9" w14:textId="77777777" w:rsidR="00401E72" w:rsidRPr="00231D8F" w:rsidRDefault="00401E72" w:rsidP="00A21BAE">
            <w:r w:rsidRPr="00231D8F">
              <w:t>1</w:t>
            </w:r>
          </w:p>
        </w:tc>
        <w:tc>
          <w:tcPr>
            <w:tcW w:w="1701" w:type="dxa"/>
            <w:noWrap/>
            <w:hideMark/>
          </w:tcPr>
          <w:p w14:paraId="1BFCE771" w14:textId="77777777" w:rsidR="00401E72" w:rsidRPr="00231D8F" w:rsidRDefault="00401E72" w:rsidP="00A21BAE">
            <w:r w:rsidRPr="00231D8F">
              <w:t>3</w:t>
            </w:r>
          </w:p>
        </w:tc>
        <w:tc>
          <w:tcPr>
            <w:tcW w:w="1418" w:type="dxa"/>
            <w:noWrap/>
            <w:hideMark/>
          </w:tcPr>
          <w:p w14:paraId="5047928C" w14:textId="77777777" w:rsidR="00401E72" w:rsidRPr="00231D8F" w:rsidRDefault="00401E72" w:rsidP="00A21BAE">
            <w:r w:rsidRPr="00231D8F">
              <w:t>6</w:t>
            </w:r>
          </w:p>
        </w:tc>
        <w:tc>
          <w:tcPr>
            <w:tcW w:w="1417" w:type="dxa"/>
            <w:noWrap/>
            <w:hideMark/>
          </w:tcPr>
          <w:p w14:paraId="64CDDD0C" w14:textId="77777777" w:rsidR="00401E72" w:rsidRPr="00231D8F" w:rsidRDefault="00401E72" w:rsidP="00A21BAE">
            <w:r w:rsidRPr="00231D8F">
              <w:t>2</w:t>
            </w:r>
          </w:p>
        </w:tc>
      </w:tr>
      <w:tr w:rsidR="00401E72" w:rsidRPr="00231D8F" w14:paraId="37B3D2DB" w14:textId="77777777" w:rsidTr="00A21BAE">
        <w:trPr>
          <w:trHeight w:val="288"/>
        </w:trPr>
        <w:tc>
          <w:tcPr>
            <w:tcW w:w="2405" w:type="dxa"/>
            <w:noWrap/>
            <w:hideMark/>
          </w:tcPr>
          <w:p w14:paraId="256274D3" w14:textId="77777777" w:rsidR="00401E72" w:rsidRPr="00231D8F" w:rsidRDefault="00401E72" w:rsidP="00A21BAE">
            <w:r w:rsidRPr="00231D8F">
              <w:t>Lee</w:t>
            </w:r>
            <w:r>
              <w:t xml:space="preserve"> et al., </w:t>
            </w:r>
            <w:r w:rsidRPr="00231D8F">
              <w:t>2013d</w:t>
            </w:r>
            <w:r>
              <w:t xml:space="preserve"> </w:t>
            </w:r>
            <w:r>
              <w:fldChar w:fldCharType="begin"/>
            </w:r>
            <w:r>
              <w:instrText xml:space="preserve"> ADDIN ZOTERO_ITEM CSL_CITATION {"citationID":"1S2ifqR5","properties":{"formattedCitation":"(51)","plainCitation":"(51)","noteIndex":0},"citationItems":[{"id":415,"uris":["http://zotero.org/users/9294180/items/FKBN4VDC"],"itemData":{"id":415,"type":"article-journal","abstract":"OBJECTIVE: Implementation of contact precautions in nursing homes to prevent methicillin-resistant Staphylococcus aureus (MRSA) transmission could cost time and effort and may have wide-ranging effects throughout multiple health facilities. Computational modeling could forecast the potential effects and guide policy making.\nDESIGN: Our multihospital computational agent-based model, Regional Healthcare Ecosystem Analyst (RHEA).\nSETTING: All hospitals and nursing homes in Orange County, California.\nMETHODS: Our simulation model compared the following 3 contact precaution strategies: (1) no contact precautions applied to any nursing home residents, (2) contact precautions applied to those with clinically apparent MRSA infections, and (3) contact precautions applied to all known MRSA carriers as determined by MRSA screening performed by hospitals.\nRESULTS: Our model demonstrated that contact precautions for patients with clinically apparent MRSA infections in nursing homes resulted in a median 0.4% (range, 0%-1.6%) relative decrease in MRSA prevalence in nursing homes (with 50% adherence) but had no effect on hospital MRSA prevalence, even 5 years after initiation. Implementation of contact precautions (with 50% adherence) in nursing homes for all known MRSA carriers was associated with a median 14.2% (range, 2.1%-21.8%) relative decrease in MRSA prevalence in nursing homes and a 2.3% decrease (range, 0%-7.1%) in hospitals 1 year after implementation. Benefits accrued over time and increased with increasing compliance.\nCONCLUSIONS: Our modeling study demonstrated the substantial benefits of extending contact precautions in nursing homes from just those residents with clinically apparent infection to all MRSA carriers, which suggests the benefits of hospitals and nursing homes sharing and coordinating information on MRSA surveillance and carriage status.","container-title":"Infection Control and Hospital Epidemiology","DOI":"10.1086/669091","ISSN":"1559-6834","issue":"2","journalAbbreviation":"Infect Control Hosp Epidemiol","language":"eng","note":"PMID: 23295561\nPMCID: PMC3763186","page":"151-160","source":"PubMed","title":"The potential regional impact of contact precaution use in nursing homes to control methicillin-resistant Staphylococcus aureus","volume":"34","author":[{"family":"Lee","given":"Bruce Y."},{"family":"Singh","given":"Ashima"},{"family":"Bartsch","given":"Sarah M."},{"family":"Wong","given":"Kim F."},{"family":"Kim","given":"Diane S."},{"family":"Avery","given":"Taliser R."},{"family":"Brown","given":"Shawn T."},{"family":"Murphy","given":"Courtney R."},{"family":"Yilmaz","given":"S. Levent"},{"family":"Huang","given":"Susan S."}],"issued":{"date-parts":[["2013",2]]}}}],"schema":"https://github.com/citation-style-language/schema/raw/master/csl-citation.json"} </w:instrText>
            </w:r>
            <w:r>
              <w:fldChar w:fldCharType="separate"/>
            </w:r>
            <w:r w:rsidRPr="00735B0C">
              <w:t>(51)</w:t>
            </w:r>
            <w:r>
              <w:fldChar w:fldCharType="end"/>
            </w:r>
          </w:p>
        </w:tc>
        <w:tc>
          <w:tcPr>
            <w:tcW w:w="1559" w:type="dxa"/>
            <w:noWrap/>
            <w:hideMark/>
          </w:tcPr>
          <w:p w14:paraId="4D2888A3" w14:textId="77777777" w:rsidR="00401E72" w:rsidRPr="00231D8F" w:rsidRDefault="00401E72" w:rsidP="00A21BAE">
            <w:r w:rsidRPr="00231D8F">
              <w:t>1</w:t>
            </w:r>
          </w:p>
        </w:tc>
        <w:tc>
          <w:tcPr>
            <w:tcW w:w="1701" w:type="dxa"/>
            <w:noWrap/>
            <w:hideMark/>
          </w:tcPr>
          <w:p w14:paraId="270EA1B8" w14:textId="77777777" w:rsidR="00401E72" w:rsidRPr="00231D8F" w:rsidRDefault="00401E72" w:rsidP="00A21BAE">
            <w:r w:rsidRPr="00231D8F">
              <w:t>3</w:t>
            </w:r>
          </w:p>
        </w:tc>
        <w:tc>
          <w:tcPr>
            <w:tcW w:w="1418" w:type="dxa"/>
            <w:noWrap/>
            <w:hideMark/>
          </w:tcPr>
          <w:p w14:paraId="775ED4C6" w14:textId="77777777" w:rsidR="00401E72" w:rsidRPr="00231D8F" w:rsidRDefault="00401E72" w:rsidP="00A21BAE">
            <w:r w:rsidRPr="00231D8F">
              <w:t>7</w:t>
            </w:r>
          </w:p>
        </w:tc>
        <w:tc>
          <w:tcPr>
            <w:tcW w:w="1417" w:type="dxa"/>
            <w:noWrap/>
            <w:hideMark/>
          </w:tcPr>
          <w:p w14:paraId="0C15B455" w14:textId="77777777" w:rsidR="00401E72" w:rsidRPr="00231D8F" w:rsidRDefault="00401E72" w:rsidP="00A21BAE">
            <w:r w:rsidRPr="00231D8F">
              <w:t>1</w:t>
            </w:r>
          </w:p>
        </w:tc>
      </w:tr>
      <w:tr w:rsidR="00401E72" w:rsidRPr="00231D8F" w14:paraId="729791E9" w14:textId="77777777" w:rsidTr="00A21BAE">
        <w:trPr>
          <w:trHeight w:val="288"/>
        </w:trPr>
        <w:tc>
          <w:tcPr>
            <w:tcW w:w="2405" w:type="dxa"/>
            <w:noWrap/>
            <w:hideMark/>
          </w:tcPr>
          <w:p w14:paraId="08ACFB52" w14:textId="77777777" w:rsidR="00401E72" w:rsidRPr="00231D8F" w:rsidRDefault="00401E72" w:rsidP="00A21BAE">
            <w:r w:rsidRPr="00231D8F">
              <w:t>Lee</w:t>
            </w:r>
            <w:r>
              <w:t xml:space="preserve"> et al., </w:t>
            </w:r>
            <w:r w:rsidRPr="00231D8F">
              <w:t>2016</w:t>
            </w:r>
            <w:r>
              <w:t xml:space="preserve"> </w:t>
            </w:r>
            <w:r>
              <w:fldChar w:fldCharType="begin"/>
            </w:r>
            <w:r>
              <w:instrText xml:space="preserve"> ADDIN ZOTERO_ITEM CSL_CITATION {"citationID":"aNI3ghmM","properties":{"formattedCitation":"(40)","plainCitation":"(40)","noteIndex":0},"citationItems":[{"id":417,"uris":["http://zotero.org/users/9294180/items/P6E9VC9H"],"itemData":{"id":417,"type":"article-journal","abstract":"Carbapenem-resistant Enterobacteriaceae (CRE), a group of pathogens resistant to most antibiotics and associated with high mortality, are a rising emerging public health threat. Current approaches to infection control and prevention have not been adequate to prevent spread. An important but unproven approach is to have hospitals in a region coordinate surveillance and infection control measures. Using our Regional Healthcare Ecosystem Analyst (RHEA) simulation model and detailed Orange County, California, patient-level data on adult inpatient hospital and nursing home admissions (2011–2012), we simulated the spread of CRE throughout Orange County health-care facilities under 3 scenarios: no specific control measures, facility-level infection control efforts (uncoordinated control measures), and a coordinated regional effort. Aggressive uncoordinated and coordinated approaches were highly similar, averting 2,976 and 2,789 CRE transmission events, respectively (72.2% and 77.0% of transmission events), by year 5. With moderate control measures, coordinated regional control resulted in 21.3% more averted cases (n = 408) than did uncoordinated control at year 5. Our model suggests that without increased infection control approaches, CRE would become endemic in nearly all Orange County health-care facilities within 10 years. While implementing the interventions in the Centers for Disease Control and Prevention's CRE toolkit would not completely stop the spread of CRE, it would cut its spread substantially, by half.","container-title":"American Journal of Epidemiology","DOI":"10.1093/aje/kwv299","ISSN":"0002-9262","issue":"5","journalAbbreviation":"Am J Epidemiol","note":"PMID: 26861238\nPMCID: PMC4772438","page":"471-479","source":"PubMed Central","title":"The Potential Trajectory of Carbapenem-Resistant Enterobacteriaceae, an Emerging Threat to Health-Care Facilities, and the Impact of the Centers for Disease Control and Prevention Toolkit","volume":"183","author":[{"family":"Lee","given":"Bruce Y."},{"family":"Bartsch","given":"Sarah M."},{"family":"Wong","given":"Kim F."},{"family":"McKinnell","given":"James A."},{"family":"Slayton","given":"Rachel B."},{"family":"Miller","given":"Loren G."},{"family":"Cao","given":"Chenghua"},{"family":"Kim","given":"Diane S."},{"family":"Kallen","given":"Alexander J."},{"family":"Jernigan","given":"John A."},{"family":"Huang","given":"Susan S."}],"issued":{"date-parts":[["2016",3,1]]}}}],"schema":"https://github.com/citation-style-language/schema/raw/master/csl-citation.json"} </w:instrText>
            </w:r>
            <w:r>
              <w:fldChar w:fldCharType="separate"/>
            </w:r>
            <w:r w:rsidRPr="001E7A4C">
              <w:t>(40)</w:t>
            </w:r>
            <w:r>
              <w:fldChar w:fldCharType="end"/>
            </w:r>
          </w:p>
        </w:tc>
        <w:tc>
          <w:tcPr>
            <w:tcW w:w="1559" w:type="dxa"/>
            <w:noWrap/>
            <w:hideMark/>
          </w:tcPr>
          <w:p w14:paraId="6F323182" w14:textId="77777777" w:rsidR="00401E72" w:rsidRPr="00231D8F" w:rsidRDefault="00401E72" w:rsidP="00A21BAE">
            <w:r w:rsidRPr="00231D8F">
              <w:t>1</w:t>
            </w:r>
          </w:p>
        </w:tc>
        <w:tc>
          <w:tcPr>
            <w:tcW w:w="1701" w:type="dxa"/>
            <w:noWrap/>
            <w:hideMark/>
          </w:tcPr>
          <w:p w14:paraId="73A23552" w14:textId="77777777" w:rsidR="00401E72" w:rsidRPr="00231D8F" w:rsidRDefault="00401E72" w:rsidP="00A21BAE">
            <w:r w:rsidRPr="00231D8F">
              <w:t>3</w:t>
            </w:r>
          </w:p>
        </w:tc>
        <w:tc>
          <w:tcPr>
            <w:tcW w:w="1418" w:type="dxa"/>
            <w:noWrap/>
            <w:hideMark/>
          </w:tcPr>
          <w:p w14:paraId="30E4769D" w14:textId="77777777" w:rsidR="00401E72" w:rsidRPr="00231D8F" w:rsidRDefault="00401E72" w:rsidP="00A21BAE">
            <w:r w:rsidRPr="00231D8F">
              <w:t>7</w:t>
            </w:r>
          </w:p>
        </w:tc>
        <w:tc>
          <w:tcPr>
            <w:tcW w:w="1417" w:type="dxa"/>
            <w:noWrap/>
            <w:hideMark/>
          </w:tcPr>
          <w:p w14:paraId="47A72732" w14:textId="77777777" w:rsidR="00401E72" w:rsidRPr="00231D8F" w:rsidRDefault="00401E72" w:rsidP="00A21BAE">
            <w:r w:rsidRPr="00231D8F">
              <w:t>1</w:t>
            </w:r>
          </w:p>
        </w:tc>
      </w:tr>
      <w:tr w:rsidR="00401E72" w:rsidRPr="00231D8F" w14:paraId="0656D974" w14:textId="77777777" w:rsidTr="00A21BAE">
        <w:trPr>
          <w:trHeight w:val="288"/>
        </w:trPr>
        <w:tc>
          <w:tcPr>
            <w:tcW w:w="2405" w:type="dxa"/>
            <w:noWrap/>
            <w:hideMark/>
          </w:tcPr>
          <w:p w14:paraId="3BC5954D" w14:textId="77777777" w:rsidR="00401E72" w:rsidRPr="00231D8F" w:rsidRDefault="00401E72" w:rsidP="00A21BAE">
            <w:r w:rsidRPr="00231D8F">
              <w:t>Lomi</w:t>
            </w:r>
            <w:r>
              <w:t xml:space="preserve"> et al., </w:t>
            </w:r>
            <w:r w:rsidRPr="00231D8F">
              <w:t>2012</w:t>
            </w:r>
            <w:r>
              <w:t xml:space="preserve"> </w:t>
            </w:r>
            <w:r>
              <w:fldChar w:fldCharType="begin"/>
            </w:r>
            <w:r>
              <w:instrText xml:space="preserve"> ADDIN ZOTERO_ITEM CSL_CITATION {"citationID":"Cb6R25vr","properties":{"formattedCitation":"(62)","plainCitation":"(62)","noteIndex":0},"citationItems":[{"id":1567,"uris":["http://zotero.org/users/9294180/items/D5D3ZCBJ"],"itemData":{"id":1567,"type":"article-journal","container-title":"Social Networks","DOI":"10.1016/j.socnet.2010.10.005","ISSN":"03788733","issue":"1","journalAbbreviation":"Social Networks","language":"en","license":"https://www.elsevier.com/tdm/userlicense/1.0/","page":"101-111","source":"DOI.org (Crossref)","title":"Relational collaboration among spatial multipoint competitors","volume":"34","author":[{"family":"Lomi","given":"Alessandro"},{"family":"Pallotti","given":"Francesca"}],"issued":{"date-parts":[["2012",1]]}}}],"schema":"https://github.com/citation-style-language/schema/raw/master/csl-citation.json"} </w:instrText>
            </w:r>
            <w:r>
              <w:fldChar w:fldCharType="separate"/>
            </w:r>
            <w:r w:rsidRPr="00EF2F5A">
              <w:rPr>
                <w:rFonts w:cs="Calibri"/>
              </w:rPr>
              <w:t>(62)</w:t>
            </w:r>
            <w:r>
              <w:fldChar w:fldCharType="end"/>
            </w:r>
          </w:p>
        </w:tc>
        <w:tc>
          <w:tcPr>
            <w:tcW w:w="1559" w:type="dxa"/>
            <w:noWrap/>
            <w:hideMark/>
          </w:tcPr>
          <w:p w14:paraId="25FD75FA" w14:textId="77777777" w:rsidR="00401E72" w:rsidRPr="00231D8F" w:rsidRDefault="00401E72" w:rsidP="00A21BAE">
            <w:r w:rsidRPr="00231D8F">
              <w:t>0</w:t>
            </w:r>
          </w:p>
        </w:tc>
        <w:tc>
          <w:tcPr>
            <w:tcW w:w="1701" w:type="dxa"/>
            <w:noWrap/>
            <w:hideMark/>
          </w:tcPr>
          <w:p w14:paraId="07A3CAD8" w14:textId="77777777" w:rsidR="00401E72" w:rsidRPr="00231D8F" w:rsidRDefault="00401E72" w:rsidP="00A21BAE">
            <w:r w:rsidRPr="00231D8F">
              <w:t>2</w:t>
            </w:r>
          </w:p>
        </w:tc>
        <w:tc>
          <w:tcPr>
            <w:tcW w:w="1418" w:type="dxa"/>
            <w:noWrap/>
            <w:hideMark/>
          </w:tcPr>
          <w:p w14:paraId="31A97DD6" w14:textId="77777777" w:rsidR="00401E72" w:rsidRPr="00231D8F" w:rsidRDefault="00401E72" w:rsidP="00A21BAE">
            <w:r w:rsidRPr="00231D8F">
              <w:t>6</w:t>
            </w:r>
          </w:p>
        </w:tc>
        <w:tc>
          <w:tcPr>
            <w:tcW w:w="1417" w:type="dxa"/>
            <w:noWrap/>
            <w:hideMark/>
          </w:tcPr>
          <w:p w14:paraId="4E4D4B84" w14:textId="77777777" w:rsidR="00401E72" w:rsidRPr="00231D8F" w:rsidRDefault="00401E72" w:rsidP="00A21BAE">
            <w:r w:rsidRPr="00231D8F">
              <w:t>4</w:t>
            </w:r>
          </w:p>
        </w:tc>
      </w:tr>
      <w:tr w:rsidR="00401E72" w:rsidRPr="00231D8F" w14:paraId="2D0630B7" w14:textId="77777777" w:rsidTr="00A21BAE">
        <w:trPr>
          <w:trHeight w:val="288"/>
        </w:trPr>
        <w:tc>
          <w:tcPr>
            <w:tcW w:w="2405" w:type="dxa"/>
            <w:noWrap/>
            <w:hideMark/>
          </w:tcPr>
          <w:p w14:paraId="4CE0EA17" w14:textId="77777777" w:rsidR="00401E72" w:rsidRPr="00231D8F" w:rsidRDefault="00401E72" w:rsidP="00A21BAE">
            <w:r w:rsidRPr="00231D8F">
              <w:t>Lomi</w:t>
            </w:r>
            <w:r>
              <w:t xml:space="preserve"> et al., </w:t>
            </w:r>
            <w:r w:rsidRPr="00231D8F">
              <w:t>2014</w:t>
            </w:r>
            <w:r>
              <w:t xml:space="preserve"> </w:t>
            </w:r>
            <w:r>
              <w:fldChar w:fldCharType="begin"/>
            </w:r>
            <w:r>
              <w:instrText xml:space="preserve"> ADDIN ZOTERO_ITEM CSL_CITATION {"citationID":"7sZMmk5I","properties":{"formattedCitation":"(69)","plainCitation":"(69)","noteIndex":0},"citationItems":[{"id":1566,"uris":["http://zotero.org/users/9294180/items/EQ37JWB5"],"itemData":{"id":1566,"type":"article-journal","abstract":"Objectives: We examine the dynamics of patient-sharing relations within an Italian regional community of 35 hospitals serving approximately 1,300,000 people. We test whether interorganizational relations provide individual patients access to higher quality providers of care. Research Design and Methods: We reconstruct the complete temporal sequence of the 3461 consecutive interhospital patientsharing events observed between each pair of hospitals in the community during 2005–2008. We distinguish between transfers occurring between and within different medical specialties. We estimate newly derived models for relational event sequences that allow us to control for the most common forms of network-like dependencies that are known to characterize collaborative relations between hospitals. We use 45-day risk-adjusted readmission rate as a proxy for hospital quality.\nResults: After controls (eg, geographical distance, size, and the existence of prior collaborative relations), we ﬁnd that patients ﬂow from less to more capable hospitals. We show that this result holds for patient being shared both between as well as within medical specialties. Nonetheless there are strong and persistent other organizational and relational effects driving transfers.\nConclusions: Decentralized patient-sharing decisions taken by the 35 hospitals give rise to a system of collaborative interorganizational arrangements that allow the patient to access hospitals de-","container-title":"Medical Care","DOI":"10.1097/MLR.0000000000000107","ISSN":"0025-7079","issue":"5","language":"en","page":"407-414","source":"DOI.org (Crossref)","title":"Quality of Care and Interhospital Collaboration: A Study of Patient Transfers in Italy","title-short":"Quality of Care and Interhospital Collaboration","volume":"52","author":[{"family":"Lomi","given":"Alessandro"},{"family":"Mascia","given":"Daniele"},{"family":"Vu","given":"Duy Quang"},{"family":"Pallotti","given":"Francesca"},{"family":"Conaldi","given":"Guido"},{"family":"Iwashyna","given":"Theodore J."}],"issued":{"date-parts":[["2014",5]]}}}],"schema":"https://github.com/citation-style-language/schema/raw/master/csl-citation.json"} </w:instrText>
            </w:r>
            <w:r>
              <w:fldChar w:fldCharType="separate"/>
            </w:r>
            <w:r w:rsidRPr="00EF2F5A">
              <w:rPr>
                <w:rFonts w:cs="Calibri"/>
              </w:rPr>
              <w:t>(69)</w:t>
            </w:r>
            <w:r>
              <w:fldChar w:fldCharType="end"/>
            </w:r>
          </w:p>
        </w:tc>
        <w:tc>
          <w:tcPr>
            <w:tcW w:w="1559" w:type="dxa"/>
            <w:noWrap/>
            <w:hideMark/>
          </w:tcPr>
          <w:p w14:paraId="6B8161F9" w14:textId="77777777" w:rsidR="00401E72" w:rsidRPr="00231D8F" w:rsidRDefault="00401E72" w:rsidP="00A21BAE">
            <w:r w:rsidRPr="00231D8F">
              <w:t>0</w:t>
            </w:r>
          </w:p>
        </w:tc>
        <w:tc>
          <w:tcPr>
            <w:tcW w:w="1701" w:type="dxa"/>
            <w:noWrap/>
            <w:hideMark/>
          </w:tcPr>
          <w:p w14:paraId="5D9883B1" w14:textId="77777777" w:rsidR="00401E72" w:rsidRPr="00231D8F" w:rsidRDefault="00401E72" w:rsidP="00A21BAE">
            <w:r w:rsidRPr="00231D8F">
              <w:t>1</w:t>
            </w:r>
          </w:p>
        </w:tc>
        <w:tc>
          <w:tcPr>
            <w:tcW w:w="1418" w:type="dxa"/>
            <w:noWrap/>
            <w:hideMark/>
          </w:tcPr>
          <w:p w14:paraId="3F010F6B" w14:textId="77777777" w:rsidR="00401E72" w:rsidRPr="00231D8F" w:rsidRDefault="00401E72" w:rsidP="00A21BAE">
            <w:r w:rsidRPr="00231D8F">
              <w:t>3</w:t>
            </w:r>
          </w:p>
        </w:tc>
        <w:tc>
          <w:tcPr>
            <w:tcW w:w="1417" w:type="dxa"/>
            <w:noWrap/>
            <w:hideMark/>
          </w:tcPr>
          <w:p w14:paraId="26B947DA" w14:textId="77777777" w:rsidR="00401E72" w:rsidRPr="00231D8F" w:rsidRDefault="00401E72" w:rsidP="00A21BAE">
            <w:r w:rsidRPr="00231D8F">
              <w:t>8</w:t>
            </w:r>
          </w:p>
        </w:tc>
      </w:tr>
      <w:tr w:rsidR="00401E72" w:rsidRPr="00231D8F" w14:paraId="7B43688F" w14:textId="77777777" w:rsidTr="00A21BAE">
        <w:trPr>
          <w:trHeight w:val="288"/>
        </w:trPr>
        <w:tc>
          <w:tcPr>
            <w:tcW w:w="2405" w:type="dxa"/>
            <w:noWrap/>
            <w:hideMark/>
          </w:tcPr>
          <w:p w14:paraId="6187B0FF" w14:textId="77777777" w:rsidR="00401E72" w:rsidRPr="00231D8F" w:rsidRDefault="00401E72" w:rsidP="00A21BAE">
            <w:r w:rsidRPr="00231D8F">
              <w:t>Lonc</w:t>
            </w:r>
            <w:r>
              <w:t xml:space="preserve"> et al., </w:t>
            </w:r>
            <w:r w:rsidRPr="00231D8F">
              <w:t>2019</w:t>
            </w:r>
            <w:r>
              <w:t xml:space="preserve"> </w:t>
            </w:r>
            <w:r>
              <w:fldChar w:fldCharType="begin"/>
            </w:r>
            <w:r>
              <w:instrText xml:space="preserve"> ADDIN ZOTERO_ITEM CSL_CITATION {"citationID":"3gma2o7M","properties":{"formattedCitation":"(35)","plainCitation":"(35)","noteIndex":0},"citationItems":[{"id":1565,"uris":["http://zotero.org/users/9294180/items/GBX77D2Y"],"itemData":{"id":1565,"type":"article-journal","abstract":"We present an analysis of admission/discharge data from insurance provider for Saxony and Thuringia (Germany) for years 2010 2016. A study of such data is necessary to derive a structure of a healthcare system transfer network, as no patients' transfer data are available. Hospital network is a basis for simulation of multidrug-resistant bacteriae spread allowing to study the e ectiveness of diseasecontrol strategies. In this paper, the properties of the dataset under consideration are presented and discussed. Moreover, the resulting inter-hospital network structure is analyzed.","container-title":"Mathematica Applicanda","DOI":"10.14708/ma.v47i1.6497","ISSN":"2299-4009, 1730-2668","issue":"1","journalAbbreviation":"MathAppl","language":"en","page":"127-139","source":"DOI.org (Crossref)","title":"Analysis of the AOK Plus data and derived hospital network","volume":"47","author":[{"family":"Lonc","given":"Agata"},{"family":"Piotrowska","given":"Monika Joanna"},{"family":"Sakowski","given":"Konrad"}],"issued":{"date-parts":[["2019",7,22]]}}}],"schema":"https://github.com/citation-style-language/schema/raw/master/csl-citation.json"} </w:instrText>
            </w:r>
            <w:r>
              <w:fldChar w:fldCharType="separate"/>
            </w:r>
            <w:r w:rsidRPr="00E56AA7">
              <w:t>(35)</w:t>
            </w:r>
            <w:r>
              <w:fldChar w:fldCharType="end"/>
            </w:r>
          </w:p>
        </w:tc>
        <w:tc>
          <w:tcPr>
            <w:tcW w:w="1559" w:type="dxa"/>
            <w:noWrap/>
            <w:hideMark/>
          </w:tcPr>
          <w:p w14:paraId="2D9E22A5" w14:textId="77777777" w:rsidR="00401E72" w:rsidRPr="00231D8F" w:rsidRDefault="00401E72" w:rsidP="00A21BAE">
            <w:r w:rsidRPr="00231D8F">
              <w:t>2</w:t>
            </w:r>
          </w:p>
        </w:tc>
        <w:tc>
          <w:tcPr>
            <w:tcW w:w="1701" w:type="dxa"/>
            <w:noWrap/>
            <w:hideMark/>
          </w:tcPr>
          <w:p w14:paraId="26A3DF05" w14:textId="77777777" w:rsidR="00401E72" w:rsidRPr="00231D8F" w:rsidRDefault="00401E72" w:rsidP="00A21BAE">
            <w:r w:rsidRPr="00231D8F">
              <w:t>5</w:t>
            </w:r>
          </w:p>
        </w:tc>
        <w:tc>
          <w:tcPr>
            <w:tcW w:w="1418" w:type="dxa"/>
            <w:noWrap/>
            <w:hideMark/>
          </w:tcPr>
          <w:p w14:paraId="77AF9CCD" w14:textId="77777777" w:rsidR="00401E72" w:rsidRPr="00231D8F" w:rsidRDefault="00401E72" w:rsidP="00A21BAE">
            <w:r w:rsidRPr="00231D8F">
              <w:t>4</w:t>
            </w:r>
          </w:p>
        </w:tc>
        <w:tc>
          <w:tcPr>
            <w:tcW w:w="1417" w:type="dxa"/>
            <w:noWrap/>
            <w:hideMark/>
          </w:tcPr>
          <w:p w14:paraId="271F6A72" w14:textId="77777777" w:rsidR="00401E72" w:rsidRPr="00231D8F" w:rsidRDefault="00401E72" w:rsidP="00A21BAE">
            <w:r w:rsidRPr="00231D8F">
              <w:t>1</w:t>
            </w:r>
          </w:p>
        </w:tc>
      </w:tr>
      <w:tr w:rsidR="00401E72" w:rsidRPr="00231D8F" w14:paraId="6C0D8469" w14:textId="77777777" w:rsidTr="00A21BAE">
        <w:trPr>
          <w:trHeight w:val="288"/>
        </w:trPr>
        <w:tc>
          <w:tcPr>
            <w:tcW w:w="2405" w:type="dxa"/>
            <w:noWrap/>
            <w:hideMark/>
          </w:tcPr>
          <w:p w14:paraId="640F2B49" w14:textId="77777777" w:rsidR="00401E72" w:rsidRPr="00231D8F" w:rsidRDefault="00401E72" w:rsidP="00A21BAE">
            <w:r w:rsidRPr="00231D8F">
              <w:t>Mascia</w:t>
            </w:r>
            <w:r>
              <w:t xml:space="preserve"> et al., </w:t>
            </w:r>
            <w:r w:rsidRPr="00231D8F">
              <w:t>2011</w:t>
            </w:r>
            <w:r>
              <w:t xml:space="preserve"> </w:t>
            </w:r>
            <w:r>
              <w:fldChar w:fldCharType="begin"/>
            </w:r>
            <w:r>
              <w:instrText xml:space="preserve"> ADDIN ZOTERO_ITEM CSL_CITATION {"citationID":"9L6Em0ko","properties":{"formattedCitation":"(66)","plainCitation":"(66)","noteIndex":0},"citationItems":[{"id":1548,"uris":["http://zotero.org/users/9294180/items/GF3QPIQR"],"itemData":{"id":1548,"type":"article-journal","container-title":"Academy of Management Proceedings","DOI":"10.5465/ambpp.2010.54494818","ISSN":"0065-0668, 2151-6561","issue":"1","journalAbbreviation":"AMPROC","language":"en","page":"1-6","source":"DOI.org (Crossref)","title":"UNDERSTANDING HOSPITAL PERFORMANCE: THE ROLE OF NETWORK TIES AND PATTERNS OF COMPETITION.","title-short":"UNDERSTANDING HOSPITAL PERFORMANCE","volume":"2011","author":[{"family":"Mascia","given":"Daniele"},{"family":"Di","given":"Fausto"}],"issued":{"date-parts":[["2011",8]]}}}],"schema":"https://github.com/citation-style-language/schema/raw/master/csl-citation.json"} </w:instrText>
            </w:r>
            <w:r>
              <w:fldChar w:fldCharType="separate"/>
            </w:r>
            <w:r w:rsidRPr="00EF2F5A">
              <w:rPr>
                <w:rFonts w:cs="Calibri"/>
              </w:rPr>
              <w:t>(66)</w:t>
            </w:r>
            <w:r>
              <w:fldChar w:fldCharType="end"/>
            </w:r>
          </w:p>
        </w:tc>
        <w:tc>
          <w:tcPr>
            <w:tcW w:w="1559" w:type="dxa"/>
            <w:noWrap/>
            <w:hideMark/>
          </w:tcPr>
          <w:p w14:paraId="34FC7ABE" w14:textId="77777777" w:rsidR="00401E72" w:rsidRPr="00231D8F" w:rsidRDefault="00401E72" w:rsidP="00A21BAE">
            <w:r w:rsidRPr="00231D8F">
              <w:t>1</w:t>
            </w:r>
          </w:p>
        </w:tc>
        <w:tc>
          <w:tcPr>
            <w:tcW w:w="1701" w:type="dxa"/>
            <w:noWrap/>
            <w:hideMark/>
          </w:tcPr>
          <w:p w14:paraId="54FDA217" w14:textId="77777777" w:rsidR="00401E72" w:rsidRPr="00231D8F" w:rsidRDefault="00401E72" w:rsidP="00A21BAE">
            <w:r w:rsidRPr="00231D8F">
              <w:t>1</w:t>
            </w:r>
          </w:p>
        </w:tc>
        <w:tc>
          <w:tcPr>
            <w:tcW w:w="1418" w:type="dxa"/>
            <w:noWrap/>
            <w:hideMark/>
          </w:tcPr>
          <w:p w14:paraId="214028BF" w14:textId="77777777" w:rsidR="00401E72" w:rsidRPr="00231D8F" w:rsidRDefault="00401E72" w:rsidP="00A21BAE">
            <w:r w:rsidRPr="00231D8F">
              <w:t>5</w:t>
            </w:r>
          </w:p>
        </w:tc>
        <w:tc>
          <w:tcPr>
            <w:tcW w:w="1417" w:type="dxa"/>
            <w:noWrap/>
            <w:hideMark/>
          </w:tcPr>
          <w:p w14:paraId="3567D971" w14:textId="77777777" w:rsidR="00401E72" w:rsidRPr="00231D8F" w:rsidRDefault="00401E72" w:rsidP="00A21BAE">
            <w:r w:rsidRPr="00231D8F">
              <w:t>5</w:t>
            </w:r>
          </w:p>
        </w:tc>
      </w:tr>
      <w:tr w:rsidR="00401E72" w:rsidRPr="00231D8F" w14:paraId="16972DBD" w14:textId="77777777" w:rsidTr="00A21BAE">
        <w:trPr>
          <w:trHeight w:val="288"/>
        </w:trPr>
        <w:tc>
          <w:tcPr>
            <w:tcW w:w="2405" w:type="dxa"/>
            <w:noWrap/>
            <w:hideMark/>
          </w:tcPr>
          <w:p w14:paraId="5D9DB178" w14:textId="77777777" w:rsidR="00401E72" w:rsidRPr="00231D8F" w:rsidRDefault="00401E72" w:rsidP="00A21BAE">
            <w:r w:rsidRPr="00231D8F">
              <w:t>Mascia</w:t>
            </w:r>
            <w:r>
              <w:t xml:space="preserve"> et al., </w:t>
            </w:r>
            <w:r w:rsidRPr="00231D8F">
              <w:t>2012</w:t>
            </w:r>
            <w:r>
              <w:t xml:space="preserve"> </w:t>
            </w:r>
            <w:r>
              <w:fldChar w:fldCharType="begin"/>
            </w:r>
            <w:r>
              <w:instrText xml:space="preserve"> ADDIN ZOTERO_ITEM CSL_CITATION {"citationID":"QThOne6S","properties":{"formattedCitation":"(67)","plainCitation":"(67)","noteIndex":0},"citationItems":[{"id":1564,"uris":["http://zotero.org/users/9294180/items/2QP83N89"],"itemData":{"id":1564,"type":"article-journal","abstract":"Background: Policymakers stimulate competition in universalistic health-care systems while encouraging the formation of service provision networks among hospital organizations. This article addresses a gap in the extant literature by empirically analyzing simultaneous collaboration and competition between hospitals within the Italian National Health Service, where important procompetition reforms have been implemented.\nPurpose: To explore how rising competition between hospitals relates to their propensity to collaborate with other local providers.\nMethods: Longitudinal data on interhospital collaboration and competition collected in an Italian region from 2003 to 2007 are analyzed. Social network analysis techniques are applied to study the structure and dynamics of interhospital collaboration. Negative binomial regressions are employed to explore how interhospital competition relates to the collaborative network over time.\nResults: Competition among providers does not hinder interhospital collaboration. Collaboration is primarily local, with resource complementarity and differentials in the volume of activity and hospital performance explaining the propensity to collaborate.\nConclusions: Formation of collaborative networks among hospitals is not hampered by reforms aimed at fostering market forces. Because procompetition reforms elicit peculiar forms of managed competition in universalistic health systems, studies are needed to clarify whether the positive association between interhospital competition and collaboration can be generalized to other health-care settings.","container-title":"Health Policy","DOI":"10.1016/j.healthpol.2012.02.011","ISSN":"01688510","issue":"2-3","journalAbbreviation":"Health Policy","language":"en","license":"https://www.elsevier.com/tdm/userlicense/1.0/","page":"273-281","source":"DOI.org (Crossref)","title":"Dynamic analysis of interhospital collaboration and competition: Empirical evidence from an Italian regional health system","title-short":"Dynamic analysis of interhospital collaboration and competition","volume":"105","author":[{"family":"Mascia","given":"Daniele"},{"family":"Di Vincenzo","given":"Fausto"},{"family":"Cicchetti","given":"Americo"}],"issued":{"date-parts":[["2012",5]]}}}],"schema":"https://github.com/citation-style-language/schema/raw/master/csl-citation.json"} </w:instrText>
            </w:r>
            <w:r>
              <w:fldChar w:fldCharType="separate"/>
            </w:r>
            <w:r w:rsidRPr="00EF2F5A">
              <w:rPr>
                <w:rFonts w:cs="Calibri"/>
              </w:rPr>
              <w:t>(67)</w:t>
            </w:r>
            <w:r>
              <w:fldChar w:fldCharType="end"/>
            </w:r>
          </w:p>
        </w:tc>
        <w:tc>
          <w:tcPr>
            <w:tcW w:w="1559" w:type="dxa"/>
            <w:noWrap/>
            <w:hideMark/>
          </w:tcPr>
          <w:p w14:paraId="05AE3638" w14:textId="77777777" w:rsidR="00401E72" w:rsidRPr="00231D8F" w:rsidRDefault="00401E72" w:rsidP="00A21BAE">
            <w:r w:rsidRPr="00231D8F">
              <w:t>1</w:t>
            </w:r>
          </w:p>
        </w:tc>
        <w:tc>
          <w:tcPr>
            <w:tcW w:w="1701" w:type="dxa"/>
            <w:noWrap/>
            <w:hideMark/>
          </w:tcPr>
          <w:p w14:paraId="0762ABDC" w14:textId="77777777" w:rsidR="00401E72" w:rsidRPr="00231D8F" w:rsidRDefault="00401E72" w:rsidP="00A21BAE">
            <w:r w:rsidRPr="00231D8F">
              <w:t>1</w:t>
            </w:r>
          </w:p>
        </w:tc>
        <w:tc>
          <w:tcPr>
            <w:tcW w:w="1418" w:type="dxa"/>
            <w:noWrap/>
            <w:hideMark/>
          </w:tcPr>
          <w:p w14:paraId="6F67BC29" w14:textId="77777777" w:rsidR="00401E72" w:rsidRPr="00231D8F" w:rsidRDefault="00401E72" w:rsidP="00A21BAE">
            <w:r w:rsidRPr="00231D8F">
              <w:t>7</w:t>
            </w:r>
          </w:p>
        </w:tc>
        <w:tc>
          <w:tcPr>
            <w:tcW w:w="1417" w:type="dxa"/>
            <w:noWrap/>
            <w:hideMark/>
          </w:tcPr>
          <w:p w14:paraId="79AA554C" w14:textId="77777777" w:rsidR="00401E72" w:rsidRPr="00231D8F" w:rsidRDefault="00401E72" w:rsidP="00A21BAE">
            <w:r w:rsidRPr="00231D8F">
              <w:t>3</w:t>
            </w:r>
          </w:p>
        </w:tc>
      </w:tr>
      <w:tr w:rsidR="00401E72" w:rsidRPr="00231D8F" w14:paraId="6A473DC8" w14:textId="77777777" w:rsidTr="00A21BAE">
        <w:trPr>
          <w:trHeight w:val="288"/>
        </w:trPr>
        <w:tc>
          <w:tcPr>
            <w:tcW w:w="2405" w:type="dxa"/>
            <w:noWrap/>
            <w:hideMark/>
          </w:tcPr>
          <w:p w14:paraId="40C25924" w14:textId="77777777" w:rsidR="00401E72" w:rsidRPr="00231D8F" w:rsidRDefault="00401E72" w:rsidP="00A21BAE">
            <w:r w:rsidRPr="00231D8F">
              <w:t>Mascia</w:t>
            </w:r>
            <w:r>
              <w:t xml:space="preserve"> et al., </w:t>
            </w:r>
            <w:r w:rsidRPr="00231D8F">
              <w:t>2013</w:t>
            </w:r>
            <w:r>
              <w:t xml:space="preserve"> </w:t>
            </w:r>
            <w:r>
              <w:fldChar w:fldCharType="begin"/>
            </w:r>
            <w:r>
              <w:instrText xml:space="preserve"> ADDIN ZOTERO_ITEM CSL_CITATION {"citationID":"x54xEIDe","properties":{"formattedCitation":"(68)","plainCitation":"(68)","noteIndex":0},"citationItems":[{"id":1563,"uris":["http://zotero.org/users/9294180/items/NJIR4H27"],"itemData":{"id":1563,"type":"article-journal","container-title":"Health Care Management Review","DOI":"10.1097/HMR.0b013e31824ccab8","ISSN":"0361-6274","issue":"3","language":"en","page":"234-247","source":"DOI.org (Crossref)","title":"Dynamics of hospital competition: Social network analysis in the Italian National Health Service","title-short":"Dynamics of hospital competition","volume":"38","author":[{"family":"Mascia","given":"Daniele"},{"family":"Di Vincenzo","given":"Fausto"}],"issued":{"date-parts":[["2013",7]]}}}],"schema":"https://github.com/citation-style-language/schema/raw/master/csl-citation.json"} </w:instrText>
            </w:r>
            <w:r>
              <w:fldChar w:fldCharType="separate"/>
            </w:r>
            <w:r w:rsidRPr="00EF2F5A">
              <w:rPr>
                <w:rFonts w:cs="Calibri"/>
              </w:rPr>
              <w:t>(68)</w:t>
            </w:r>
            <w:r>
              <w:fldChar w:fldCharType="end"/>
            </w:r>
          </w:p>
        </w:tc>
        <w:tc>
          <w:tcPr>
            <w:tcW w:w="1559" w:type="dxa"/>
            <w:noWrap/>
            <w:hideMark/>
          </w:tcPr>
          <w:p w14:paraId="7AE29DBB" w14:textId="77777777" w:rsidR="00401E72" w:rsidRPr="00231D8F" w:rsidRDefault="00401E72" w:rsidP="00A21BAE">
            <w:r w:rsidRPr="00231D8F">
              <w:t>1</w:t>
            </w:r>
          </w:p>
        </w:tc>
        <w:tc>
          <w:tcPr>
            <w:tcW w:w="1701" w:type="dxa"/>
            <w:noWrap/>
            <w:hideMark/>
          </w:tcPr>
          <w:p w14:paraId="62C9FF19" w14:textId="77777777" w:rsidR="00401E72" w:rsidRPr="00231D8F" w:rsidRDefault="00401E72" w:rsidP="00A21BAE">
            <w:r w:rsidRPr="00231D8F">
              <w:t>1</w:t>
            </w:r>
          </w:p>
        </w:tc>
        <w:tc>
          <w:tcPr>
            <w:tcW w:w="1418" w:type="dxa"/>
            <w:noWrap/>
            <w:hideMark/>
          </w:tcPr>
          <w:p w14:paraId="7A4C5F22" w14:textId="77777777" w:rsidR="00401E72" w:rsidRPr="00231D8F" w:rsidRDefault="00401E72" w:rsidP="00A21BAE">
            <w:r w:rsidRPr="00231D8F">
              <w:t>7</w:t>
            </w:r>
          </w:p>
        </w:tc>
        <w:tc>
          <w:tcPr>
            <w:tcW w:w="1417" w:type="dxa"/>
            <w:noWrap/>
            <w:hideMark/>
          </w:tcPr>
          <w:p w14:paraId="5EEAA19F" w14:textId="77777777" w:rsidR="00401E72" w:rsidRPr="00231D8F" w:rsidRDefault="00401E72" w:rsidP="00A21BAE">
            <w:r w:rsidRPr="00231D8F">
              <w:t>3</w:t>
            </w:r>
          </w:p>
        </w:tc>
      </w:tr>
      <w:tr w:rsidR="00401E72" w:rsidRPr="00231D8F" w14:paraId="4E2578D3" w14:textId="77777777" w:rsidTr="00A21BAE">
        <w:trPr>
          <w:trHeight w:val="288"/>
        </w:trPr>
        <w:tc>
          <w:tcPr>
            <w:tcW w:w="2405" w:type="dxa"/>
            <w:noWrap/>
            <w:hideMark/>
          </w:tcPr>
          <w:p w14:paraId="4A1A0682" w14:textId="77777777" w:rsidR="00401E72" w:rsidRPr="00231D8F" w:rsidRDefault="00401E72" w:rsidP="00A21BAE">
            <w:r w:rsidRPr="00231D8F">
              <w:t>Mascia</w:t>
            </w:r>
            <w:r>
              <w:t xml:space="preserve"> et al., </w:t>
            </w:r>
            <w:r w:rsidRPr="00231D8F">
              <w:t>2015</w:t>
            </w:r>
            <w:r>
              <w:t xml:space="preserve"> </w:t>
            </w:r>
            <w:r>
              <w:fldChar w:fldCharType="begin"/>
            </w:r>
            <w:r>
              <w:instrText xml:space="preserve"> ADDIN ZOTERO_ITEM CSL_CITATION {"citationID":"zsMtFP7A","properties":{"formattedCitation":"(70)","plainCitation":"(70)","noteIndex":0},"citationItems":[{"id":1562,"uris":["http://zotero.org/users/9294180/items/6A3JAYDJ"],"itemData":{"id":1562,"type":"article-journal","abstract":"Previous studies have shown that referral networks encompass important mechanisms of coordination and integration among hospitals, which enhance numerous organizational-level beneﬁts, such as productivity, efﬁciency, and quality of care. The present study advances previous research by demonstrating how hospital referral networks inﬂuence patient readmissions. Data include 360,697 hospitalization events within a regional community of hospitals in the Italian National Health Service. Multilevel hierarchical regression analysis tests the impacts of referral networks' structural characteristics on patient hospital readmissions. The results demonstrate that organizational centrality in the overall referral network and ego-network density have opposing effects on the likelihood of readmission events within hospitals; greater centrality is negatively associated with readmissions, whereas greater ego-network density increases the likelihood of readmission events. Our ﬁndings support the (re)organization of healthcare systems and provide important indications for policymakers and practitioners.","container-title":"Social Science &amp; Medicine","DOI":"10.1016/j.socscimed.2015.03.029","ISSN":"02779536","journalAbbreviation":"Social Science &amp; Medicine","language":"en","page":"113-121","source":"DOI.org (Crossref)","title":"Effect of hospital referral networks on patient readmissions","volume":"132","author":[{"family":"Mascia","given":"Daniele"},{"family":"Angeli","given":"Federica"},{"family":"Di Vincenzo","given":"Fausto"}],"issued":{"date-parts":[["2015",5]]}}}],"schema":"https://github.com/citation-style-language/schema/raw/master/csl-citation.json"} </w:instrText>
            </w:r>
            <w:r>
              <w:fldChar w:fldCharType="separate"/>
            </w:r>
            <w:r w:rsidRPr="00A00570">
              <w:rPr>
                <w:rFonts w:cs="Calibri"/>
              </w:rPr>
              <w:t>(70)</w:t>
            </w:r>
            <w:r>
              <w:fldChar w:fldCharType="end"/>
            </w:r>
          </w:p>
        </w:tc>
        <w:tc>
          <w:tcPr>
            <w:tcW w:w="1559" w:type="dxa"/>
            <w:noWrap/>
            <w:hideMark/>
          </w:tcPr>
          <w:p w14:paraId="637895CC" w14:textId="77777777" w:rsidR="00401E72" w:rsidRPr="00231D8F" w:rsidRDefault="00401E72" w:rsidP="00A21BAE">
            <w:r w:rsidRPr="00231D8F">
              <w:t>1</w:t>
            </w:r>
          </w:p>
        </w:tc>
        <w:tc>
          <w:tcPr>
            <w:tcW w:w="1701" w:type="dxa"/>
            <w:noWrap/>
            <w:hideMark/>
          </w:tcPr>
          <w:p w14:paraId="24179485" w14:textId="77777777" w:rsidR="00401E72" w:rsidRPr="00231D8F" w:rsidRDefault="00401E72" w:rsidP="00A21BAE">
            <w:r w:rsidRPr="00231D8F">
              <w:t>3</w:t>
            </w:r>
          </w:p>
        </w:tc>
        <w:tc>
          <w:tcPr>
            <w:tcW w:w="1418" w:type="dxa"/>
            <w:noWrap/>
            <w:hideMark/>
          </w:tcPr>
          <w:p w14:paraId="37A96AE3" w14:textId="77777777" w:rsidR="00401E72" w:rsidRPr="00231D8F" w:rsidRDefault="00401E72" w:rsidP="00A21BAE">
            <w:r w:rsidRPr="00231D8F">
              <w:t>3</w:t>
            </w:r>
          </w:p>
        </w:tc>
        <w:tc>
          <w:tcPr>
            <w:tcW w:w="1417" w:type="dxa"/>
            <w:noWrap/>
            <w:hideMark/>
          </w:tcPr>
          <w:p w14:paraId="7976659F" w14:textId="77777777" w:rsidR="00401E72" w:rsidRPr="00231D8F" w:rsidRDefault="00401E72" w:rsidP="00A21BAE">
            <w:r w:rsidRPr="00231D8F">
              <w:t>5</w:t>
            </w:r>
          </w:p>
        </w:tc>
      </w:tr>
      <w:tr w:rsidR="00401E72" w:rsidRPr="00231D8F" w14:paraId="171D5E41" w14:textId="77777777" w:rsidTr="00A21BAE">
        <w:trPr>
          <w:trHeight w:val="288"/>
        </w:trPr>
        <w:tc>
          <w:tcPr>
            <w:tcW w:w="2405" w:type="dxa"/>
            <w:noWrap/>
          </w:tcPr>
          <w:p w14:paraId="0E991E6E" w14:textId="77777777" w:rsidR="00401E72" w:rsidRPr="00231D8F" w:rsidRDefault="00401E72" w:rsidP="00A21BAE">
            <w:r w:rsidRPr="00231D8F">
              <w:t>Michelson</w:t>
            </w:r>
            <w:r>
              <w:t xml:space="preserve"> et al., </w:t>
            </w:r>
            <w:r w:rsidRPr="00231D8F">
              <w:t>2025</w:t>
            </w:r>
            <w:r>
              <w:t xml:space="preserve"> </w:t>
            </w:r>
            <w:r>
              <w:fldChar w:fldCharType="begin"/>
            </w:r>
            <w:r>
              <w:instrText xml:space="preserve"> ADDIN ZOTERO_ITEM CSL_CITATION {"citationID":"8tMgSQpP","properties":{"formattedCitation":"(95)","plainCitation":"(95)","noteIndex":0},"citationItems":[{"id":5626,"uris":["http://zotero.org/users/9294180/items/S7D9M9ZC"],"itemData":{"id":5626,"type":"article-journal","abstract":"OBJECTIVE: To pilot a system for deriving borders of pediatric regions, and to compare these to adult markets based on fit with pediatric utilization data.\nSTUDY SETTING AND DESIGN: In this cross-sectional study, we studied all acute care encounters (emergency department visits and hospitalizations) for children less than 16 years old in Wisconsin 2021-2022.\nDATA SOURCES AND ANALYTIC SAMPLE: We used the Healthcare Cost and Utilization Project State Emergency Department and Inpatient Databases. We first counted how many patients from each ZIP code visited each hospital and mapped ZIP-hospital connections. Using a network analysis technique called community detection that clustered hospitals by their common connections, we grouped ZIP codes to form pediatric emergency service areas (PESAs). We counted patient referrals within and between PESAs and repeated the community detection procedure, resulting in pediatric emergency referral regions (PERRs). The primary outcome was modularity, a common network fit measure ranging from -1 to 1 (1 represents perfect clustering). We also compared demographics and network quality measures between PERRs, hospital referral regions (HRRs), core-based statistical areas, and Pittsburgh Trauma Atlas regions.\nPRINCIPAL FINDINGS: We analyzed 587,886 encounters, from which ZIP codes grouped into 24 PESAs. Based on referral patterns, there were 4 PERRs. PERRs had modestly higher modularity for interhospital referral patterns than all other systems (0.53, 95% confidence interval [CI] 0.52, 0.54 compared to 0.46, 95% CI 0.46, 0.47 for HRRs). PERRs were larger (median 11,361 mile2 vs. 3957 for HRRs), contained more children (median 265,222 vs. 49,667 for HRRs), and contained more hospitals (median 35 vs. 7 for HRRs) than all other systems.\nCONCLUSIONS: Using Wisconsin HCUP data, we derived pediatric acute care regions with a strong fit for pediatric utilization data. Future work should test this approach across the whole US, which would allow between-region cost and outcomes comparison.","container-title":"Health Services Research","DOI":"10.1111/1475-6773.70000","ISSN":"1475-6773","journalAbbreviation":"Health Serv Res","language":"eng","note":"PMID: 40600460","page":"e70000","source":"PubMed","title":"Network Analysis to Define Pediatric Acute Care Regions in Wisconsin","author":[{"family":"Michelson","given":"Kenneth A."},{"family":"Remick","given":"Katherine E."},{"family":"Bucholz","given":"Emily M."},{"family":"McMullen","given":"Patrick D."},{"family":"Singamsetty","given":"Naveen"},{"family":"Skol","given":"Andrew D."},{"family":"Cory","given":"Danielle K."},{"family":"Graves","given":"John A."}],"issued":{"date-parts":[["2025",7,2]]}},"locator":"202"}],"schema":"https://github.com/citation-style-language/schema/raw/master/csl-citation.json"} </w:instrText>
            </w:r>
            <w:r>
              <w:fldChar w:fldCharType="separate"/>
            </w:r>
            <w:r w:rsidRPr="00B423CC">
              <w:rPr>
                <w:rFonts w:cs="Calibri"/>
              </w:rPr>
              <w:t>(95)</w:t>
            </w:r>
            <w:r>
              <w:fldChar w:fldCharType="end"/>
            </w:r>
          </w:p>
        </w:tc>
        <w:tc>
          <w:tcPr>
            <w:tcW w:w="1559" w:type="dxa"/>
            <w:noWrap/>
          </w:tcPr>
          <w:p w14:paraId="23312B65" w14:textId="77777777" w:rsidR="00401E72" w:rsidRPr="00231D8F" w:rsidRDefault="00401E72" w:rsidP="00A21BAE">
            <w:r w:rsidRPr="00231D8F">
              <w:t>0</w:t>
            </w:r>
          </w:p>
        </w:tc>
        <w:tc>
          <w:tcPr>
            <w:tcW w:w="1701" w:type="dxa"/>
            <w:noWrap/>
          </w:tcPr>
          <w:p w14:paraId="305A7578" w14:textId="77777777" w:rsidR="00401E72" w:rsidRPr="00231D8F" w:rsidRDefault="00401E72" w:rsidP="00A21BAE">
            <w:r w:rsidRPr="00231D8F">
              <w:t>2</w:t>
            </w:r>
          </w:p>
        </w:tc>
        <w:tc>
          <w:tcPr>
            <w:tcW w:w="1418" w:type="dxa"/>
            <w:noWrap/>
          </w:tcPr>
          <w:p w14:paraId="195943C7" w14:textId="77777777" w:rsidR="00401E72" w:rsidRPr="00231D8F" w:rsidRDefault="00401E72" w:rsidP="00A21BAE">
            <w:r w:rsidRPr="00231D8F">
              <w:t>4</w:t>
            </w:r>
          </w:p>
        </w:tc>
        <w:tc>
          <w:tcPr>
            <w:tcW w:w="1417" w:type="dxa"/>
            <w:noWrap/>
          </w:tcPr>
          <w:p w14:paraId="1089F234" w14:textId="77777777" w:rsidR="00401E72" w:rsidRPr="00231D8F" w:rsidRDefault="00401E72" w:rsidP="00A21BAE">
            <w:r w:rsidRPr="00231D8F">
              <w:t>5</w:t>
            </w:r>
          </w:p>
        </w:tc>
      </w:tr>
      <w:tr w:rsidR="00401E72" w:rsidRPr="00231D8F" w14:paraId="0B634494" w14:textId="77777777" w:rsidTr="00A21BAE">
        <w:trPr>
          <w:trHeight w:val="288"/>
        </w:trPr>
        <w:tc>
          <w:tcPr>
            <w:tcW w:w="2405" w:type="dxa"/>
            <w:noWrap/>
            <w:hideMark/>
          </w:tcPr>
          <w:p w14:paraId="5CB5A147" w14:textId="77777777" w:rsidR="00401E72" w:rsidRPr="00231D8F" w:rsidRDefault="00401E72" w:rsidP="00A21BAE">
            <w:r w:rsidRPr="00231D8F">
              <w:t>Nekkab</w:t>
            </w:r>
            <w:r>
              <w:t xml:space="preserve"> et al., </w:t>
            </w:r>
            <w:r w:rsidRPr="00231D8F">
              <w:t>2017</w:t>
            </w:r>
            <w:r>
              <w:t xml:space="preserve"> </w:t>
            </w:r>
            <w:r>
              <w:fldChar w:fldCharType="begin"/>
            </w:r>
            <w:r>
              <w:instrText xml:space="preserve"> ADDIN ZOTERO_ITEM CSL_CITATION {"citationID":"BFZmwJnw","properties":{"formattedCitation":"(16)","plainCitation":"(16)","noteIndex":0},"citationItems":[{"id":398,"uris":["http://zotero.org/users/9294180/items/R3PGHANW"],"itemData":{"id":398,"type":"article-journal","abstract":"Hospital-acquired infections (HAIs), including emerging multi-drug resistant organisms, threaten healthcare systems worldwide. Efficient containment measures of HAIs must mobilize the entire healthcare network. Thus, to best understand how to reduce the potential scale of HAI epidemic spread, we explore patient transfer patterns in the French healthcare system. Using an exhaustive database of all hospital discharge summaries in France in 2014, we construct and analyze three patient networks based on the following: transfers of patients with HAI (HAI-specific network); patients with suspected HAI (suspected-HAI network); and all patients (general network). All three networks have heterogeneous patient flow and demonstrate small-world and scale-free characteristics. Patient populations that comprise these networks are also heterogeneous in their movement patterns. Ranking of hospitals by centrality measures and comparing community clustering using community detection algorithms shows that despite the differences in patient population, the HAI-specific and suspected-HAI networks rely on the same underlying structure as that of the general network. As a result, the general network may be more reliable in studying potential spread of HAIs. Finally, we identify transfer patterns at both the French regional and departmental (county) levels that are important in the identification of key hospital centers, patient flow trajectories, and regional clusters that may serve as a basis for novel wide-scale infection control strategies.","container-title":"PLoS computational biology","DOI":"10.1371/journal.pcbi.1005666","ISSN":"1553-7358","issue":"8","journalAbbreviation":"PLoS Comput Biol","language":"eng","note":"PMID: 28837555\nPMCID: PMC5570216","page":"e1005666","source":"PubMed","title":"Spread of hospital-acquired infections: A comparison of healthcare networks","title-short":"Spread of hospital-acquired infections","volume":"13","author":[{"family":"Nekkab","given":"Narimane"},{"family":"Astagneau","given":"Pascal"},{"family":"Temime","given":"Laura"},{"family":"Crépey","given":"Pascal"}],"issued":{"date-parts":[["2017",8]]}}}],"schema":"https://github.com/citation-style-language/schema/raw/master/csl-citation.json"} </w:instrText>
            </w:r>
            <w:r>
              <w:fldChar w:fldCharType="separate"/>
            </w:r>
            <w:r w:rsidRPr="00AF6F02">
              <w:rPr>
                <w:rFonts w:cs="Calibri"/>
              </w:rPr>
              <w:t>(16)</w:t>
            </w:r>
            <w:r>
              <w:fldChar w:fldCharType="end"/>
            </w:r>
          </w:p>
        </w:tc>
        <w:tc>
          <w:tcPr>
            <w:tcW w:w="1559" w:type="dxa"/>
            <w:noWrap/>
            <w:hideMark/>
          </w:tcPr>
          <w:p w14:paraId="3EF90D70" w14:textId="77777777" w:rsidR="00401E72" w:rsidRPr="00231D8F" w:rsidRDefault="00401E72" w:rsidP="00A21BAE">
            <w:r w:rsidRPr="00231D8F">
              <w:t>0</w:t>
            </w:r>
          </w:p>
        </w:tc>
        <w:tc>
          <w:tcPr>
            <w:tcW w:w="1701" w:type="dxa"/>
            <w:noWrap/>
            <w:hideMark/>
          </w:tcPr>
          <w:p w14:paraId="73856A0F" w14:textId="77777777" w:rsidR="00401E72" w:rsidRPr="00231D8F" w:rsidRDefault="00401E72" w:rsidP="00A21BAE">
            <w:r w:rsidRPr="00231D8F">
              <w:t>3</w:t>
            </w:r>
          </w:p>
        </w:tc>
        <w:tc>
          <w:tcPr>
            <w:tcW w:w="1418" w:type="dxa"/>
            <w:noWrap/>
            <w:hideMark/>
          </w:tcPr>
          <w:p w14:paraId="6042C2A0" w14:textId="77777777" w:rsidR="00401E72" w:rsidRPr="00231D8F" w:rsidRDefault="00401E72" w:rsidP="00A21BAE">
            <w:r w:rsidRPr="00231D8F">
              <w:t>2</w:t>
            </w:r>
          </w:p>
        </w:tc>
        <w:tc>
          <w:tcPr>
            <w:tcW w:w="1417" w:type="dxa"/>
            <w:noWrap/>
            <w:hideMark/>
          </w:tcPr>
          <w:p w14:paraId="7C3153A8" w14:textId="77777777" w:rsidR="00401E72" w:rsidRPr="00231D8F" w:rsidRDefault="00401E72" w:rsidP="00A21BAE">
            <w:r w:rsidRPr="00231D8F">
              <w:t>7</w:t>
            </w:r>
          </w:p>
        </w:tc>
      </w:tr>
      <w:tr w:rsidR="00401E72" w:rsidRPr="00231D8F" w14:paraId="2B97480B" w14:textId="77777777" w:rsidTr="00A21BAE">
        <w:trPr>
          <w:trHeight w:val="288"/>
        </w:trPr>
        <w:tc>
          <w:tcPr>
            <w:tcW w:w="2405" w:type="dxa"/>
            <w:noWrap/>
            <w:hideMark/>
          </w:tcPr>
          <w:p w14:paraId="7A4A8EA5" w14:textId="77777777" w:rsidR="00401E72" w:rsidRPr="00231D8F" w:rsidRDefault="00401E72" w:rsidP="00A21BAE">
            <w:r w:rsidRPr="00231D8F">
              <w:t>Nekkab</w:t>
            </w:r>
            <w:r>
              <w:t xml:space="preserve"> et al., </w:t>
            </w:r>
            <w:r w:rsidRPr="00231D8F">
              <w:t>2020</w:t>
            </w:r>
            <w:r>
              <w:t xml:space="preserve"> </w:t>
            </w:r>
            <w:r>
              <w:fldChar w:fldCharType="begin"/>
            </w:r>
            <w:r>
              <w:instrText xml:space="preserve"> ADDIN ZOTERO_ITEM CSL_CITATION {"citationID":"Se1tjifH","properties":{"formattedCitation":"(8)","plainCitation":"(8)","noteIndex":0},"citationItems":[{"id":1560,"uris":["http://zotero.org/users/9294180/items/AJFJCXQZ"],"itemData":{"id":1560,"type":"article-journal","abstract":"Abstract\n            \n              The spread of carbapenemase-producing\n              Enterobacteriaceae\n              (CPE) in healthcare settings is a major public health threat that has been associated with cross-border and local patient transfers between healthcare facilities. Since the impact of transfers on spread may vary, our study aimed to assess the contribution of a patient transfer network on CPE incidence and spread at a countrywide level, with a case study of France from 2012 to 2015. Our results suggest a transition in 2013 from a CPE epidemic sustained by internationally imported episodes to an epidemic sustained by local transmission events through patient transfers. Incident episodes tend to occur within close spatial distance of their potential infector. We also observe an increasing frequency of multiple spreading events, originating from a limited number of regional hubs. Consequently, coordinated prevention and infection control strategies should focus on transfers of carriers of CPE to reduce regional and inter-regional transmission.","container-title":"Scientific Reports","DOI":"10.1038/s41598-020-71212-6","ISSN":"2045-2322","issue":"1","journalAbbreviation":"Sci Rep","language":"en","page":"14910","source":"DOI.org (Crossref)","title":"Assessing the role of inter-facility patient transfer in the spread of carbapenemase-producing Enterobacteriaceae: the case of France between 2012 and 2015","title-short":"Assessing the role of inter-facility patient transfer in the spread of carbapenemase-producing Enterobacteriaceae","volume":"10","author":[{"family":"Nekkab","given":"Narimane"},{"family":"Crépey","given":"Pascal"},{"family":"Astagneau","given":"Pascal"},{"family":"Opatowski","given":"Lulla"},{"family":"Temime","given":"Laura"}],"issued":{"date-parts":[["2020",9,10]]}}}],"schema":"https://github.com/citation-style-language/schema/raw/master/csl-citation.json"} </w:instrText>
            </w:r>
            <w:r>
              <w:fldChar w:fldCharType="separate"/>
            </w:r>
            <w:r w:rsidRPr="00AF6F02">
              <w:rPr>
                <w:rFonts w:cs="Calibri"/>
              </w:rPr>
              <w:t>(8)</w:t>
            </w:r>
            <w:r>
              <w:fldChar w:fldCharType="end"/>
            </w:r>
          </w:p>
        </w:tc>
        <w:tc>
          <w:tcPr>
            <w:tcW w:w="1559" w:type="dxa"/>
            <w:noWrap/>
            <w:hideMark/>
          </w:tcPr>
          <w:p w14:paraId="194F4894" w14:textId="77777777" w:rsidR="00401E72" w:rsidRPr="00231D8F" w:rsidRDefault="00401E72" w:rsidP="00A21BAE">
            <w:r w:rsidRPr="00231D8F">
              <w:t>0</w:t>
            </w:r>
          </w:p>
        </w:tc>
        <w:tc>
          <w:tcPr>
            <w:tcW w:w="1701" w:type="dxa"/>
            <w:noWrap/>
            <w:hideMark/>
          </w:tcPr>
          <w:p w14:paraId="11A01A54" w14:textId="77777777" w:rsidR="00401E72" w:rsidRPr="00231D8F" w:rsidRDefault="00401E72" w:rsidP="00A21BAE">
            <w:r w:rsidRPr="00231D8F">
              <w:t>4</w:t>
            </w:r>
          </w:p>
        </w:tc>
        <w:tc>
          <w:tcPr>
            <w:tcW w:w="1418" w:type="dxa"/>
            <w:noWrap/>
            <w:hideMark/>
          </w:tcPr>
          <w:p w14:paraId="461EC3B5" w14:textId="77777777" w:rsidR="00401E72" w:rsidRPr="00231D8F" w:rsidRDefault="00401E72" w:rsidP="00A21BAE">
            <w:r w:rsidRPr="00231D8F">
              <w:t>2</w:t>
            </w:r>
          </w:p>
        </w:tc>
        <w:tc>
          <w:tcPr>
            <w:tcW w:w="1417" w:type="dxa"/>
            <w:noWrap/>
            <w:hideMark/>
          </w:tcPr>
          <w:p w14:paraId="2546E3A0" w14:textId="77777777" w:rsidR="00401E72" w:rsidRPr="00231D8F" w:rsidRDefault="00401E72" w:rsidP="00A21BAE">
            <w:r w:rsidRPr="00231D8F">
              <w:t>6</w:t>
            </w:r>
          </w:p>
        </w:tc>
      </w:tr>
      <w:tr w:rsidR="00401E72" w:rsidRPr="00231D8F" w14:paraId="60ABC457" w14:textId="77777777" w:rsidTr="00A21BAE">
        <w:trPr>
          <w:trHeight w:val="288"/>
        </w:trPr>
        <w:tc>
          <w:tcPr>
            <w:tcW w:w="2405" w:type="dxa"/>
            <w:noWrap/>
          </w:tcPr>
          <w:p w14:paraId="65B39C72" w14:textId="77777777" w:rsidR="00401E72" w:rsidRPr="00231D8F" w:rsidRDefault="00401E72" w:rsidP="00A21BAE">
            <w:r w:rsidRPr="00231D8F">
              <w:t>Octaria</w:t>
            </w:r>
            <w:r>
              <w:t xml:space="preserve"> et al., </w:t>
            </w:r>
            <w:r w:rsidRPr="00231D8F">
              <w:t>2025</w:t>
            </w:r>
            <w:r>
              <w:t xml:space="preserve"> </w:t>
            </w:r>
            <w:r>
              <w:fldChar w:fldCharType="begin"/>
            </w:r>
            <w:r>
              <w:instrText xml:space="preserve"> ADDIN ZOTERO_ITEM CSL_CITATION {"citationID":"Xd941at6","properties":{"formattedCitation":"(89)","plainCitation":"(89)","noteIndex":0},"citationItems":[{"id":2320,"uris":["http://zotero.org/users/9294180/items/RX3M2EV9"],"itemData":{"id":2320,"type":"article-journal","abstract":"Objectives: Interfacility patient transfers contribute to the regional spread of multidrug-resistant organisms (MDROs). We evaluated whether transfer patterns of inpatients with similar characteristics to carbapenem-resistant Enterobacterales (CRE) case-patients (CRE surrogates) better reflect hospital-level CRE burden than traditionally used populations. Design: We determined the risk factors for subsequent hospital admission using demographic and clinical information from Tennessee Department of Health tracked CRE case-patients from July 2015 to September 2019. Risk factors were used to identify CRE surrogates among inpatients in the 2018 Tennessee Hospital Discharge Data System (HDDS). Transfer networks of CRE surrogates, Medicare/TennCare beneficiaries, and all-inpatients with ≤365 days of intervening community stays were compared with the transfer networks of CRE case-patients in 2019. The associations between hospital-level CRE prevalence and hospitals' incoming transfer volumes from each network were assessed using negative binomial regression models. Results: Eight risk factors for subsequent hospital admission were identified from 2,518 CRE case-patients, which were used to match CRE case-patients with HDDS inpatients, resulting in 10,069 surrogate patients. CRE surrogate network showed more structural similarities with the CRE case-patient network than with the all-inpatient and Medicare/TennCare networks. A 33% increase in hospitals' CRE prevalence in 2019 was associated with each doubling of incoming transfer of CRE surrogates in 2018 (adjusted Risk Ratio [aRR] 1.33, 95%CI: 1.1, 1.59), higher than all-inpatient (aRR 1.27, 95% CI: 1.08, 1.51) and Medicare/TennCare networks (aRR 1.21, 95% CI: 1.02, 1.44). Conclusions: Surrogate transfer patterns were associated with hospital-level CRE prevalence, highlighting their value in MDRO containment and prevention. © 2025 Elsevier B.V., All rights reserved.","archive":"Scopus","container-title":"Infection Control and Hospital Epidemiology","DOI":"10.1017/ice.2025.86","title":"Improving containment and prevention strategies using a patient transfer network representative of patients with multidrug-resistant organisms","URL":"https://www.scopus.com/inward/record.uri?eid=2-s2.0-105009137060&amp;doi=10.1017%2Fice.2025.86&amp;partnerID=40&amp;md5=4d0ac3b6e98c827c97af19d046101fac","author":[{"family":"Octaria","given":"R."},{"family":"Deppen","given":"S."},{"family":"Chan","given":"A."},{"family":"Slaughter","given":"J.C."},{"family":"Talley","given":"P."},{"family":"Slayton","given":"R.B."},{"family":"Rebeiro","given":"P.F."},{"family":"Kainer","given":"M.A."}],"issued":{"date-parts":[["2025"]]}}}],"schema":"https://github.com/citation-style-language/schema/raw/master/csl-citation.json"} </w:instrText>
            </w:r>
            <w:r>
              <w:fldChar w:fldCharType="separate"/>
            </w:r>
            <w:r w:rsidRPr="00B423CC">
              <w:rPr>
                <w:rFonts w:cs="Calibri"/>
              </w:rPr>
              <w:t>(89)</w:t>
            </w:r>
            <w:r>
              <w:fldChar w:fldCharType="end"/>
            </w:r>
          </w:p>
        </w:tc>
        <w:tc>
          <w:tcPr>
            <w:tcW w:w="1559" w:type="dxa"/>
            <w:noWrap/>
          </w:tcPr>
          <w:p w14:paraId="3685A213" w14:textId="77777777" w:rsidR="00401E72" w:rsidRPr="00231D8F" w:rsidRDefault="00401E72" w:rsidP="00A21BAE">
            <w:r w:rsidRPr="00231D8F">
              <w:t>0</w:t>
            </w:r>
          </w:p>
        </w:tc>
        <w:tc>
          <w:tcPr>
            <w:tcW w:w="1701" w:type="dxa"/>
            <w:noWrap/>
          </w:tcPr>
          <w:p w14:paraId="3FA77284" w14:textId="77777777" w:rsidR="00401E72" w:rsidRPr="00231D8F" w:rsidRDefault="00401E72" w:rsidP="00A21BAE">
            <w:r w:rsidRPr="00231D8F">
              <w:t>1</w:t>
            </w:r>
          </w:p>
        </w:tc>
        <w:tc>
          <w:tcPr>
            <w:tcW w:w="1418" w:type="dxa"/>
            <w:noWrap/>
          </w:tcPr>
          <w:p w14:paraId="15E113F6" w14:textId="77777777" w:rsidR="00401E72" w:rsidRPr="00231D8F" w:rsidRDefault="00401E72" w:rsidP="00A21BAE">
            <w:r w:rsidRPr="00231D8F">
              <w:t>1</w:t>
            </w:r>
          </w:p>
        </w:tc>
        <w:tc>
          <w:tcPr>
            <w:tcW w:w="1417" w:type="dxa"/>
            <w:noWrap/>
          </w:tcPr>
          <w:p w14:paraId="76C78E52" w14:textId="77777777" w:rsidR="00401E72" w:rsidRPr="00231D8F" w:rsidRDefault="00401E72" w:rsidP="00A21BAE">
            <w:r w:rsidRPr="00231D8F">
              <w:t>9</w:t>
            </w:r>
          </w:p>
        </w:tc>
      </w:tr>
      <w:tr w:rsidR="00401E72" w:rsidRPr="00231D8F" w14:paraId="3173D4F2" w14:textId="77777777" w:rsidTr="00A21BAE">
        <w:trPr>
          <w:trHeight w:val="288"/>
        </w:trPr>
        <w:tc>
          <w:tcPr>
            <w:tcW w:w="2405" w:type="dxa"/>
            <w:noWrap/>
            <w:hideMark/>
          </w:tcPr>
          <w:p w14:paraId="389834D1" w14:textId="77777777" w:rsidR="00401E72" w:rsidRPr="00231D8F" w:rsidRDefault="00401E72" w:rsidP="00A21BAE">
            <w:r w:rsidRPr="00231D8F">
              <w:t>Ohst</w:t>
            </w:r>
            <w:r>
              <w:t xml:space="preserve"> et al., </w:t>
            </w:r>
            <w:r w:rsidRPr="00231D8F">
              <w:t>2014</w:t>
            </w:r>
            <w:r>
              <w:t xml:space="preserve"> </w:t>
            </w:r>
            <w:r>
              <w:fldChar w:fldCharType="begin"/>
            </w:r>
            <w:r>
              <w:instrText xml:space="preserve"> ADDIN ZOTERO_ITEM CSL_CITATION {"citationID":"NCP2jAhH","properties":{"formattedCitation":"(30)","plainCitation":"(30)","noteIndex":0},"citationItems":[{"id":1559,"uris":["http://zotero.org/users/9294180/items/PVPIBEGY"],"itemData":{"id":1559,"type":"article-journal","abstract":"We studied a dataset of care episodes in a regional Swedish hospital system. We followed how 2,314,477 patients moved between 8,507 units (hospital wards and outpatient clinics) over seven years. The data also included information on the date when patients tested positive with methicillin resistant Staphylococcus aureus. To simplify the complex ﬂow of patients, we represented it as a network of units, where two units were connected if a patient moved from one unit to another, without visiting a third unit in between. From this network, we characterized the typical network position of units with a high prevalence of methicillin resistant Staphylococcus aureus, and how the patient’s location in the network changed upon testing positive. On average, units with medium values of the analyzed centrality measures had the highest average prevalence. We saw a weak eﬀect of the hospital system’s response to the patient testing positive - after a positive test, the patient moved to units with a lower centrality measured as degree (i.e. number of links to other units) and in addition, the average duration of the care episodes became longer. The network of units was too random to be a strong predictor of the presence of methicillin resistant Staphylococcus aureus - would it be more regular, one could probably both identify and control outbreaks better. The migration of the positive patients with within the healthcare system, however, helps decreasing the outbreak sizes.","container-title":"EPJ Data Science","DOI":"10.1140/epjds/s13688-014-0029-6","ISSN":"2193-1127","issue":"1","journalAbbreviation":"EPJ Data Sci.","language":"en","page":"29","source":"DOI.org (Crossref)","title":"The network positions of methicillin resistant Staphylococcus aureus affected units in a regional healthcare system","volume":"3","author":[{"family":"Ohst","given":"Jan"},{"family":"Liljeros","given":"Fredrik"},{"family":"Stenhem","given":"Mikael"},{"family":"Holme","given":"Petter"}],"issued":{"date-parts":[["2014",12]]}}}],"schema":"https://github.com/citation-style-language/schema/raw/master/csl-citation.json"} </w:instrText>
            </w:r>
            <w:r>
              <w:fldChar w:fldCharType="separate"/>
            </w:r>
            <w:r w:rsidRPr="00E56AA7">
              <w:t>(30)</w:t>
            </w:r>
            <w:r>
              <w:fldChar w:fldCharType="end"/>
            </w:r>
          </w:p>
        </w:tc>
        <w:tc>
          <w:tcPr>
            <w:tcW w:w="1559" w:type="dxa"/>
            <w:noWrap/>
            <w:hideMark/>
          </w:tcPr>
          <w:p w14:paraId="422F0F64" w14:textId="77777777" w:rsidR="00401E72" w:rsidRPr="00231D8F" w:rsidRDefault="00401E72" w:rsidP="00A21BAE">
            <w:r w:rsidRPr="00231D8F">
              <w:t>1</w:t>
            </w:r>
          </w:p>
        </w:tc>
        <w:tc>
          <w:tcPr>
            <w:tcW w:w="1701" w:type="dxa"/>
            <w:noWrap/>
            <w:hideMark/>
          </w:tcPr>
          <w:p w14:paraId="226E4486" w14:textId="77777777" w:rsidR="00401E72" w:rsidRPr="00231D8F" w:rsidRDefault="00401E72" w:rsidP="00A21BAE">
            <w:r w:rsidRPr="00231D8F">
              <w:t>5</w:t>
            </w:r>
          </w:p>
        </w:tc>
        <w:tc>
          <w:tcPr>
            <w:tcW w:w="1418" w:type="dxa"/>
            <w:noWrap/>
            <w:hideMark/>
          </w:tcPr>
          <w:p w14:paraId="7B47904F" w14:textId="77777777" w:rsidR="00401E72" w:rsidRPr="00231D8F" w:rsidRDefault="00401E72" w:rsidP="00A21BAE">
            <w:r w:rsidRPr="00231D8F">
              <w:t>3</w:t>
            </w:r>
          </w:p>
        </w:tc>
        <w:tc>
          <w:tcPr>
            <w:tcW w:w="1417" w:type="dxa"/>
            <w:noWrap/>
            <w:hideMark/>
          </w:tcPr>
          <w:p w14:paraId="0378196B" w14:textId="77777777" w:rsidR="00401E72" w:rsidRPr="00231D8F" w:rsidRDefault="00401E72" w:rsidP="00A21BAE">
            <w:r w:rsidRPr="00231D8F">
              <w:t>3</w:t>
            </w:r>
          </w:p>
        </w:tc>
      </w:tr>
      <w:tr w:rsidR="00401E72" w:rsidRPr="00231D8F" w14:paraId="5D5BD159" w14:textId="77777777" w:rsidTr="00A21BAE">
        <w:trPr>
          <w:trHeight w:val="288"/>
        </w:trPr>
        <w:tc>
          <w:tcPr>
            <w:tcW w:w="2405" w:type="dxa"/>
            <w:noWrap/>
            <w:hideMark/>
          </w:tcPr>
          <w:p w14:paraId="43BD0ECC" w14:textId="77777777" w:rsidR="00401E72" w:rsidRPr="00231D8F" w:rsidRDefault="00401E72" w:rsidP="00A21BAE">
            <w:r w:rsidRPr="00231D8F">
              <w:t>Papp</w:t>
            </w:r>
            <w:r>
              <w:t xml:space="preserve"> et al., </w:t>
            </w:r>
            <w:r w:rsidRPr="00231D8F">
              <w:t>2021</w:t>
            </w:r>
            <w:r>
              <w:t xml:space="preserve"> </w:t>
            </w:r>
            <w:r>
              <w:fldChar w:fldCharType="begin"/>
            </w:r>
            <w:r>
              <w:instrText xml:space="preserve"> ADDIN ZOTERO_ITEM CSL_CITATION {"citationID":"S50kYQPS","properties":{"formattedCitation":"(56)","plainCitation":"(56)","noteIndex":0},"citationItems":[{"id":1558,"uris":["http://zotero.org/users/9294180/items/7LUMQ3ZT"],"itemData":{"id":1558,"type":"article-journal","abstract":"BACKGROUND: Hospital re-engineering initiatives aiming to meet the requirement for patient-centered care often face significant barriers. Opportunities from the optimization of patient flow logistics are often overlooked due to the perception that patient transport related services are ancillary. OBJECTIVES: To reorganize patient pathways by optimizing inpatient assignment and outpatient unit relocation. METHODS: Our analysis was conducted in a campus-based hospital hosting 1694 inpatient beds. Patient flow data was used for algorithm-based optimization to minimize the sum of the distances due to visits to outpatient units and visits by consulting physicians. Inpatients were reordered and outpatient units were relocated to minimize transport need. Optimized schemes were analyzed using graph- and spectral graph theory. RESULTS: Both optimizations yielded an altered hospital layout in which the need for patient transfers decreased (over 30% and 23% in terms of total distance and transfer episodes, respectively). The optimized systems gave rise to buildings with greater specialization, higher importance in terms of contributing to the network architecture, greater synchronization and robustness. CONCLUSIONS: The top-down algorithm-based optimization scheme yielded a system in which the need for cross-building patient transfer decreased. We suggest that network analysis may be a useful tool for capacity planning.","container-title":"Technology and Health Care","DOI":"10.3233/THC-191782","ISSN":"09287329, 18787401","issue":"2","journalAbbreviation":"THC","language":"en","page":"199-211","source":"DOI.org (Crossref)","title":"Assessment of patient flow and optimized use of lean thinking transformation from the perspective of graph theory and spectral graph theory: A case study","title-short":"Assessment of patient flow and optimized use of lean thinking transformation from the perspective of graph theory and spectral graph theory","volume":"29","author":[{"family":"Papp","given":"Csaba"},{"family":"Harsanyi","given":"Szilvia"},{"family":"Gesztelyi","given":"Rudolf"},{"family":"Emri","given":"Miklos"},{"family":"Zsuga","given":"Judit"}],"issued":{"date-parts":[["2021",3,12]]}}}],"schema":"https://github.com/citation-style-language/schema/raw/master/csl-citation.json"} </w:instrText>
            </w:r>
            <w:r>
              <w:fldChar w:fldCharType="separate"/>
            </w:r>
            <w:r w:rsidRPr="00735B0C">
              <w:t>(56)</w:t>
            </w:r>
            <w:r>
              <w:fldChar w:fldCharType="end"/>
            </w:r>
          </w:p>
        </w:tc>
        <w:tc>
          <w:tcPr>
            <w:tcW w:w="1559" w:type="dxa"/>
            <w:noWrap/>
            <w:hideMark/>
          </w:tcPr>
          <w:p w14:paraId="46ED7B81" w14:textId="77777777" w:rsidR="00401E72" w:rsidRPr="00231D8F" w:rsidRDefault="00401E72" w:rsidP="00A21BAE">
            <w:r w:rsidRPr="00231D8F">
              <w:t>1</w:t>
            </w:r>
          </w:p>
        </w:tc>
        <w:tc>
          <w:tcPr>
            <w:tcW w:w="1701" w:type="dxa"/>
            <w:noWrap/>
            <w:hideMark/>
          </w:tcPr>
          <w:p w14:paraId="1FA7E413" w14:textId="77777777" w:rsidR="00401E72" w:rsidRPr="00231D8F" w:rsidRDefault="00401E72" w:rsidP="00A21BAE">
            <w:r w:rsidRPr="00231D8F">
              <w:t>4</w:t>
            </w:r>
          </w:p>
        </w:tc>
        <w:tc>
          <w:tcPr>
            <w:tcW w:w="1418" w:type="dxa"/>
            <w:noWrap/>
            <w:hideMark/>
          </w:tcPr>
          <w:p w14:paraId="06E56913" w14:textId="77777777" w:rsidR="00401E72" w:rsidRPr="00231D8F" w:rsidRDefault="00401E72" w:rsidP="00A21BAE">
            <w:r w:rsidRPr="00231D8F">
              <w:t>4</w:t>
            </w:r>
          </w:p>
        </w:tc>
        <w:tc>
          <w:tcPr>
            <w:tcW w:w="1417" w:type="dxa"/>
            <w:noWrap/>
            <w:hideMark/>
          </w:tcPr>
          <w:p w14:paraId="29FCABE9" w14:textId="77777777" w:rsidR="00401E72" w:rsidRPr="00231D8F" w:rsidRDefault="00401E72" w:rsidP="00A21BAE">
            <w:r w:rsidRPr="00231D8F">
              <w:t>3</w:t>
            </w:r>
          </w:p>
        </w:tc>
      </w:tr>
      <w:tr w:rsidR="00401E72" w:rsidRPr="00231D8F" w14:paraId="186F59FB" w14:textId="77777777" w:rsidTr="00A21BAE">
        <w:trPr>
          <w:trHeight w:val="288"/>
        </w:trPr>
        <w:tc>
          <w:tcPr>
            <w:tcW w:w="2405" w:type="dxa"/>
            <w:noWrap/>
            <w:hideMark/>
          </w:tcPr>
          <w:p w14:paraId="267B3D04" w14:textId="77777777" w:rsidR="00401E72" w:rsidRPr="00231D8F" w:rsidRDefault="00401E72" w:rsidP="00A21BAE">
            <w:r w:rsidRPr="00231D8F">
              <w:t>Piotrowska</w:t>
            </w:r>
            <w:r>
              <w:t xml:space="preserve"> et al., </w:t>
            </w:r>
            <w:r w:rsidRPr="00231D8F">
              <w:t>2020a</w:t>
            </w:r>
            <w:r>
              <w:t xml:space="preserve"> </w:t>
            </w:r>
            <w:r>
              <w:fldChar w:fldCharType="begin"/>
            </w:r>
            <w:r>
              <w:instrText xml:space="preserve"> ADDIN ZOTERO_ITEM CSL_CITATION {"citationID":"8ToDoZ3F","properties":{"formattedCitation":"(24)","plainCitation":"(24)","noteIndex":0},"citationItems":[{"id":1557,"uris":["http://zotero.org/users/9294180/items/G8K624BY"],"itemData":{"id":1557,"type":"article-journal","abstract":"The spread of resistant bacteria in hospitals is an increasing problem worldwide. Transfers of patients, who may be colonized with resistant bacteria, are considered to be an important driver of promoting resistance. Even though transmission rates within a hospital are often low, readmissions of patients who were colonized during an earlier hospital stay lead to repeated introductions of resistant bacteria into hospitals. We developed a mathematical model that combines a deterministic model for within-hospital spread of pathogens, discharge to the community and readmission, with a hospital–community network simulation of patient transfers between hospitals. Model parameters used to create the hospital–community network are obtained from two health insurance datasets from Germany. For parameter values representing transmission of resistant Enterobacteriaceae, we compute estimates for the single admission reproduction numbers </w:instrText>
            </w:r>
            <w:r>
              <w:rPr>
                <w:rFonts w:ascii="Cambria Math" w:hAnsi="Cambria Math" w:cs="Cambria Math"/>
              </w:rPr>
              <w:instrText>𝑅𝐴</w:instrText>
            </w:r>
            <w:r>
              <w:instrText xml:space="preserve"> and the basic reproduction numbers </w:instrText>
            </w:r>
            <w:r>
              <w:rPr>
                <w:rFonts w:ascii="Cambria Math" w:hAnsi="Cambria Math" w:cs="Cambria Math"/>
              </w:rPr>
              <w:instrText>𝑅</w:instrText>
            </w:r>
            <w:r>
              <w:instrText xml:space="preserve">0 per hospital–community pair. We simulate the spread of colonization through the network of hospitals, and investigate how increasing connectedness of hospitals through the network influences the prevalence in the hospital–community pairs. We find that the prevalence in hospitals is determined by their </w:instrText>
            </w:r>
            <w:r>
              <w:rPr>
                <w:rFonts w:ascii="Cambria Math" w:hAnsi="Cambria Math" w:cs="Cambria Math"/>
              </w:rPr>
              <w:instrText>𝑅𝐴</w:instrText>
            </w:r>
            <w:r>
              <w:instrText xml:space="preserve"> and </w:instrText>
            </w:r>
            <w:r>
              <w:rPr>
                <w:rFonts w:ascii="Cambria Math" w:hAnsi="Cambria Math" w:cs="Cambria Math"/>
              </w:rPr>
              <w:instrText>𝑅</w:instrText>
            </w:r>
            <w:r>
              <w:instrText xml:space="preserve">0 values. Increasing transfer rates between network nodes tend to lower the overall prevalence in the network by diluting the high prevalence of hospitals with high </w:instrText>
            </w:r>
            <w:r>
              <w:rPr>
                <w:rFonts w:ascii="Cambria Math" w:hAnsi="Cambria Math" w:cs="Cambria Math"/>
              </w:rPr>
              <w:instrText>𝑅</w:instrText>
            </w:r>
            <w:r>
              <w:instrText xml:space="preserve">0 to hospitals where persistent spread is not possible. We conclude that hospitals with high reproduction numbers represent a continuous source of risk for importing resistant pathogens for hospitals with otherwise low levels of transmission. Moreover, high risk hospital–community nodes act as reservoirs of pathogens in a densely connected network.","container-title":"Epidemics","DOI":"10.1016/j.epidem.2020.100408","ISSN":"17554365","journalAbbreviation":"Epidemics","language":"en","page":"100408","source":"DOI.org (Crossref)","title":"Impact of inter-hospital transfers on the prevalence of resistant pathogens in a hospital–community system","volume":"33","author":[{"family":"Piotrowska","given":"M.J."},{"family":"Sakowski","given":"K."},{"family":"Lonc","given":"A."},{"family":"Tahir","given":"H."},{"family":"Kretzschmar","given":"M.E."}],"issued":{"date-parts":[["2020",12]]}}}],"schema":"https://github.com/citation-style-language/schema/raw/master/csl-citation.json"} </w:instrText>
            </w:r>
            <w:r>
              <w:fldChar w:fldCharType="separate"/>
            </w:r>
            <w:r w:rsidRPr="00AF6F02">
              <w:rPr>
                <w:rFonts w:cs="Calibri"/>
              </w:rPr>
              <w:t>(24)</w:t>
            </w:r>
            <w:r>
              <w:fldChar w:fldCharType="end"/>
            </w:r>
          </w:p>
        </w:tc>
        <w:tc>
          <w:tcPr>
            <w:tcW w:w="1559" w:type="dxa"/>
            <w:noWrap/>
            <w:hideMark/>
          </w:tcPr>
          <w:p w14:paraId="60E09BB1" w14:textId="77777777" w:rsidR="00401E72" w:rsidRPr="00231D8F" w:rsidRDefault="00401E72" w:rsidP="00A21BAE">
            <w:r w:rsidRPr="00231D8F">
              <w:t>1</w:t>
            </w:r>
          </w:p>
        </w:tc>
        <w:tc>
          <w:tcPr>
            <w:tcW w:w="1701" w:type="dxa"/>
            <w:noWrap/>
            <w:hideMark/>
          </w:tcPr>
          <w:p w14:paraId="23C1BBF4" w14:textId="77777777" w:rsidR="00401E72" w:rsidRPr="00231D8F" w:rsidRDefault="00401E72" w:rsidP="00A21BAE">
            <w:r w:rsidRPr="00231D8F">
              <w:t>3</w:t>
            </w:r>
          </w:p>
        </w:tc>
        <w:tc>
          <w:tcPr>
            <w:tcW w:w="1418" w:type="dxa"/>
            <w:noWrap/>
            <w:hideMark/>
          </w:tcPr>
          <w:p w14:paraId="5A5453A2" w14:textId="77777777" w:rsidR="00401E72" w:rsidRPr="00231D8F" w:rsidRDefault="00401E72" w:rsidP="00A21BAE">
            <w:r w:rsidRPr="00231D8F">
              <w:t>4</w:t>
            </w:r>
          </w:p>
        </w:tc>
        <w:tc>
          <w:tcPr>
            <w:tcW w:w="1417" w:type="dxa"/>
            <w:noWrap/>
            <w:hideMark/>
          </w:tcPr>
          <w:p w14:paraId="70195F71" w14:textId="77777777" w:rsidR="00401E72" w:rsidRPr="00231D8F" w:rsidRDefault="00401E72" w:rsidP="00A21BAE">
            <w:r w:rsidRPr="00231D8F">
              <w:t>4</w:t>
            </w:r>
          </w:p>
        </w:tc>
      </w:tr>
      <w:tr w:rsidR="00401E72" w:rsidRPr="00231D8F" w14:paraId="03E30DE5" w14:textId="77777777" w:rsidTr="00A21BAE">
        <w:trPr>
          <w:trHeight w:val="288"/>
        </w:trPr>
        <w:tc>
          <w:tcPr>
            <w:tcW w:w="2405" w:type="dxa"/>
            <w:noWrap/>
            <w:hideMark/>
          </w:tcPr>
          <w:p w14:paraId="02DBA344" w14:textId="77777777" w:rsidR="00401E72" w:rsidRPr="00231D8F" w:rsidRDefault="00401E72" w:rsidP="00A21BAE">
            <w:r w:rsidRPr="00231D8F">
              <w:t>Piotrowska</w:t>
            </w:r>
            <w:r>
              <w:t xml:space="preserve"> et al., </w:t>
            </w:r>
            <w:r w:rsidRPr="00231D8F">
              <w:t>2020b</w:t>
            </w:r>
            <w:r>
              <w:t xml:space="preserve"> </w:t>
            </w:r>
            <w:r>
              <w:fldChar w:fldCharType="begin"/>
            </w:r>
            <w:r>
              <w:instrText xml:space="preserve"> ADDIN ZOTERO_ITEM CSL_CITATION {"citationID":"DAGP7o9J","properties":{"formattedCitation":"(7)","plainCitation":"(7)","noteIndex":0},"citationItems":[{"id":1556,"uris":["http://zotero.org/users/9294180/items/JV2AR2AV"],"itemData":{"id":1556,"type":"article-journal","abstract":"Inter-hospital patient transfers (direct transfers) between healthcare facilities have been shown to contribute to the spread of pathogens in a healthcare network. However, the impact of indirect transfers (patients re-admitted from the community to the same or different hospital) is not well studied. This work aims to study the contribution of indirect transfers to the spread of pathogens in a healthcare network. To address this aim, a hybrid network–deterministic model to simulate the spread of multiresistant pathogens in a healthcare system was developed for the region of Lower Saxony (Germany). The model accounts for both, direct and indirect transfers of patients. Intra-hospital pathogen transmission is governed by a SIS model expressed by a system of ordinary differential equations. Our results show that the proposed model reproduces the basic properties of healthcare-associated pathogen spread. They also show the importance of indirect transfers: restricting the pathogen spread to direct transfers only leads to 4.2% system wide prevalence. However, adding indirect transfers leads to an increase in the overall prevalence by a factor of 4 (18%). In addition, we demonstrated that the final prevalence in the individual healthcare facilities depends on average length of stay in a way described by a non-linear concave function. Moreover, we demonstrate that the network parameters of the model may be derived from administrative admission/discharge records. In particular, they are sufficient to obtain inter-hospital transfer probabilities, and to express the patients’ transfers as a Markov process. Using the proposed model, we show that indirect transfers of patients are equally or even more important as direct transfers for the spread of pathogens in a healthcare network.","container-title":"PLOS Computational Biology","DOI":"10.1371/journal.pcbi.1008442","ISSN":"1553-7358","issue":"11","journalAbbreviation":"PLoS Comput Biol","language":"en","page":"e1008442","source":"DOI.org (Crossref)","title":"Modelling pathogen spread in a healthcare network: Indirect patient movements","title-short":"Modelling pathogen spread in a healthcare network","volume":"16","author":[{"family":"Piotrowska","given":"Monika J."},{"family":"Sakowski","given":"Konrad"},{"family":"Karch","given":"André"},{"family":"Tahir","given":"Hannan"},{"family":"Horn","given":"Johannes"},{"family":"Kretzschmar","given":"Mirjam E."},{"family":"Mikolajczyk","given":"Rafael T."}],"editor":[{"family":"Wodarz","given":"Dominik"}],"issued":{"date-parts":[["2020",11,30]]}}}],"schema":"https://github.com/citation-style-language/schema/raw/master/csl-citation.json"} </w:instrText>
            </w:r>
            <w:r>
              <w:fldChar w:fldCharType="separate"/>
            </w:r>
            <w:r w:rsidRPr="00133F12">
              <w:rPr>
                <w:rFonts w:cs="Calibri"/>
              </w:rPr>
              <w:t>(7)</w:t>
            </w:r>
            <w:r>
              <w:fldChar w:fldCharType="end"/>
            </w:r>
          </w:p>
        </w:tc>
        <w:tc>
          <w:tcPr>
            <w:tcW w:w="1559" w:type="dxa"/>
            <w:noWrap/>
            <w:hideMark/>
          </w:tcPr>
          <w:p w14:paraId="3F131A35" w14:textId="77777777" w:rsidR="00401E72" w:rsidRPr="00231D8F" w:rsidRDefault="00401E72" w:rsidP="00A21BAE">
            <w:r w:rsidRPr="00231D8F">
              <w:t>1</w:t>
            </w:r>
          </w:p>
        </w:tc>
        <w:tc>
          <w:tcPr>
            <w:tcW w:w="1701" w:type="dxa"/>
            <w:noWrap/>
            <w:hideMark/>
          </w:tcPr>
          <w:p w14:paraId="5AE12711" w14:textId="77777777" w:rsidR="00401E72" w:rsidRPr="00231D8F" w:rsidRDefault="00401E72" w:rsidP="00A21BAE">
            <w:r w:rsidRPr="00231D8F">
              <w:t>3</w:t>
            </w:r>
          </w:p>
        </w:tc>
        <w:tc>
          <w:tcPr>
            <w:tcW w:w="1418" w:type="dxa"/>
            <w:noWrap/>
            <w:hideMark/>
          </w:tcPr>
          <w:p w14:paraId="0AA4906B" w14:textId="77777777" w:rsidR="00401E72" w:rsidRPr="00231D8F" w:rsidRDefault="00401E72" w:rsidP="00A21BAE">
            <w:r w:rsidRPr="00231D8F">
              <w:t>4</w:t>
            </w:r>
          </w:p>
        </w:tc>
        <w:tc>
          <w:tcPr>
            <w:tcW w:w="1417" w:type="dxa"/>
            <w:noWrap/>
            <w:hideMark/>
          </w:tcPr>
          <w:p w14:paraId="66451928" w14:textId="77777777" w:rsidR="00401E72" w:rsidRPr="00231D8F" w:rsidRDefault="00401E72" w:rsidP="00A21BAE">
            <w:r w:rsidRPr="00231D8F">
              <w:t>4</w:t>
            </w:r>
          </w:p>
        </w:tc>
      </w:tr>
      <w:tr w:rsidR="00401E72" w:rsidRPr="00231D8F" w14:paraId="1D62298F" w14:textId="77777777" w:rsidTr="00A21BAE">
        <w:trPr>
          <w:trHeight w:val="288"/>
        </w:trPr>
        <w:tc>
          <w:tcPr>
            <w:tcW w:w="2405" w:type="dxa"/>
            <w:noWrap/>
            <w:hideMark/>
          </w:tcPr>
          <w:p w14:paraId="3898AF0F" w14:textId="77777777" w:rsidR="00401E72" w:rsidRPr="00231D8F" w:rsidRDefault="00401E72" w:rsidP="00A21BAE">
            <w:r w:rsidRPr="00231D8F">
              <w:lastRenderedPageBreak/>
              <w:t>Piotrowska</w:t>
            </w:r>
            <w:r>
              <w:t xml:space="preserve"> et al., </w:t>
            </w:r>
            <w:r w:rsidRPr="00231D8F">
              <w:t>2023</w:t>
            </w:r>
            <w:r>
              <w:t xml:space="preserve"> </w:t>
            </w:r>
            <w:r>
              <w:fldChar w:fldCharType="begin"/>
            </w:r>
            <w:r>
              <w:instrText xml:space="preserve"> ADDIN ZOTERO_ITEM CSL_CITATION {"citationID":"tTlCMVHW","properties":{"formattedCitation":"(36)","plainCitation":"(36)","noteIndex":0},"citationItems":[{"id":1555,"uris":["http://zotero.org/users/9294180/items/X69G32CJ"],"itemData":{"id":1555,"type":"article-journal","abstract":"Objective: The introduction of multi-drug-resistant Enterobacteriaceae (MDR-E) by colonized patients transferred from high-prevalence countries has led to several large outbreaks of MDR-E in lowprevalence countries, with the risk of propagated spread to the community. The goal of this study was to derive a strategy to counteract the spread of MDR-E at the regional health-care network level.\nMethods: We used a hybrid ordinary differential equation and network model built based on German health insurance data to evaluate whether the re-direction of patient ﬂow in combination with targeted infection control measures can counteract the spread of MDR-E in the German health-care system. We applied pragmatic re-direction strategies focusing on a reduced choice of hospitals for subsequent stays after initial hospitalization but not manipulating direct transfers because these are most likely determined by medical needs.\nResults: The re-direction strategies alone did not reduce the system-wide spread of MDR-E (system-wide prevalence of MDR-E is 18.7% vs. 25.7%/29.9%). In contrast, targeted hospital-based infection control measures restricted to institutions with the highest institutional basic reproduction numbers in the network were identiﬁed as an effective tool for reducing system-wide prevalence (system-wide prevalence of MDR-E is 18.7% vs. 9.3%). If these measures were applied to the top one-third of hospitals, the system-wide prevalence could be reduced by approximately 80% (system-wide prevalence of 18.7% vs. 3.5% for one-third of patients subjected to interventions). A combination of this hospital-based intervention and patient re-direction strategies could not improve the effectiveness of the hospital-based approach (system-wide prevalence of MDR-E is 9.3% vs. 14.2%/14.3%).\nConclusions: The pragmatic patient re-direction strategies were not capable of restricting the spread of MDR-E in a simulation of the German health-care system; in contrast, hospital-based interventions focusing on institutions identiﬁed based on network transmission patterns seem to be a promising approach for sustainable reduction of the spread of MDR-E through the German population. Monika J. Piotrowska, Clin Microbiol Infect 2023;29:109.e1e109.e7 © 2022 European Society of Clinical Microbiology and Infectious Diseases. Published by Elsevier Ltd. All rights reserved.","container-title":"Clinical Microbiology and Infection","DOI":"10.1016/j.cmi.2022.08.001","ISSN":"1198743X","issue":"1","journalAbbreviation":"Clinical Microbiology and Infection","language":"en","page":"109.e1-109.e7","source":"DOI.org (Crossref)","title":"The effect of re-directed patient flow in combination with targeted infection control measures on the spread of multi-drug-resistant Enterobacteriaceae in the German health-care system: a mathematical modelling approach","title-short":"The effect of re-directed patient flow in combination with targeted infection control measures on the spread of multi-drug-resistant Enterobacteriaceae in the German health-care system","volume":"29","author":[{"family":"Piotrowska","given":"Monika J."},{"family":"Sakowski","given":"Konrad"},{"family":"Horn","given":"Johannes"},{"family":"Mikolajczyk","given":"Rafael"},{"family":"Karch","given":"André"}],"issued":{"date-parts":[["2023",1]]}}}],"schema":"https://github.com/citation-style-language/schema/raw/master/csl-citation.json"} </w:instrText>
            </w:r>
            <w:r>
              <w:fldChar w:fldCharType="separate"/>
            </w:r>
            <w:r w:rsidRPr="00E56AA7">
              <w:t>(36)</w:t>
            </w:r>
            <w:r>
              <w:fldChar w:fldCharType="end"/>
            </w:r>
          </w:p>
        </w:tc>
        <w:tc>
          <w:tcPr>
            <w:tcW w:w="1559" w:type="dxa"/>
            <w:noWrap/>
            <w:hideMark/>
          </w:tcPr>
          <w:p w14:paraId="54809403" w14:textId="77777777" w:rsidR="00401E72" w:rsidRPr="00231D8F" w:rsidRDefault="00401E72" w:rsidP="00A21BAE">
            <w:r w:rsidRPr="00231D8F">
              <w:t>1</w:t>
            </w:r>
          </w:p>
        </w:tc>
        <w:tc>
          <w:tcPr>
            <w:tcW w:w="1701" w:type="dxa"/>
            <w:noWrap/>
            <w:hideMark/>
          </w:tcPr>
          <w:p w14:paraId="63BB0E74" w14:textId="77777777" w:rsidR="00401E72" w:rsidRPr="00231D8F" w:rsidRDefault="00401E72" w:rsidP="00A21BAE">
            <w:r w:rsidRPr="00231D8F">
              <w:t>3</w:t>
            </w:r>
          </w:p>
        </w:tc>
        <w:tc>
          <w:tcPr>
            <w:tcW w:w="1418" w:type="dxa"/>
            <w:noWrap/>
            <w:hideMark/>
          </w:tcPr>
          <w:p w14:paraId="1A267067" w14:textId="77777777" w:rsidR="00401E72" w:rsidRPr="00231D8F" w:rsidRDefault="00401E72" w:rsidP="00A21BAE">
            <w:r w:rsidRPr="00231D8F">
              <w:t>6</w:t>
            </w:r>
          </w:p>
        </w:tc>
        <w:tc>
          <w:tcPr>
            <w:tcW w:w="1417" w:type="dxa"/>
            <w:noWrap/>
            <w:hideMark/>
          </w:tcPr>
          <w:p w14:paraId="4FB2E759" w14:textId="77777777" w:rsidR="00401E72" w:rsidRPr="00231D8F" w:rsidRDefault="00401E72" w:rsidP="00A21BAE">
            <w:r w:rsidRPr="00231D8F">
              <w:t>2</w:t>
            </w:r>
          </w:p>
        </w:tc>
      </w:tr>
      <w:tr w:rsidR="00401E72" w:rsidRPr="00231D8F" w14:paraId="3DEA6D12" w14:textId="77777777" w:rsidTr="00A21BAE">
        <w:trPr>
          <w:trHeight w:val="288"/>
        </w:trPr>
        <w:tc>
          <w:tcPr>
            <w:tcW w:w="2405" w:type="dxa"/>
            <w:noWrap/>
            <w:hideMark/>
          </w:tcPr>
          <w:p w14:paraId="59E11FD3" w14:textId="77777777" w:rsidR="00401E72" w:rsidRPr="00231D8F" w:rsidRDefault="00401E72" w:rsidP="00A21BAE">
            <w:r w:rsidRPr="00231D8F">
              <w:t>Rankin</w:t>
            </w:r>
            <w:r>
              <w:t xml:space="preserve"> et al., </w:t>
            </w:r>
            <w:r w:rsidRPr="00231D8F">
              <w:t>2020</w:t>
            </w:r>
            <w:r>
              <w:t xml:space="preserve"> </w:t>
            </w:r>
            <w:r>
              <w:fldChar w:fldCharType="begin"/>
            </w:r>
            <w:r>
              <w:instrText xml:space="preserve"> ADDIN ZOTERO_ITEM CSL_CITATION {"citationID":"u6ZZ13wi","properties":{"formattedCitation":"(25)","plainCitation":"(25)","noteIndex":0},"citationItems":[{"id":1427,"uris":["http://zotero.org/users/9294180/items/84VYZQV8"],"itemData":{"id":1427,"type":"article-journal","abstract":"OBJECTIVE: Multidrug-resistant organisms (MDROs) are continually emerging and threatening health care systems. Little attention has been paid to the effect of patient transfers on MDRO dissemination among health care entities in health care systems. In this study, the Florida Department of Health in Orange County (DOH-Orange) developed a baseline social network analysis of patient movement across health care entities in Orange County, Florida, and regionally, within 6 surrounding counties in Central Florida.\nMATERIALS AND METHODS: DOH-Orange constructed 2 directed network sociograms-graphic visualizations that show the direction of relationships (ie, county and regional)-by using 2016 health insurance data from the Centers for Medicare &amp; Medicaid Services, which include metrics that could be useful for local public health interventions, such as MDRO outbreaks.\nRESULTS: We found that both our county and regional networks were sparse and centralized. The county-level network showed that acute-care hospitals had the highest influence on controlling the flow of patients between health care entities that would otherwise not be connected. The regional-level network showed that post-acute-care hospitals and other facilities (behavioral hospitals and mental health/substance abuse facilities) served as the primary controls for flow of patients between health care entities. The most prominent health care entities in both networks were the same 2 acute-care hospitals.\nPRACTICE IMPLICATIONS: Social network analysis can help local public health officials respond to MDRO outbreak investigations by determining which health care facilities are the main contributors of dissemination of MDROs or are at high risk of receiving patients with MDROs. This information can help epidemiologists prioritize prevention efforts and develop county- or regional-specific interventions to control and halt MDRO transmission across a health care network.","container-title":"Public Health Reports (Washington, D.C.: 1974)","DOI":"10.1177/0033354920930213","ISSN":"1468-2877","issue":"4","journalAbbreviation":"Public Health Rep","language":"eng","note":"PMID: 32511940\nPMCID: PMC7383754","page":"452-460","source":"PubMed","title":"Social Network Analysis of Patient Movement Across Health Care Entities in Orange County, Florida","volume":"135","author":[{"family":"Rankin","given":"Danielle A."},{"family":"Matthews","given":"Sarah D."}],"issued":{"date-parts":[["2020"]]}}}],"schema":"https://github.com/citation-style-language/schema/raw/master/csl-citation.json"} </w:instrText>
            </w:r>
            <w:r>
              <w:fldChar w:fldCharType="separate"/>
            </w:r>
            <w:r w:rsidRPr="00133F12">
              <w:rPr>
                <w:rFonts w:cs="Calibri"/>
              </w:rPr>
              <w:t>(25)</w:t>
            </w:r>
            <w:r>
              <w:fldChar w:fldCharType="end"/>
            </w:r>
          </w:p>
        </w:tc>
        <w:tc>
          <w:tcPr>
            <w:tcW w:w="1559" w:type="dxa"/>
            <w:noWrap/>
            <w:hideMark/>
          </w:tcPr>
          <w:p w14:paraId="2C8EC96E" w14:textId="77777777" w:rsidR="00401E72" w:rsidRPr="00231D8F" w:rsidRDefault="00401E72" w:rsidP="00A21BAE">
            <w:r w:rsidRPr="00231D8F">
              <w:t>1</w:t>
            </w:r>
          </w:p>
        </w:tc>
        <w:tc>
          <w:tcPr>
            <w:tcW w:w="1701" w:type="dxa"/>
            <w:noWrap/>
            <w:hideMark/>
          </w:tcPr>
          <w:p w14:paraId="7CD24A63" w14:textId="77777777" w:rsidR="00401E72" w:rsidRPr="00231D8F" w:rsidRDefault="00401E72" w:rsidP="00A21BAE">
            <w:r w:rsidRPr="00231D8F">
              <w:t>4</w:t>
            </w:r>
          </w:p>
        </w:tc>
        <w:tc>
          <w:tcPr>
            <w:tcW w:w="1418" w:type="dxa"/>
            <w:noWrap/>
            <w:hideMark/>
          </w:tcPr>
          <w:p w14:paraId="2A7CB878" w14:textId="77777777" w:rsidR="00401E72" w:rsidRPr="00231D8F" w:rsidRDefault="00401E72" w:rsidP="00A21BAE">
            <w:r w:rsidRPr="00231D8F">
              <w:t>4</w:t>
            </w:r>
          </w:p>
        </w:tc>
        <w:tc>
          <w:tcPr>
            <w:tcW w:w="1417" w:type="dxa"/>
            <w:noWrap/>
            <w:hideMark/>
          </w:tcPr>
          <w:p w14:paraId="0DBD9ADB" w14:textId="77777777" w:rsidR="00401E72" w:rsidRPr="00231D8F" w:rsidRDefault="00401E72" w:rsidP="00A21BAE">
            <w:r w:rsidRPr="00231D8F">
              <w:t>3</w:t>
            </w:r>
          </w:p>
        </w:tc>
      </w:tr>
      <w:tr w:rsidR="00401E72" w:rsidRPr="00231D8F" w14:paraId="4A552395" w14:textId="77777777" w:rsidTr="00A21BAE">
        <w:trPr>
          <w:trHeight w:val="288"/>
        </w:trPr>
        <w:tc>
          <w:tcPr>
            <w:tcW w:w="2405" w:type="dxa"/>
            <w:noWrap/>
            <w:hideMark/>
          </w:tcPr>
          <w:p w14:paraId="65671724" w14:textId="77777777" w:rsidR="00401E72" w:rsidRPr="00231D8F" w:rsidRDefault="00401E72" w:rsidP="00A21BAE">
            <w:r w:rsidRPr="00231D8F">
              <w:t>Ray</w:t>
            </w:r>
            <w:r>
              <w:t xml:space="preserve"> et al., </w:t>
            </w:r>
            <w:r w:rsidRPr="00231D8F">
              <w:t>2016</w:t>
            </w:r>
            <w:r>
              <w:t xml:space="preserve"> </w:t>
            </w:r>
            <w:r>
              <w:fldChar w:fldCharType="begin"/>
            </w:r>
            <w:r>
              <w:instrText xml:space="preserve"> ADDIN ZOTERO_ITEM CSL_CITATION {"citationID":"q68LNTEP","properties":{"formattedCitation":"(52)","plainCitation":"(52)","noteIndex":0},"citationItems":[{"id":1554,"uris":["http://zotero.org/users/9294180/items/BKBMWBEA"],"itemData":{"id":1554,"type":"article-journal","abstract":"Background. Carbapenem-resistant Enterobacteriaceae (CRE) spread regionally throughout healthcare facilities through patient transfer and cause difﬁcult-to-treat infections. We developed a state-wide patient-sharing matrix and applied social network analyses to determine whether greater connectedness (centrality) to other healthcare facilities and greater patient sharing with long-term acute care hospitals (LTACHs) predicted higher facility CRE rates.\nMethods. We combined CRE case information from the Illinois extensively drug-resistant organism registry with measures of centrality calculated from a state-wide hospital discharge dataset to predict facility-level CRE rates, adjusting for hospital size and geographic characteristics.\nResults. Higher CRE rates were observed among facilities with greater patient sharing, as measured by degree centrality. Each additional hospital connection (unit of degree) conferred a 6% increase in CRE rate in rural facilities (relative risk [RR] = 1.056; 95% conﬁdence interval [CI], 1.030–1.082) and a 3% increase among Chicagoland and non-Chicago urban facilities (RR = 1.027; 95% CI, 1.002–1.052 and RR = 1.025; 95% CI, 1.002–1.048, respectively). Sharing 4 or more patients with LTACHs was associated with higher CRE rates, but this association may have been due to chance (RR = 2.08; 95% CI, .85–5.08; P = .11).\nConclusions. Hospitals with greater connectedness to other hospitals in a statewide patient-sharing network had higher CRE burden. Centrality had a greater effect on CRE rates in rural counties, which do not have LTACHs. Social network analysis likely identiﬁes hospitals at higher risk of CRE exposure, enabling focused clinical and public health interventions.","container-title":"Clinical Infectious Diseases","DOI":"10.1093/cid/ciw461","ISSN":"1058-4838, 1537-6591","issue":"7","journalAbbreviation":"Clin Infect Dis.","language":"en","page":"889-893","source":"DOI.org (Crossref)","title":"Spread of Carbapenem-Resistant &lt;i&gt;Enterobacteriaceae&lt;/i&gt; Among Illinois Healthcare Facilities: The Role of Patient Sharing","title-short":"Spread of Carbapenem-Resistant &lt;i&gt;Enterobacteriaceae&lt;/i&gt; Among Illinois Healthcare Facilities","volume":"63","author":[{"family":"Ray","given":"Michael J."},{"family":"Lin","given":"Michael Y."},{"family":"Weinstein","given":"Robert A."},{"family":"Trick","given":"William E."}],"issued":{"date-parts":[["2016",10,1]]}}}],"schema":"https://github.com/citation-style-language/schema/raw/master/csl-citation.json"} </w:instrText>
            </w:r>
            <w:r>
              <w:fldChar w:fldCharType="separate"/>
            </w:r>
            <w:r w:rsidRPr="00735B0C">
              <w:t>(52)</w:t>
            </w:r>
            <w:r>
              <w:fldChar w:fldCharType="end"/>
            </w:r>
          </w:p>
        </w:tc>
        <w:tc>
          <w:tcPr>
            <w:tcW w:w="1559" w:type="dxa"/>
            <w:noWrap/>
            <w:hideMark/>
          </w:tcPr>
          <w:p w14:paraId="3EEFA47C" w14:textId="77777777" w:rsidR="00401E72" w:rsidRPr="00231D8F" w:rsidRDefault="00401E72" w:rsidP="00A21BAE">
            <w:r w:rsidRPr="00231D8F">
              <w:t>1</w:t>
            </w:r>
          </w:p>
        </w:tc>
        <w:tc>
          <w:tcPr>
            <w:tcW w:w="1701" w:type="dxa"/>
            <w:noWrap/>
            <w:hideMark/>
          </w:tcPr>
          <w:p w14:paraId="0A85EBD0" w14:textId="77777777" w:rsidR="00401E72" w:rsidRPr="00231D8F" w:rsidRDefault="00401E72" w:rsidP="00A21BAE">
            <w:r w:rsidRPr="00231D8F">
              <w:t>8</w:t>
            </w:r>
          </w:p>
        </w:tc>
        <w:tc>
          <w:tcPr>
            <w:tcW w:w="1418" w:type="dxa"/>
            <w:noWrap/>
            <w:hideMark/>
          </w:tcPr>
          <w:p w14:paraId="4EB437F8" w14:textId="77777777" w:rsidR="00401E72" w:rsidRPr="00231D8F" w:rsidRDefault="00401E72" w:rsidP="00A21BAE">
            <w:r w:rsidRPr="00231D8F">
              <w:t>2</w:t>
            </w:r>
          </w:p>
        </w:tc>
        <w:tc>
          <w:tcPr>
            <w:tcW w:w="1417" w:type="dxa"/>
            <w:noWrap/>
            <w:hideMark/>
          </w:tcPr>
          <w:p w14:paraId="72D401C7" w14:textId="77777777" w:rsidR="00401E72" w:rsidRPr="00231D8F" w:rsidRDefault="00401E72" w:rsidP="00A21BAE">
            <w:r w:rsidRPr="00231D8F">
              <w:t>1</w:t>
            </w:r>
          </w:p>
        </w:tc>
      </w:tr>
      <w:tr w:rsidR="00401E72" w:rsidRPr="00231D8F" w14:paraId="13D38318" w14:textId="77777777" w:rsidTr="00A21BAE">
        <w:trPr>
          <w:trHeight w:val="288"/>
        </w:trPr>
        <w:tc>
          <w:tcPr>
            <w:tcW w:w="2405" w:type="dxa"/>
            <w:noWrap/>
            <w:hideMark/>
          </w:tcPr>
          <w:p w14:paraId="3F42E15F" w14:textId="77777777" w:rsidR="00401E72" w:rsidRPr="00231D8F" w:rsidRDefault="00401E72" w:rsidP="00A21BAE">
            <w:r w:rsidRPr="00231D8F">
              <w:t>Ray</w:t>
            </w:r>
            <w:r>
              <w:t xml:space="preserve"> et al., </w:t>
            </w:r>
            <w:r w:rsidRPr="00231D8F">
              <w:t>2018</w:t>
            </w:r>
            <w:r>
              <w:t xml:space="preserve"> </w:t>
            </w:r>
            <w:r>
              <w:fldChar w:fldCharType="begin"/>
            </w:r>
            <w:r>
              <w:instrText xml:space="preserve"> ADDIN ZOTERO_ITEM CSL_CITATION {"citationID":"bAnjG683","properties":{"formattedCitation":"(84)","plainCitation":"(84)","noteIndex":0},"citationItems":[{"id":1553,"uris":["http://zotero.org/users/9294180/items/FKUR9BUB"],"itemData":{"id":1553,"type":"article-journal","abstract":"Background.  In 2013, New Delhi metallo-β-lactamase (NDM)–producing Escherichia coli, a type of carbapenem-resistant Enterobacteriaceae uncommon in the United States, was identified in a tertiary care hospital (hospital A) in northeastern Illinois. The outbreak was traced to a contaminated duodenoscope. Patient-sharing patterns can be described through social network analysis and ego networks, which could be used to identify hospitals most likely to accept patients from a hospital with an outbreak.\nMethods.  Using Illinois’ hospital discharge data and the Illinois extensively drug-resistant organism (XDRO) registry, we constructed an ego network around hospital A. We identified which facilities NDM outbreak patients subsequently visited and whether the facilities reported NDM cases.\nResults.  Of the 31 outbreak cases entered into the XDRO registry who visited hospital A, 19 (61%) were subsequently admitted to 13 other hospitals during the following 12 months. Of the 13 hospitals, the majority (n = 9; 69%) were in our defined ego network, and 5 of those 9 hospitals consequently reported at least 1 additional NDM case. Ego network facilities were more likely to identify cases compared to a geographically defined group of facilities (9/22 vs 10/66; P = .01); only 1 reported case fell outside of the ego network.\nConclusions.  The outbreak hospital’s ego network accurately predicted which hospitals the outbreak patients would visit. Many of these hospitals reported additional NDM cases. Prior knowledge of this ego network could have efficiently focused public health resources on these high-risk facilities.","container-title":"Clinical Infectious Diseases","DOI":"10.1093/cid/ciy084","ISSN":"1058-4838, 1537-6591","issue":"3","language":"en","license":"https://academic.oup.com/journals/pages/open_access/funder_policies/chorus/standard_publication_model","page":"407-410","source":"DOI.org (Crossref)","title":"Regional Spread of an Outbreak of Carbapenem-Resistant Enterobacteriaceae Through an Ego Network of Healthcare Facilities","volume":"67","author":[{"family":"Ray","given":"Michael J"},{"family":"Lin","given":"Michael Y"},{"family":"Tang","given":"Angela S"},{"family":"Arwady","given":"M Allison"},{"family":"Lavin","given":"Mary Alice"},{"family":"Runningdeer","given":"Erica"},{"family":"Jovanov","given":"Dejan"},{"family":"Trick","given":"William E"}],"issued":{"date-parts":[["2018",7,18]]}}}],"schema":"https://github.com/citation-style-language/schema/raw/master/csl-citation.json"} </w:instrText>
            </w:r>
            <w:r>
              <w:fldChar w:fldCharType="separate"/>
            </w:r>
            <w:r w:rsidRPr="00EF2F5A">
              <w:rPr>
                <w:rFonts w:cs="Calibri"/>
              </w:rPr>
              <w:t>(84)</w:t>
            </w:r>
            <w:r>
              <w:fldChar w:fldCharType="end"/>
            </w:r>
          </w:p>
        </w:tc>
        <w:tc>
          <w:tcPr>
            <w:tcW w:w="1559" w:type="dxa"/>
            <w:noWrap/>
            <w:hideMark/>
          </w:tcPr>
          <w:p w14:paraId="03CCD5FA" w14:textId="77777777" w:rsidR="00401E72" w:rsidRPr="00231D8F" w:rsidRDefault="00401E72" w:rsidP="00A21BAE">
            <w:r w:rsidRPr="00231D8F">
              <w:t>1</w:t>
            </w:r>
          </w:p>
        </w:tc>
        <w:tc>
          <w:tcPr>
            <w:tcW w:w="1701" w:type="dxa"/>
            <w:noWrap/>
            <w:hideMark/>
          </w:tcPr>
          <w:p w14:paraId="643990D7" w14:textId="77777777" w:rsidR="00401E72" w:rsidRPr="00231D8F" w:rsidRDefault="00401E72" w:rsidP="00A21BAE">
            <w:r w:rsidRPr="00231D8F">
              <w:t>5</w:t>
            </w:r>
          </w:p>
        </w:tc>
        <w:tc>
          <w:tcPr>
            <w:tcW w:w="1418" w:type="dxa"/>
            <w:noWrap/>
            <w:hideMark/>
          </w:tcPr>
          <w:p w14:paraId="0F766AB7" w14:textId="77777777" w:rsidR="00401E72" w:rsidRPr="00231D8F" w:rsidRDefault="00401E72" w:rsidP="00A21BAE">
            <w:r w:rsidRPr="00231D8F">
              <w:t>3</w:t>
            </w:r>
          </w:p>
        </w:tc>
        <w:tc>
          <w:tcPr>
            <w:tcW w:w="1417" w:type="dxa"/>
            <w:noWrap/>
            <w:hideMark/>
          </w:tcPr>
          <w:p w14:paraId="4CE8A374" w14:textId="77777777" w:rsidR="00401E72" w:rsidRPr="00231D8F" w:rsidRDefault="00401E72" w:rsidP="00A21BAE">
            <w:r w:rsidRPr="00231D8F">
              <w:t>3</w:t>
            </w:r>
          </w:p>
        </w:tc>
      </w:tr>
      <w:tr w:rsidR="00401E72" w:rsidRPr="00231D8F" w14:paraId="07B993F8" w14:textId="77777777" w:rsidTr="00A21BAE">
        <w:trPr>
          <w:trHeight w:val="288"/>
        </w:trPr>
        <w:tc>
          <w:tcPr>
            <w:tcW w:w="2405" w:type="dxa"/>
            <w:noWrap/>
            <w:hideMark/>
          </w:tcPr>
          <w:p w14:paraId="3458DD0D" w14:textId="77777777" w:rsidR="00401E72" w:rsidRPr="00231D8F" w:rsidRDefault="00401E72" w:rsidP="00A21BAE">
            <w:r w:rsidRPr="00231D8F">
              <w:t>Sewell</w:t>
            </w:r>
            <w:r>
              <w:t xml:space="preserve"> et al., </w:t>
            </w:r>
            <w:r w:rsidRPr="00231D8F">
              <w:t>2019</w:t>
            </w:r>
            <w:r>
              <w:t xml:space="preserve"> </w:t>
            </w:r>
            <w:r>
              <w:fldChar w:fldCharType="begin"/>
            </w:r>
            <w:r>
              <w:instrText xml:space="preserve"> ADDIN ZOTERO_ITEM CSL_CITATION {"citationID":"KXRTg95c","properties":{"formattedCitation":"(75)","plainCitation":"(75)","noteIndex":0},"citationItems":[{"id":1552,"uris":["http://zotero.org/users/9294180/items/46EXJ4TG"],"itemData":{"id":1552,"type":"article-journal","abstract":"Objective: To estimate the burden of Clostridium difficile infections (CDIs) due to interfacility patient sharing at regional and hospital levels. Design: Retrospective observational study.\nMethods: We used data from the Healthcare Cost and Utilization Project California State Inpatient Database (2005–2011) to identify 26,878,498 admissions and 532,925 patient transfers. We constructed a weighted, directed network among the hospitals by defining an edge between 2 hospitals to be the monthly average number of patients discharged from one hospital and admitted to another on the same day. We then used a network autocorrelation model to study the effect of the patient sharing network on the monthly average number of CDI cases per hospital, and we estimated the proportion of CDI cases attributable to the network.\nResults: We found that 13% (95% confidence interval [CI], 7.6%–18%) of CDI cases were due to diffusion through the patient-sharing network. The network autocorrelation parameter was estimated at 5.0 (95% CI, 3.0–6.9). An increase in the number of patients transferred into and/or an increased CDI rate at the hospitals from which those patients originated led to an increase in the number of CDIs in the receiving hospital.\nConclusions: A minority but substantial burden of CDI infections are attributable to hospital transfers. A hospital’s infection control may thus be nontrivially influenced by its neighboring hospitals. This work adds to the growing body of evidence that intervention strategies designed to minimize HAIs should be done at the regional rather than local level.","container-title":"Infection Control &amp; Hospital Epidemiology","DOI":"10.1017/ice.2019.73","ISSN":"0899-823X, 1559-6834","issue":"6","journalAbbreviation":"Infect. Control Hosp. Epidemiol.","language":"en","license":"https://www.cambridge.org/core/terms","page":"656-661","source":"DOI.org (Crossref)","title":"Estimating the Attributable Disease Burden and Effects of Interhospital Patient Sharing on &lt;i&gt;Clostridium difficile&lt;/i&gt; Infections","volume":"40","author":[{"family":"Sewell","given":"Daniel K."},{"family":"Simmering","given":"Jacob E."},{"family":"Justice","given":"Samuel"},{"family":"Pemmaraju","given":"Sriram V."},{"family":"Segre","given":"Alberto M."},{"family":"Polgreen","given":"Philip M."}],"issued":{"date-parts":[["2019",6]]}}}],"schema":"https://github.com/citation-style-language/schema/raw/master/csl-citation.json"} </w:instrText>
            </w:r>
            <w:r>
              <w:fldChar w:fldCharType="separate"/>
            </w:r>
            <w:r w:rsidRPr="00EF2F5A">
              <w:rPr>
                <w:rFonts w:cs="Calibri"/>
              </w:rPr>
              <w:t>(75)</w:t>
            </w:r>
            <w:r>
              <w:fldChar w:fldCharType="end"/>
            </w:r>
          </w:p>
        </w:tc>
        <w:tc>
          <w:tcPr>
            <w:tcW w:w="1559" w:type="dxa"/>
            <w:noWrap/>
            <w:hideMark/>
          </w:tcPr>
          <w:p w14:paraId="50251171" w14:textId="77777777" w:rsidR="00401E72" w:rsidRPr="00231D8F" w:rsidRDefault="00401E72" w:rsidP="00A21BAE">
            <w:r w:rsidRPr="00231D8F">
              <w:t>0</w:t>
            </w:r>
          </w:p>
        </w:tc>
        <w:tc>
          <w:tcPr>
            <w:tcW w:w="1701" w:type="dxa"/>
            <w:noWrap/>
            <w:hideMark/>
          </w:tcPr>
          <w:p w14:paraId="391AEE19" w14:textId="77777777" w:rsidR="00401E72" w:rsidRPr="00231D8F" w:rsidRDefault="00401E72" w:rsidP="00A21BAE">
            <w:r w:rsidRPr="00231D8F">
              <w:t>4</w:t>
            </w:r>
          </w:p>
        </w:tc>
        <w:tc>
          <w:tcPr>
            <w:tcW w:w="1418" w:type="dxa"/>
            <w:noWrap/>
            <w:hideMark/>
          </w:tcPr>
          <w:p w14:paraId="592D0AF3" w14:textId="77777777" w:rsidR="00401E72" w:rsidRPr="00231D8F" w:rsidRDefault="00401E72" w:rsidP="00A21BAE">
            <w:r w:rsidRPr="00231D8F">
              <w:t>6</w:t>
            </w:r>
          </w:p>
        </w:tc>
        <w:tc>
          <w:tcPr>
            <w:tcW w:w="1417" w:type="dxa"/>
            <w:noWrap/>
            <w:hideMark/>
          </w:tcPr>
          <w:p w14:paraId="3009EC43" w14:textId="77777777" w:rsidR="00401E72" w:rsidRPr="00231D8F" w:rsidRDefault="00401E72" w:rsidP="00A21BAE">
            <w:r w:rsidRPr="00231D8F">
              <w:t>2</w:t>
            </w:r>
          </w:p>
        </w:tc>
      </w:tr>
      <w:tr w:rsidR="00401E72" w:rsidRPr="00231D8F" w14:paraId="476153F7" w14:textId="77777777" w:rsidTr="00A21BAE">
        <w:trPr>
          <w:trHeight w:val="288"/>
        </w:trPr>
        <w:tc>
          <w:tcPr>
            <w:tcW w:w="2405" w:type="dxa"/>
            <w:noWrap/>
            <w:hideMark/>
          </w:tcPr>
          <w:p w14:paraId="756E4B76" w14:textId="77777777" w:rsidR="00401E72" w:rsidRPr="00231D8F" w:rsidRDefault="00401E72" w:rsidP="00A21BAE">
            <w:r w:rsidRPr="00231D8F">
              <w:t>Simmering</w:t>
            </w:r>
            <w:r>
              <w:t xml:space="preserve"> et al., </w:t>
            </w:r>
            <w:r w:rsidRPr="00231D8F">
              <w:t>2015</w:t>
            </w:r>
            <w:r>
              <w:t xml:space="preserve"> </w:t>
            </w:r>
            <w:r>
              <w:fldChar w:fldCharType="begin"/>
            </w:r>
            <w:r>
              <w:instrText xml:space="preserve"> ADDIN ZOTERO_ITEM CSL_CITATION {"citationID":"NJpzwdGG","properties":{"formattedCitation":"(74)","plainCitation":"(74)","noteIndex":0},"citationItems":[{"id":1551,"uris":["http://zotero.org/users/9294180/items/6ZYY4H2Y"],"itemData":{"id":1551,"type":"article-journal","abstract":"OBJECTIVE\n              \n                To determine the effect of interhospital patient sharing via transfers on the rate of\n                Clostridium difficile\n                infections in a hospital.\n              \n            \n            \n              DESIGN\n              Retrospective cohort.\n            \n            \n              METHODS\n              \n                Using data from the Healthcare Cost and Utilization Project California State Inpatient Database, 2005–2011, we identified 2,752,639 transfers. We then constructed a series of networks detailing the connections formed by hospitals. We computed 2 measures of connectivity, indegree and weighted indegree, measuring the number of hospitals from which transfers into a hospital arrive, and the total number of incoming transfers, respectively. Next, we estimated a multivariate model of\n                C. difficile\n                infection cases using the log-transformed network measures as well as covariates for hospital fixed effects, log median length of stay, log fraction of patients aged 65 or older, and quarter and year indicators as predictors.\n              \n            \n            \n              RESULTS\n              \n                We found an increase of 1 in the log indegree was associated with a 4.8% increase in incidence of\n                C. difficile\n                infection (95% CI, 2.3%–7.4%) and an increase of 1 in log weighted indegree was associated with a 3.3% increase in\n                C. difficile\n                infection incidence (1.5%–5.2%). Moreover, including measures of connectivity in our models greatly improved their fit.\n              \n            \n            \n              CONCLUSIONS\n              Our results suggest infection control is not under the exclusive control of a given hospital but is also influenced by the connections and number of connections that hospitals have with other hospitals.\n              \n                Infect. Control Hosp. Epidemiol.\n                2015;36(9):1031–1037","container-title":"Infection Control &amp; Hospital Epidemiology","DOI":"10.1017/ice.2015.130","ISSN":"0899-823X, 1559-6834","issue":"9","journalAbbreviation":"Infect. Control Hosp. Epidemiol.","language":"en","license":"https://www.cambridge.org/core/terms","page":"1031-1037","source":"DOI.org (Crossref)","title":"Hospital Transfer Network Structure as a Risk Factor for &lt;i&gt;Clostridium difficile&lt;/i&gt; Infection","volume":"36","author":[{"family":"Simmering","given":"Jacob E."},{"family":"Polgreen","given":"Linnea A."},{"family":"Campbell","given":"David R."},{"family":"Cavanaugh","given":"Joseph E."},{"family":"Polgreen","given":"Philip M."}],"issued":{"date-parts":[["2015",9]]}}}],"schema":"https://github.com/citation-style-language/schema/raw/master/csl-citation.json"} </w:instrText>
            </w:r>
            <w:r>
              <w:fldChar w:fldCharType="separate"/>
            </w:r>
            <w:r w:rsidRPr="00EF2F5A">
              <w:rPr>
                <w:rFonts w:cs="Calibri"/>
              </w:rPr>
              <w:t>(74)</w:t>
            </w:r>
            <w:r>
              <w:fldChar w:fldCharType="end"/>
            </w:r>
          </w:p>
        </w:tc>
        <w:tc>
          <w:tcPr>
            <w:tcW w:w="1559" w:type="dxa"/>
            <w:noWrap/>
            <w:hideMark/>
          </w:tcPr>
          <w:p w14:paraId="2351DAD1" w14:textId="77777777" w:rsidR="00401E72" w:rsidRPr="00231D8F" w:rsidRDefault="00401E72" w:rsidP="00A21BAE">
            <w:r w:rsidRPr="00231D8F">
              <w:t>0</w:t>
            </w:r>
          </w:p>
        </w:tc>
        <w:tc>
          <w:tcPr>
            <w:tcW w:w="1701" w:type="dxa"/>
            <w:noWrap/>
            <w:hideMark/>
          </w:tcPr>
          <w:p w14:paraId="16443B9A" w14:textId="77777777" w:rsidR="00401E72" w:rsidRPr="00231D8F" w:rsidRDefault="00401E72" w:rsidP="00A21BAE">
            <w:r w:rsidRPr="00231D8F">
              <w:t>5</w:t>
            </w:r>
          </w:p>
        </w:tc>
        <w:tc>
          <w:tcPr>
            <w:tcW w:w="1418" w:type="dxa"/>
            <w:noWrap/>
            <w:hideMark/>
          </w:tcPr>
          <w:p w14:paraId="52AF34D9" w14:textId="77777777" w:rsidR="00401E72" w:rsidRPr="00231D8F" w:rsidRDefault="00401E72" w:rsidP="00A21BAE">
            <w:r w:rsidRPr="00231D8F">
              <w:t>5</w:t>
            </w:r>
          </w:p>
        </w:tc>
        <w:tc>
          <w:tcPr>
            <w:tcW w:w="1417" w:type="dxa"/>
            <w:noWrap/>
            <w:hideMark/>
          </w:tcPr>
          <w:p w14:paraId="268B41A0" w14:textId="77777777" w:rsidR="00401E72" w:rsidRPr="00231D8F" w:rsidRDefault="00401E72" w:rsidP="00A21BAE">
            <w:r w:rsidRPr="00231D8F">
              <w:t>2</w:t>
            </w:r>
          </w:p>
        </w:tc>
      </w:tr>
      <w:tr w:rsidR="00401E72" w:rsidRPr="00231D8F" w14:paraId="4AACE4FF" w14:textId="77777777" w:rsidTr="00A21BAE">
        <w:trPr>
          <w:trHeight w:val="288"/>
        </w:trPr>
        <w:tc>
          <w:tcPr>
            <w:tcW w:w="2405" w:type="dxa"/>
            <w:noWrap/>
            <w:hideMark/>
          </w:tcPr>
          <w:p w14:paraId="7BDF1773" w14:textId="77777777" w:rsidR="00401E72" w:rsidRPr="00231D8F" w:rsidRDefault="00401E72" w:rsidP="00A21BAE">
            <w:r w:rsidRPr="00231D8F">
              <w:t>Slayton</w:t>
            </w:r>
            <w:r>
              <w:t xml:space="preserve"> et al., </w:t>
            </w:r>
            <w:r w:rsidRPr="00231D8F">
              <w:t>2015</w:t>
            </w:r>
            <w:r>
              <w:t xml:space="preserve"> </w:t>
            </w:r>
            <w:r>
              <w:fldChar w:fldCharType="begin"/>
            </w:r>
            <w:r>
              <w:instrText xml:space="preserve"> ADDIN ZOTERO_ITEM CSL_CITATION {"citationID":"1Fqq2kW5","properties":{"formattedCitation":"(41)","plainCitation":"(41)","noteIndex":0},"citationItems":[{"id":408,"uris":["http://zotero.org/users/9294180/items/M9GV3PTA"],"itemData":{"id":408,"type":"article-journal","container-title":"American Journal of Transplantation","DOI":"10.1111/ajt.13555","ISSN":"1600-6135","issue":"11","journalAbbreviation":"American journal of transplantation : official journal of the American Society of Transplantation and the American Society of Transplant Surgeons","language":"English (US)","note":"publisher: Wiley-Blackwell","page":"3002-3007","source":"pure.johnshopkins.edu","title":"Vital signs: Estimated effects of a coordinated approach for action to reduce antibiotic-resistant infections in health care facilities - United States","title-short":"Vital signs","volume":"15","author":[{"family":"Slayton","given":"Rachel B."},{"family":"Toth","given":"Damon"},{"family":"Lee","given":"Bruce Y."},{"family":"Tanner","given":"Windy"},{"family":"Bartsch","given":"Sarah M."},{"family":"Khader","given":"Karim"},{"family":"Wong","given":"Kim"},{"family":"Brown","given":"Kevin"},{"family":"McKinnell","given":"James A."},{"family":"Ray","given":"William"},{"family":"Miller","given":"Loren G."},{"family":"Rubin","given":"Michael"},{"family":"Kim","given":"Diane S."},{"family":"Adler","given":"Fred"},{"family":"Cao","given":"Chenghua"},{"family":"Avery","given":"Lacey"},{"family":"Stone","given":"Nathan T. B."},{"family":"Kallen","given":"Alexander"},{"family":"Samore","given":"Matthew"},{"family":"Huang","given":"Susan S."},{"family":"Fridkin","given":"Scott"},{"family":"Jernigan","given":"John A."}],"issued":{"date-parts":[["2015",11]]}}}],"schema":"https://github.com/citation-style-language/schema/raw/master/csl-citation.json"} </w:instrText>
            </w:r>
            <w:r>
              <w:fldChar w:fldCharType="separate"/>
            </w:r>
            <w:r w:rsidRPr="001E7A4C">
              <w:t>(41)</w:t>
            </w:r>
            <w:r>
              <w:fldChar w:fldCharType="end"/>
            </w:r>
          </w:p>
        </w:tc>
        <w:tc>
          <w:tcPr>
            <w:tcW w:w="1559" w:type="dxa"/>
            <w:noWrap/>
            <w:hideMark/>
          </w:tcPr>
          <w:p w14:paraId="3893861F" w14:textId="77777777" w:rsidR="00401E72" w:rsidRPr="00231D8F" w:rsidRDefault="00401E72" w:rsidP="00A21BAE">
            <w:r w:rsidRPr="00231D8F">
              <w:t>1</w:t>
            </w:r>
          </w:p>
        </w:tc>
        <w:tc>
          <w:tcPr>
            <w:tcW w:w="1701" w:type="dxa"/>
            <w:noWrap/>
            <w:hideMark/>
          </w:tcPr>
          <w:p w14:paraId="0E8D2A1B" w14:textId="77777777" w:rsidR="00401E72" w:rsidRPr="00231D8F" w:rsidRDefault="00401E72" w:rsidP="00A21BAE">
            <w:r w:rsidRPr="00231D8F">
              <w:t>4</w:t>
            </w:r>
          </w:p>
        </w:tc>
        <w:tc>
          <w:tcPr>
            <w:tcW w:w="1418" w:type="dxa"/>
            <w:noWrap/>
            <w:hideMark/>
          </w:tcPr>
          <w:p w14:paraId="5895154A" w14:textId="77777777" w:rsidR="00401E72" w:rsidRPr="00231D8F" w:rsidRDefault="00401E72" w:rsidP="00A21BAE">
            <w:r w:rsidRPr="00231D8F">
              <w:t>5</w:t>
            </w:r>
          </w:p>
        </w:tc>
        <w:tc>
          <w:tcPr>
            <w:tcW w:w="1417" w:type="dxa"/>
            <w:noWrap/>
            <w:hideMark/>
          </w:tcPr>
          <w:p w14:paraId="6A5E9CA9" w14:textId="77777777" w:rsidR="00401E72" w:rsidRPr="00231D8F" w:rsidRDefault="00401E72" w:rsidP="00A21BAE">
            <w:r w:rsidRPr="00231D8F">
              <w:t>2</w:t>
            </w:r>
          </w:p>
        </w:tc>
      </w:tr>
      <w:tr w:rsidR="00401E72" w:rsidRPr="00231D8F" w14:paraId="7D61413E" w14:textId="77777777" w:rsidTr="00A21BAE">
        <w:trPr>
          <w:trHeight w:val="288"/>
        </w:trPr>
        <w:tc>
          <w:tcPr>
            <w:tcW w:w="2405" w:type="dxa"/>
            <w:noWrap/>
            <w:hideMark/>
          </w:tcPr>
          <w:p w14:paraId="65D9F02A" w14:textId="77777777" w:rsidR="00401E72" w:rsidRPr="00231D8F" w:rsidRDefault="00401E72" w:rsidP="00A21BAE">
            <w:r w:rsidRPr="00231D8F">
              <w:t>Spilsbury</w:t>
            </w:r>
            <w:r>
              <w:t xml:space="preserve"> et al., </w:t>
            </w:r>
            <w:r w:rsidRPr="00231D8F">
              <w:t>2015</w:t>
            </w:r>
            <w:r>
              <w:t xml:space="preserve"> </w:t>
            </w:r>
            <w:r>
              <w:fldChar w:fldCharType="begin"/>
            </w:r>
            <w:r>
              <w:instrText xml:space="preserve"> ADDIN ZOTERO_ITEM CSL_CITATION {"citationID":"gStTHeZF","properties":{"formattedCitation":"(31)","plainCitation":"(31)","noteIndex":0},"citationItems":[{"id":1549,"uris":["http://zotero.org/users/9294180/items/EZ6SR5PA"],"itemData":{"id":1549,"type":"article-journal","abstract":"Objective: To determine the quality and effectiveness of national data linkage capacity by performing a proof-of-concept project investigating cross-border hospital use and hospital-related deaths. Design, participants and setting: Analysis of person-level linked hospital separation and death registration data of all public and private hospital patients in New South Wales, Queensland and Western Australia and of public hospital patients in South Australia, totalling 7.7 million hospital patients from 1 July 2004 to 30 June 2009. Main outcome measures: Counts and proportions of hospital stays and patient movement patterns.\nResults: 223 262 patients (3.0%) travelled across a state border to attend hospitals, in particular, far northern and western NSW patients travelling to Queensland and SA hospitals, respectively. A further 48 575 patients (0.6%) moved their place of residence interstate between hospital visits, particularly to and from areas associated with major mining and tourism industries. Over 11 000 cross-border hospital transfers were also identified. Of patients who travelled across a state border to hospital, 2800 (1.3%) died in that hospital. An additional 496 deaths recorded in one jurisdiction occurred within 30 days of hospital separation from another jurisdiction.\nConclusions: Access to person-level data linked across jurisdictions identified geographical hot spots of cross-border hospital use and hospitalrelated deaths in Australia. This has implications for planning of health service delivery and for longitudinal follow-up studies, particularly those involving mobile populations.","container-title":"Medical Journal of Australia","DOI":"10.5694/mja14.01414","ISSN":"0025-729X, 1326-5377","issue":"11","journalAbbreviation":"Medical Journal of Australia","language":"en","license":"http://onlinelibrary.wiley.com/termsAndConditions#vor","page":"582-586","source":"DOI.org (Crossref)","title":"Cross border hospital use: analysis using data linkage across four Australian states","title-short":"Cross border hospital use","volume":"202","author":[{"family":"Spilsbury","given":"Katrina"},{"family":"Rosman","given":"Diana"},{"family":"Alan","given":"Janine"},{"family":"Boyd","given":"James H"},{"family":"Ferrante","given":"Anna M"},{"family":"Semmens","given":"James B"}],"issued":{"date-parts":[["2015",6]]}}}],"schema":"https://github.com/citation-style-language/schema/raw/master/csl-citation.json"} </w:instrText>
            </w:r>
            <w:r>
              <w:fldChar w:fldCharType="separate"/>
            </w:r>
            <w:r w:rsidRPr="00E56AA7">
              <w:t>(31)</w:t>
            </w:r>
            <w:r>
              <w:fldChar w:fldCharType="end"/>
            </w:r>
          </w:p>
        </w:tc>
        <w:tc>
          <w:tcPr>
            <w:tcW w:w="1559" w:type="dxa"/>
            <w:noWrap/>
            <w:hideMark/>
          </w:tcPr>
          <w:p w14:paraId="74DF59D0" w14:textId="77777777" w:rsidR="00401E72" w:rsidRPr="00231D8F" w:rsidRDefault="00401E72" w:rsidP="00A21BAE">
            <w:r w:rsidRPr="00231D8F">
              <w:t>2</w:t>
            </w:r>
          </w:p>
        </w:tc>
        <w:tc>
          <w:tcPr>
            <w:tcW w:w="1701" w:type="dxa"/>
            <w:noWrap/>
            <w:hideMark/>
          </w:tcPr>
          <w:p w14:paraId="3785899B" w14:textId="77777777" w:rsidR="00401E72" w:rsidRPr="00231D8F" w:rsidRDefault="00401E72" w:rsidP="00A21BAE">
            <w:r w:rsidRPr="00231D8F">
              <w:t>3</w:t>
            </w:r>
          </w:p>
        </w:tc>
        <w:tc>
          <w:tcPr>
            <w:tcW w:w="1418" w:type="dxa"/>
            <w:noWrap/>
            <w:hideMark/>
          </w:tcPr>
          <w:p w14:paraId="18FCE1B1" w14:textId="77777777" w:rsidR="00401E72" w:rsidRPr="00231D8F" w:rsidRDefault="00401E72" w:rsidP="00A21BAE">
            <w:r w:rsidRPr="00231D8F">
              <w:t>3</w:t>
            </w:r>
          </w:p>
        </w:tc>
        <w:tc>
          <w:tcPr>
            <w:tcW w:w="1417" w:type="dxa"/>
            <w:noWrap/>
            <w:hideMark/>
          </w:tcPr>
          <w:p w14:paraId="386B09BC" w14:textId="77777777" w:rsidR="00401E72" w:rsidRPr="00231D8F" w:rsidRDefault="00401E72" w:rsidP="00A21BAE">
            <w:r w:rsidRPr="00231D8F">
              <w:t>4</w:t>
            </w:r>
          </w:p>
        </w:tc>
      </w:tr>
      <w:tr w:rsidR="00401E72" w:rsidRPr="00231D8F" w14:paraId="57AA3CCB" w14:textId="77777777" w:rsidTr="00A21BAE">
        <w:trPr>
          <w:trHeight w:val="288"/>
        </w:trPr>
        <w:tc>
          <w:tcPr>
            <w:tcW w:w="2405" w:type="dxa"/>
            <w:noWrap/>
            <w:hideMark/>
          </w:tcPr>
          <w:p w14:paraId="1710E076" w14:textId="77777777" w:rsidR="00401E72" w:rsidRPr="00231D8F" w:rsidRDefault="00401E72" w:rsidP="00A21BAE">
            <w:r w:rsidRPr="00231D8F">
              <w:t>Tahir</w:t>
            </w:r>
            <w:r>
              <w:t xml:space="preserve"> et al., </w:t>
            </w:r>
            <w:r w:rsidRPr="00231D8F">
              <w:t>2021</w:t>
            </w:r>
            <w:r>
              <w:t xml:space="preserve"> </w:t>
            </w:r>
            <w:r>
              <w:fldChar w:fldCharType="begin"/>
            </w:r>
            <w:r>
              <w:instrText xml:space="preserve"> ADDIN ZOTERO_ITEM CSL_CITATION {"citationID":"27CABYXM","properties":{"formattedCitation":"(26)","plainCitation":"(26)","noteIndex":0},"citationItems":[{"id":1617,"uris":["http://zotero.org/users/9294180/items/7BP7YMFD"],"itemData":{"id":1617,"type":"article-journal","abstract":"The aim of this study is to analyze patient movement patterns between hospital departments to derive the underlying intra-hospital movement network, and to assess if movement patterns differ between patients at high or low risk of colonization. For that purpose, we analyzed patient electronic medical record data from five hospitals to extract information on risk stratification and patient intra-hospital movements. Movement patterns were visualized as networks, and network centrality measures were calculated. Next, using an agent-based model where agents represent patients and intra-hospital patient movements were explicitly modeled, we simulated the spread of multidrug resistant enterobacteriacae (MDR-E) inside a hospital. Risk stratification of patients according to certain ICD-10 codes revealed that length of stay, patient age, and mean number of movements per admission were higher in the high-risk groups. Movement networks in all hospitals displayed a high variability among departments concerning their network centrality and connectedness with a few highly connected departments and many weakly connected peripheral departments. Simulating the spread of a pathogen in one hospital network showed positive correlation between department prevalence and network centrality measures. This study highlights the importance of intra-hospital patient movements and their possible impact on pathogen spread. Targeting interventions to departments of higher (weighted) degree may help to control the spread of MDR-E. Moreover, when the colonization status of patients coming from different departments is unknown, a ranking system based on department centralities may be used to design more effective interventions that mitigate pathogen spread.","container-title":"PLOS Computational Biology","DOI":"10.1371/journal.pcbi.1008600","ISSN":"1553-7358","issue":"2","journalAbbreviation":"PLoS Comput Biol","language":"en","page":"e1008600","source":"DOI.org (Crossref)","title":"Relevance of intra-hospital patient movements for the spread of healthcare-associated infections within hospitals - a mathematical modeling study","volume":"17","author":[{"family":"Tahir","given":"Hannan"},{"family":"López-Cortés","given":"Luis Eduardo"},{"family":"Kola","given":"Axel"},{"family":"Yahav","given":"Dafna"},{"family":"Karch","given":"André"},{"family":"Xia","given":"Hanjue"},{"family":"Horn","given":"Johannes"},{"family":"Sakowski","given":"Konrad"},{"family":"Piotrowska","given":"Monika J."},{"family":"Leibovici","given":"Leonard"},{"family":"Mikolajczyk","given":"Rafael T."},{"family":"Kretzschmar","given":"Mirjam E."}],"editor":[{"family":"Kouyos","given":"Roger Dimitri"}],"issued":{"date-parts":[["2021",2,3]]}}}],"schema":"https://github.com/citation-style-language/schema/raw/master/csl-citation.json"} </w:instrText>
            </w:r>
            <w:r>
              <w:fldChar w:fldCharType="separate"/>
            </w:r>
            <w:r w:rsidRPr="00133F12">
              <w:rPr>
                <w:rFonts w:cs="Calibri"/>
              </w:rPr>
              <w:t>(26)</w:t>
            </w:r>
            <w:r>
              <w:fldChar w:fldCharType="end"/>
            </w:r>
          </w:p>
        </w:tc>
        <w:tc>
          <w:tcPr>
            <w:tcW w:w="1559" w:type="dxa"/>
            <w:noWrap/>
            <w:hideMark/>
          </w:tcPr>
          <w:p w14:paraId="7D7FC8EF" w14:textId="77777777" w:rsidR="00401E72" w:rsidRPr="00231D8F" w:rsidRDefault="00401E72" w:rsidP="00A21BAE">
            <w:r w:rsidRPr="00231D8F">
              <w:t>2</w:t>
            </w:r>
          </w:p>
        </w:tc>
        <w:tc>
          <w:tcPr>
            <w:tcW w:w="1701" w:type="dxa"/>
            <w:noWrap/>
            <w:hideMark/>
          </w:tcPr>
          <w:p w14:paraId="2A4C7043" w14:textId="77777777" w:rsidR="00401E72" w:rsidRPr="00231D8F" w:rsidRDefault="00401E72" w:rsidP="00A21BAE">
            <w:r w:rsidRPr="00231D8F">
              <w:t>2</w:t>
            </w:r>
          </w:p>
        </w:tc>
        <w:tc>
          <w:tcPr>
            <w:tcW w:w="1418" w:type="dxa"/>
            <w:noWrap/>
            <w:hideMark/>
          </w:tcPr>
          <w:p w14:paraId="517B827F" w14:textId="77777777" w:rsidR="00401E72" w:rsidRPr="00231D8F" w:rsidRDefault="00401E72" w:rsidP="00A21BAE">
            <w:r w:rsidRPr="00231D8F">
              <w:t>1</w:t>
            </w:r>
          </w:p>
        </w:tc>
        <w:tc>
          <w:tcPr>
            <w:tcW w:w="1417" w:type="dxa"/>
            <w:noWrap/>
            <w:hideMark/>
          </w:tcPr>
          <w:p w14:paraId="0A4A18E8" w14:textId="77777777" w:rsidR="00401E72" w:rsidRPr="00231D8F" w:rsidRDefault="00401E72" w:rsidP="00A21BAE">
            <w:r w:rsidRPr="00231D8F">
              <w:t>7</w:t>
            </w:r>
          </w:p>
        </w:tc>
      </w:tr>
      <w:tr w:rsidR="00401E72" w:rsidRPr="00231D8F" w14:paraId="1223ED12" w14:textId="77777777" w:rsidTr="00A21BAE">
        <w:trPr>
          <w:trHeight w:val="288"/>
        </w:trPr>
        <w:tc>
          <w:tcPr>
            <w:tcW w:w="2405" w:type="dxa"/>
            <w:noWrap/>
            <w:hideMark/>
          </w:tcPr>
          <w:p w14:paraId="38EB20A5" w14:textId="77777777" w:rsidR="00401E72" w:rsidRPr="00231D8F" w:rsidRDefault="00401E72" w:rsidP="00A21BAE">
            <w:r w:rsidRPr="00231D8F">
              <w:t>Tang</w:t>
            </w:r>
            <w:r>
              <w:t xml:space="preserve"> et al., </w:t>
            </w:r>
            <w:r w:rsidRPr="00231D8F">
              <w:t>2020</w:t>
            </w:r>
            <w:r>
              <w:t xml:space="preserve"> </w:t>
            </w:r>
            <w:r>
              <w:fldChar w:fldCharType="begin"/>
            </w:r>
            <w:r>
              <w:instrText xml:space="preserve"> ADDIN ZOTERO_ITEM CSL_CITATION {"citationID":"7dtBNSfE","properties":{"formattedCitation":"(45)","plainCitation":"(45)","noteIndex":0},"citationItems":[{"id":1616,"uris":["http://zotero.org/users/9294180/items/4IS6BEWQ"],"itemData":{"id":1616,"type":"article-journal","abstract":"Research on medical practice that uses big data has attracted considerable attention recently. In this paper, we focused on a large set of patient referral data gathered in Fujian province, China, between 2009 and 2011. We built a directed weighted patient referral network. By using four metrics from network science, namely, the power-law distribution, global rich-club coefficient, local richclub coefficient, and assortativity coefficient, we identified a significant rich-club phenomenon in this network. In addition, the community detection was also carried out to find the relationship between rich members and non-rich members. The findings indicate an oligopoly in which Class-III hospitals occupy an overwhelmingly dominant position over the competition. Also, the characteristic ‘significant regional clustering’ was inferred from the results.","container-title":"Future Generation Computer Systems","DOI":"10.1016/j.future.2019.12.001","ISSN":"0167739X","journalAbbreviation":"Future Generation Computer Systems","language":"en","page":"492-501","source":"DOI.org (Crossref)","title":"Do Chinese hospital services constitute an oligopoly? Evidence of the rich-club phenomenon in a patient referral network","title-short":"Do Chinese hospital services constitute an oligopoly?","volume":"105","author":[{"family":"Tang","given":"Chengxiang"},{"family":"Dong","given":"Xuefan"},{"family":"Lian","given":"Ying"},{"family":"Tang","given":"Daisheng"}],"issued":{"date-parts":[["2020",4]]}}}],"schema":"https://github.com/citation-style-language/schema/raw/master/csl-citation.json"} </w:instrText>
            </w:r>
            <w:r>
              <w:fldChar w:fldCharType="separate"/>
            </w:r>
            <w:r w:rsidRPr="00735B0C">
              <w:t>(45)</w:t>
            </w:r>
            <w:r>
              <w:fldChar w:fldCharType="end"/>
            </w:r>
          </w:p>
        </w:tc>
        <w:tc>
          <w:tcPr>
            <w:tcW w:w="1559" w:type="dxa"/>
            <w:noWrap/>
            <w:hideMark/>
          </w:tcPr>
          <w:p w14:paraId="2F503F2C" w14:textId="77777777" w:rsidR="00401E72" w:rsidRPr="00231D8F" w:rsidRDefault="00401E72" w:rsidP="00A21BAE">
            <w:r w:rsidRPr="00231D8F">
              <w:t>0</w:t>
            </w:r>
          </w:p>
        </w:tc>
        <w:tc>
          <w:tcPr>
            <w:tcW w:w="1701" w:type="dxa"/>
            <w:noWrap/>
            <w:hideMark/>
          </w:tcPr>
          <w:p w14:paraId="34943DAC" w14:textId="77777777" w:rsidR="00401E72" w:rsidRPr="00231D8F" w:rsidRDefault="00401E72" w:rsidP="00A21BAE">
            <w:r w:rsidRPr="00231D8F">
              <w:t>5</w:t>
            </w:r>
          </w:p>
        </w:tc>
        <w:tc>
          <w:tcPr>
            <w:tcW w:w="1418" w:type="dxa"/>
            <w:noWrap/>
            <w:hideMark/>
          </w:tcPr>
          <w:p w14:paraId="360EBC49" w14:textId="77777777" w:rsidR="00401E72" w:rsidRPr="00231D8F" w:rsidRDefault="00401E72" w:rsidP="00A21BAE">
            <w:r w:rsidRPr="00231D8F">
              <w:t>3</w:t>
            </w:r>
          </w:p>
        </w:tc>
        <w:tc>
          <w:tcPr>
            <w:tcW w:w="1417" w:type="dxa"/>
            <w:noWrap/>
            <w:hideMark/>
          </w:tcPr>
          <w:p w14:paraId="6E5A1D53" w14:textId="77777777" w:rsidR="00401E72" w:rsidRPr="00231D8F" w:rsidRDefault="00401E72" w:rsidP="00A21BAE">
            <w:r w:rsidRPr="00231D8F">
              <w:t>4</w:t>
            </w:r>
          </w:p>
        </w:tc>
      </w:tr>
      <w:tr w:rsidR="00401E72" w:rsidRPr="00231D8F" w14:paraId="2B527BB6" w14:textId="77777777" w:rsidTr="00A21BAE">
        <w:trPr>
          <w:trHeight w:val="288"/>
        </w:trPr>
        <w:tc>
          <w:tcPr>
            <w:tcW w:w="2405" w:type="dxa"/>
            <w:noWrap/>
            <w:hideMark/>
          </w:tcPr>
          <w:p w14:paraId="074A7F05" w14:textId="77777777" w:rsidR="00401E72" w:rsidRPr="00231D8F" w:rsidRDefault="00401E72" w:rsidP="00A21BAE">
            <w:r w:rsidRPr="00231D8F">
              <w:t>Tun</w:t>
            </w:r>
            <w:r>
              <w:t xml:space="preserve"> et al., </w:t>
            </w:r>
            <w:r w:rsidRPr="00231D8F">
              <w:t>2021</w:t>
            </w:r>
            <w:r>
              <w:t xml:space="preserve"> </w:t>
            </w:r>
            <w:r>
              <w:fldChar w:fldCharType="begin"/>
            </w:r>
            <w:r>
              <w:instrText xml:space="preserve"> ADDIN ZOTERO_ITEM CSL_CITATION {"citationID":"WjkLZZf6","properties":{"formattedCitation":"(46)","plainCitation":"(46)","noteIndex":0},"citationItems":[{"id":1615,"uris":["http://zotero.org/users/9294180/items/PL6CRKRH"],"itemData":{"id":1615,"type":"article-journal","abstract":"Background\n              \n                Methicillin-Resistant\n                Staphylococcus aureus\n                (MRSA) is endemic in hospitals worldwide. Intrahospital transfers may impact MRSA acquisition risk experienced by patients. In this study, we investigated ward characteristics and connectivity that are associated with MRSA acquisition.\n              \n            \n            \n              Methods\n              We analysed electronic medical records on patient transfers and MRSA screening of in-patients at an acute-care tertiary hospital in Singapore to investigate whether ward characteristics and connectivity within a network of in-patient wards were associated with MRSA acquisition rates over a period of four years.\n            \n            \n              Results\n              Most patient transfers concentrated in a stable core network of wards. Factors associated with increased rate of MRSA acquisition were MRSA prevalence among patients transferred from other wards (rate ratio (RR): 7.74 [95% confidence interval (CI): 3.88, 15.44], additional 5 percentage point), critical care ward (RR: 1.72 [95% CI: 1.09, 2.70]) and presence of MRSA cohorting beds (RR: 1.39 [95% CI: 1.03, 1.90]. Oncology ward (RR: 0.66 [95% CI: 0.46, 0.94]) (compared to medical ward), and median length of stay (RR: 0.70 [95% CI: 0.55, 0.90], additional 1.5 days) were associated with lower acquisition rates. In addition, we found evidence of interaction between MRSA prevalence among patients transferred from other wards and weighted in-degree although the latter was not associated with MRSA acquisition after controlling for confounders.\n            \n            \n              Conclusion\n              Wards with higher MRSA prevalence among patients transferred from other wards were more likely to have higher MRSA acquisition rate. Its effect further increased in wards receiving greater number of patients. In addition, critical care ward, presence of MRSA cohorting beds, ward specialty, and median length of stay were associated with MRSA acquisition.","container-title":"PLOS ONE","DOI":"10.1371/journal.pone.0254852","ISSN":"1932-6203","issue":"7","journalAbbreviation":"PLoS ONE","language":"en","page":"e0254852","source":"DOI.org (Crossref)","title":"Ward-level factors associated with methicillin-resistant Staphylococcus aureus acquisition–an electronic medical records study in Singapore","volume":"16","author":[{"family":"Tun","given":"Zaw Myo"},{"family":"Fisher","given":"Dale A."},{"family":"Salmon","given":"Sharon"},{"family":"Tam","given":"Clarence C."}],"editor":[{"family":"Leekha","given":"Surbhi"}],"issued":{"date-parts":[["2021",7,22]]}}}],"schema":"https://github.com/citation-style-language/schema/raw/master/csl-citation.json"} </w:instrText>
            </w:r>
            <w:r>
              <w:fldChar w:fldCharType="separate"/>
            </w:r>
            <w:r w:rsidRPr="00735B0C">
              <w:t>(46)</w:t>
            </w:r>
            <w:r>
              <w:fldChar w:fldCharType="end"/>
            </w:r>
          </w:p>
        </w:tc>
        <w:tc>
          <w:tcPr>
            <w:tcW w:w="1559" w:type="dxa"/>
            <w:noWrap/>
            <w:hideMark/>
          </w:tcPr>
          <w:p w14:paraId="4FF78E20" w14:textId="77777777" w:rsidR="00401E72" w:rsidRPr="00231D8F" w:rsidRDefault="00401E72" w:rsidP="00A21BAE">
            <w:r w:rsidRPr="00231D8F">
              <w:t>2</w:t>
            </w:r>
          </w:p>
        </w:tc>
        <w:tc>
          <w:tcPr>
            <w:tcW w:w="1701" w:type="dxa"/>
            <w:noWrap/>
            <w:hideMark/>
          </w:tcPr>
          <w:p w14:paraId="67143B03" w14:textId="77777777" w:rsidR="00401E72" w:rsidRPr="00231D8F" w:rsidRDefault="00401E72" w:rsidP="00A21BAE">
            <w:r w:rsidRPr="00231D8F">
              <w:t>3</w:t>
            </w:r>
          </w:p>
        </w:tc>
        <w:tc>
          <w:tcPr>
            <w:tcW w:w="1418" w:type="dxa"/>
            <w:noWrap/>
            <w:hideMark/>
          </w:tcPr>
          <w:p w14:paraId="0E28D6AE" w14:textId="77777777" w:rsidR="00401E72" w:rsidRPr="00231D8F" w:rsidRDefault="00401E72" w:rsidP="00A21BAE">
            <w:r w:rsidRPr="00231D8F">
              <w:t>5</w:t>
            </w:r>
          </w:p>
        </w:tc>
        <w:tc>
          <w:tcPr>
            <w:tcW w:w="1417" w:type="dxa"/>
            <w:noWrap/>
            <w:hideMark/>
          </w:tcPr>
          <w:p w14:paraId="4FC09CF6" w14:textId="77777777" w:rsidR="00401E72" w:rsidRPr="00231D8F" w:rsidRDefault="00401E72" w:rsidP="00A21BAE">
            <w:r w:rsidRPr="00231D8F">
              <w:t>2</w:t>
            </w:r>
          </w:p>
        </w:tc>
      </w:tr>
      <w:tr w:rsidR="00401E72" w:rsidRPr="00231D8F" w14:paraId="55843AEE" w14:textId="77777777" w:rsidTr="00A21BAE">
        <w:trPr>
          <w:trHeight w:val="288"/>
        </w:trPr>
        <w:tc>
          <w:tcPr>
            <w:tcW w:w="2405" w:type="dxa"/>
            <w:noWrap/>
            <w:hideMark/>
          </w:tcPr>
          <w:p w14:paraId="1660AFA4" w14:textId="77777777" w:rsidR="00401E72" w:rsidRPr="00231D8F" w:rsidRDefault="00401E72" w:rsidP="00A21BAE">
            <w:r w:rsidRPr="00231D8F">
              <w:t>Van</w:t>
            </w:r>
            <w:r>
              <w:t xml:space="preserve"> </w:t>
            </w:r>
            <w:r w:rsidRPr="00231D8F">
              <w:t>Bunnik</w:t>
            </w:r>
            <w:r>
              <w:t xml:space="preserve"> et al., </w:t>
            </w:r>
            <w:r w:rsidRPr="00231D8F">
              <w:t>2015</w:t>
            </w:r>
            <w:r>
              <w:t xml:space="preserve"> </w:t>
            </w:r>
            <w:r>
              <w:fldChar w:fldCharType="begin"/>
            </w:r>
            <w:r>
              <w:instrText xml:space="preserve"> ADDIN ZOTERO_ITEM CSL_CITATION {"citationID":"EMS0XTh3","properties":{"formattedCitation":"(43)","plainCitation":"(43)","noteIndex":0},"citationItems":[{"id":437,"uris":["http://zotero.org/users/9294180/items/LUUUYLYQ"],"itemData":{"id":437,"type":"article-journal","abstract":"Detecting novel healthcare-associated infections (HCAI) as early as possible is an important public health priority. However, there is currently no evidence base to guide the design of efficient and reliable surveillance systems. Here we address this issue in the context of a novel pathogen spreading primarily between hospitals through the movement of patients.","container-title":"BMC Public Health","DOI":"10.1186/s12889-015-2172-9","ISSN":"1471-2458","issue":"1","journalAbbreviation":"BMC Public Health","page":"832","source":"BioMed Central","title":"Efficient national surveillance for health-care-associated infections","volume":"15","author":[{"family":"Bunnik","given":"B. A. D.","non-dropping-particle":"van"},{"family":"Ciccolini","given":"M."},{"family":"Gibbons","given":"C. L."},{"family":"Edwards","given":"G."},{"family":"Fitzgerald","given":"R."},{"family":"McAdam","given":"P. R."},{"family":"Ward","given":"M. J."},{"family":"Laurenson","given":"I. F."},{"family":"Woolhouse","given":"M. E. J."}],"issued":{"date-parts":[["2015",8,28]]}}}],"schema":"https://github.com/citation-style-language/schema/raw/master/csl-citation.json"} </w:instrText>
            </w:r>
            <w:r>
              <w:fldChar w:fldCharType="separate"/>
            </w:r>
            <w:r w:rsidRPr="00735B0C">
              <w:t>(43)</w:t>
            </w:r>
            <w:r>
              <w:fldChar w:fldCharType="end"/>
            </w:r>
          </w:p>
        </w:tc>
        <w:tc>
          <w:tcPr>
            <w:tcW w:w="1559" w:type="dxa"/>
            <w:noWrap/>
            <w:hideMark/>
          </w:tcPr>
          <w:p w14:paraId="163ED4BD" w14:textId="77777777" w:rsidR="00401E72" w:rsidRPr="00231D8F" w:rsidRDefault="00401E72" w:rsidP="00A21BAE">
            <w:r w:rsidRPr="00231D8F">
              <w:t>1</w:t>
            </w:r>
          </w:p>
        </w:tc>
        <w:tc>
          <w:tcPr>
            <w:tcW w:w="1701" w:type="dxa"/>
            <w:noWrap/>
            <w:hideMark/>
          </w:tcPr>
          <w:p w14:paraId="037405F2" w14:textId="77777777" w:rsidR="00401E72" w:rsidRPr="00231D8F" w:rsidRDefault="00401E72" w:rsidP="00A21BAE">
            <w:r w:rsidRPr="00231D8F">
              <w:t>3</w:t>
            </w:r>
          </w:p>
        </w:tc>
        <w:tc>
          <w:tcPr>
            <w:tcW w:w="1418" w:type="dxa"/>
            <w:noWrap/>
            <w:hideMark/>
          </w:tcPr>
          <w:p w14:paraId="1514B9A2" w14:textId="77777777" w:rsidR="00401E72" w:rsidRPr="00231D8F" w:rsidRDefault="00401E72" w:rsidP="00A21BAE">
            <w:r w:rsidRPr="00231D8F">
              <w:t>3</w:t>
            </w:r>
          </w:p>
        </w:tc>
        <w:tc>
          <w:tcPr>
            <w:tcW w:w="1417" w:type="dxa"/>
            <w:noWrap/>
            <w:hideMark/>
          </w:tcPr>
          <w:p w14:paraId="57222F7A" w14:textId="77777777" w:rsidR="00401E72" w:rsidRPr="00231D8F" w:rsidRDefault="00401E72" w:rsidP="00A21BAE">
            <w:r w:rsidRPr="00231D8F">
              <w:t>5</w:t>
            </w:r>
          </w:p>
        </w:tc>
      </w:tr>
      <w:tr w:rsidR="00401E72" w:rsidRPr="00231D8F" w14:paraId="40785525" w14:textId="77777777" w:rsidTr="00A21BAE">
        <w:trPr>
          <w:trHeight w:val="288"/>
        </w:trPr>
        <w:tc>
          <w:tcPr>
            <w:tcW w:w="2405" w:type="dxa"/>
            <w:noWrap/>
            <w:hideMark/>
          </w:tcPr>
          <w:p w14:paraId="4CD58D9C" w14:textId="77777777" w:rsidR="00401E72" w:rsidRPr="00231D8F" w:rsidRDefault="00401E72" w:rsidP="00A21BAE">
            <w:r w:rsidRPr="00231D8F">
              <w:t>Van</w:t>
            </w:r>
            <w:r>
              <w:t xml:space="preserve"> </w:t>
            </w:r>
            <w:r w:rsidRPr="00231D8F">
              <w:t>den</w:t>
            </w:r>
            <w:r>
              <w:t xml:space="preserve"> </w:t>
            </w:r>
            <w:r w:rsidRPr="00231D8F">
              <w:t>Dool</w:t>
            </w:r>
            <w:r>
              <w:t xml:space="preserve"> et al., </w:t>
            </w:r>
            <w:r w:rsidRPr="00231D8F">
              <w:t>2016</w:t>
            </w:r>
            <w:r>
              <w:t xml:space="preserve"> </w:t>
            </w:r>
            <w:r>
              <w:fldChar w:fldCharType="begin"/>
            </w:r>
            <w:r>
              <w:instrText xml:space="preserve"> ADDIN ZOTERO_ITEM CSL_CITATION {"citationID":"vEdIbzfJ","properties":{"formattedCitation":"(12)","plainCitation":"(12)","noteIndex":0},"citationItems":[{"id":433,"uris":["http://zotero.org/users/9294180/items/TB94QS3J"],"itemData":{"id":433,"type":"article-journal","abstract":"OBJECTIVE Recerntly, the role of the healthcare network, defined as a set of hospitals linked by patient transfers, has been increasingly considered in the control of antimicrobial resistance. Here, we investigate the potential impact of nursing homes on the spread of antimicrobial-resistant pathogens across the healthcare network and its importance for control strategies. METHODS Based on patient transfer data, we designed a network model representing the Dutch healthcare system of hospitals and nursing homes. We simulated the spread of an antimicrobial-resistant pathogen across the healthcare network, and we modeled transmission within institutions using a stochastic susceptible-infected-susceptible (SIS) epidemic model. Transmission between institutions followed transfers. We identified the contribution of nursing homes to the dispersal of the pathogen by comparing simulations of the network with and without nursing homes. RESULTS Our results strongly suggest that nursing homes in the Netherlands have the potential to drive and sustain epidemics across the healthcare network. Even when the daily probability of transmission in nursing homes is much lower than in hospitals, transmission of resistance can be more effective because of the much longer length of stay of patients in nursing homes. CONCLUSIONS If an antimicrobial-resistant pathogen emerges that spreads easily within nursing homes, control efforts aimed at hospitals may no longer be effective in preventing nationwide outbreaks. It is important to consider nursing homes in planning regional and national infection control and in implementing surveillance systems that monitor the spread of antimicrobial resistance. Infect Control Hosp Epidemiol 2016;37:761-767.","container-title":"Infection Control and Hospital Epidemiology","DOI":"10.1017/ice.2016.59","ISSN":"1559-6834","issue":"7","journalAbbreviation":"Infect Control Hosp Epidemiol","language":"eng","note":"PMID: 27052880\nPMCID: PMC4926272","page":"761-767","source":"PubMed","title":"The Role of Nursing Homes in the Spread of Antimicrobial Resistance Over the Healthcare Network","volume":"37","author":[{"family":"Dool","given":"Carline","non-dropping-particle":"van den"},{"family":"Haenen","given":"Anja"},{"family":"Leenstra","given":"Tjalling"},{"family":"Wallinga","given":"Jacco"}],"issued":{"date-parts":[["2016",7]]}}}],"schema":"https://github.com/citation-style-language/schema/raw/master/csl-citation.json"} </w:instrText>
            </w:r>
            <w:r>
              <w:fldChar w:fldCharType="separate"/>
            </w:r>
            <w:r w:rsidRPr="00D22322">
              <w:rPr>
                <w:rFonts w:cs="Calibri"/>
              </w:rPr>
              <w:t>(12)</w:t>
            </w:r>
            <w:r>
              <w:fldChar w:fldCharType="end"/>
            </w:r>
          </w:p>
        </w:tc>
        <w:tc>
          <w:tcPr>
            <w:tcW w:w="1559" w:type="dxa"/>
            <w:noWrap/>
            <w:hideMark/>
          </w:tcPr>
          <w:p w14:paraId="37A668A6" w14:textId="77777777" w:rsidR="00401E72" w:rsidRPr="00231D8F" w:rsidRDefault="00401E72" w:rsidP="00A21BAE">
            <w:r w:rsidRPr="00231D8F">
              <w:t>2</w:t>
            </w:r>
          </w:p>
        </w:tc>
        <w:tc>
          <w:tcPr>
            <w:tcW w:w="1701" w:type="dxa"/>
            <w:noWrap/>
            <w:hideMark/>
          </w:tcPr>
          <w:p w14:paraId="06096D05" w14:textId="77777777" w:rsidR="00401E72" w:rsidRPr="00231D8F" w:rsidRDefault="00401E72" w:rsidP="00A21BAE">
            <w:r w:rsidRPr="00231D8F">
              <w:t>1</w:t>
            </w:r>
          </w:p>
        </w:tc>
        <w:tc>
          <w:tcPr>
            <w:tcW w:w="1418" w:type="dxa"/>
            <w:noWrap/>
            <w:hideMark/>
          </w:tcPr>
          <w:p w14:paraId="32A7FB96" w14:textId="77777777" w:rsidR="00401E72" w:rsidRPr="00231D8F" w:rsidRDefault="00401E72" w:rsidP="00A21BAE">
            <w:r w:rsidRPr="00231D8F">
              <w:t>4</w:t>
            </w:r>
          </w:p>
        </w:tc>
        <w:tc>
          <w:tcPr>
            <w:tcW w:w="1417" w:type="dxa"/>
            <w:noWrap/>
            <w:hideMark/>
          </w:tcPr>
          <w:p w14:paraId="716B67C1" w14:textId="77777777" w:rsidR="00401E72" w:rsidRPr="00231D8F" w:rsidRDefault="00401E72" w:rsidP="00A21BAE">
            <w:r w:rsidRPr="00231D8F">
              <w:t>5</w:t>
            </w:r>
          </w:p>
        </w:tc>
      </w:tr>
      <w:tr w:rsidR="00401E72" w:rsidRPr="00231D8F" w14:paraId="470D207D" w14:textId="77777777" w:rsidTr="00A21BAE">
        <w:trPr>
          <w:trHeight w:val="288"/>
        </w:trPr>
        <w:tc>
          <w:tcPr>
            <w:tcW w:w="2405" w:type="dxa"/>
            <w:noWrap/>
            <w:hideMark/>
          </w:tcPr>
          <w:p w14:paraId="636733FF" w14:textId="77777777" w:rsidR="00401E72" w:rsidRPr="00231D8F" w:rsidRDefault="00401E72" w:rsidP="00A21BAE">
            <w:r w:rsidRPr="00231D8F">
              <w:t>Van</w:t>
            </w:r>
            <w:r>
              <w:t xml:space="preserve"> </w:t>
            </w:r>
            <w:r w:rsidRPr="00231D8F">
              <w:t>der</w:t>
            </w:r>
            <w:r>
              <w:t xml:space="preserve"> </w:t>
            </w:r>
            <w:r w:rsidRPr="00231D8F">
              <w:t>Zee</w:t>
            </w:r>
            <w:r>
              <w:t xml:space="preserve"> et al., </w:t>
            </w:r>
            <w:r w:rsidRPr="00231D8F">
              <w:t>2024</w:t>
            </w:r>
            <w:r>
              <w:t xml:space="preserve"> </w:t>
            </w:r>
            <w:r>
              <w:fldChar w:fldCharType="begin"/>
            </w:r>
            <w:r>
              <w:instrText xml:space="preserve"> ADDIN ZOTERO_ITEM CSL_CITATION {"citationID":"YEz2Gc8b","properties":{"formattedCitation":"(78)","plainCitation":"(78)","noteIndex":0},"citationItems":[{"id":1777,"uris":["http://zotero.org/users/9294180/items/ZD6RD8ET"],"itemData":{"id":1777,"type":"article-journal","abstract":"OBJECTIVES: Interhospital patient transfers have become routine. Known drivers are access to specialty care and non-clinical reasons, such as limited capacity. While emergency medical services (EMS) providers act as main patient transfer operators, the impact of interhospital transfers on EMS service demand and fleet management remains understudied. This study aims to identify patterns in regional interhospital patient transfer volumes and their spatial distribution, and to discuss their potential implications for EMS service demand and fleet management.\nDESIGN: A retrospective study was performed analysing EMS transport data from the province of Drenthe in the Netherlands between 2013 and 2019 and public hospital listings. Yearly volume changes in urgent and planned interhospital transfers were quantified. Further network analysis, including geomapping, was used to study how transfer volumes and their spatial distribution relate to hospital specialisation, and servicing multihospital systems. Organisational data were considered for relating transfer patterns to fleet changes.\nSETTING: EMS in the province of Drenthe, the Netherlands, 492 167 inhabitants.\nPARTICIPANTS: Analyses are based on routinely collected patient data from EMS records, entailing all 248 114 transports (137 168 patients) of the Drenthe EMS provider (2013-2019). From these interhospital transports were selected (24 311 transports).\nRESULTS: Interhospital transfers represented a considerable (9.8%) and increasing share of transports (from 8.6% in 2013 to 11.3% in 2019). Most transfers were related to multihospital systems (47.3%, 11 509 transports), resulting in a considerable growth of planned EMS transports (from 2093 in 2013 to 3511 in 2019). Geomapping suggests increasing transfer distances and diminishing resource efficiencies due to lacking follow-up rides. Organisational data clarify how EMS fleets were adjusted by expanding resources and reorganising fleet operation.\nCONCLUSIONS: Emerging interhospital network transfers play an important role in EMS service demand. Increased interhospital transport volumes and geographical spread require a redesign of current EMS fleets and management along regional lines.","container-title":"BMJ open","DOI":"10.1136/bmjopen-2023-077181","ISSN":"2044-6055","issue":"6","journalAbbreviation":"BMJ Open","language":"eng","note":"PMID: 38871665\nPMCID: PMC11177669","page":"e077181","source":"PubMed","title":"Implications of interhospital patient transfers for emergency medical services transportation systems in the Netherlands: a retrospective study","title-short":"Implications of interhospital patient transfers for emergency medical services transportation systems in the Netherlands","volume":"14","author":[{"family":"Zee","given":"Durk-Jouke","non-dropping-particle":"van der"},{"family":"Maruster","given":"Laura"},{"family":"Buijs","given":"Paul"},{"family":"Aerts-Veenstra","given":"Marjolein"},{"family":"Hatenboer","given":"Jaap"},{"family":"Buskens","given":"Erik"}],"issued":{"date-parts":[["2024",6,13]]}}}],"schema":"https://github.com/citation-style-language/schema/raw/master/csl-citation.json"} </w:instrText>
            </w:r>
            <w:r>
              <w:fldChar w:fldCharType="separate"/>
            </w:r>
            <w:r w:rsidRPr="00EF2F5A">
              <w:rPr>
                <w:rFonts w:cs="Calibri"/>
              </w:rPr>
              <w:t>(78)</w:t>
            </w:r>
            <w:r>
              <w:fldChar w:fldCharType="end"/>
            </w:r>
          </w:p>
        </w:tc>
        <w:tc>
          <w:tcPr>
            <w:tcW w:w="1559" w:type="dxa"/>
            <w:noWrap/>
            <w:hideMark/>
          </w:tcPr>
          <w:p w14:paraId="0942A963" w14:textId="77777777" w:rsidR="00401E72" w:rsidRPr="00231D8F" w:rsidRDefault="00401E72" w:rsidP="00A21BAE">
            <w:r w:rsidRPr="00231D8F">
              <w:t>2</w:t>
            </w:r>
          </w:p>
        </w:tc>
        <w:tc>
          <w:tcPr>
            <w:tcW w:w="1701" w:type="dxa"/>
            <w:noWrap/>
            <w:hideMark/>
          </w:tcPr>
          <w:p w14:paraId="5D68F615" w14:textId="77777777" w:rsidR="00401E72" w:rsidRPr="00231D8F" w:rsidRDefault="00401E72" w:rsidP="00A21BAE">
            <w:r w:rsidRPr="00231D8F">
              <w:t>2</w:t>
            </w:r>
          </w:p>
        </w:tc>
        <w:tc>
          <w:tcPr>
            <w:tcW w:w="1418" w:type="dxa"/>
            <w:noWrap/>
            <w:hideMark/>
          </w:tcPr>
          <w:p w14:paraId="1EB56989" w14:textId="77777777" w:rsidR="00401E72" w:rsidRPr="00231D8F" w:rsidRDefault="00401E72" w:rsidP="00A21BAE">
            <w:r w:rsidRPr="00231D8F">
              <w:t>5</w:t>
            </w:r>
          </w:p>
        </w:tc>
        <w:tc>
          <w:tcPr>
            <w:tcW w:w="1417" w:type="dxa"/>
            <w:noWrap/>
            <w:hideMark/>
          </w:tcPr>
          <w:p w14:paraId="309E6172" w14:textId="77777777" w:rsidR="00401E72" w:rsidRPr="00231D8F" w:rsidRDefault="00401E72" w:rsidP="00A21BAE">
            <w:r w:rsidRPr="00231D8F">
              <w:t>3</w:t>
            </w:r>
          </w:p>
        </w:tc>
      </w:tr>
      <w:tr w:rsidR="00401E72" w:rsidRPr="00231D8F" w14:paraId="1FD5607D" w14:textId="77777777" w:rsidTr="00A21BAE">
        <w:trPr>
          <w:trHeight w:val="288"/>
        </w:trPr>
        <w:tc>
          <w:tcPr>
            <w:tcW w:w="2405" w:type="dxa"/>
            <w:noWrap/>
            <w:hideMark/>
          </w:tcPr>
          <w:p w14:paraId="5DA43F96" w14:textId="77777777" w:rsidR="00401E72" w:rsidRPr="00231D8F" w:rsidRDefault="00401E72" w:rsidP="00A21BAE">
            <w:r w:rsidRPr="00231D8F">
              <w:t>Van</w:t>
            </w:r>
            <w:r>
              <w:t xml:space="preserve"> </w:t>
            </w:r>
            <w:r w:rsidRPr="00231D8F">
              <w:t>Niekerk</w:t>
            </w:r>
            <w:r>
              <w:t xml:space="preserve"> et al., </w:t>
            </w:r>
            <w:r w:rsidRPr="00231D8F">
              <w:t>2022</w:t>
            </w:r>
            <w:r>
              <w:t xml:space="preserve"> </w:t>
            </w:r>
            <w:r>
              <w:fldChar w:fldCharType="begin"/>
            </w:r>
            <w:r>
              <w:instrText xml:space="preserve"> ADDIN ZOTERO_ITEM CSL_CITATION {"citationID":"5gYrm5iO","properties":{"formattedCitation":"(83)","plainCitation":"(83)","noteIndex":0},"citationItems":[{"id":1611,"uris":["http://zotero.org/users/9294180/items/PWCN8I5V"],"itemData":{"id":1611,"type":"article-journal","abstract":"Background:  Vancomycin-resistant enterococci (VRE) is the cause of severe patient health and monetary burdens. Antibiotic use is a confounding effect to predict VRE in patients, but the antibiotic use of patients who may have fre</w:instrText>
            </w:r>
            <w:r>
              <w:rPr>
                <w:rFonts w:ascii="Cambria Math" w:hAnsi="Cambria Math" w:cs="Cambria Math"/>
              </w:rPr>
              <w:instrText>‑</w:instrText>
            </w:r>
            <w:r>
              <w:instrText>quented the same ward as the patient in question is often neglected. This study investigates how patient movements between hospital wards and their antibiotic use can explain the colonisation of patients with VRE.\nMethods:  Intrahospital patient movements, antibiotic use and PCR screening data were used from a hospital in the Netherlands. The PageRank algorithm was used to calculate two daily centrality measures based on the spatiotem</w:instrText>
            </w:r>
            <w:r>
              <w:rPr>
                <w:rFonts w:ascii="Cambria Math" w:hAnsi="Cambria Math" w:cs="Cambria Math"/>
              </w:rPr>
              <w:instrText>‑</w:instrText>
            </w:r>
            <w:r>
              <w:instrText>poral graph to summarise the flow of patients and antibiotics at the ward level. A decision tree model was used to determine a simple set of rules to estimate the daily probability of patient VRE colonisation for each hospital ward. The model performance was improved using a random forest model and compared using 30% test sample.\nResults:  Centrality covariates summarising the flow of patients and their antibiotic use between hospital wards can be used to predict the daily colonisation of VRE at the hospital ward level. The decision tree model produced a simple set of rules that can be used to determine the daily probability of patient VRE colonisation for each hospital ward. An acceptable area under the ROC curve (AUC) of 0.755 was achieved using the decision tree model and an excellent AUC of 0.883 by the random forest model on the test set. These results confirms that the random forest model per</w:instrText>
            </w:r>
            <w:r>
              <w:rPr>
                <w:rFonts w:ascii="Cambria Math" w:hAnsi="Cambria Math" w:cs="Cambria Math"/>
              </w:rPr>
              <w:instrText>‑</w:instrText>
            </w:r>
            <w:r>
              <w:instrText>forms better than a single decision tree for all levels of model sensitivity and specificity on data not used to estimate the models.\nConclusion:  This study showed how the movements of patients inside hospitals and their use of antibiotics could predict the colonisation of patients with VRE at the ward level. Two daily centrality measures were proposed to sum</w:instrText>
            </w:r>
            <w:r>
              <w:rPr>
                <w:rFonts w:ascii="Cambria Math" w:hAnsi="Cambria Math" w:cs="Cambria Math"/>
              </w:rPr>
              <w:instrText>‑</w:instrText>
            </w:r>
            <w:r>
              <w:instrText xml:space="preserve">marise the flow of patients and antibiotics at the ward level. An early warning system for VRE can be developed to test and further develop infection prevention plans and outbreak strategies using these results.","container-title":"BMC Infectious Diseases","DOI":"10.1186/s12879-022-07043-9","ISSN":"1471-2334","issue":"1","journalAbbreviation":"BMC Infect Dis","language":"en","page":"67","source":"DOI.org (Crossref)","title":"Spatiotemporal prediction of vancomycin-resistant Enterococcus colonisation","volume":"22","author":[{"family":"Van Niekerk","given":"J. M."},{"family":"Lokate","given":"M."},{"family":"Braakman-Jansen","given":"L. M. A."},{"family":"Van Gemert-Pijnen","given":"J. E. W. C."},{"family":"Stein","given":"A."}],"issued":{"date-parts":[["2022",12]]}}}],"schema":"https://github.com/citation-style-language/schema/raw/master/csl-citation.json"} </w:instrText>
            </w:r>
            <w:r>
              <w:fldChar w:fldCharType="separate"/>
            </w:r>
            <w:r w:rsidRPr="00EF2F5A">
              <w:rPr>
                <w:rFonts w:cs="Calibri"/>
              </w:rPr>
              <w:t>(83)</w:t>
            </w:r>
            <w:r>
              <w:fldChar w:fldCharType="end"/>
            </w:r>
          </w:p>
        </w:tc>
        <w:tc>
          <w:tcPr>
            <w:tcW w:w="1559" w:type="dxa"/>
            <w:noWrap/>
            <w:hideMark/>
          </w:tcPr>
          <w:p w14:paraId="01285814" w14:textId="77777777" w:rsidR="00401E72" w:rsidRPr="00231D8F" w:rsidRDefault="00401E72" w:rsidP="00A21BAE">
            <w:r w:rsidRPr="00231D8F">
              <w:t>1</w:t>
            </w:r>
          </w:p>
        </w:tc>
        <w:tc>
          <w:tcPr>
            <w:tcW w:w="1701" w:type="dxa"/>
            <w:noWrap/>
            <w:hideMark/>
          </w:tcPr>
          <w:p w14:paraId="03C7B10A" w14:textId="77777777" w:rsidR="00401E72" w:rsidRPr="00231D8F" w:rsidRDefault="00401E72" w:rsidP="00A21BAE">
            <w:r w:rsidRPr="00231D8F">
              <w:t>0</w:t>
            </w:r>
          </w:p>
        </w:tc>
        <w:tc>
          <w:tcPr>
            <w:tcW w:w="1418" w:type="dxa"/>
            <w:noWrap/>
            <w:hideMark/>
          </w:tcPr>
          <w:p w14:paraId="1EDF81D6" w14:textId="77777777" w:rsidR="00401E72" w:rsidRPr="00231D8F" w:rsidRDefault="00401E72" w:rsidP="00A21BAE">
            <w:r w:rsidRPr="00231D8F">
              <w:t>8</w:t>
            </w:r>
          </w:p>
        </w:tc>
        <w:tc>
          <w:tcPr>
            <w:tcW w:w="1417" w:type="dxa"/>
            <w:noWrap/>
            <w:hideMark/>
          </w:tcPr>
          <w:p w14:paraId="7F84AC5D" w14:textId="77777777" w:rsidR="00401E72" w:rsidRPr="00231D8F" w:rsidRDefault="00401E72" w:rsidP="00A21BAE">
            <w:r w:rsidRPr="00231D8F">
              <w:t>3</w:t>
            </w:r>
          </w:p>
        </w:tc>
      </w:tr>
      <w:tr w:rsidR="00401E72" w:rsidRPr="00231D8F" w14:paraId="3D1B0DC6" w14:textId="77777777" w:rsidTr="00A21BAE">
        <w:trPr>
          <w:trHeight w:val="288"/>
        </w:trPr>
        <w:tc>
          <w:tcPr>
            <w:tcW w:w="2405" w:type="dxa"/>
            <w:noWrap/>
            <w:hideMark/>
          </w:tcPr>
          <w:p w14:paraId="57E35E78" w14:textId="77777777" w:rsidR="00401E72" w:rsidRPr="00231D8F" w:rsidRDefault="00401E72" w:rsidP="00A21BAE">
            <w:r w:rsidRPr="00231D8F">
              <w:t>Vu</w:t>
            </w:r>
            <w:r>
              <w:t xml:space="preserve"> et al., </w:t>
            </w:r>
            <w:r w:rsidRPr="00231D8F">
              <w:t>2017</w:t>
            </w:r>
            <w:r>
              <w:t xml:space="preserve"> </w:t>
            </w:r>
            <w:r>
              <w:fldChar w:fldCharType="begin"/>
            </w:r>
            <w:r>
              <w:instrText xml:space="preserve"> ADDIN ZOTERO_ITEM CSL_CITATION {"citationID":"jiVpUnHT","properties":{"formattedCitation":"(73)","plainCitation":"(73)","noteIndex":0},"citationItems":[{"id":1610,"uris":["http://zotero.org/users/9294180/items/9Z2IDX5W"],"itemData":{"id":1610,"type":"article-journal","abstract":"The main objective of this paper is to introduce and illustrate relational event models, a new class of statistical models for the analysis of time‐stamped data with complex temporal and relational dependencies. We outline the main differences between recently proposed relational event models and more conventional network models based on the graph‐theoretic formalism typically adopted in empirical studies of social networks. Our main contribution involves the definition and implementation of a marked point process extension of currently available models. According to this approach, the sequence of events of interest is decomposed into two components: (a) event time and (b) event destination. This decomposition transforms the problem of selection of event destination in relational event models into a conditional multinomial logistic regression problem. The main advantages of this formulation are the possibility of controlling for the effect of event‐specific data and a significant reduction in the estimation time of currently available relational event models. We demonstrate the empirical value of the model in an analysis of interhospital patient transfers within a regional community of health care organizations. We conclude with a discussion of how the models we presented help to overcome some the limitations of statistical models for networks that are currently available. Copyright © 2017 John Wiley &amp; Sons, Ltd.","container-title":"Statistics in Medicine","DOI":"10.1002/sim.7247","ISSN":"0277-6715, 1097-0258","issue":"14","journalAbbreviation":"Statistics in Medicine","language":"en","license":"http://onlinelibrary.wiley.com/termsAndConditions#am","page":"2265-2287","source":"DOI.org (Crossref)","title":"Relational event models for longitudinal network data with an application to interhospital patient transfers","volume":"36","author":[{"family":"Vu","given":"Duy"},{"family":"Lomi","given":"Alessandro"},{"family":"Mascia","given":"Daniele"},{"family":"Pallotti","given":"Francesca"}],"issued":{"date-parts":[["2017",6,30]]}}}],"schema":"https://github.com/citation-style-language/schema/raw/master/csl-citation.json"} </w:instrText>
            </w:r>
            <w:r>
              <w:fldChar w:fldCharType="separate"/>
            </w:r>
            <w:r w:rsidRPr="00EF2F5A">
              <w:rPr>
                <w:rFonts w:cs="Calibri"/>
              </w:rPr>
              <w:t>(73)</w:t>
            </w:r>
            <w:r>
              <w:fldChar w:fldCharType="end"/>
            </w:r>
          </w:p>
        </w:tc>
        <w:tc>
          <w:tcPr>
            <w:tcW w:w="1559" w:type="dxa"/>
            <w:noWrap/>
            <w:hideMark/>
          </w:tcPr>
          <w:p w14:paraId="48AC113D" w14:textId="77777777" w:rsidR="00401E72" w:rsidRPr="00231D8F" w:rsidRDefault="00401E72" w:rsidP="00A21BAE">
            <w:r w:rsidRPr="00231D8F">
              <w:t>0</w:t>
            </w:r>
          </w:p>
        </w:tc>
        <w:tc>
          <w:tcPr>
            <w:tcW w:w="1701" w:type="dxa"/>
            <w:noWrap/>
            <w:hideMark/>
          </w:tcPr>
          <w:p w14:paraId="0C1E1D5E" w14:textId="77777777" w:rsidR="00401E72" w:rsidRPr="00231D8F" w:rsidRDefault="00401E72" w:rsidP="00A21BAE">
            <w:r w:rsidRPr="00231D8F">
              <w:t>6</w:t>
            </w:r>
          </w:p>
        </w:tc>
        <w:tc>
          <w:tcPr>
            <w:tcW w:w="1418" w:type="dxa"/>
            <w:noWrap/>
            <w:hideMark/>
          </w:tcPr>
          <w:p w14:paraId="7A594835" w14:textId="77777777" w:rsidR="00401E72" w:rsidRPr="00231D8F" w:rsidRDefault="00401E72" w:rsidP="00A21BAE">
            <w:r w:rsidRPr="00231D8F">
              <w:t>4</w:t>
            </w:r>
          </w:p>
        </w:tc>
        <w:tc>
          <w:tcPr>
            <w:tcW w:w="1417" w:type="dxa"/>
            <w:noWrap/>
            <w:hideMark/>
          </w:tcPr>
          <w:p w14:paraId="4E3407C6" w14:textId="77777777" w:rsidR="00401E72" w:rsidRPr="00231D8F" w:rsidRDefault="00401E72" w:rsidP="00A21BAE">
            <w:r w:rsidRPr="00231D8F">
              <w:t>2</w:t>
            </w:r>
          </w:p>
        </w:tc>
      </w:tr>
      <w:tr w:rsidR="00401E72" w:rsidRPr="00231D8F" w14:paraId="1832B54F" w14:textId="77777777" w:rsidTr="00A21BAE">
        <w:trPr>
          <w:trHeight w:val="288"/>
        </w:trPr>
        <w:tc>
          <w:tcPr>
            <w:tcW w:w="2405" w:type="dxa"/>
            <w:noWrap/>
            <w:hideMark/>
          </w:tcPr>
          <w:p w14:paraId="51EC2C69" w14:textId="77777777" w:rsidR="00401E72" w:rsidRPr="00231D8F" w:rsidRDefault="00401E72" w:rsidP="00A21BAE">
            <w:r w:rsidRPr="00231D8F">
              <w:t>Xia</w:t>
            </w:r>
            <w:r>
              <w:t xml:space="preserve"> et al., </w:t>
            </w:r>
            <w:r w:rsidRPr="00231D8F">
              <w:t>2021</w:t>
            </w:r>
            <w:r>
              <w:t xml:space="preserve"> </w:t>
            </w:r>
            <w:r>
              <w:fldChar w:fldCharType="begin"/>
            </w:r>
            <w:r>
              <w:instrText xml:space="preserve"> ADDIN ZOTERO_ITEM CSL_CITATION {"citationID":"1LxIeQJG","properties":{"formattedCitation":"(27)","plainCitation":"(27)","noteIndex":0},"citationItems":[{"id":1609,"uris":["http://zotero.org/users/9294180/items/IJRM8Y3L"],"itemData":{"id":1609,"type":"article-journal","abstract":"In the year 2020, there were 105 different statutory insurance companies in Germany with heterogeneous regional coverage. Obtaining data from all insurance companies is challenging, so that it is likely that projects will have to rely on data not covering the whole population. Consequently, the study of epidemic spread in hospital referral networks using data-driven models may be biased. We studied this bias using data from three German regional insurance companies covering four federal states: AOK (historically “general local health insurance company”, but currently only the abbreviation is used) Lower Saxony (in Federal State of Lower Saxony), AOK Bavaria (in Bavaria), and AOK PLUS (in Thuringia and Saxony). To understand how incomplete data influence network characteristics and related epidemic simulations, we created sampled datasets by randomly dropping a proportion of patients from the full datasets and replacing them with random copies of the remaining patients to obtain scale-up datasets to the original size. For the sampled and scale-up datasets, we calculated several commonly used network measures, and compared them to those derived from the original data. We found that the network measures (degree, strength and closeness) were rather sensitive to incompleteness. Infection prevalence as an outcome from the applied susceptible-infectious-susceptible (SIS) model was fairly robust against incompleteness. At incompleteness levels as high as 90% of the original datasets the prevalence estimation bias was below 5% in scale-up datasets. Consequently, a coverage as low as 10% of the local population of the federal state population was sufficient to maintain the relative bias in prevalence below 10% for a wide range of transmission parameters as encountered in clinical settings. Our findings are reassuring that despite incomplete coverage of the population, German health insurance data can be used to study effects of patient traffic between institutions on the spread of pathogens within healthcare networks.","container-title":"PLOS Computational Biology","DOI":"10.1371/journal.pcbi.1008941","ISSN":"1553-7358","issue":"5","journalAbbreviation":"PLoS Comput Biol","language":"en","page":"e1008941","source":"DOI.org (Crossref)","title":"Effects of incomplete inter-hospital network data on the assessment of transmission dynamics of hospital-acquired infections","volume":"17","author":[{"family":"Xia","given":"Hanjue"},{"family":"Horn","given":"Johannes"},{"family":"Piotrowska","given":"Monika J."},{"family":"Sakowski","given":"Konrad"},{"family":"Karch","given":"André"},{"family":"Tahir","given":"Hannan"},{"family":"Kretzschmar","given":"Mirjam"},{"family":"Mikolajczyk","given":"Rafael"}],"editor":[{"family":"Althouse","given":"Benjamin Muir"}],"issued":{"date-parts":[["2021",5,6]]}}}],"schema":"https://github.com/citation-style-language/schema/raw/master/csl-citation.json"} </w:instrText>
            </w:r>
            <w:r>
              <w:fldChar w:fldCharType="separate"/>
            </w:r>
            <w:r w:rsidRPr="00D22322">
              <w:rPr>
                <w:rFonts w:cs="Calibri"/>
              </w:rPr>
              <w:t>(27)</w:t>
            </w:r>
            <w:r>
              <w:fldChar w:fldCharType="end"/>
            </w:r>
          </w:p>
        </w:tc>
        <w:tc>
          <w:tcPr>
            <w:tcW w:w="1559" w:type="dxa"/>
            <w:noWrap/>
            <w:hideMark/>
          </w:tcPr>
          <w:p w14:paraId="6C709CEC" w14:textId="77777777" w:rsidR="00401E72" w:rsidRPr="00231D8F" w:rsidRDefault="00401E72" w:rsidP="00A21BAE">
            <w:r w:rsidRPr="00231D8F">
              <w:t>1</w:t>
            </w:r>
          </w:p>
        </w:tc>
        <w:tc>
          <w:tcPr>
            <w:tcW w:w="1701" w:type="dxa"/>
            <w:noWrap/>
            <w:hideMark/>
          </w:tcPr>
          <w:p w14:paraId="3740EF57" w14:textId="77777777" w:rsidR="00401E72" w:rsidRPr="00231D8F" w:rsidRDefault="00401E72" w:rsidP="00A21BAE">
            <w:r w:rsidRPr="00231D8F">
              <w:t>2</w:t>
            </w:r>
          </w:p>
        </w:tc>
        <w:tc>
          <w:tcPr>
            <w:tcW w:w="1418" w:type="dxa"/>
            <w:noWrap/>
            <w:hideMark/>
          </w:tcPr>
          <w:p w14:paraId="512A9BC5" w14:textId="77777777" w:rsidR="00401E72" w:rsidRPr="00231D8F" w:rsidRDefault="00401E72" w:rsidP="00A21BAE">
            <w:r w:rsidRPr="00231D8F">
              <w:t>6</w:t>
            </w:r>
          </w:p>
        </w:tc>
        <w:tc>
          <w:tcPr>
            <w:tcW w:w="1417" w:type="dxa"/>
            <w:noWrap/>
            <w:hideMark/>
          </w:tcPr>
          <w:p w14:paraId="6AA6B320" w14:textId="77777777" w:rsidR="00401E72" w:rsidRPr="00231D8F" w:rsidRDefault="00401E72" w:rsidP="00A21BAE">
            <w:r w:rsidRPr="00231D8F">
              <w:t>3</w:t>
            </w:r>
          </w:p>
        </w:tc>
      </w:tr>
      <w:tr w:rsidR="00401E72" w:rsidRPr="00231D8F" w14:paraId="6196724B" w14:textId="77777777" w:rsidTr="00A21BAE">
        <w:trPr>
          <w:trHeight w:val="288"/>
        </w:trPr>
        <w:tc>
          <w:tcPr>
            <w:tcW w:w="2405" w:type="dxa"/>
            <w:noWrap/>
            <w:hideMark/>
          </w:tcPr>
          <w:p w14:paraId="6C6253A4" w14:textId="77777777" w:rsidR="00401E72" w:rsidRPr="00231D8F" w:rsidRDefault="00401E72" w:rsidP="00A21BAE">
            <w:r w:rsidRPr="00231D8F">
              <w:t>Xia</w:t>
            </w:r>
            <w:r>
              <w:t xml:space="preserve"> et al., </w:t>
            </w:r>
            <w:r w:rsidRPr="00231D8F">
              <w:t>2024</w:t>
            </w:r>
            <w:r>
              <w:t xml:space="preserve"> </w:t>
            </w:r>
            <w:r>
              <w:fldChar w:fldCharType="begin"/>
            </w:r>
            <w:r>
              <w:instrText xml:space="preserve"> ADDIN ZOTERO_ITEM CSL_CITATION {"citationID":"qrn5Nq10","properties":{"formattedCitation":"(28)","plainCitation":"(28)","noteIndex":0},"citationItems":[{"id":1608,"uris":["http://zotero.org/users/9294180/items/QVDJUTFV"],"itemData":{"id":1608,"type":"article-journal","abstract":"Abstract\n            Pathogens typically responsible for hospital-acquired infections (HAIs) constitute a major threat to healthcare systems worldwide. They spread via hospital (or hospital-community) networks by readmissions or patient transfers. Therefore, knowledge of these networks is essential to develop and test strategies to mitigate and control the HAI spread. Until now, no methods for comparing healthcare networks across different systems were proposed. Based on healthcare insurance data from four German federal states (Bavaria, Lower Saxony, Saxony and Thuringia), we constructed hospital networks and compared them in a systematic approach regarding population, hospital characteristics, and patient transfer patterns. Direct patient transfers between hospitals had only a limited impact on HAI spread. Whereas, with low colonization clearance rates, readmissions to the same hospitals posed the biggest transmission risk of all inter-hospital transfers. We then generated hospital-community networks, in which patients either stay in communities or in hospitals. We found that network characteristics affect the final prevalence and the time to reach it. However, depending on the characteristics of the pathogen (colonization clearance rate and transmission rate or even the relationship between transmission rate in hospitals and in the community), the studied networks performed differently. The differences were not large, but justify further studies.","container-title":"Scientific Reports","DOI":"10.1038/s41598-023-50873-z","ISSN":"2045-2322","issue":"1","journalAbbreviation":"Sci Rep","language":"en","page":"929","source":"DOI.org (Crossref)","title":"Regional patient transfer patterns matter for the spread of hospital-acquired pathogens","volume":"14","author":[{"family":"Xia","given":"Hanjue"},{"family":"Horn","given":"Johannes"},{"family":"Piotrowska","given":"Monika J."},{"family":"Sakowski","given":"Konrad"},{"family":"Karch","given":"André"},{"family":"Kretzschmar","given":"Mirjam"},{"family":"Mikolajczyk","given":"Rafael"}],"issued":{"date-parts":[["2024",1,9]]}}}],"schema":"https://github.com/citation-style-language/schema/raw/master/csl-citation.json"} </w:instrText>
            </w:r>
            <w:r>
              <w:fldChar w:fldCharType="separate"/>
            </w:r>
            <w:r w:rsidRPr="00D22322">
              <w:rPr>
                <w:rFonts w:cs="Calibri"/>
              </w:rPr>
              <w:t>(28)</w:t>
            </w:r>
            <w:r>
              <w:fldChar w:fldCharType="end"/>
            </w:r>
          </w:p>
        </w:tc>
        <w:tc>
          <w:tcPr>
            <w:tcW w:w="1559" w:type="dxa"/>
            <w:noWrap/>
            <w:hideMark/>
          </w:tcPr>
          <w:p w14:paraId="132FA069" w14:textId="77777777" w:rsidR="00401E72" w:rsidRPr="00231D8F" w:rsidRDefault="00401E72" w:rsidP="00A21BAE">
            <w:r w:rsidRPr="00231D8F">
              <w:t>1</w:t>
            </w:r>
          </w:p>
        </w:tc>
        <w:tc>
          <w:tcPr>
            <w:tcW w:w="1701" w:type="dxa"/>
            <w:noWrap/>
            <w:hideMark/>
          </w:tcPr>
          <w:p w14:paraId="252989ED" w14:textId="77777777" w:rsidR="00401E72" w:rsidRPr="00231D8F" w:rsidRDefault="00401E72" w:rsidP="00A21BAE">
            <w:r w:rsidRPr="00231D8F">
              <w:t>2</w:t>
            </w:r>
          </w:p>
        </w:tc>
        <w:tc>
          <w:tcPr>
            <w:tcW w:w="1418" w:type="dxa"/>
            <w:noWrap/>
            <w:hideMark/>
          </w:tcPr>
          <w:p w14:paraId="459D2243" w14:textId="77777777" w:rsidR="00401E72" w:rsidRPr="00231D8F" w:rsidRDefault="00401E72" w:rsidP="00A21BAE">
            <w:r w:rsidRPr="00231D8F">
              <w:t>3</w:t>
            </w:r>
          </w:p>
        </w:tc>
        <w:tc>
          <w:tcPr>
            <w:tcW w:w="1417" w:type="dxa"/>
            <w:noWrap/>
            <w:hideMark/>
          </w:tcPr>
          <w:p w14:paraId="38384406" w14:textId="77777777" w:rsidR="00401E72" w:rsidRPr="00231D8F" w:rsidRDefault="00401E72" w:rsidP="00A21BAE">
            <w:r w:rsidRPr="00231D8F">
              <w:t>6</w:t>
            </w:r>
          </w:p>
        </w:tc>
      </w:tr>
    </w:tbl>
    <w:p w14:paraId="63AB9876" w14:textId="77777777" w:rsidR="00401E72" w:rsidRDefault="00401E72" w:rsidP="00401E72">
      <w:r>
        <w:br w:type="page"/>
      </w:r>
    </w:p>
    <w:p w14:paraId="4904D250" w14:textId="77777777" w:rsidR="00401E72" w:rsidRPr="00D44092" w:rsidRDefault="00401E72" w:rsidP="00401E72">
      <w:pPr>
        <w:pStyle w:val="Titre2"/>
        <w:rPr>
          <w:b w:val="0"/>
          <w:bCs/>
          <w:lang w:val="en-GB"/>
        </w:rPr>
      </w:pPr>
      <w:r w:rsidRPr="00D44092">
        <w:rPr>
          <w:lang w:val="en-GB"/>
        </w:rPr>
        <w:lastRenderedPageBreak/>
        <w:t xml:space="preserve">Figure S1: Types and duration of databases used in the 79 articles. </w:t>
      </w:r>
      <w:r w:rsidRPr="00D44092">
        <w:rPr>
          <w:b w:val="0"/>
          <w:lang w:val="en-GB"/>
        </w:rPr>
        <w:t>(A) Frequency of database types (B) Distribution of database duration.</w:t>
      </w:r>
    </w:p>
    <w:p w14:paraId="59053308" w14:textId="77777777" w:rsidR="00401E72" w:rsidRPr="009619C2" w:rsidRDefault="00401E72" w:rsidP="00401E72">
      <w:r>
        <w:rPr>
          <w:noProof/>
        </w:rPr>
        <w:drawing>
          <wp:inline distT="0" distB="0" distL="0" distR="0" wp14:anchorId="2584292F" wp14:editId="65F026EC">
            <wp:extent cx="5756910" cy="2157730"/>
            <wp:effectExtent l="0" t="0" r="0" b="0"/>
            <wp:docPr id="9" name="Image 9" descr="Une image contenant capture d’écran, Graphique, pix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Une image contenant capture d’écran, Graphique, pixel&#10;&#10;Le contenu généré par l’IA peut êtr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6910" cy="2157730"/>
                    </a:xfrm>
                    <a:prstGeom prst="rect">
                      <a:avLst/>
                    </a:prstGeom>
                    <a:noFill/>
                    <a:ln>
                      <a:noFill/>
                    </a:ln>
                  </pic:spPr>
                </pic:pic>
              </a:graphicData>
            </a:graphic>
          </wp:inline>
        </w:drawing>
      </w:r>
    </w:p>
    <w:p w14:paraId="3783B04B" w14:textId="77777777" w:rsidR="00401E72" w:rsidRPr="00D44092" w:rsidRDefault="00401E72" w:rsidP="00401E72">
      <w:pPr>
        <w:pStyle w:val="Titre2"/>
        <w:rPr>
          <w:rFonts w:eastAsia="Times New Roman" w:cs="Calibri"/>
          <w:b w:val="0"/>
          <w:lang w:val="en-GB" w:eastAsia="fr-FR"/>
        </w:rPr>
      </w:pPr>
      <w:r w:rsidRPr="00D44092">
        <w:rPr>
          <w:lang w:val="en-GB"/>
        </w:rPr>
        <w:lastRenderedPageBreak/>
        <w:t xml:space="preserve">Figure S2: Network characteristics. </w:t>
      </w:r>
      <w:r w:rsidRPr="00D44092">
        <w:rPr>
          <w:b w:val="0"/>
          <w:lang w:val="en-GB"/>
        </w:rPr>
        <w:t xml:space="preserve">(A) Number of facilities (B) Number of </w:t>
      </w:r>
      <w:r w:rsidRPr="00D44092">
        <w:rPr>
          <w:rFonts w:eastAsia="Times New Roman" w:cs="Calibri"/>
          <w:b w:val="0"/>
          <w:lang w:val="en-GB" w:eastAsia="fr-FR"/>
        </w:rPr>
        <w:t>patient transfers per year. For networks presented in multiple articles, each point represents a value reported in an article.</w:t>
      </w:r>
    </w:p>
    <w:p w14:paraId="0A8A1889" w14:textId="778A6028" w:rsidR="00962CE4" w:rsidRPr="0090037B" w:rsidRDefault="00401E72">
      <w:pPr>
        <w:rPr>
          <w:lang w:val="en-GB"/>
        </w:rPr>
      </w:pPr>
      <w:r>
        <w:rPr>
          <w:noProof/>
          <w:lang w:val="en-GB"/>
        </w:rPr>
        <w:drawing>
          <wp:inline distT="0" distB="0" distL="0" distR="0" wp14:anchorId="7FF24E37" wp14:editId="1297E8A1">
            <wp:extent cx="4687866" cy="8084128"/>
            <wp:effectExtent l="0" t="0" r="0" b="0"/>
            <wp:docPr id="76006817" name="Image 3" descr="Une image contenant texte, cart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06817" name="Image 3" descr="Une image contenant texte, carte, capture d’écran&#10;&#10;Le contenu généré par l’IA peut êtr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01141" cy="8107020"/>
                    </a:xfrm>
                    <a:prstGeom prst="rect">
                      <a:avLst/>
                    </a:prstGeom>
                    <a:noFill/>
                  </pic:spPr>
                </pic:pic>
              </a:graphicData>
            </a:graphic>
          </wp:inline>
        </w:drawing>
      </w:r>
    </w:p>
    <w:sectPr w:rsidR="00962CE4" w:rsidRPr="0090037B">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TEMIME Laura" w:date="2025-12-30T22:51:00Z" w:initials="TL">
    <w:p w14:paraId="23D4A0D3" w14:textId="77777777" w:rsidR="00401E72" w:rsidRDefault="00401E72">
      <w:r>
        <w:annotationRef/>
      </w:r>
      <w:r w:rsidRPr="0D6E924E">
        <w:t>Je ne sais pas si on met "yes", mais j'ai mis une mention que le niveau global de confiance était bon dans l'abstract...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3D4A0D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BE36F15" w16cex:dateUtc="2025-12-30T21: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3D4A0D3" w16cid:durableId="3BE36F1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47BDE"/>
    <w:multiLevelType w:val="hybridMultilevel"/>
    <w:tmpl w:val="E460DBB4"/>
    <w:lvl w:ilvl="0" w:tplc="651AF8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FD5B11"/>
    <w:multiLevelType w:val="hybridMultilevel"/>
    <w:tmpl w:val="CB2C0CEC"/>
    <w:lvl w:ilvl="0" w:tplc="A38CCAD4">
      <w:start w:val="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56405F"/>
    <w:multiLevelType w:val="hybridMultilevel"/>
    <w:tmpl w:val="5A4EF5C6"/>
    <w:lvl w:ilvl="0" w:tplc="656668D6">
      <w:start w:val="3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A453585"/>
    <w:multiLevelType w:val="hybridMultilevel"/>
    <w:tmpl w:val="EB3ACEAE"/>
    <w:lvl w:ilvl="0" w:tplc="6B16C264">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A40E55"/>
    <w:multiLevelType w:val="hybridMultilevel"/>
    <w:tmpl w:val="D4CAD340"/>
    <w:lvl w:ilvl="0" w:tplc="3E7ED272">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E7C5F87"/>
    <w:multiLevelType w:val="hybridMultilevel"/>
    <w:tmpl w:val="F7484C3A"/>
    <w:lvl w:ilvl="0" w:tplc="E45AFD8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02E770B"/>
    <w:multiLevelType w:val="hybridMultilevel"/>
    <w:tmpl w:val="665A28F2"/>
    <w:lvl w:ilvl="0" w:tplc="D7C414CE">
      <w:start w:val="3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03D19CD"/>
    <w:multiLevelType w:val="hybridMultilevel"/>
    <w:tmpl w:val="E9B8D826"/>
    <w:lvl w:ilvl="0" w:tplc="DEE6DFBC">
      <w:start w:val="1"/>
      <w:numFmt w:val="bullet"/>
      <w:lvlText w:val="•"/>
      <w:lvlJc w:val="left"/>
      <w:pPr>
        <w:tabs>
          <w:tab w:val="num" w:pos="720"/>
        </w:tabs>
        <w:ind w:left="720" w:hanging="360"/>
      </w:pPr>
      <w:rPr>
        <w:rFonts w:ascii="Arial" w:hAnsi="Arial" w:hint="default"/>
      </w:rPr>
    </w:lvl>
    <w:lvl w:ilvl="1" w:tplc="BE3EC194" w:tentative="1">
      <w:start w:val="1"/>
      <w:numFmt w:val="bullet"/>
      <w:lvlText w:val="•"/>
      <w:lvlJc w:val="left"/>
      <w:pPr>
        <w:tabs>
          <w:tab w:val="num" w:pos="1440"/>
        </w:tabs>
        <w:ind w:left="1440" w:hanging="360"/>
      </w:pPr>
      <w:rPr>
        <w:rFonts w:ascii="Arial" w:hAnsi="Arial" w:hint="default"/>
      </w:rPr>
    </w:lvl>
    <w:lvl w:ilvl="2" w:tplc="CEF8BC12" w:tentative="1">
      <w:start w:val="1"/>
      <w:numFmt w:val="bullet"/>
      <w:lvlText w:val="•"/>
      <w:lvlJc w:val="left"/>
      <w:pPr>
        <w:tabs>
          <w:tab w:val="num" w:pos="2160"/>
        </w:tabs>
        <w:ind w:left="2160" w:hanging="360"/>
      </w:pPr>
      <w:rPr>
        <w:rFonts w:ascii="Arial" w:hAnsi="Arial" w:hint="default"/>
      </w:rPr>
    </w:lvl>
    <w:lvl w:ilvl="3" w:tplc="B72217D4" w:tentative="1">
      <w:start w:val="1"/>
      <w:numFmt w:val="bullet"/>
      <w:lvlText w:val="•"/>
      <w:lvlJc w:val="left"/>
      <w:pPr>
        <w:tabs>
          <w:tab w:val="num" w:pos="2880"/>
        </w:tabs>
        <w:ind w:left="2880" w:hanging="360"/>
      </w:pPr>
      <w:rPr>
        <w:rFonts w:ascii="Arial" w:hAnsi="Arial" w:hint="default"/>
      </w:rPr>
    </w:lvl>
    <w:lvl w:ilvl="4" w:tplc="638A1E6E" w:tentative="1">
      <w:start w:val="1"/>
      <w:numFmt w:val="bullet"/>
      <w:lvlText w:val="•"/>
      <w:lvlJc w:val="left"/>
      <w:pPr>
        <w:tabs>
          <w:tab w:val="num" w:pos="3600"/>
        </w:tabs>
        <w:ind w:left="3600" w:hanging="360"/>
      </w:pPr>
      <w:rPr>
        <w:rFonts w:ascii="Arial" w:hAnsi="Arial" w:hint="default"/>
      </w:rPr>
    </w:lvl>
    <w:lvl w:ilvl="5" w:tplc="A8A68DF2" w:tentative="1">
      <w:start w:val="1"/>
      <w:numFmt w:val="bullet"/>
      <w:lvlText w:val="•"/>
      <w:lvlJc w:val="left"/>
      <w:pPr>
        <w:tabs>
          <w:tab w:val="num" w:pos="4320"/>
        </w:tabs>
        <w:ind w:left="4320" w:hanging="360"/>
      </w:pPr>
      <w:rPr>
        <w:rFonts w:ascii="Arial" w:hAnsi="Arial" w:hint="default"/>
      </w:rPr>
    </w:lvl>
    <w:lvl w:ilvl="6" w:tplc="FB2C597C" w:tentative="1">
      <w:start w:val="1"/>
      <w:numFmt w:val="bullet"/>
      <w:lvlText w:val="•"/>
      <w:lvlJc w:val="left"/>
      <w:pPr>
        <w:tabs>
          <w:tab w:val="num" w:pos="5040"/>
        </w:tabs>
        <w:ind w:left="5040" w:hanging="360"/>
      </w:pPr>
      <w:rPr>
        <w:rFonts w:ascii="Arial" w:hAnsi="Arial" w:hint="default"/>
      </w:rPr>
    </w:lvl>
    <w:lvl w:ilvl="7" w:tplc="75CCAFFE" w:tentative="1">
      <w:start w:val="1"/>
      <w:numFmt w:val="bullet"/>
      <w:lvlText w:val="•"/>
      <w:lvlJc w:val="left"/>
      <w:pPr>
        <w:tabs>
          <w:tab w:val="num" w:pos="5760"/>
        </w:tabs>
        <w:ind w:left="5760" w:hanging="360"/>
      </w:pPr>
      <w:rPr>
        <w:rFonts w:ascii="Arial" w:hAnsi="Arial" w:hint="default"/>
      </w:rPr>
    </w:lvl>
    <w:lvl w:ilvl="8" w:tplc="10281C8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03E4604"/>
    <w:multiLevelType w:val="hybridMultilevel"/>
    <w:tmpl w:val="A48651D8"/>
    <w:lvl w:ilvl="0" w:tplc="1EC61482">
      <w:start w:val="1"/>
      <w:numFmt w:val="bullet"/>
      <w:lvlText w:val="•"/>
      <w:lvlJc w:val="left"/>
      <w:pPr>
        <w:tabs>
          <w:tab w:val="num" w:pos="720"/>
        </w:tabs>
        <w:ind w:left="720" w:hanging="360"/>
      </w:pPr>
      <w:rPr>
        <w:rFonts w:ascii="Arial" w:hAnsi="Arial" w:hint="default"/>
      </w:rPr>
    </w:lvl>
    <w:lvl w:ilvl="1" w:tplc="0846CECE" w:tentative="1">
      <w:start w:val="1"/>
      <w:numFmt w:val="bullet"/>
      <w:lvlText w:val="•"/>
      <w:lvlJc w:val="left"/>
      <w:pPr>
        <w:tabs>
          <w:tab w:val="num" w:pos="1440"/>
        </w:tabs>
        <w:ind w:left="1440" w:hanging="360"/>
      </w:pPr>
      <w:rPr>
        <w:rFonts w:ascii="Arial" w:hAnsi="Arial" w:hint="default"/>
      </w:rPr>
    </w:lvl>
    <w:lvl w:ilvl="2" w:tplc="74B244A6" w:tentative="1">
      <w:start w:val="1"/>
      <w:numFmt w:val="bullet"/>
      <w:lvlText w:val="•"/>
      <w:lvlJc w:val="left"/>
      <w:pPr>
        <w:tabs>
          <w:tab w:val="num" w:pos="2160"/>
        </w:tabs>
        <w:ind w:left="2160" w:hanging="360"/>
      </w:pPr>
      <w:rPr>
        <w:rFonts w:ascii="Arial" w:hAnsi="Arial" w:hint="default"/>
      </w:rPr>
    </w:lvl>
    <w:lvl w:ilvl="3" w:tplc="E6D04532" w:tentative="1">
      <w:start w:val="1"/>
      <w:numFmt w:val="bullet"/>
      <w:lvlText w:val="•"/>
      <w:lvlJc w:val="left"/>
      <w:pPr>
        <w:tabs>
          <w:tab w:val="num" w:pos="2880"/>
        </w:tabs>
        <w:ind w:left="2880" w:hanging="360"/>
      </w:pPr>
      <w:rPr>
        <w:rFonts w:ascii="Arial" w:hAnsi="Arial" w:hint="default"/>
      </w:rPr>
    </w:lvl>
    <w:lvl w:ilvl="4" w:tplc="DFB6E496" w:tentative="1">
      <w:start w:val="1"/>
      <w:numFmt w:val="bullet"/>
      <w:lvlText w:val="•"/>
      <w:lvlJc w:val="left"/>
      <w:pPr>
        <w:tabs>
          <w:tab w:val="num" w:pos="3600"/>
        </w:tabs>
        <w:ind w:left="3600" w:hanging="360"/>
      </w:pPr>
      <w:rPr>
        <w:rFonts w:ascii="Arial" w:hAnsi="Arial" w:hint="default"/>
      </w:rPr>
    </w:lvl>
    <w:lvl w:ilvl="5" w:tplc="11A07272" w:tentative="1">
      <w:start w:val="1"/>
      <w:numFmt w:val="bullet"/>
      <w:lvlText w:val="•"/>
      <w:lvlJc w:val="left"/>
      <w:pPr>
        <w:tabs>
          <w:tab w:val="num" w:pos="4320"/>
        </w:tabs>
        <w:ind w:left="4320" w:hanging="360"/>
      </w:pPr>
      <w:rPr>
        <w:rFonts w:ascii="Arial" w:hAnsi="Arial" w:hint="default"/>
      </w:rPr>
    </w:lvl>
    <w:lvl w:ilvl="6" w:tplc="FFCCC28C" w:tentative="1">
      <w:start w:val="1"/>
      <w:numFmt w:val="bullet"/>
      <w:lvlText w:val="•"/>
      <w:lvlJc w:val="left"/>
      <w:pPr>
        <w:tabs>
          <w:tab w:val="num" w:pos="5040"/>
        </w:tabs>
        <w:ind w:left="5040" w:hanging="360"/>
      </w:pPr>
      <w:rPr>
        <w:rFonts w:ascii="Arial" w:hAnsi="Arial" w:hint="default"/>
      </w:rPr>
    </w:lvl>
    <w:lvl w:ilvl="7" w:tplc="1EC609B8" w:tentative="1">
      <w:start w:val="1"/>
      <w:numFmt w:val="bullet"/>
      <w:lvlText w:val="•"/>
      <w:lvlJc w:val="left"/>
      <w:pPr>
        <w:tabs>
          <w:tab w:val="num" w:pos="5760"/>
        </w:tabs>
        <w:ind w:left="5760" w:hanging="360"/>
      </w:pPr>
      <w:rPr>
        <w:rFonts w:ascii="Arial" w:hAnsi="Arial" w:hint="default"/>
      </w:rPr>
    </w:lvl>
    <w:lvl w:ilvl="8" w:tplc="1FA206A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083288C"/>
    <w:multiLevelType w:val="hybridMultilevel"/>
    <w:tmpl w:val="4C34E284"/>
    <w:lvl w:ilvl="0" w:tplc="C1CA17B2">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1604DA9"/>
    <w:multiLevelType w:val="multilevel"/>
    <w:tmpl w:val="0CAC9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B30190"/>
    <w:multiLevelType w:val="multilevel"/>
    <w:tmpl w:val="3ECA1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C507019"/>
    <w:multiLevelType w:val="hybridMultilevel"/>
    <w:tmpl w:val="8EE8C960"/>
    <w:lvl w:ilvl="0" w:tplc="FB90496E">
      <w:start w:val="3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FA950B2"/>
    <w:multiLevelType w:val="hybridMultilevel"/>
    <w:tmpl w:val="F2E24B30"/>
    <w:lvl w:ilvl="0" w:tplc="788E3BC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21D73C9"/>
    <w:multiLevelType w:val="hybridMultilevel"/>
    <w:tmpl w:val="352AF744"/>
    <w:lvl w:ilvl="0" w:tplc="8832772C">
      <w:start w:val="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BC3241B"/>
    <w:multiLevelType w:val="hybridMultilevel"/>
    <w:tmpl w:val="2ADA62D4"/>
    <w:lvl w:ilvl="0" w:tplc="8F0AEE0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0EF755E"/>
    <w:multiLevelType w:val="multilevel"/>
    <w:tmpl w:val="D8386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BB72C9"/>
    <w:multiLevelType w:val="hybridMultilevel"/>
    <w:tmpl w:val="CB60A2C8"/>
    <w:lvl w:ilvl="0" w:tplc="6F54629E">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74342F7"/>
    <w:multiLevelType w:val="hybridMultilevel"/>
    <w:tmpl w:val="A898735C"/>
    <w:lvl w:ilvl="0" w:tplc="FD7AFCC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8F37894"/>
    <w:multiLevelType w:val="hybridMultilevel"/>
    <w:tmpl w:val="F9FCDDAA"/>
    <w:lvl w:ilvl="0" w:tplc="59604F7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C7A608B"/>
    <w:multiLevelType w:val="hybridMultilevel"/>
    <w:tmpl w:val="6CE62D92"/>
    <w:lvl w:ilvl="0" w:tplc="E80CBFE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E79718B"/>
    <w:multiLevelType w:val="hybridMultilevel"/>
    <w:tmpl w:val="772A0D3E"/>
    <w:lvl w:ilvl="0" w:tplc="85462E4C">
      <w:start w:val="1"/>
      <w:numFmt w:val="decimal"/>
      <w:suff w:val="space"/>
      <w:lvlText w:val="%1."/>
      <w:lvlJc w:val="left"/>
      <w:pPr>
        <w:ind w:left="0" w:firstLine="0"/>
      </w:p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22" w15:restartNumberingAfterBreak="0">
    <w:nsid w:val="507D0FD0"/>
    <w:multiLevelType w:val="hybridMultilevel"/>
    <w:tmpl w:val="DA627436"/>
    <w:lvl w:ilvl="0" w:tplc="718A4314">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29B4DE1"/>
    <w:multiLevelType w:val="hybridMultilevel"/>
    <w:tmpl w:val="B1245174"/>
    <w:lvl w:ilvl="0" w:tplc="E3B4ED28">
      <w:start w:val="2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3774DC2"/>
    <w:multiLevelType w:val="hybridMultilevel"/>
    <w:tmpl w:val="8A80B06E"/>
    <w:lvl w:ilvl="0" w:tplc="6BE00BCA">
      <w:start w:val="9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51C53C7"/>
    <w:multiLevelType w:val="hybridMultilevel"/>
    <w:tmpl w:val="4B00A036"/>
    <w:lvl w:ilvl="0" w:tplc="0EAC570E">
      <w:start w:val="7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5CE1891"/>
    <w:multiLevelType w:val="hybridMultilevel"/>
    <w:tmpl w:val="79A07FBE"/>
    <w:lvl w:ilvl="0" w:tplc="63820B36">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B0471F5"/>
    <w:multiLevelType w:val="hybridMultilevel"/>
    <w:tmpl w:val="902691D2"/>
    <w:lvl w:ilvl="0" w:tplc="25A0E0C6">
      <w:start w:val="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09330F3"/>
    <w:multiLevelType w:val="hybridMultilevel"/>
    <w:tmpl w:val="599AFB4E"/>
    <w:lvl w:ilvl="0" w:tplc="5AEED4C6">
      <w:start w:val="3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3977180"/>
    <w:multiLevelType w:val="hybridMultilevel"/>
    <w:tmpl w:val="814CB836"/>
    <w:lvl w:ilvl="0" w:tplc="324CF98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4E56236"/>
    <w:multiLevelType w:val="hybridMultilevel"/>
    <w:tmpl w:val="8B78E9DE"/>
    <w:lvl w:ilvl="0" w:tplc="7B9CA12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5DC79B9"/>
    <w:multiLevelType w:val="multilevel"/>
    <w:tmpl w:val="03E4C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E0055B"/>
    <w:multiLevelType w:val="hybridMultilevel"/>
    <w:tmpl w:val="D8CA7A64"/>
    <w:lvl w:ilvl="0" w:tplc="D2521BE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D5A5428"/>
    <w:multiLevelType w:val="hybridMultilevel"/>
    <w:tmpl w:val="257A378C"/>
    <w:lvl w:ilvl="0" w:tplc="3CB43246">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34860DE"/>
    <w:multiLevelType w:val="hybridMultilevel"/>
    <w:tmpl w:val="6F78B86C"/>
    <w:lvl w:ilvl="0" w:tplc="EDE04A3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6352DF3"/>
    <w:multiLevelType w:val="hybridMultilevel"/>
    <w:tmpl w:val="7F4AC732"/>
    <w:lvl w:ilvl="0" w:tplc="4F44729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78321555">
    <w:abstractNumId w:val="18"/>
  </w:num>
  <w:num w:numId="2" w16cid:durableId="1424842506">
    <w:abstractNumId w:val="9"/>
  </w:num>
  <w:num w:numId="3" w16cid:durableId="757680008">
    <w:abstractNumId w:val="33"/>
  </w:num>
  <w:num w:numId="4" w16cid:durableId="741952141">
    <w:abstractNumId w:val="34"/>
  </w:num>
  <w:num w:numId="5" w16cid:durableId="1637250317">
    <w:abstractNumId w:val="28"/>
  </w:num>
  <w:num w:numId="6" w16cid:durableId="1298225144">
    <w:abstractNumId w:val="17"/>
  </w:num>
  <w:num w:numId="7" w16cid:durableId="2075198211">
    <w:abstractNumId w:val="11"/>
  </w:num>
  <w:num w:numId="8" w16cid:durableId="1792019071">
    <w:abstractNumId w:val="25"/>
  </w:num>
  <w:num w:numId="9" w16cid:durableId="1104881704">
    <w:abstractNumId w:val="14"/>
  </w:num>
  <w:num w:numId="10" w16cid:durableId="1242832862">
    <w:abstractNumId w:val="30"/>
  </w:num>
  <w:num w:numId="11" w16cid:durableId="2012951881">
    <w:abstractNumId w:val="19"/>
  </w:num>
  <w:num w:numId="12" w16cid:durableId="1838112731">
    <w:abstractNumId w:val="16"/>
  </w:num>
  <w:num w:numId="13" w16cid:durableId="1618219783">
    <w:abstractNumId w:val="31"/>
  </w:num>
  <w:num w:numId="14" w16cid:durableId="35550766">
    <w:abstractNumId w:val="0"/>
  </w:num>
  <w:num w:numId="15" w16cid:durableId="1125852493">
    <w:abstractNumId w:val="10"/>
  </w:num>
  <w:num w:numId="16" w16cid:durableId="1796211289">
    <w:abstractNumId w:val="12"/>
  </w:num>
  <w:num w:numId="17" w16cid:durableId="1032078185">
    <w:abstractNumId w:val="2"/>
  </w:num>
  <w:num w:numId="18" w16cid:durableId="1834954591">
    <w:abstractNumId w:val="6"/>
  </w:num>
  <w:num w:numId="19" w16cid:durableId="541672530">
    <w:abstractNumId w:val="3"/>
  </w:num>
  <w:num w:numId="20" w16cid:durableId="1523860115">
    <w:abstractNumId w:val="26"/>
  </w:num>
  <w:num w:numId="21" w16cid:durableId="1556313731">
    <w:abstractNumId w:val="22"/>
  </w:num>
  <w:num w:numId="22" w16cid:durableId="1443719023">
    <w:abstractNumId w:val="29"/>
  </w:num>
  <w:num w:numId="23" w16cid:durableId="1858546369">
    <w:abstractNumId w:val="15"/>
  </w:num>
  <w:num w:numId="24" w16cid:durableId="571085518">
    <w:abstractNumId w:val="35"/>
  </w:num>
  <w:num w:numId="25" w16cid:durableId="955940509">
    <w:abstractNumId w:val="23"/>
  </w:num>
  <w:num w:numId="26" w16cid:durableId="1233663062">
    <w:abstractNumId w:val="7"/>
  </w:num>
  <w:num w:numId="27" w16cid:durableId="1778792463">
    <w:abstractNumId w:val="8"/>
  </w:num>
  <w:num w:numId="28" w16cid:durableId="916592845">
    <w:abstractNumId w:val="4"/>
  </w:num>
  <w:num w:numId="29" w16cid:durableId="1291086295">
    <w:abstractNumId w:val="32"/>
  </w:num>
  <w:num w:numId="30" w16cid:durableId="791676707">
    <w:abstractNumId w:val="5"/>
  </w:num>
  <w:num w:numId="31" w16cid:durableId="1430157435">
    <w:abstractNumId w:val="21"/>
  </w:num>
  <w:num w:numId="32" w16cid:durableId="3501795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786000555">
    <w:abstractNumId w:val="1"/>
  </w:num>
  <w:num w:numId="34" w16cid:durableId="1282957712">
    <w:abstractNumId w:val="27"/>
  </w:num>
  <w:num w:numId="35" w16cid:durableId="1055158245">
    <w:abstractNumId w:val="24"/>
  </w:num>
  <w:num w:numId="36" w16cid:durableId="1379012528">
    <w:abstractNumId w:val="20"/>
  </w:num>
  <w:num w:numId="37" w16cid:durableId="1164516703">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EMIME Laura">
    <w15:presenceInfo w15:providerId="AD" w15:userId="S::laura.temime@lecnam.net::ceb40901-560f-467d-b24e-8099848cca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CE4"/>
    <w:rsid w:val="000D2602"/>
    <w:rsid w:val="003613DE"/>
    <w:rsid w:val="00401E72"/>
    <w:rsid w:val="0090037B"/>
    <w:rsid w:val="0092625D"/>
    <w:rsid w:val="00962CE4"/>
    <w:rsid w:val="00AA0E19"/>
    <w:rsid w:val="00D440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B710E"/>
  <w15:chartTrackingRefBased/>
  <w15:docId w15:val="{5808742F-C4C6-4842-AF3D-AD3D3762A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E72"/>
    <w:pPr>
      <w:spacing w:line="279" w:lineRule="auto"/>
      <w:jc w:val="both"/>
    </w:pPr>
    <w:rPr>
      <w:rFonts w:ascii="Calibri" w:hAnsi="Calibri"/>
      <w:kern w:val="0"/>
      <w:sz w:val="22"/>
      <w14:ligatures w14:val="none"/>
    </w:rPr>
  </w:style>
  <w:style w:type="paragraph" w:styleId="Titre1">
    <w:name w:val="heading 1"/>
    <w:basedOn w:val="Normal"/>
    <w:next w:val="Normal"/>
    <w:link w:val="Titre1Car"/>
    <w:uiPriority w:val="9"/>
    <w:qFormat/>
    <w:rsid w:val="00D44092"/>
    <w:pPr>
      <w:keepNext/>
      <w:keepLines/>
      <w:spacing w:before="360" w:after="80"/>
      <w:outlineLvl w:val="0"/>
    </w:pPr>
    <w:rPr>
      <w:rFonts w:eastAsiaTheme="majorEastAsia" w:cstheme="majorBidi"/>
      <w:b/>
      <w:color w:val="000000" w:themeColor="text1"/>
      <w:sz w:val="36"/>
      <w:szCs w:val="40"/>
    </w:rPr>
  </w:style>
  <w:style w:type="paragraph" w:styleId="Titre2">
    <w:name w:val="heading 2"/>
    <w:basedOn w:val="Normal"/>
    <w:next w:val="Normal"/>
    <w:link w:val="Titre2Car"/>
    <w:uiPriority w:val="9"/>
    <w:unhideWhenUsed/>
    <w:qFormat/>
    <w:rsid w:val="0092625D"/>
    <w:pPr>
      <w:keepNext/>
      <w:keepLines/>
      <w:spacing w:before="160" w:after="80"/>
      <w:outlineLvl w:val="1"/>
    </w:pPr>
    <w:rPr>
      <w:rFonts w:eastAsiaTheme="majorEastAsia" w:cstheme="majorBidi"/>
      <w:b/>
      <w:color w:val="000000" w:themeColor="text1"/>
      <w:sz w:val="24"/>
      <w:szCs w:val="32"/>
    </w:rPr>
  </w:style>
  <w:style w:type="paragraph" w:styleId="Titre3">
    <w:name w:val="heading 3"/>
    <w:basedOn w:val="Normal"/>
    <w:next w:val="Normal"/>
    <w:link w:val="Titre3Car"/>
    <w:uiPriority w:val="9"/>
    <w:unhideWhenUsed/>
    <w:qFormat/>
    <w:rsid w:val="00962CE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62CE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62CE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62CE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62CE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62CE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62CE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44092"/>
    <w:rPr>
      <w:rFonts w:ascii="Calibri" w:eastAsiaTheme="majorEastAsia" w:hAnsi="Calibri" w:cstheme="majorBidi"/>
      <w:b/>
      <w:color w:val="000000" w:themeColor="text1"/>
      <w:kern w:val="0"/>
      <w:sz w:val="36"/>
      <w:szCs w:val="40"/>
      <w14:ligatures w14:val="none"/>
    </w:rPr>
  </w:style>
  <w:style w:type="character" w:customStyle="1" w:styleId="Titre2Car">
    <w:name w:val="Titre 2 Car"/>
    <w:basedOn w:val="Policepardfaut"/>
    <w:link w:val="Titre2"/>
    <w:uiPriority w:val="9"/>
    <w:rsid w:val="0092625D"/>
    <w:rPr>
      <w:rFonts w:ascii="Calibri" w:eastAsiaTheme="majorEastAsia" w:hAnsi="Calibri" w:cstheme="majorBidi"/>
      <w:b/>
      <w:color w:val="000000" w:themeColor="text1"/>
      <w:kern w:val="0"/>
      <w:szCs w:val="32"/>
      <w14:ligatures w14:val="none"/>
    </w:rPr>
  </w:style>
  <w:style w:type="character" w:customStyle="1" w:styleId="Titre3Car">
    <w:name w:val="Titre 3 Car"/>
    <w:basedOn w:val="Policepardfaut"/>
    <w:link w:val="Titre3"/>
    <w:uiPriority w:val="9"/>
    <w:rsid w:val="00962CE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62CE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62CE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62CE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62CE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62CE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62CE4"/>
    <w:rPr>
      <w:rFonts w:eastAsiaTheme="majorEastAsia" w:cstheme="majorBidi"/>
      <w:color w:val="272727" w:themeColor="text1" w:themeTint="D8"/>
    </w:rPr>
  </w:style>
  <w:style w:type="paragraph" w:styleId="Titre">
    <w:name w:val="Title"/>
    <w:basedOn w:val="Normal"/>
    <w:next w:val="Normal"/>
    <w:link w:val="TitreCar"/>
    <w:uiPriority w:val="10"/>
    <w:qFormat/>
    <w:rsid w:val="00962C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62CE4"/>
    <w:rPr>
      <w:rFonts w:asciiTheme="majorHAnsi" w:eastAsiaTheme="majorEastAsia" w:hAnsiTheme="majorHAnsi" w:cstheme="majorBidi"/>
      <w:spacing w:val="-10"/>
      <w:kern w:val="28"/>
      <w:sz w:val="56"/>
      <w:szCs w:val="56"/>
    </w:rPr>
  </w:style>
  <w:style w:type="paragraph" w:styleId="Sous-titre">
    <w:name w:val="Subtitle"/>
    <w:aliases w:val="Légende figure"/>
    <w:basedOn w:val="Normal"/>
    <w:next w:val="Normal"/>
    <w:link w:val="Sous-titreCar"/>
    <w:uiPriority w:val="11"/>
    <w:qFormat/>
    <w:rsid w:val="00962CE4"/>
    <w:pPr>
      <w:numPr>
        <w:ilvl w:val="1"/>
      </w:numPr>
    </w:pPr>
    <w:rPr>
      <w:rFonts w:eastAsiaTheme="majorEastAsia" w:cstheme="majorBidi"/>
      <w:color w:val="595959" w:themeColor="text1" w:themeTint="A6"/>
      <w:spacing w:val="15"/>
      <w:sz w:val="28"/>
      <w:szCs w:val="28"/>
    </w:rPr>
  </w:style>
  <w:style w:type="character" w:customStyle="1" w:styleId="Sous-titreCar">
    <w:name w:val="Sous-titre Car"/>
    <w:aliases w:val="Légende figure Car"/>
    <w:basedOn w:val="Policepardfaut"/>
    <w:link w:val="Sous-titre"/>
    <w:uiPriority w:val="11"/>
    <w:rsid w:val="00962CE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62CE4"/>
    <w:pPr>
      <w:spacing w:before="160"/>
      <w:jc w:val="center"/>
    </w:pPr>
    <w:rPr>
      <w:i/>
      <w:iCs/>
      <w:color w:val="404040" w:themeColor="text1" w:themeTint="BF"/>
    </w:rPr>
  </w:style>
  <w:style w:type="character" w:customStyle="1" w:styleId="CitationCar">
    <w:name w:val="Citation Car"/>
    <w:basedOn w:val="Policepardfaut"/>
    <w:link w:val="Citation"/>
    <w:uiPriority w:val="29"/>
    <w:rsid w:val="00962CE4"/>
    <w:rPr>
      <w:i/>
      <w:iCs/>
      <w:color w:val="404040" w:themeColor="text1" w:themeTint="BF"/>
    </w:rPr>
  </w:style>
  <w:style w:type="paragraph" w:styleId="Paragraphedeliste">
    <w:name w:val="List Paragraph"/>
    <w:basedOn w:val="Normal"/>
    <w:uiPriority w:val="34"/>
    <w:qFormat/>
    <w:rsid w:val="00962CE4"/>
    <w:pPr>
      <w:ind w:left="720"/>
      <w:contextualSpacing/>
    </w:pPr>
  </w:style>
  <w:style w:type="character" w:styleId="Accentuationintense">
    <w:name w:val="Intense Emphasis"/>
    <w:basedOn w:val="Policepardfaut"/>
    <w:uiPriority w:val="21"/>
    <w:qFormat/>
    <w:rsid w:val="00962CE4"/>
    <w:rPr>
      <w:i/>
      <w:iCs/>
      <w:color w:val="0F4761" w:themeColor="accent1" w:themeShade="BF"/>
    </w:rPr>
  </w:style>
  <w:style w:type="paragraph" w:styleId="Citationintense">
    <w:name w:val="Intense Quote"/>
    <w:basedOn w:val="Normal"/>
    <w:next w:val="Normal"/>
    <w:link w:val="CitationintenseCar"/>
    <w:uiPriority w:val="30"/>
    <w:qFormat/>
    <w:rsid w:val="00962C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62CE4"/>
    <w:rPr>
      <w:i/>
      <w:iCs/>
      <w:color w:val="0F4761" w:themeColor="accent1" w:themeShade="BF"/>
    </w:rPr>
  </w:style>
  <w:style w:type="character" w:styleId="Rfrenceintense">
    <w:name w:val="Intense Reference"/>
    <w:basedOn w:val="Policepardfaut"/>
    <w:uiPriority w:val="32"/>
    <w:qFormat/>
    <w:rsid w:val="00962CE4"/>
    <w:rPr>
      <w:b/>
      <w:bCs/>
      <w:smallCaps/>
      <w:color w:val="0F4761" w:themeColor="accent1" w:themeShade="BF"/>
      <w:spacing w:val="5"/>
    </w:rPr>
  </w:style>
  <w:style w:type="character" w:styleId="Lienhypertexte">
    <w:name w:val="Hyperlink"/>
    <w:basedOn w:val="Policepardfaut"/>
    <w:uiPriority w:val="99"/>
    <w:unhideWhenUsed/>
    <w:rsid w:val="00401E72"/>
    <w:rPr>
      <w:color w:val="467886" w:themeColor="hyperlink"/>
      <w:u w:val="single"/>
    </w:rPr>
  </w:style>
  <w:style w:type="character" w:styleId="Mentionnonrsolue">
    <w:name w:val="Unresolved Mention"/>
    <w:basedOn w:val="Policepardfaut"/>
    <w:uiPriority w:val="99"/>
    <w:semiHidden/>
    <w:unhideWhenUsed/>
    <w:rsid w:val="00401E72"/>
    <w:rPr>
      <w:color w:val="605E5C"/>
      <w:shd w:val="clear" w:color="auto" w:fill="E1DFDD"/>
    </w:rPr>
  </w:style>
  <w:style w:type="table" w:styleId="Grilledutableau">
    <w:name w:val="Table Grid"/>
    <w:basedOn w:val="TableauNormal"/>
    <w:uiPriority w:val="39"/>
    <w:rsid w:val="00401E7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401E72"/>
    <w:pPr>
      <w:tabs>
        <w:tab w:val="center" w:pos="4536"/>
        <w:tab w:val="right" w:pos="9072"/>
      </w:tabs>
      <w:spacing w:after="0" w:line="240" w:lineRule="auto"/>
    </w:pPr>
    <w:rPr>
      <w:szCs w:val="22"/>
      <w:lang w:val="en-GB"/>
    </w:rPr>
  </w:style>
  <w:style w:type="character" w:customStyle="1" w:styleId="En-tteCar">
    <w:name w:val="En-tête Car"/>
    <w:basedOn w:val="Policepardfaut"/>
    <w:link w:val="En-tte"/>
    <w:uiPriority w:val="99"/>
    <w:rsid w:val="00401E72"/>
    <w:rPr>
      <w:rFonts w:ascii="Calibri" w:hAnsi="Calibri"/>
      <w:kern w:val="0"/>
      <w:sz w:val="22"/>
      <w:szCs w:val="22"/>
      <w:lang w:val="en-GB"/>
      <w14:ligatures w14:val="none"/>
    </w:rPr>
  </w:style>
  <w:style w:type="paragraph" w:styleId="Pieddepage">
    <w:name w:val="footer"/>
    <w:basedOn w:val="Normal"/>
    <w:link w:val="PieddepageCar"/>
    <w:uiPriority w:val="99"/>
    <w:unhideWhenUsed/>
    <w:rsid w:val="00401E72"/>
    <w:pPr>
      <w:tabs>
        <w:tab w:val="center" w:pos="4536"/>
        <w:tab w:val="right" w:pos="9072"/>
      </w:tabs>
      <w:spacing w:after="0" w:line="240" w:lineRule="auto"/>
    </w:pPr>
    <w:rPr>
      <w:szCs w:val="22"/>
      <w:lang w:val="en-GB"/>
    </w:rPr>
  </w:style>
  <w:style w:type="character" w:customStyle="1" w:styleId="PieddepageCar">
    <w:name w:val="Pied de page Car"/>
    <w:basedOn w:val="Policepardfaut"/>
    <w:link w:val="Pieddepage"/>
    <w:uiPriority w:val="99"/>
    <w:rsid w:val="00401E72"/>
    <w:rPr>
      <w:rFonts w:ascii="Calibri" w:hAnsi="Calibri"/>
      <w:kern w:val="0"/>
      <w:sz w:val="22"/>
      <w:szCs w:val="22"/>
      <w:lang w:val="en-GB"/>
      <w14:ligatures w14:val="none"/>
    </w:rPr>
  </w:style>
  <w:style w:type="character" w:customStyle="1" w:styleId="hljs-operator">
    <w:name w:val="hljs-operator"/>
    <w:basedOn w:val="Policepardfaut"/>
    <w:rsid w:val="00401E72"/>
  </w:style>
  <w:style w:type="character" w:customStyle="1" w:styleId="hljs-builtin">
    <w:name w:val="hljs-built_in"/>
    <w:basedOn w:val="Policepardfaut"/>
    <w:rsid w:val="00401E72"/>
  </w:style>
  <w:style w:type="character" w:customStyle="1" w:styleId="hljs-keyword">
    <w:name w:val="hljs-keyword"/>
    <w:basedOn w:val="Policepardfaut"/>
    <w:rsid w:val="00401E72"/>
  </w:style>
  <w:style w:type="character" w:styleId="Lienhypertextesuivivisit">
    <w:name w:val="FollowedHyperlink"/>
    <w:basedOn w:val="Policepardfaut"/>
    <w:uiPriority w:val="99"/>
    <w:semiHidden/>
    <w:unhideWhenUsed/>
    <w:rsid w:val="00401E72"/>
    <w:rPr>
      <w:color w:val="96607D" w:themeColor="followedHyperlink"/>
      <w:u w:val="single"/>
    </w:rPr>
  </w:style>
  <w:style w:type="paragraph" w:styleId="Bibliographie">
    <w:name w:val="Bibliography"/>
    <w:basedOn w:val="Normal"/>
    <w:next w:val="Normal"/>
    <w:uiPriority w:val="37"/>
    <w:unhideWhenUsed/>
    <w:rsid w:val="00401E72"/>
    <w:pPr>
      <w:tabs>
        <w:tab w:val="left" w:pos="384"/>
      </w:tabs>
      <w:spacing w:after="240" w:line="240" w:lineRule="auto"/>
      <w:ind w:left="384" w:hanging="384"/>
    </w:pPr>
    <w:rPr>
      <w:szCs w:val="22"/>
      <w:lang w:val="en-GB"/>
    </w:rPr>
  </w:style>
  <w:style w:type="character" w:styleId="Marquedecommentaire">
    <w:name w:val="annotation reference"/>
    <w:basedOn w:val="Policepardfaut"/>
    <w:uiPriority w:val="99"/>
    <w:semiHidden/>
    <w:unhideWhenUsed/>
    <w:rsid w:val="00401E72"/>
    <w:rPr>
      <w:sz w:val="16"/>
      <w:szCs w:val="16"/>
    </w:rPr>
  </w:style>
  <w:style w:type="paragraph" w:styleId="Commentaire">
    <w:name w:val="annotation text"/>
    <w:basedOn w:val="Normal"/>
    <w:link w:val="CommentaireCar"/>
    <w:uiPriority w:val="99"/>
    <w:unhideWhenUsed/>
    <w:rsid w:val="00401E72"/>
    <w:pPr>
      <w:spacing w:line="240" w:lineRule="auto"/>
    </w:pPr>
    <w:rPr>
      <w:sz w:val="20"/>
      <w:szCs w:val="20"/>
      <w:lang w:val="en-GB"/>
    </w:rPr>
  </w:style>
  <w:style w:type="character" w:customStyle="1" w:styleId="CommentaireCar">
    <w:name w:val="Commentaire Car"/>
    <w:basedOn w:val="Policepardfaut"/>
    <w:link w:val="Commentaire"/>
    <w:uiPriority w:val="99"/>
    <w:rsid w:val="00401E72"/>
    <w:rPr>
      <w:rFonts w:ascii="Calibri" w:hAnsi="Calibri"/>
      <w:kern w:val="0"/>
      <w:sz w:val="20"/>
      <w:szCs w:val="20"/>
      <w:lang w:val="en-GB"/>
      <w14:ligatures w14:val="none"/>
    </w:rPr>
  </w:style>
  <w:style w:type="paragraph" w:styleId="Objetducommentaire">
    <w:name w:val="annotation subject"/>
    <w:basedOn w:val="Commentaire"/>
    <w:next w:val="Commentaire"/>
    <w:link w:val="ObjetducommentaireCar"/>
    <w:uiPriority w:val="99"/>
    <w:semiHidden/>
    <w:unhideWhenUsed/>
    <w:rsid w:val="00401E72"/>
    <w:rPr>
      <w:b/>
      <w:bCs/>
    </w:rPr>
  </w:style>
  <w:style w:type="character" w:customStyle="1" w:styleId="ObjetducommentaireCar">
    <w:name w:val="Objet du commentaire Car"/>
    <w:basedOn w:val="CommentaireCar"/>
    <w:link w:val="Objetducommentaire"/>
    <w:uiPriority w:val="99"/>
    <w:semiHidden/>
    <w:rsid w:val="00401E72"/>
    <w:rPr>
      <w:rFonts w:ascii="Calibri" w:hAnsi="Calibri"/>
      <w:b/>
      <w:bCs/>
      <w:kern w:val="0"/>
      <w:sz w:val="20"/>
      <w:szCs w:val="20"/>
      <w:lang w:val="en-GB"/>
      <w14:ligatures w14:val="none"/>
    </w:rPr>
  </w:style>
  <w:style w:type="character" w:styleId="lev">
    <w:name w:val="Strong"/>
    <w:basedOn w:val="Policepardfaut"/>
    <w:uiPriority w:val="22"/>
    <w:qFormat/>
    <w:rsid w:val="00401E72"/>
    <w:rPr>
      <w:b/>
      <w:bCs/>
    </w:rPr>
  </w:style>
  <w:style w:type="paragraph" w:styleId="NormalWeb">
    <w:name w:val="Normal (Web)"/>
    <w:basedOn w:val="Normal"/>
    <w:uiPriority w:val="99"/>
    <w:unhideWhenUsed/>
    <w:rsid w:val="00401E72"/>
    <w:pPr>
      <w:spacing w:before="100" w:beforeAutospacing="1" w:after="100" w:afterAutospacing="1" w:line="240" w:lineRule="auto"/>
    </w:pPr>
    <w:rPr>
      <w:rFonts w:ascii="Times New Roman" w:eastAsia="Times New Roman" w:hAnsi="Times New Roman" w:cs="Times New Roman"/>
      <w:lang w:eastAsia="fr-FR"/>
    </w:rPr>
  </w:style>
  <w:style w:type="character" w:styleId="Accentuation">
    <w:name w:val="Emphasis"/>
    <w:basedOn w:val="Policepardfaut"/>
    <w:uiPriority w:val="20"/>
    <w:qFormat/>
    <w:rsid w:val="00401E72"/>
    <w:rPr>
      <w:i/>
      <w:iCs/>
    </w:rPr>
  </w:style>
  <w:style w:type="paragraph" w:customStyle="1" w:styleId="paragraph">
    <w:name w:val="paragraph"/>
    <w:basedOn w:val="Normal"/>
    <w:rsid w:val="00401E72"/>
    <w:pPr>
      <w:spacing w:before="100" w:beforeAutospacing="1" w:after="100" w:afterAutospacing="1" w:line="240" w:lineRule="auto"/>
    </w:pPr>
    <w:rPr>
      <w:rFonts w:ascii="Times New Roman" w:eastAsia="Times New Roman" w:hAnsi="Times New Roman" w:cs="Times New Roman"/>
      <w:lang w:eastAsia="fr-FR"/>
    </w:rPr>
  </w:style>
  <w:style w:type="character" w:customStyle="1" w:styleId="normaltextrun">
    <w:name w:val="normaltextrun"/>
    <w:basedOn w:val="Policepardfaut"/>
    <w:rsid w:val="00401E72"/>
  </w:style>
  <w:style w:type="character" w:customStyle="1" w:styleId="eop">
    <w:name w:val="eop"/>
    <w:basedOn w:val="Policepardfaut"/>
    <w:rsid w:val="00401E72"/>
  </w:style>
  <w:style w:type="paragraph" w:customStyle="1" w:styleId="msonormal0">
    <w:name w:val="msonormal"/>
    <w:basedOn w:val="Normal"/>
    <w:uiPriority w:val="99"/>
    <w:rsid w:val="00401E72"/>
    <w:pPr>
      <w:spacing w:before="100" w:beforeAutospacing="1" w:after="100" w:afterAutospacing="1" w:line="240" w:lineRule="auto"/>
    </w:pPr>
    <w:rPr>
      <w:rFonts w:ascii="Times New Roman" w:eastAsia="Times New Roman" w:hAnsi="Times New Roman" w:cs="Times New Roman"/>
      <w:lang w:eastAsia="fr-FR"/>
    </w:rPr>
  </w:style>
  <w:style w:type="character" w:customStyle="1" w:styleId="Sous-titreCar1">
    <w:name w:val="Sous-titre Car1"/>
    <w:aliases w:val="Légende figure Car1"/>
    <w:basedOn w:val="Policepardfaut"/>
    <w:uiPriority w:val="11"/>
    <w:rsid w:val="00401E72"/>
    <w:rPr>
      <w:rFonts w:eastAsiaTheme="minorEastAsia"/>
      <w:color w:val="5A5A5A" w:themeColor="text1" w:themeTint="A5"/>
      <w:spacing w:val="15"/>
    </w:rPr>
  </w:style>
  <w:style w:type="paragraph" w:customStyle="1" w:styleId="TableParagraph">
    <w:name w:val="Table Paragraph"/>
    <w:basedOn w:val="Normal"/>
    <w:uiPriority w:val="1"/>
    <w:qFormat/>
    <w:rsid w:val="00401E72"/>
    <w:pPr>
      <w:widowControl w:val="0"/>
      <w:autoSpaceDE w:val="0"/>
      <w:autoSpaceDN w:val="0"/>
      <w:spacing w:after="0" w:line="240" w:lineRule="auto"/>
      <w:ind w:left="101"/>
    </w:pPr>
    <w:rPr>
      <w:rFonts w:ascii="Arial Narrow" w:eastAsia="Arial Narrow" w:hAnsi="Arial Narrow" w:cs="Arial Narrow"/>
      <w:szCs w:val="22"/>
      <w:lang w:val="en-AU" w:eastAsia="en-AU" w:bidi="en-AU"/>
    </w:rPr>
  </w:style>
  <w:style w:type="paragraph" w:customStyle="1" w:styleId="Default">
    <w:name w:val="Default"/>
    <w:rsid w:val="00401E72"/>
    <w:pPr>
      <w:widowControl w:val="0"/>
      <w:autoSpaceDE w:val="0"/>
      <w:autoSpaceDN w:val="0"/>
      <w:adjustRightInd w:val="0"/>
      <w:spacing w:after="0" w:line="240" w:lineRule="auto"/>
    </w:pPr>
    <w:rPr>
      <w:rFonts w:ascii="Calibri" w:eastAsia="Times New Roman" w:hAnsi="Calibri" w:cs="Calibri"/>
      <w:color w:val="000000"/>
      <w:kern w:val="0"/>
      <w:lang w:val="en-CA" w:eastAsia="en-CA"/>
      <w14:ligatures w14:val="none"/>
    </w:rPr>
  </w:style>
  <w:style w:type="paragraph" w:customStyle="1" w:styleId="CM1">
    <w:name w:val="CM1"/>
    <w:basedOn w:val="Default"/>
    <w:next w:val="Default"/>
    <w:rsid w:val="00401E72"/>
    <w:rPr>
      <w:rFonts w:cs="Times New Roman"/>
      <w:color w:val="auto"/>
    </w:rPr>
  </w:style>
  <w:style w:type="character" w:styleId="Numrodeligne">
    <w:name w:val="line number"/>
    <w:basedOn w:val="Policepardfaut"/>
    <w:uiPriority w:val="99"/>
    <w:semiHidden/>
    <w:unhideWhenUsed/>
    <w:rsid w:val="00401E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microsoft.com/office/2011/relationships/people" Target="peop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image" Target="media/image2.png"/><Relationship Id="rId5" Type="http://schemas.openxmlformats.org/officeDocument/2006/relationships/comments" Target="comment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prisma-statement.org/"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20</Pages>
  <Words>67980</Words>
  <Characters>373893</Characters>
  <Application>Microsoft Office Word</Application>
  <DocSecurity>0</DocSecurity>
  <Lines>3115</Lines>
  <Paragraphs>881</Paragraphs>
  <ScaleCrop>false</ScaleCrop>
  <Company/>
  <LinksUpToDate>false</LinksUpToDate>
  <CharactersWithSpaces>440992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HODBERT Elise</dc:creator>
  <cp:keywords/>
  <dc:description/>
  <cp:lastModifiedBy>HODBERT Elise</cp:lastModifiedBy>
  <cp:revision>7</cp:revision>
  <dcterms:created xsi:type="dcterms:W3CDTF">2026-01-23T11:00:00Z</dcterms:created>
  <dcterms:modified xsi:type="dcterms:W3CDTF">2026-01-23T11:22:00Z</dcterms:modified>
</cp:coreProperties>
</file>