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DEE3E1" w14:textId="77777777" w:rsidR="00994BE9" w:rsidRPr="00AB228A" w:rsidRDefault="00994BE9" w:rsidP="00994BE9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1C2DA54C" wp14:editId="1E2B1FC4">
            <wp:extent cx="5022850" cy="161925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85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D91CA9" w14:textId="77777777" w:rsidR="00994BE9" w:rsidRDefault="00994BE9" w:rsidP="00994BE9">
      <w:pPr>
        <w:rPr>
          <w:rFonts w:ascii="Arial" w:hAnsi="Arial" w:cs="Arial"/>
        </w:rPr>
      </w:pPr>
      <w:r w:rsidRPr="00AB228A">
        <w:rPr>
          <w:rFonts w:ascii="Arial" w:hAnsi="Arial" w:cs="Arial"/>
          <w:b/>
          <w:bCs/>
        </w:rPr>
        <w:t xml:space="preserve">Supplementary Fig 1 Prognostic </w:t>
      </w:r>
      <w:proofErr w:type="spellStart"/>
      <w:r w:rsidRPr="00AB228A">
        <w:rPr>
          <w:rFonts w:ascii="Arial" w:hAnsi="Arial" w:cs="Arial"/>
          <w:b/>
          <w:bCs/>
        </w:rPr>
        <w:t>pyroptosis</w:t>
      </w:r>
      <w:proofErr w:type="spellEnd"/>
      <w:r w:rsidRPr="00AB228A">
        <w:rPr>
          <w:rFonts w:ascii="Arial" w:hAnsi="Arial" w:cs="Arial"/>
          <w:b/>
          <w:bCs/>
        </w:rPr>
        <w:t xml:space="preserve">-related genes. </w:t>
      </w:r>
      <w:r w:rsidRPr="00AB228A">
        <w:rPr>
          <w:rFonts w:ascii="Arial" w:hAnsi="Arial" w:cs="Arial"/>
        </w:rPr>
        <w:t>(A)Heatmap. (B)Boxp</w:t>
      </w:r>
      <w:r>
        <w:rPr>
          <w:rFonts w:ascii="Arial" w:hAnsi="Arial" w:cs="Arial"/>
        </w:rPr>
        <w:t>l</w:t>
      </w:r>
      <w:r w:rsidRPr="00AB228A">
        <w:rPr>
          <w:rFonts w:ascii="Arial" w:hAnsi="Arial" w:cs="Arial"/>
        </w:rPr>
        <w:t>ot. Compared to normal cervical tissues, GZMB and TNF are highly expressed in cervical cancer tissues, while NOD1 is lowly expressed.</w:t>
      </w:r>
    </w:p>
    <w:p w14:paraId="3A2D44DB" w14:textId="77777777" w:rsidR="00994BE9" w:rsidRDefault="00994BE9" w:rsidP="00994BE9">
      <w:pPr>
        <w:rPr>
          <w:rFonts w:ascii="Arial" w:hAnsi="Arial" w:cs="Arial"/>
        </w:rPr>
      </w:pPr>
    </w:p>
    <w:p w14:paraId="75B747A4" w14:textId="77777777" w:rsidR="00994BE9" w:rsidRDefault="00994BE9" w:rsidP="00994BE9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776E5CCB" wp14:editId="5FEAD998">
            <wp:extent cx="5270500" cy="1073150"/>
            <wp:effectExtent l="0" t="0" r="635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07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4466BA" w14:textId="77777777" w:rsidR="00994BE9" w:rsidRDefault="00994BE9" w:rsidP="00994BE9">
      <w:pPr>
        <w:rPr>
          <w:rFonts w:ascii="Arial" w:hAnsi="Arial" w:cs="Arial"/>
        </w:rPr>
      </w:pPr>
      <w:r w:rsidRPr="00AB228A">
        <w:rPr>
          <w:rFonts w:ascii="Arial" w:hAnsi="Arial" w:cs="Arial"/>
          <w:b/>
          <w:bCs/>
        </w:rPr>
        <w:t xml:space="preserve">Supplementary Fig </w:t>
      </w:r>
      <w:r>
        <w:rPr>
          <w:rFonts w:ascii="Arial" w:hAnsi="Arial" w:cs="Arial"/>
          <w:b/>
          <w:bCs/>
        </w:rPr>
        <w:t>2</w:t>
      </w:r>
      <w:r w:rsidRPr="00515C92">
        <w:rPr>
          <w:rFonts w:ascii="Arial" w:hAnsi="Arial" w:cs="Arial"/>
        </w:rPr>
        <w:t xml:space="preserve"> </w:t>
      </w:r>
      <w:r w:rsidRPr="002623C5">
        <w:rPr>
          <w:rFonts w:ascii="Arial" w:hAnsi="Arial" w:cs="Arial"/>
          <w:b/>
          <w:bCs/>
        </w:rPr>
        <w:t xml:space="preserve">The </w:t>
      </w:r>
      <w:proofErr w:type="spellStart"/>
      <w:r w:rsidRPr="002623C5">
        <w:rPr>
          <w:rFonts w:ascii="Arial" w:hAnsi="Arial" w:cs="Arial"/>
          <w:b/>
          <w:bCs/>
        </w:rPr>
        <w:t>pyroptosis</w:t>
      </w:r>
      <w:proofErr w:type="spellEnd"/>
      <w:r w:rsidRPr="002623C5">
        <w:rPr>
          <w:rFonts w:ascii="Arial" w:hAnsi="Arial" w:cs="Arial"/>
          <w:b/>
          <w:bCs/>
        </w:rPr>
        <w:t>-related signature in other tumors.</w:t>
      </w:r>
      <w:r w:rsidRPr="00515C92">
        <w:rPr>
          <w:rFonts w:ascii="Arial" w:hAnsi="Arial" w:cs="Arial"/>
        </w:rPr>
        <w:t xml:space="preserve"> Kaplan-Meier curves showed lower overall survival rates in the high-risk group than in the low-risk group in </w:t>
      </w:r>
      <w:r>
        <w:rPr>
          <w:rFonts w:ascii="Arial" w:hAnsi="Arial" w:cs="Arial"/>
        </w:rPr>
        <w:t>GBM (A)</w:t>
      </w:r>
      <w:r w:rsidRPr="00515C92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LCG (B),</w:t>
      </w:r>
      <w:r w:rsidRPr="00515C9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LIHC (C), </w:t>
      </w:r>
      <w:r>
        <w:rPr>
          <w:rFonts w:ascii="Arial" w:hAnsi="Arial" w:cs="Arial" w:hint="eastAsia"/>
        </w:rPr>
        <w:t>and</w:t>
      </w:r>
      <w:r>
        <w:rPr>
          <w:rFonts w:ascii="Arial" w:hAnsi="Arial" w:cs="Arial"/>
        </w:rPr>
        <w:t xml:space="preserve"> UCEC (D)</w:t>
      </w:r>
      <w:r w:rsidRPr="00515C92">
        <w:rPr>
          <w:rFonts w:ascii="Arial" w:hAnsi="Arial" w:cs="Arial"/>
        </w:rPr>
        <w:t xml:space="preserve"> (P &lt; 0.05).</w:t>
      </w:r>
      <w:r w:rsidRPr="003D7262">
        <w:t xml:space="preserve"> </w:t>
      </w:r>
      <w:r w:rsidRPr="003D7262">
        <w:rPr>
          <w:rFonts w:ascii="Arial" w:hAnsi="Arial" w:cs="Arial"/>
        </w:rPr>
        <w:t>GBM</w:t>
      </w:r>
      <w:r>
        <w:rPr>
          <w:rFonts w:ascii="Arial" w:hAnsi="Arial" w:cs="Arial"/>
        </w:rPr>
        <w:t xml:space="preserve">, </w:t>
      </w:r>
      <w:r w:rsidRPr="003D7262">
        <w:rPr>
          <w:rFonts w:ascii="Arial" w:hAnsi="Arial" w:cs="Arial"/>
        </w:rPr>
        <w:t>Glioblastoma multiforme</w:t>
      </w:r>
      <w:r>
        <w:rPr>
          <w:rFonts w:ascii="Arial" w:hAnsi="Arial" w:cs="Arial"/>
        </w:rPr>
        <w:t>.</w:t>
      </w:r>
      <w:r w:rsidRPr="003D7262">
        <w:t xml:space="preserve"> </w:t>
      </w:r>
      <w:r w:rsidRPr="003D7262">
        <w:rPr>
          <w:rFonts w:ascii="Arial" w:hAnsi="Arial" w:cs="Arial"/>
        </w:rPr>
        <w:t>LGG</w:t>
      </w:r>
      <w:r>
        <w:rPr>
          <w:rFonts w:ascii="Arial" w:hAnsi="Arial" w:cs="Arial"/>
        </w:rPr>
        <w:t xml:space="preserve">, </w:t>
      </w:r>
      <w:r w:rsidRPr="003D7262">
        <w:rPr>
          <w:rFonts w:ascii="Arial" w:hAnsi="Arial" w:cs="Arial"/>
        </w:rPr>
        <w:t>Brain Lower Grade Glioma</w:t>
      </w:r>
      <w:r>
        <w:rPr>
          <w:rFonts w:ascii="Arial" w:hAnsi="Arial" w:cs="Arial"/>
        </w:rPr>
        <w:t>.</w:t>
      </w:r>
      <w:r w:rsidRPr="003D7262">
        <w:rPr>
          <w:rFonts w:ascii="Arial" w:hAnsi="Arial" w:cs="Arial"/>
        </w:rPr>
        <w:t xml:space="preserve"> LIHC, Liver hepatocellular carcinoma. UCEC</w:t>
      </w:r>
      <w:r>
        <w:rPr>
          <w:rFonts w:ascii="Arial" w:hAnsi="Arial" w:cs="Arial"/>
        </w:rPr>
        <w:t xml:space="preserve">, </w:t>
      </w:r>
      <w:r w:rsidRPr="003D7262">
        <w:rPr>
          <w:rFonts w:ascii="Arial" w:hAnsi="Arial" w:cs="Arial"/>
        </w:rPr>
        <w:t>Uterine Corpus Endometrial Carcinoma</w:t>
      </w:r>
      <w:r>
        <w:rPr>
          <w:rFonts w:ascii="Arial" w:hAnsi="Arial" w:cs="Arial"/>
        </w:rPr>
        <w:t>.</w:t>
      </w:r>
    </w:p>
    <w:p w14:paraId="4225A2B2" w14:textId="77777777" w:rsidR="00994BE9" w:rsidRDefault="00994BE9" w:rsidP="00994BE9">
      <w:pPr>
        <w:rPr>
          <w:rFonts w:ascii="Arial" w:hAnsi="Arial" w:cs="Arial"/>
        </w:rPr>
      </w:pPr>
    </w:p>
    <w:p w14:paraId="38DF5830" w14:textId="77777777" w:rsidR="00994BE9" w:rsidRPr="00AB228A" w:rsidRDefault="00994BE9" w:rsidP="00994BE9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FAA942E" wp14:editId="5E037B21">
            <wp:extent cx="5270500" cy="3803650"/>
            <wp:effectExtent l="0" t="0" r="6350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80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46F4E3" w14:textId="77777777" w:rsidR="00994BE9" w:rsidRPr="00E73039" w:rsidRDefault="00994BE9" w:rsidP="00994BE9">
      <w:pPr>
        <w:rPr>
          <w:rFonts w:ascii="Arial" w:hAnsi="Arial" w:cs="Arial"/>
        </w:rPr>
      </w:pPr>
      <w:r w:rsidRPr="00AB228A">
        <w:rPr>
          <w:rFonts w:ascii="Arial" w:hAnsi="Arial" w:cs="Arial"/>
          <w:b/>
          <w:bCs/>
        </w:rPr>
        <w:lastRenderedPageBreak/>
        <w:t xml:space="preserve">Supplementary Fig </w:t>
      </w:r>
      <w:r>
        <w:rPr>
          <w:rFonts w:ascii="Arial" w:hAnsi="Arial" w:cs="Arial"/>
          <w:b/>
          <w:bCs/>
        </w:rPr>
        <w:t>3</w:t>
      </w:r>
      <w:r w:rsidRPr="00AB228A">
        <w:rPr>
          <w:rFonts w:ascii="Arial" w:hAnsi="Arial" w:cs="Arial"/>
          <w:b/>
          <w:bCs/>
        </w:rPr>
        <w:t xml:space="preserve"> Identify </w:t>
      </w:r>
      <w:r>
        <w:rPr>
          <w:rFonts w:ascii="Arial" w:hAnsi="Arial" w:cs="Arial"/>
          <w:b/>
          <w:bCs/>
        </w:rPr>
        <w:t xml:space="preserve">the </w:t>
      </w:r>
      <w:r w:rsidRPr="00AB228A">
        <w:rPr>
          <w:rFonts w:ascii="Arial" w:hAnsi="Arial" w:cs="Arial"/>
          <w:b/>
          <w:bCs/>
        </w:rPr>
        <w:t xml:space="preserve">core gene of the </w:t>
      </w:r>
      <w:proofErr w:type="spellStart"/>
      <w:r w:rsidRPr="00AB228A">
        <w:rPr>
          <w:rFonts w:ascii="Arial" w:hAnsi="Arial" w:cs="Arial"/>
          <w:b/>
          <w:bCs/>
        </w:rPr>
        <w:t>pyroptosis</w:t>
      </w:r>
      <w:proofErr w:type="spellEnd"/>
      <w:r w:rsidRPr="00AB228A">
        <w:rPr>
          <w:rFonts w:ascii="Arial" w:hAnsi="Arial" w:cs="Arial"/>
          <w:b/>
          <w:bCs/>
        </w:rPr>
        <w:t>-related signature.</w:t>
      </w:r>
      <w:r w:rsidRPr="00AB228A">
        <w:rPr>
          <w:rFonts w:ascii="Arial" w:hAnsi="Arial" w:cs="Arial"/>
        </w:rPr>
        <w:t xml:space="preserve"> (A) PPI network of the PRGs. (B) The degree of binding of PRGs. (C-J) Correlation of genes of the </w:t>
      </w:r>
      <w:proofErr w:type="spellStart"/>
      <w:r w:rsidRPr="00AB228A">
        <w:rPr>
          <w:rFonts w:ascii="Arial" w:hAnsi="Arial" w:cs="Arial"/>
        </w:rPr>
        <w:t>pyroptosis</w:t>
      </w:r>
      <w:proofErr w:type="spellEnd"/>
      <w:r w:rsidRPr="00AB228A">
        <w:rPr>
          <w:rFonts w:ascii="Arial" w:hAnsi="Arial" w:cs="Arial"/>
        </w:rPr>
        <w:t xml:space="preserve">-related signature with the clinical feature Grade. The expression of GPX4, GZMA, and GZMB was significantly higher in the G3-4 group. PRGs, </w:t>
      </w:r>
      <w:proofErr w:type="spellStart"/>
      <w:r w:rsidRPr="00AB228A">
        <w:rPr>
          <w:rFonts w:ascii="Arial" w:hAnsi="Arial" w:cs="Arial"/>
        </w:rPr>
        <w:t>Pyroptosis</w:t>
      </w:r>
      <w:proofErr w:type="spellEnd"/>
      <w:r w:rsidRPr="00AB228A">
        <w:rPr>
          <w:rFonts w:ascii="Arial" w:hAnsi="Arial" w:cs="Arial"/>
        </w:rPr>
        <w:t xml:space="preserve">-related genes. </w:t>
      </w:r>
    </w:p>
    <w:p w14:paraId="793DB6BC" w14:textId="77777777" w:rsidR="00772FF2" w:rsidRDefault="00772FF2"/>
    <w:sectPr w:rsidR="00772F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DC12C6" w14:textId="77777777" w:rsidR="00275127" w:rsidRDefault="00275127" w:rsidP="00994BE9">
      <w:r>
        <w:separator/>
      </w:r>
    </w:p>
  </w:endnote>
  <w:endnote w:type="continuationSeparator" w:id="0">
    <w:p w14:paraId="210D3A26" w14:textId="77777777" w:rsidR="00275127" w:rsidRDefault="00275127" w:rsidP="00994B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64130E" w14:textId="77777777" w:rsidR="00275127" w:rsidRDefault="00275127" w:rsidP="00994BE9">
      <w:r>
        <w:separator/>
      </w:r>
    </w:p>
  </w:footnote>
  <w:footnote w:type="continuationSeparator" w:id="0">
    <w:p w14:paraId="7ED79352" w14:textId="77777777" w:rsidR="00275127" w:rsidRDefault="00275127" w:rsidP="00994B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06B"/>
    <w:rsid w:val="00275127"/>
    <w:rsid w:val="00772FF2"/>
    <w:rsid w:val="0097206B"/>
    <w:rsid w:val="00994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F01B67C-9883-4226-9467-1AC90126F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4B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4B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4B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4B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4B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灿坤</dc:creator>
  <cp:keywords/>
  <dc:description/>
  <cp:lastModifiedBy>周 灿坤</cp:lastModifiedBy>
  <cp:revision>2</cp:revision>
  <dcterms:created xsi:type="dcterms:W3CDTF">2021-08-26T02:25:00Z</dcterms:created>
  <dcterms:modified xsi:type="dcterms:W3CDTF">2021-08-26T02:25:00Z</dcterms:modified>
</cp:coreProperties>
</file>