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5209" w14:textId="5860B099" w:rsidR="004A161D" w:rsidRDefault="004A161D" w:rsidP="004A161D">
      <w:pPr>
        <w:rPr>
          <w:rFonts w:ascii="Times New Roman" w:hAnsi="Times New Roman" w:cs="Times New Roman"/>
          <w:lang w:eastAsia="zh-CN"/>
        </w:rPr>
      </w:pPr>
      <w:r w:rsidRPr="008E7BC4">
        <w:rPr>
          <w:rFonts w:ascii="Times New Roman" w:hAnsi="Times New Roman" w:cs="Times New Roman"/>
          <w:b/>
          <w:bCs/>
          <w:lang w:eastAsia="zh-CN"/>
        </w:rPr>
        <w:t xml:space="preserve">Table </w:t>
      </w:r>
      <w:r w:rsidR="001D0C27">
        <w:rPr>
          <w:rFonts w:ascii="Times New Roman" w:hAnsi="Times New Roman" w:cs="Times New Roman" w:hint="eastAsia"/>
          <w:b/>
          <w:bCs/>
          <w:lang w:eastAsia="zh-CN"/>
        </w:rPr>
        <w:t>S</w:t>
      </w:r>
      <w:r w:rsidR="003E3F7D">
        <w:rPr>
          <w:rFonts w:ascii="Times New Roman" w:hAnsi="Times New Roman" w:cs="Times New Roman" w:hint="eastAsia"/>
          <w:b/>
          <w:bCs/>
          <w:lang w:eastAsia="zh-CN"/>
        </w:rPr>
        <w:t>3</w:t>
      </w:r>
      <w:r w:rsidRPr="008E7BC4">
        <w:rPr>
          <w:rFonts w:ascii="Times New Roman" w:hAnsi="Times New Roman" w:cs="Times New Roman"/>
          <w:lang w:eastAsia="zh-CN"/>
        </w:rPr>
        <w:t xml:space="preserve"> </w:t>
      </w:r>
      <w:r w:rsidR="00EA4BD9" w:rsidRPr="00EA4BD9">
        <w:rPr>
          <w:rFonts w:ascii="Times New Roman" w:hAnsi="Times New Roman" w:cs="Times New Roman" w:hint="eastAsia"/>
          <w:lang w:eastAsia="zh-CN"/>
        </w:rPr>
        <w:t>Description of variables and their transformations</w:t>
      </w:r>
    </w:p>
    <w:tbl>
      <w:tblPr>
        <w:tblStyle w:val="af2"/>
        <w:tblW w:w="568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842"/>
        <w:gridCol w:w="1872"/>
        <w:gridCol w:w="1115"/>
        <w:gridCol w:w="2207"/>
      </w:tblGrid>
      <w:tr w:rsidR="004A161D" w:rsidRPr="002C299E" w14:paraId="0AAF4F17" w14:textId="77777777" w:rsidTr="00A0025F">
        <w:trPr>
          <w:jc w:val="center"/>
        </w:trPr>
        <w:tc>
          <w:tcPr>
            <w:tcW w:w="127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331840" w14:textId="35FE6D46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Variable name</w:t>
            </w:r>
          </w:p>
        </w:tc>
        <w:tc>
          <w:tcPr>
            <w:tcW w:w="9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3611DC" w14:textId="57BB9B0B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99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8111F" w14:textId="3318DCCF" w:rsidR="004A161D" w:rsidRPr="002C299E" w:rsidRDefault="002C299E" w:rsidP="004A16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  <w:lang w:eastAsia="zh-CN"/>
              </w:rPr>
              <w:t>Description</w:t>
            </w:r>
          </w:p>
        </w:tc>
        <w:tc>
          <w:tcPr>
            <w:tcW w:w="59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9590D4" w14:textId="725E2362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  <w:lang w:eastAsia="zh-CN"/>
              </w:rPr>
              <w:t>C</w:t>
            </w:r>
            <w:r w:rsidRPr="002C299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onvert</w:t>
            </w:r>
          </w:p>
        </w:tc>
        <w:tc>
          <w:tcPr>
            <w:tcW w:w="116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E1E232" w14:textId="444D6CA3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Conversion method</w:t>
            </w:r>
          </w:p>
        </w:tc>
      </w:tr>
      <w:tr w:rsidR="004A161D" w:rsidRPr="002C299E" w14:paraId="7CC62ECC" w14:textId="77777777" w:rsidTr="00A0025F">
        <w:trPr>
          <w:jc w:val="center"/>
        </w:trPr>
        <w:tc>
          <w:tcPr>
            <w:tcW w:w="1276" w:type="pct"/>
            <w:tcBorders>
              <w:top w:val="single" w:sz="8" w:space="0" w:color="auto"/>
            </w:tcBorders>
            <w:vAlign w:val="center"/>
          </w:tcPr>
          <w:p w14:paraId="0279DE4E" w14:textId="2129F164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Cold spell</w:t>
            </w:r>
          </w:p>
        </w:tc>
        <w:tc>
          <w:tcPr>
            <w:tcW w:w="975" w:type="pct"/>
            <w:tcBorders>
              <w:top w:val="single" w:sz="8" w:space="0" w:color="auto"/>
            </w:tcBorders>
            <w:vAlign w:val="center"/>
          </w:tcPr>
          <w:p w14:paraId="18520B9D" w14:textId="3E61B997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Continuous</w:t>
            </w:r>
          </w:p>
        </w:tc>
        <w:tc>
          <w:tcPr>
            <w:tcW w:w="991" w:type="pct"/>
            <w:tcBorders>
              <w:top w:val="single" w:sz="8" w:space="0" w:color="auto"/>
            </w:tcBorders>
            <w:vAlign w:val="center"/>
          </w:tcPr>
          <w:p w14:paraId="1E943F23" w14:textId="123E6876" w:rsidR="004A161D" w:rsidRPr="002C299E" w:rsidRDefault="002C299E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Annual cold-spell days</w:t>
            </w:r>
          </w:p>
        </w:tc>
        <w:tc>
          <w:tcPr>
            <w:tcW w:w="590" w:type="pct"/>
            <w:tcBorders>
              <w:top w:val="single" w:sz="8" w:space="0" w:color="auto"/>
            </w:tcBorders>
            <w:vAlign w:val="center"/>
          </w:tcPr>
          <w:p w14:paraId="3846D591" w14:textId="584A32C8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168" w:type="pct"/>
            <w:tcBorders>
              <w:top w:val="single" w:sz="8" w:space="0" w:color="auto"/>
            </w:tcBorders>
            <w:vAlign w:val="center"/>
          </w:tcPr>
          <w:p w14:paraId="107BE9D4" w14:textId="37E4A483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l</w:t>
            </w:r>
            <w:r w:rsidRPr="002C299E">
              <w:rPr>
                <w:rFonts w:ascii="Times New Roman" w:hAnsi="Times New Roman" w:cs="Times New Roman"/>
                <w:sz w:val="22"/>
                <w:szCs w:val="22"/>
              </w:rPr>
              <w:t>n (</w:t>
            </w:r>
            <w:r w:rsidRPr="004A161D">
              <w:rPr>
                <w:rFonts w:ascii="Times New Roman" w:hAnsi="Times New Roman" w:cs="Times New Roman"/>
                <w:sz w:val="22"/>
                <w:szCs w:val="22"/>
              </w:rPr>
              <w:t>x + 1)</w:t>
            </w:r>
          </w:p>
        </w:tc>
      </w:tr>
      <w:tr w:rsidR="004A161D" w:rsidRPr="002C299E" w14:paraId="23F2849A" w14:textId="77777777" w:rsidTr="00A0025F">
        <w:trPr>
          <w:jc w:val="center"/>
        </w:trPr>
        <w:tc>
          <w:tcPr>
            <w:tcW w:w="1276" w:type="pct"/>
            <w:vAlign w:val="center"/>
          </w:tcPr>
          <w:p w14:paraId="59FE3E92" w14:textId="15D9DB70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Age</w:t>
            </w:r>
          </w:p>
        </w:tc>
        <w:tc>
          <w:tcPr>
            <w:tcW w:w="975" w:type="pct"/>
            <w:vAlign w:val="center"/>
          </w:tcPr>
          <w:p w14:paraId="09B347A0" w14:textId="53CFB15A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Continuous</w:t>
            </w:r>
          </w:p>
        </w:tc>
        <w:tc>
          <w:tcPr>
            <w:tcW w:w="991" w:type="pct"/>
            <w:vAlign w:val="center"/>
          </w:tcPr>
          <w:p w14:paraId="3DCF7DC5" w14:textId="23800A8F" w:rsidR="004A161D" w:rsidRPr="002C299E" w:rsidRDefault="002C299E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Age at baseline (years)</w:t>
            </w:r>
          </w:p>
        </w:tc>
        <w:tc>
          <w:tcPr>
            <w:tcW w:w="590" w:type="pct"/>
            <w:vAlign w:val="center"/>
          </w:tcPr>
          <w:p w14:paraId="5C18D4B1" w14:textId="5971E075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3FA47A3E" w14:textId="1C7914E7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4A161D" w:rsidRPr="002C299E" w14:paraId="2263C4AD" w14:textId="77777777" w:rsidTr="00A0025F">
        <w:trPr>
          <w:jc w:val="center"/>
        </w:trPr>
        <w:tc>
          <w:tcPr>
            <w:tcW w:w="1276" w:type="pct"/>
            <w:vAlign w:val="center"/>
          </w:tcPr>
          <w:p w14:paraId="29D5C6E3" w14:textId="0264A237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Gender</w:t>
            </w:r>
          </w:p>
        </w:tc>
        <w:tc>
          <w:tcPr>
            <w:tcW w:w="975" w:type="pct"/>
            <w:vAlign w:val="center"/>
          </w:tcPr>
          <w:p w14:paraId="093BBC1F" w14:textId="3D951CA7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53ACB9F1" w14:textId="10A22545" w:rsidR="004A161D" w:rsidRPr="002C299E" w:rsidRDefault="002C299E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Male vs. female</w:t>
            </w:r>
          </w:p>
        </w:tc>
        <w:tc>
          <w:tcPr>
            <w:tcW w:w="590" w:type="pct"/>
            <w:vAlign w:val="center"/>
          </w:tcPr>
          <w:p w14:paraId="246633BC" w14:textId="1D677023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7FDB7D53" w14:textId="0B59AB2C" w:rsidR="004A161D" w:rsidRPr="002C299E" w:rsidRDefault="004A161D" w:rsidP="004A16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2E7B4A69" w14:textId="77777777" w:rsidTr="00A0025F">
        <w:trPr>
          <w:jc w:val="center"/>
        </w:trPr>
        <w:tc>
          <w:tcPr>
            <w:tcW w:w="1276" w:type="pct"/>
            <w:vAlign w:val="center"/>
          </w:tcPr>
          <w:p w14:paraId="687CED7F" w14:textId="42A7394D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Marital status</w:t>
            </w:r>
          </w:p>
        </w:tc>
        <w:tc>
          <w:tcPr>
            <w:tcW w:w="975" w:type="pct"/>
            <w:vAlign w:val="center"/>
          </w:tcPr>
          <w:p w14:paraId="1BB01A60" w14:textId="16B3662D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4DF0844E" w14:textId="2001BB07" w:rsidR="001D0C27" w:rsidRPr="002C299E" w:rsidRDefault="002C299E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/>
                <w:sz w:val="22"/>
                <w:szCs w:val="22"/>
              </w:rPr>
              <w:t>Married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 vs.</w:t>
            </w:r>
            <w:r w:rsidRPr="002C2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un</w:t>
            </w:r>
            <w:r w:rsidRPr="002C299E">
              <w:rPr>
                <w:rFonts w:ascii="Times New Roman" w:hAnsi="Times New Roman" w:cs="Times New Roman"/>
                <w:sz w:val="22"/>
                <w:szCs w:val="22"/>
              </w:rPr>
              <w:t>married</w:t>
            </w:r>
          </w:p>
        </w:tc>
        <w:tc>
          <w:tcPr>
            <w:tcW w:w="590" w:type="pct"/>
            <w:vAlign w:val="center"/>
          </w:tcPr>
          <w:p w14:paraId="1F107D5A" w14:textId="2445B8F9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56A5B771" w14:textId="0A087780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14CDA0D8" w14:textId="77777777" w:rsidTr="00A0025F">
        <w:trPr>
          <w:jc w:val="center"/>
        </w:trPr>
        <w:tc>
          <w:tcPr>
            <w:tcW w:w="1276" w:type="pct"/>
            <w:vAlign w:val="center"/>
          </w:tcPr>
          <w:p w14:paraId="4AE26840" w14:textId="05980083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Residence</w:t>
            </w:r>
          </w:p>
        </w:tc>
        <w:tc>
          <w:tcPr>
            <w:tcW w:w="975" w:type="pct"/>
            <w:vAlign w:val="center"/>
          </w:tcPr>
          <w:p w14:paraId="6AC62B60" w14:textId="7B638391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4F7AF0B1" w14:textId="3A18417F" w:rsidR="001D0C27" w:rsidRPr="002C299E" w:rsidRDefault="002C299E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Urban vs. rural registration</w:t>
            </w:r>
          </w:p>
        </w:tc>
        <w:tc>
          <w:tcPr>
            <w:tcW w:w="590" w:type="pct"/>
            <w:vAlign w:val="center"/>
          </w:tcPr>
          <w:p w14:paraId="3A70A904" w14:textId="21D5DC29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0F10DBD1" w14:textId="01DD2C0A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61D558F4" w14:textId="77777777" w:rsidTr="00A0025F">
        <w:trPr>
          <w:jc w:val="center"/>
        </w:trPr>
        <w:tc>
          <w:tcPr>
            <w:tcW w:w="1276" w:type="pct"/>
            <w:vAlign w:val="center"/>
          </w:tcPr>
          <w:p w14:paraId="61B7611E" w14:textId="3D78D443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Education</w:t>
            </w:r>
          </w:p>
        </w:tc>
        <w:tc>
          <w:tcPr>
            <w:tcW w:w="975" w:type="pct"/>
            <w:vAlign w:val="center"/>
          </w:tcPr>
          <w:p w14:paraId="5315A120" w14:textId="33BB4CDC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7FD331AC" w14:textId="14F7604E" w:rsidR="001D0C27" w:rsidRPr="002C299E" w:rsidRDefault="002C299E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/>
                <w:sz w:val="22"/>
                <w:szCs w:val="22"/>
              </w:rPr>
              <w:t>Level of formal education (</w:t>
            </w: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Below primary</w:t>
            </w:r>
            <w:r w:rsidRPr="002C299E">
              <w:rPr>
                <w:rFonts w:ascii="Times New Roman" w:hAnsi="Times New Roman" w:cs="Times New Roman"/>
                <w:sz w:val="22"/>
                <w:szCs w:val="22"/>
              </w:rPr>
              <w:t>, primary, middle, high+)</w:t>
            </w:r>
          </w:p>
        </w:tc>
        <w:tc>
          <w:tcPr>
            <w:tcW w:w="590" w:type="pct"/>
            <w:vAlign w:val="center"/>
          </w:tcPr>
          <w:p w14:paraId="642586A6" w14:textId="2F7CDCF7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0EAB6F31" w14:textId="1CEF3A80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1A147AC3" w14:textId="77777777" w:rsidTr="00A0025F">
        <w:trPr>
          <w:jc w:val="center"/>
        </w:trPr>
        <w:tc>
          <w:tcPr>
            <w:tcW w:w="1276" w:type="pct"/>
            <w:vAlign w:val="center"/>
          </w:tcPr>
          <w:p w14:paraId="54F9A98E" w14:textId="272069ED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Region</w:t>
            </w:r>
          </w:p>
        </w:tc>
        <w:tc>
          <w:tcPr>
            <w:tcW w:w="975" w:type="pct"/>
            <w:vAlign w:val="center"/>
          </w:tcPr>
          <w:p w14:paraId="08EA8262" w14:textId="33805F13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27989C41" w14:textId="2C3A66B9" w:rsidR="001D0C27" w:rsidRPr="002C299E" w:rsidRDefault="002C299E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/>
                <w:sz w:val="22"/>
                <w:szCs w:val="22"/>
              </w:rPr>
              <w:t>Administrative region of residence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 xml:space="preserve"> (South vs. North)</w:t>
            </w:r>
          </w:p>
        </w:tc>
        <w:tc>
          <w:tcPr>
            <w:tcW w:w="590" w:type="pct"/>
            <w:vAlign w:val="center"/>
          </w:tcPr>
          <w:p w14:paraId="24AF3B5D" w14:textId="6435BCAE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718518C7" w14:textId="20A40331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3C2DE04E" w14:textId="77777777" w:rsidTr="00A0025F">
        <w:trPr>
          <w:jc w:val="center"/>
        </w:trPr>
        <w:tc>
          <w:tcPr>
            <w:tcW w:w="1276" w:type="pct"/>
            <w:vAlign w:val="center"/>
          </w:tcPr>
          <w:p w14:paraId="764D9CFA" w14:textId="1CACB4D0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Sleep duration</w:t>
            </w:r>
          </w:p>
        </w:tc>
        <w:tc>
          <w:tcPr>
            <w:tcW w:w="975" w:type="pct"/>
            <w:vAlign w:val="center"/>
          </w:tcPr>
          <w:p w14:paraId="1A8C1A8F" w14:textId="5ECC3CDC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0BE39D9E" w14:textId="51333DC7" w:rsidR="001D0C27" w:rsidRPr="002C299E" w:rsidRDefault="002C299E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Self-reported nightly sleep hours (&lt;6 h, </w:t>
            </w:r>
            <w:r w:rsidRPr="008E7BC4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≥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6</w:t>
            </w: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h)</w:t>
            </w:r>
          </w:p>
        </w:tc>
        <w:tc>
          <w:tcPr>
            <w:tcW w:w="590" w:type="pct"/>
            <w:vAlign w:val="center"/>
          </w:tcPr>
          <w:p w14:paraId="36227CAF" w14:textId="7C944DF4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64160796" w14:textId="4F1B2C3E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396F45F3" w14:textId="77777777" w:rsidTr="00A0025F">
        <w:trPr>
          <w:jc w:val="center"/>
        </w:trPr>
        <w:tc>
          <w:tcPr>
            <w:tcW w:w="1276" w:type="pct"/>
            <w:vAlign w:val="center"/>
          </w:tcPr>
          <w:p w14:paraId="00B281EC" w14:textId="20776AD4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Drinking status</w:t>
            </w:r>
          </w:p>
        </w:tc>
        <w:tc>
          <w:tcPr>
            <w:tcW w:w="975" w:type="pct"/>
            <w:vAlign w:val="center"/>
          </w:tcPr>
          <w:p w14:paraId="5B2EEDFC" w14:textId="5C479F68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326CBFAE" w14:textId="045FF2FB" w:rsidR="001D0C27" w:rsidRPr="002C299E" w:rsidRDefault="00A0025F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025F">
              <w:rPr>
                <w:rFonts w:ascii="Times New Roman" w:hAnsi="Times New Roman" w:cs="Times New Roman" w:hint="eastAsia"/>
                <w:sz w:val="22"/>
                <w:szCs w:val="22"/>
              </w:rPr>
              <w:t>Never, former, or current alcohol drinker</w:t>
            </w:r>
          </w:p>
        </w:tc>
        <w:tc>
          <w:tcPr>
            <w:tcW w:w="590" w:type="pct"/>
            <w:vAlign w:val="center"/>
          </w:tcPr>
          <w:p w14:paraId="11024111" w14:textId="607F7550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1E86EE43" w14:textId="607D1E43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7153A564" w14:textId="77777777" w:rsidTr="00A0025F">
        <w:trPr>
          <w:jc w:val="center"/>
        </w:trPr>
        <w:tc>
          <w:tcPr>
            <w:tcW w:w="1276" w:type="pct"/>
            <w:vAlign w:val="center"/>
          </w:tcPr>
          <w:p w14:paraId="3D9750D1" w14:textId="29B11F7B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Smoking status</w:t>
            </w:r>
          </w:p>
        </w:tc>
        <w:tc>
          <w:tcPr>
            <w:tcW w:w="975" w:type="pct"/>
            <w:vAlign w:val="center"/>
          </w:tcPr>
          <w:p w14:paraId="71044953" w14:textId="42BB50AB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4C7DE877" w14:textId="33D6466E" w:rsidR="001D0C27" w:rsidRPr="002C299E" w:rsidRDefault="004924F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Never, former, or current smoker</w:t>
            </w:r>
          </w:p>
        </w:tc>
        <w:tc>
          <w:tcPr>
            <w:tcW w:w="590" w:type="pct"/>
            <w:vAlign w:val="center"/>
          </w:tcPr>
          <w:p w14:paraId="154C0C0D" w14:textId="14C458A7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21771B00" w14:textId="3AFEE514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56ED3C13" w14:textId="77777777" w:rsidTr="00A0025F">
        <w:trPr>
          <w:jc w:val="center"/>
        </w:trPr>
        <w:tc>
          <w:tcPr>
            <w:tcW w:w="1276" w:type="pct"/>
            <w:vAlign w:val="center"/>
          </w:tcPr>
          <w:p w14:paraId="3ACB7273" w14:textId="560B8F11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BMI categories</w:t>
            </w:r>
          </w:p>
        </w:tc>
        <w:tc>
          <w:tcPr>
            <w:tcW w:w="975" w:type="pct"/>
            <w:vAlign w:val="center"/>
          </w:tcPr>
          <w:p w14:paraId="29F26684" w14:textId="27127B93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5353AD65" w14:textId="360D0E1F" w:rsidR="001D0C27" w:rsidRPr="002C299E" w:rsidRDefault="004924F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Body-mass-index groups (under-weight, normal, over-weight, obese)</w:t>
            </w:r>
          </w:p>
        </w:tc>
        <w:tc>
          <w:tcPr>
            <w:tcW w:w="590" w:type="pct"/>
            <w:vAlign w:val="center"/>
          </w:tcPr>
          <w:p w14:paraId="4C2FD48E" w14:textId="4B89C94C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61FA35C2" w14:textId="2635BFBE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08FD9A10" w14:textId="77777777" w:rsidTr="00A0025F">
        <w:trPr>
          <w:jc w:val="center"/>
        </w:trPr>
        <w:tc>
          <w:tcPr>
            <w:tcW w:w="1276" w:type="pct"/>
            <w:vAlign w:val="center"/>
          </w:tcPr>
          <w:p w14:paraId="10D2FD8C" w14:textId="4BF2E334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Physical activity</w:t>
            </w:r>
          </w:p>
        </w:tc>
        <w:tc>
          <w:tcPr>
            <w:tcW w:w="975" w:type="pct"/>
            <w:vAlign w:val="center"/>
          </w:tcPr>
          <w:p w14:paraId="09558F3F" w14:textId="0B1B8CE0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32651DE2" w14:textId="6CBB55F0" w:rsidR="001D0C27" w:rsidRPr="002C299E" w:rsidRDefault="004924F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Weekly exercise level (low, moderate, high)</w:t>
            </w:r>
          </w:p>
        </w:tc>
        <w:tc>
          <w:tcPr>
            <w:tcW w:w="590" w:type="pct"/>
            <w:vAlign w:val="center"/>
          </w:tcPr>
          <w:p w14:paraId="6C383134" w14:textId="7FFC3F26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42C48A62" w14:textId="7709974A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28AE9363" w14:textId="77777777" w:rsidTr="00A0025F">
        <w:trPr>
          <w:jc w:val="center"/>
        </w:trPr>
        <w:tc>
          <w:tcPr>
            <w:tcW w:w="1276" w:type="pct"/>
            <w:vAlign w:val="center"/>
          </w:tcPr>
          <w:p w14:paraId="3F867E4F" w14:textId="16F7DF6A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Socioeconomic status</w:t>
            </w:r>
          </w:p>
        </w:tc>
        <w:tc>
          <w:tcPr>
            <w:tcW w:w="975" w:type="pct"/>
            <w:vAlign w:val="center"/>
          </w:tcPr>
          <w:p w14:paraId="25A87963" w14:textId="3AF81204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4B4598E4" w14:textId="20DCA6B2" w:rsidR="001D0C27" w:rsidRPr="002C299E" w:rsidRDefault="004924F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Wealth-based quintile (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Poor, fair and good</w:t>
            </w: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590" w:type="pct"/>
            <w:vAlign w:val="center"/>
          </w:tcPr>
          <w:p w14:paraId="48073912" w14:textId="0B0F8D25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58254400" w14:textId="45FDE5B9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653A02F0" w14:textId="77777777" w:rsidTr="00A0025F">
        <w:trPr>
          <w:jc w:val="center"/>
        </w:trPr>
        <w:tc>
          <w:tcPr>
            <w:tcW w:w="1276" w:type="pct"/>
            <w:vAlign w:val="center"/>
          </w:tcPr>
          <w:p w14:paraId="1E00F6D6" w14:textId="0E0E3794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Heating fuels,</w:t>
            </w:r>
          </w:p>
        </w:tc>
        <w:tc>
          <w:tcPr>
            <w:tcW w:w="975" w:type="pct"/>
            <w:vAlign w:val="center"/>
          </w:tcPr>
          <w:p w14:paraId="260A3E58" w14:textId="59D7F679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72067E32" w14:textId="64C1C21E" w:rsidR="001D0C27" w:rsidRPr="002C299E" w:rsidRDefault="004924F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Primary heating fuel type (clean vs. solid)</w:t>
            </w:r>
          </w:p>
        </w:tc>
        <w:tc>
          <w:tcPr>
            <w:tcW w:w="590" w:type="pct"/>
            <w:vAlign w:val="center"/>
          </w:tcPr>
          <w:p w14:paraId="7E244842" w14:textId="6EA66D20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50F5152B" w14:textId="3862BD27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1AD9C68F" w14:textId="77777777" w:rsidTr="00A0025F">
        <w:trPr>
          <w:jc w:val="center"/>
        </w:trPr>
        <w:tc>
          <w:tcPr>
            <w:tcW w:w="1276" w:type="pct"/>
            <w:vAlign w:val="center"/>
          </w:tcPr>
          <w:p w14:paraId="3812E57E" w14:textId="3979982F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Cooking fuels,</w:t>
            </w:r>
          </w:p>
        </w:tc>
        <w:tc>
          <w:tcPr>
            <w:tcW w:w="975" w:type="pct"/>
            <w:vAlign w:val="center"/>
          </w:tcPr>
          <w:p w14:paraId="47FAE8B7" w14:textId="4D1763B0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Categorical</w:t>
            </w:r>
          </w:p>
        </w:tc>
        <w:tc>
          <w:tcPr>
            <w:tcW w:w="991" w:type="pct"/>
            <w:vAlign w:val="center"/>
          </w:tcPr>
          <w:p w14:paraId="7FBE9B6E" w14:textId="1866FB41" w:rsidR="001D0C27" w:rsidRPr="002C299E" w:rsidRDefault="004924F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Primary cooking fuel type (clean vs. solid)</w:t>
            </w:r>
          </w:p>
        </w:tc>
        <w:tc>
          <w:tcPr>
            <w:tcW w:w="590" w:type="pct"/>
            <w:vAlign w:val="center"/>
          </w:tcPr>
          <w:p w14:paraId="4E5DBAD4" w14:textId="01B556AC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vAlign w:val="center"/>
          </w:tcPr>
          <w:p w14:paraId="7CD53832" w14:textId="3EFF5DEE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  <w:tr w:rsidR="001D0C27" w:rsidRPr="002C299E" w14:paraId="059F1E4B" w14:textId="77777777" w:rsidTr="00A0025F">
        <w:trPr>
          <w:jc w:val="center"/>
        </w:trPr>
        <w:tc>
          <w:tcPr>
            <w:tcW w:w="1276" w:type="pct"/>
            <w:tcBorders>
              <w:bottom w:val="single" w:sz="8" w:space="0" w:color="auto"/>
            </w:tcBorders>
            <w:vAlign w:val="center"/>
          </w:tcPr>
          <w:p w14:paraId="007FC0FC" w14:textId="3095E6BA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lastRenderedPageBreak/>
              <w:t>F</w:t>
            </w:r>
            <w:r w:rsidRPr="002C299E">
              <w:rPr>
                <w:rFonts w:ascii="Times New Roman" w:hAnsi="Times New Roman" w:cs="Times New Roman" w:hint="eastAsia"/>
                <w:sz w:val="22"/>
                <w:szCs w:val="22"/>
              </w:rPr>
              <w:t>railty index</w:t>
            </w:r>
          </w:p>
        </w:tc>
        <w:tc>
          <w:tcPr>
            <w:tcW w:w="975" w:type="pct"/>
            <w:tcBorders>
              <w:bottom w:val="single" w:sz="8" w:space="0" w:color="auto"/>
            </w:tcBorders>
            <w:vAlign w:val="center"/>
          </w:tcPr>
          <w:p w14:paraId="401B220B" w14:textId="5C46B759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Continuous</w:t>
            </w:r>
          </w:p>
        </w:tc>
        <w:tc>
          <w:tcPr>
            <w:tcW w:w="991" w:type="pct"/>
            <w:tcBorders>
              <w:bottom w:val="single" w:sz="8" w:space="0" w:color="auto"/>
            </w:tcBorders>
            <w:vAlign w:val="center"/>
          </w:tcPr>
          <w:p w14:paraId="6BF5D710" w14:textId="79EA2516" w:rsidR="001D0C27" w:rsidRPr="002C299E" w:rsidRDefault="004924F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Deficit-accumulation frailty score (0</w:t>
            </w: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–</w:t>
            </w: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00</w:t>
            </w:r>
            <w:r w:rsidRPr="004924F7">
              <w:rPr>
                <w:rFonts w:ascii="Times New Roman" w:hAnsi="Times New Roman" w:cs="Times New Roman" w:hint="eastAsia"/>
                <w:sz w:val="22"/>
                <w:szCs w:val="22"/>
              </w:rPr>
              <w:t>, higher = frailer)</w:t>
            </w:r>
          </w:p>
        </w:tc>
        <w:tc>
          <w:tcPr>
            <w:tcW w:w="590" w:type="pct"/>
            <w:tcBorders>
              <w:bottom w:val="single" w:sz="8" w:space="0" w:color="auto"/>
            </w:tcBorders>
            <w:vAlign w:val="center"/>
          </w:tcPr>
          <w:p w14:paraId="514868AA" w14:textId="24CAA348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168" w:type="pct"/>
            <w:tcBorders>
              <w:bottom w:val="single" w:sz="8" w:space="0" w:color="auto"/>
            </w:tcBorders>
            <w:vAlign w:val="center"/>
          </w:tcPr>
          <w:p w14:paraId="61E4124E" w14:textId="65C3485A" w:rsidR="001D0C27" w:rsidRPr="002C299E" w:rsidRDefault="001D0C27" w:rsidP="001D0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299E">
              <w:rPr>
                <w:rFonts w:ascii="Times New Roman" w:hAnsi="Times New Roman" w:cs="Times New Roman" w:hint="eastAsia"/>
                <w:sz w:val="22"/>
                <w:szCs w:val="22"/>
                <w:lang w:eastAsia="zh-CN"/>
              </w:rPr>
              <w:t>-</w:t>
            </w:r>
          </w:p>
        </w:tc>
      </w:tr>
    </w:tbl>
    <w:p w14:paraId="4FF8427A" w14:textId="2965682A" w:rsidR="00B732E9" w:rsidRPr="0054693C" w:rsidRDefault="0054693C">
      <w:pPr>
        <w:rPr>
          <w:rFonts w:ascii="Times New Roman" w:hAnsi="Times New Roman" w:cs="Times New Roman"/>
          <w:sz w:val="18"/>
          <w:szCs w:val="18"/>
          <w:lang w:eastAsia="zh-CN"/>
        </w:rPr>
      </w:pPr>
      <w:r w:rsidRPr="0054693C">
        <w:rPr>
          <w:rFonts w:ascii="Times New Roman" w:hAnsi="Times New Roman" w:cs="Times New Roman"/>
          <w:sz w:val="18"/>
          <w:szCs w:val="18"/>
          <w:lang w:eastAsia="zh-CN"/>
        </w:rPr>
        <w:t xml:space="preserve">BMI, 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b</w:t>
      </w:r>
      <w:r w:rsidRPr="0054693C">
        <w:rPr>
          <w:rFonts w:ascii="Times New Roman" w:hAnsi="Times New Roman" w:cs="Times New Roman" w:hint="eastAsia"/>
          <w:sz w:val="18"/>
          <w:szCs w:val="18"/>
          <w:lang w:eastAsia="zh-CN"/>
        </w:rPr>
        <w:t>ody-mass-index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.</w:t>
      </w:r>
    </w:p>
    <w:sectPr w:rsidR="00B732E9" w:rsidRPr="0054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FC18" w14:textId="77777777" w:rsidR="004925CD" w:rsidRDefault="004925CD" w:rsidP="004A161D">
      <w:pPr>
        <w:rPr>
          <w:rFonts w:hint="eastAsia"/>
        </w:rPr>
      </w:pPr>
      <w:r>
        <w:separator/>
      </w:r>
    </w:p>
  </w:endnote>
  <w:endnote w:type="continuationSeparator" w:id="0">
    <w:p w14:paraId="7D63615A" w14:textId="77777777" w:rsidR="004925CD" w:rsidRDefault="004925CD" w:rsidP="004A16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AD08" w14:textId="77777777" w:rsidR="004925CD" w:rsidRDefault="004925CD" w:rsidP="004A161D">
      <w:pPr>
        <w:rPr>
          <w:rFonts w:hint="eastAsia"/>
        </w:rPr>
      </w:pPr>
      <w:r>
        <w:separator/>
      </w:r>
    </w:p>
  </w:footnote>
  <w:footnote w:type="continuationSeparator" w:id="0">
    <w:p w14:paraId="128F144D" w14:textId="77777777" w:rsidR="004925CD" w:rsidRDefault="004925CD" w:rsidP="004A16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FC"/>
    <w:rsid w:val="001B64FC"/>
    <w:rsid w:val="001D0C27"/>
    <w:rsid w:val="00292EA0"/>
    <w:rsid w:val="002C299E"/>
    <w:rsid w:val="003E3F7D"/>
    <w:rsid w:val="004924F7"/>
    <w:rsid w:val="004925CD"/>
    <w:rsid w:val="004A161D"/>
    <w:rsid w:val="0054693C"/>
    <w:rsid w:val="00741677"/>
    <w:rsid w:val="007A5DEC"/>
    <w:rsid w:val="009C4797"/>
    <w:rsid w:val="00A0025F"/>
    <w:rsid w:val="00AF5B07"/>
    <w:rsid w:val="00B732E9"/>
    <w:rsid w:val="00BB0AC8"/>
    <w:rsid w:val="00C83EBB"/>
    <w:rsid w:val="00E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61A04"/>
  <w15:chartTrackingRefBased/>
  <w15:docId w15:val="{378A8AA9-D6FE-44D9-B8E9-12DD4EDB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61D"/>
    <w:rPr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4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4FC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4F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4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4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4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4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4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4F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64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4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4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4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4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64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16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161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16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161D"/>
    <w:rPr>
      <w:sz w:val="18"/>
      <w:szCs w:val="18"/>
    </w:rPr>
  </w:style>
  <w:style w:type="table" w:styleId="af2">
    <w:name w:val="Table Grid"/>
    <w:basedOn w:val="a1"/>
    <w:uiPriority w:val="39"/>
    <w:rsid w:val="004A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9</cp:revision>
  <dcterms:created xsi:type="dcterms:W3CDTF">2026-01-18T12:59:00Z</dcterms:created>
  <dcterms:modified xsi:type="dcterms:W3CDTF">2026-01-25T16:10:00Z</dcterms:modified>
</cp:coreProperties>
</file>