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696" w:rsidRDefault="00A02696" w:rsidP="00A02696">
      <w:pPr>
        <w:spacing w:after="0" w:line="240" w:lineRule="auto"/>
        <w:ind w:right="118"/>
        <w:rPr>
          <w:rFonts w:cstheme="minorHAnsi"/>
          <w:lang w:val="en-US"/>
        </w:rPr>
      </w:pPr>
      <w:r w:rsidRPr="001347D0">
        <w:rPr>
          <w:rFonts w:cstheme="minorHAnsi"/>
          <w:b/>
          <w:iCs/>
          <w:color w:val="000000"/>
          <w:szCs w:val="20"/>
          <w:lang w:val="en-US"/>
        </w:rPr>
        <w:t xml:space="preserve">Supplemental table 1. </w:t>
      </w:r>
      <w:r w:rsidRPr="001347D0">
        <w:rPr>
          <w:rFonts w:cstheme="minorHAnsi"/>
          <w:lang w:val="en-US"/>
        </w:rPr>
        <w:t>Maternal and neonatal characteristics of participating and non-participating children at five years, among survivors</w:t>
      </w:r>
      <w:r w:rsidR="004C1B74">
        <w:rPr>
          <w:rFonts w:cstheme="minorHAnsi"/>
          <w:lang w:val="en-US"/>
        </w:rPr>
        <w:t xml:space="preserve"> at 5, n=3609</w:t>
      </w:r>
      <w:r w:rsidRPr="001347D0">
        <w:rPr>
          <w:rFonts w:cstheme="minorHAnsi"/>
          <w:lang w:val="en-US"/>
        </w:rPr>
        <w:t>.</w:t>
      </w:r>
    </w:p>
    <w:p w:rsidR="00A02696" w:rsidRDefault="00A02696" w:rsidP="00A02696">
      <w:pPr>
        <w:spacing w:after="0" w:line="240" w:lineRule="auto"/>
        <w:ind w:right="118"/>
        <w:rPr>
          <w:rFonts w:cstheme="minorHAnsi"/>
          <w:lang w:val="en-US"/>
        </w:rPr>
      </w:pPr>
    </w:p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985"/>
        <w:gridCol w:w="1984"/>
        <w:gridCol w:w="850"/>
      </w:tblGrid>
      <w:tr w:rsidR="00A02696" w:rsidRPr="00363C5A" w:rsidTr="0059136E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Included population analysis with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complete </w:t>
            </w: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assessment at 5 years (n=2157)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Non-participating at 5 years (n=1090) or incomplete assessment (n=362)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</w:t>
            </w:r>
            <w:proofErr w:type="gram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/N 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</w:t>
            </w:r>
            <w:proofErr w:type="gram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/N (%)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59136E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-v</w:t>
            </w:r>
            <w:r w:rsidR="00A02696"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alue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Exposition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Maternal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autoimmune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93/2157 (5.5)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62/1452 (5.3)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0.89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Maternal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characteristics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at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birth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Maternal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age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  &lt;25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years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284/2157 (11.4)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324/1452 (20.9)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0.001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  25-34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years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1375/2157 (64.4)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812/1452 (59.0)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  &gt;35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years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498/2157 (24.3)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316/1452 (20.2)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Primiparous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1233/2141 (56.8)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731/1432 (52.3)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0.084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Birth in France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1782/2155 (85.1)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1024/1422 (74.5)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&lt;0.001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Level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of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education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Less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than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high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school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186/2094 (8.3)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219/1251 (16.5)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&lt;0.001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High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school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762/2094 (36.5)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580/1251 (45.5)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1-2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years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of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graduate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studies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518/2094 (24.0)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218/1251 (17.5)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3+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years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of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graduate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studies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628/2094 (31.1)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234/1251 (20.5)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Parents’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socio-economic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status</w:t>
            </w:r>
            <w:r w:rsidRPr="00A026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fr-FR"/>
              </w:rPr>
              <w:t>a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Executive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540/2076 (27.3)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225/1351 (17.4)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&lt;0.001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Intermediate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521/2076 (25.8)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209/1351 (16.6)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Administration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546/2076 (25.6)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407/1351 (30.3)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Service,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trade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235/2076 (11.2)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242/1351 (17.3)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Worker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unemployed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234/2076 (10.0)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268/1351 (18.4)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Tobacco use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during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pregnancy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380/2096 (16.6)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356/1406 (25.7)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&lt;0.001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Maternal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obstetrical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characteristics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Gestational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diabetes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179/2015 (10.0)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108/1339 (9.3)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0.68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Hypertension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during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pregnancy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A02696" w:rsidRDefault="00A02696" w:rsidP="00E961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2696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391/2030 (16.3)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A02696" w:rsidRDefault="00A02696" w:rsidP="00E961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2696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245/1346 (16.5)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A02696" w:rsidRDefault="00A02696" w:rsidP="00E961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2696">
              <w:rPr>
                <w:rFonts w:eastAsia="Times New Roman" w:cstheme="minorHAnsi"/>
                <w:sz w:val="20"/>
                <w:szCs w:val="20"/>
                <w:lang w:eastAsia="fr-FR"/>
              </w:rPr>
              <w:t>0.89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Preeclampsia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A02696" w:rsidRDefault="00A02696" w:rsidP="00E961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2696">
              <w:rPr>
                <w:rFonts w:cstheme="minorHAnsi"/>
                <w:sz w:val="20"/>
                <w:szCs w:val="20"/>
                <w:shd w:val="clear" w:color="auto" w:fill="FFFFFF"/>
              </w:rPr>
              <w:t>436/2111 (16.2)</w:t>
            </w:r>
            <w:r w:rsidRPr="00A02696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A02696" w:rsidRDefault="00A02696" w:rsidP="00E961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2696">
              <w:rPr>
                <w:rFonts w:cstheme="minorHAnsi"/>
                <w:sz w:val="20"/>
                <w:szCs w:val="20"/>
                <w:shd w:val="clear" w:color="auto" w:fill="FFFFFF"/>
              </w:rPr>
              <w:t>261/1423 (15.9)</w:t>
            </w:r>
            <w:r w:rsidRPr="00A02696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A02696" w:rsidRDefault="00A02696" w:rsidP="00E961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2696">
              <w:rPr>
                <w:rFonts w:eastAsia="Times New Roman" w:cstheme="minorHAnsi"/>
                <w:sz w:val="20"/>
                <w:szCs w:val="20"/>
                <w:lang w:eastAsia="fr-FR"/>
              </w:rPr>
              <w:t> 0.84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Placental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abruption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A02696" w:rsidRDefault="00A02696" w:rsidP="00E961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2696">
              <w:rPr>
                <w:rFonts w:cstheme="minorHAnsi"/>
                <w:sz w:val="20"/>
                <w:szCs w:val="20"/>
                <w:shd w:val="clear" w:color="auto" w:fill="FFFFFF"/>
              </w:rPr>
              <w:t>97/2116 (3.0)</w:t>
            </w:r>
            <w:r w:rsidRPr="00A02696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A02696" w:rsidRDefault="00A02696" w:rsidP="00E961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2696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  <w:r w:rsidRPr="00A02696">
              <w:rPr>
                <w:rFonts w:cstheme="minorHAnsi"/>
                <w:sz w:val="20"/>
                <w:szCs w:val="20"/>
                <w:shd w:val="clear" w:color="auto" w:fill="FFFFFF"/>
              </w:rPr>
              <w:t>65/1409 (4.2)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A02696" w:rsidRDefault="00A02696" w:rsidP="00E961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2696">
              <w:rPr>
                <w:rFonts w:eastAsia="Times New Roman" w:cstheme="minorHAnsi"/>
                <w:sz w:val="20"/>
                <w:szCs w:val="20"/>
                <w:lang w:eastAsia="fr-FR"/>
              </w:rPr>
              <w:t> 0.11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Cause of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preterm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birth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A02696" w:rsidRDefault="00A02696" w:rsidP="00E961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2696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A02696" w:rsidRDefault="00A02696" w:rsidP="00E961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2696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A02696" w:rsidRDefault="00A02696" w:rsidP="00E961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02696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Preterm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labor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group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867/2157 (42.9)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589/1452 (44.5)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0.57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Preterm premature rupture of membranes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393/2157 (18.9)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281/1452 (19.7)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fr-FR"/>
              </w:rPr>
              <w:t>Hypertensive disorders or Placental abruption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562/2157 (21.4)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334/1452 (19.7)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Isolated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fetal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growth</w:t>
            </w:r>
            <w:proofErr w:type="spellEnd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restriction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150/2157 (6.2)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108/1452 (7.4)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Other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185/2157 (10.6)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140/1452 (8.7)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Multiple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pregnancy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757/2157 (37.7)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482/1452 (33.9)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0.17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Neonatal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characteristics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Gestational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age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groups (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weeks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   23-26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200/2157 (3.2)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124/1452 (2.7)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0.006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   27-31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1350/2157 (29.0)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846/1452 (24.6)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   32-34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607/2157 (67.8)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482/1452 (72.8)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Sex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male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1159/2157 (55.6)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751/1452 (50.2)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0.07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A02696" w:rsidRPr="0020558D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2055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fr-FR"/>
              </w:rPr>
              <w:t>Small for gestational age</w:t>
            </w:r>
            <w:r w:rsidRPr="00A02696">
              <w:rPr>
                <w:sz w:val="18"/>
                <w:szCs w:val="20"/>
                <w:vertAlign w:val="superscript"/>
                <w:lang w:val="en-US"/>
              </w:rPr>
              <w:t xml:space="preserve"> b</w:t>
            </w:r>
            <w:r w:rsidRPr="002055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fr-FR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830/2157 (35.6) 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521/1451 (33.6) 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0.37</w:t>
            </w:r>
          </w:p>
        </w:tc>
      </w:tr>
      <w:tr w:rsidR="00A02696" w:rsidRPr="00E34A46" w:rsidTr="0059136E">
        <w:trPr>
          <w:trHeight w:val="20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Severe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neonatal</w:t>
            </w:r>
            <w:proofErr w:type="spellEnd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34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morbidities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254/2058 (6.6)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154/1357 (5.4)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E34A46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34A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0.13</w:t>
            </w:r>
          </w:p>
        </w:tc>
      </w:tr>
    </w:tbl>
    <w:p w:rsidR="00A02696" w:rsidRPr="006747A0" w:rsidRDefault="00A02696" w:rsidP="00A02696">
      <w:pPr>
        <w:spacing w:after="0" w:line="240" w:lineRule="auto"/>
        <w:ind w:right="118"/>
        <w:jc w:val="both"/>
        <w:rPr>
          <w:sz w:val="18"/>
          <w:szCs w:val="20"/>
          <w:lang w:val="en-US"/>
        </w:rPr>
      </w:pPr>
      <w:r w:rsidRPr="006747A0">
        <w:rPr>
          <w:sz w:val="18"/>
          <w:szCs w:val="20"/>
          <w:lang w:val="en-US"/>
        </w:rPr>
        <w:t xml:space="preserve">Data are No./total (%), unless otherwise indicated. Denominators vary according to the number of missing </w:t>
      </w:r>
      <w:proofErr w:type="gramStart"/>
      <w:r w:rsidRPr="006747A0">
        <w:rPr>
          <w:sz w:val="18"/>
          <w:szCs w:val="20"/>
          <w:lang w:val="en-US"/>
        </w:rPr>
        <w:t>data</w:t>
      </w:r>
      <w:proofErr w:type="gramEnd"/>
      <w:r w:rsidRPr="006747A0">
        <w:rPr>
          <w:sz w:val="18"/>
          <w:szCs w:val="20"/>
          <w:lang w:val="en-US"/>
        </w:rPr>
        <w:t xml:space="preserve"> for each variable. Percentages are weighted to consider the differences in survey design between gestational age groups.</w:t>
      </w:r>
    </w:p>
    <w:p w:rsidR="00A02696" w:rsidRPr="006747A0" w:rsidRDefault="00A02696" w:rsidP="00A02696">
      <w:pPr>
        <w:spacing w:after="0" w:line="240" w:lineRule="auto"/>
        <w:ind w:right="118"/>
        <w:jc w:val="both"/>
        <w:rPr>
          <w:sz w:val="18"/>
          <w:szCs w:val="20"/>
          <w:lang w:val="en-US"/>
        </w:rPr>
      </w:pPr>
    </w:p>
    <w:p w:rsidR="00A02696" w:rsidRPr="006747A0" w:rsidRDefault="00A02696" w:rsidP="00A02696">
      <w:pPr>
        <w:spacing w:after="0" w:line="240" w:lineRule="auto"/>
        <w:ind w:right="118"/>
        <w:jc w:val="both"/>
        <w:rPr>
          <w:sz w:val="18"/>
          <w:szCs w:val="20"/>
          <w:lang w:val="en-US"/>
        </w:rPr>
      </w:pPr>
      <w:r w:rsidRPr="0020558D">
        <w:rPr>
          <w:rFonts w:ascii="Calibri" w:eastAsia="Times New Roman" w:hAnsi="Calibri" w:cs="Calibri"/>
          <w:b/>
          <w:bCs/>
          <w:color w:val="000000"/>
          <w:sz w:val="20"/>
          <w:szCs w:val="20"/>
          <w:vertAlign w:val="superscript"/>
          <w:lang w:val="en-GB" w:eastAsia="fr-FR"/>
        </w:rPr>
        <w:t>a</w:t>
      </w:r>
      <w:r w:rsidRPr="006747A0">
        <w:rPr>
          <w:sz w:val="18"/>
          <w:szCs w:val="20"/>
          <w:lang w:val="en-US"/>
        </w:rPr>
        <w:t xml:space="preserve"> Defined as the highest occupational status between occupations of the mother and the father, or mother only if living alone.</w:t>
      </w:r>
    </w:p>
    <w:p w:rsidR="00A02696" w:rsidRDefault="00A02696" w:rsidP="00A02696">
      <w:pPr>
        <w:spacing w:after="0" w:line="240" w:lineRule="auto"/>
        <w:ind w:right="118"/>
        <w:jc w:val="both"/>
        <w:rPr>
          <w:sz w:val="18"/>
          <w:szCs w:val="20"/>
          <w:lang w:val="en-US"/>
        </w:rPr>
        <w:sectPr w:rsidR="00A02696" w:rsidSect="005913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2696">
        <w:rPr>
          <w:sz w:val="18"/>
          <w:szCs w:val="20"/>
          <w:vertAlign w:val="superscript"/>
          <w:lang w:val="en-US"/>
        </w:rPr>
        <w:t>b</w:t>
      </w:r>
      <w:r w:rsidRPr="006747A0">
        <w:rPr>
          <w:sz w:val="18"/>
          <w:szCs w:val="20"/>
          <w:lang w:val="en-US"/>
        </w:rPr>
        <w:t xml:space="preserve"> Small for GA was defined as birth weight less than the 10th percentile for gestational age and sex based on French intrauterine “</w:t>
      </w:r>
      <w:proofErr w:type="spellStart"/>
      <w:r w:rsidRPr="006747A0">
        <w:rPr>
          <w:sz w:val="18"/>
          <w:szCs w:val="20"/>
          <w:lang w:val="en-US"/>
        </w:rPr>
        <w:t>EPOPé</w:t>
      </w:r>
      <w:proofErr w:type="spellEnd"/>
      <w:r w:rsidRPr="006747A0">
        <w:rPr>
          <w:sz w:val="18"/>
          <w:szCs w:val="20"/>
          <w:lang w:val="en-US"/>
        </w:rPr>
        <w:t>” growth curves</w:t>
      </w:r>
    </w:p>
    <w:p w:rsidR="0020558D" w:rsidRDefault="0020558D">
      <w:pPr>
        <w:rPr>
          <w:rFonts w:cstheme="minorHAnsi"/>
          <w:b/>
          <w:iCs/>
          <w:color w:val="000000"/>
          <w:szCs w:val="20"/>
          <w:lang w:val="en-US"/>
        </w:rPr>
      </w:pPr>
    </w:p>
    <w:p w:rsidR="00A02696" w:rsidRPr="006967A2" w:rsidRDefault="00A02696" w:rsidP="00A02696">
      <w:pPr>
        <w:rPr>
          <w:rFonts w:cstheme="minorHAnsi"/>
          <w:b/>
          <w:iCs/>
          <w:color w:val="000000"/>
          <w:szCs w:val="20"/>
          <w:lang w:val="en-US"/>
        </w:rPr>
      </w:pPr>
      <w:r>
        <w:rPr>
          <w:rFonts w:cstheme="minorHAnsi"/>
          <w:b/>
          <w:iCs/>
          <w:color w:val="000000"/>
          <w:szCs w:val="20"/>
          <w:lang w:val="en-US"/>
        </w:rPr>
        <w:t>S</w:t>
      </w:r>
      <w:r w:rsidRPr="001347D0">
        <w:rPr>
          <w:rFonts w:cstheme="minorHAnsi"/>
          <w:b/>
          <w:iCs/>
          <w:color w:val="000000"/>
          <w:szCs w:val="20"/>
          <w:lang w:val="en-US"/>
        </w:rPr>
        <w:t xml:space="preserve">upplemental table </w:t>
      </w:r>
      <w:r>
        <w:rPr>
          <w:rFonts w:cstheme="minorHAnsi"/>
          <w:b/>
          <w:iCs/>
          <w:color w:val="000000"/>
          <w:szCs w:val="20"/>
          <w:lang w:val="en-US"/>
        </w:rPr>
        <w:t>2</w:t>
      </w:r>
      <w:r w:rsidRPr="00064C5A">
        <w:rPr>
          <w:rFonts w:cs="Calibri"/>
          <w:b/>
          <w:iCs/>
          <w:color w:val="000000"/>
          <w:lang w:val="en-US"/>
        </w:rPr>
        <w:t xml:space="preserve">. </w:t>
      </w:r>
      <w:r w:rsidRPr="00707C5D">
        <w:rPr>
          <w:rFonts w:eastAsia="Times New Roman" w:cstheme="minorHAnsi"/>
          <w:color w:val="0A0A0A"/>
          <w:lang w:val="en-US" w:eastAsia="fr-FR"/>
        </w:rPr>
        <w:t>Behavior</w:t>
      </w:r>
      <w:r>
        <w:rPr>
          <w:rFonts w:eastAsia="Times New Roman" w:cstheme="minorHAnsi"/>
          <w:color w:val="0A0A0A"/>
          <w:lang w:val="en-US" w:eastAsia="fr-FR"/>
        </w:rPr>
        <w:t xml:space="preserve"> and communication mean score o</w:t>
      </w:r>
      <w:r w:rsidRPr="00064C5A">
        <w:rPr>
          <w:rFonts w:cstheme="minorHAnsi"/>
          <w:iCs/>
          <w:color w:val="000000"/>
          <w:lang w:val="en-US"/>
        </w:rPr>
        <w:t>utcome</w:t>
      </w:r>
      <w:r>
        <w:rPr>
          <w:rFonts w:cstheme="minorHAnsi"/>
          <w:iCs/>
          <w:color w:val="000000"/>
          <w:lang w:val="en-US"/>
        </w:rPr>
        <w:t xml:space="preserve"> at 2 and 5 years </w:t>
      </w:r>
      <w:r w:rsidRPr="000665A2">
        <w:rPr>
          <w:rFonts w:cstheme="minorHAnsi"/>
          <w:lang w:val="en-US"/>
        </w:rPr>
        <w:t>according to maternal autoimmune disease exposure</w:t>
      </w:r>
      <w:r w:rsidR="004C1B74">
        <w:rPr>
          <w:rFonts w:cstheme="minorHAnsi"/>
          <w:lang w:val="en-US"/>
        </w:rPr>
        <w:t>, among survivors at 5, n=3609</w:t>
      </w:r>
      <w:r w:rsidRPr="000665A2">
        <w:rPr>
          <w:rFonts w:cstheme="minorHAnsi"/>
          <w:lang w:val="en-US"/>
        </w:rPr>
        <w:t>.</w:t>
      </w:r>
    </w:p>
    <w:tbl>
      <w:tblPr>
        <w:tblW w:w="13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340"/>
        <w:gridCol w:w="1432"/>
        <w:gridCol w:w="851"/>
        <w:gridCol w:w="1680"/>
        <w:gridCol w:w="1960"/>
        <w:gridCol w:w="3022"/>
      </w:tblGrid>
      <w:tr w:rsidR="00A02696" w:rsidRPr="004B593A" w:rsidTr="004C1B74">
        <w:trPr>
          <w:trHeight w:val="113"/>
        </w:trPr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20558D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fr-FR"/>
              </w:rPr>
            </w:pPr>
            <w:r w:rsidRPr="0020558D">
              <w:rPr>
                <w:rFonts w:ascii="Calibri" w:eastAsia="Times New Roman" w:hAnsi="Calibri" w:cs="Calibri"/>
                <w:sz w:val="20"/>
                <w:szCs w:val="20"/>
                <w:lang w:val="en-GB" w:eastAsia="fr-FR"/>
              </w:rPr>
              <w:t> 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Maternal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autoimmune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diseases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Exposed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vs 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Unexposed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,</w:t>
            </w:r>
          </w:p>
        </w:tc>
      </w:tr>
      <w:tr w:rsidR="00A02696" w:rsidRPr="00363C5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Unexposed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(n=3454)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Exposed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(n=155)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mean</w:t>
            </w:r>
            <w:proofErr w:type="spellEnd"/>
            <w:proofErr w:type="gram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difference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(95% CI)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</w:pP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  <w:t xml:space="preserve">Adjusted mean difference (95% </w:t>
            </w:r>
            <w:proofErr w:type="gram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  <w:t>CI)</w:t>
            </w: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val="en-US" w:eastAsia="fr-FR"/>
              </w:rPr>
              <w:t>a</w:t>
            </w:r>
            <w:proofErr w:type="gramEnd"/>
          </w:p>
        </w:tc>
        <w:tc>
          <w:tcPr>
            <w:tcW w:w="30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</w:pP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  <w:t xml:space="preserve">Adjusted mean difference (95% </w:t>
            </w:r>
            <w:proofErr w:type="gram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  <w:t>CI)</w:t>
            </w: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val="en-US" w:eastAsia="fr-FR"/>
              </w:rPr>
              <w:t>a</w:t>
            </w:r>
            <w:proofErr w:type="gram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  <w:t xml:space="preserve">, after multiple Imputation  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mean</w:t>
            </w:r>
            <w:proofErr w:type="spellEnd"/>
            <w:proofErr w:type="gram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sd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mean</w:t>
            </w:r>
            <w:proofErr w:type="spellEnd"/>
            <w:proofErr w:type="gram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sd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p</w:t>
            </w:r>
            <w:proofErr w:type="gram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-value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0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At 2 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years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’ 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corrected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age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Total ASQ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score</w:t>
            </w:r>
            <w:r w:rsidRPr="004B593A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fr-FR"/>
              </w:rPr>
              <w:t>b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231.8 (45.3)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228.6 (47.7)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-3.3 (-15.9 to 9.3)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-0.7 (-10.6 to 9.2) 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0.7 (-9.6 to 11.0)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By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domain</w:t>
            </w:r>
            <w:r w:rsidR="0059136E" w:rsidRPr="004B593A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fr-FR"/>
              </w:rPr>
              <w:t>b</w:t>
            </w:r>
            <w:proofErr w:type="spellEnd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,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</w:t>
            </w: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Communication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44.1 (16.1)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43.1 (16.9)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-1.0 (-5.2 to 3.3)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-0.4 (-4.1 to 3.3)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-0.5 (-4.3 to 3.3)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</w:t>
            </w: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Gross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motor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51.6 (11.0)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50.8 (9.4)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-0.8 (-3.4 to 1.7)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0.3 (-1.7 to 2.3) 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0.5 (-2.7 to 3.8)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</w:t>
            </w: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Fine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motor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48.4 (9.4)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48.9 (8.5)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0.5 (-1.7 to 2.8)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0.2 (-1.6 to 2.1) 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0.5 (-1.5 to 2.6)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Problem</w:t>
            </w:r>
            <w:proofErr w:type="spellEnd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solving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42.6 (12.0)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42.2 (12.2)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-0.4 (-3.3 to 2.6)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0.0 (-2.3 to 2.3)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0.4 (-2.0 to 2.8)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Personal</w:t>
            </w:r>
            <w:proofErr w:type="spellEnd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-social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45.2 (11.4)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44.0 (13.3)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0.83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-1.1 (-4.8 to 2.6)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-0.6 (-3.3 to 2.0)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-0.2 (-3.5 to 3.0)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At 5</w:t>
            </w:r>
            <w:bookmarkStart w:id="0" w:name="_GoBack"/>
            <w:bookmarkEnd w:id="0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 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years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of 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age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Behaviour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al</w:t>
            </w:r>
            <w:proofErr w:type="spellEnd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difficulties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Total SDQ </w:t>
            </w:r>
            <w:proofErr w:type="spellStart"/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score</w:t>
            </w:r>
            <w:r w:rsidR="004C1B74"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fr-FR"/>
              </w:rPr>
              <w:t>c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10.0 (5.6)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8.9 (5.3)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0.190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-1.1 (-2.6 to 0.3)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-0.2 (-1.4 to 1.0)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0.0 (-1.1 to 1.2) 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By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domain</w:t>
            </w:r>
            <w:r w:rsidR="004C1B74"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fr-FR"/>
              </w:rPr>
              <w:t>c</w:t>
            </w:r>
            <w:proofErr w:type="spellEnd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,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Emotional</w:t>
            </w:r>
            <w:proofErr w:type="spellEnd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symptoms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2.5 (2.1)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2.1 (2.2)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-0.4 (-1.0 to 0.2)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-0.1 (-0.5 to 0.4)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0.0 (-0.5 to 0.4)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Conduct</w:t>
            </w:r>
            <w:proofErr w:type="spellEnd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problems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2.1 (1.6)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1.8 (1.6)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-0.3 (-0.8 to 0.1)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-0.2 (-0.5 to 0.1)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-0.1 (-0.4 to 0.2)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Hyperactivity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3.9 (2.7)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3.8 (2.6)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-0.1 (-0.7 to 0.5)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0.2 (-0.3 to 0.8)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0.2 (-0.3 to 0.7)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</w:t>
            </w: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Peer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problems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1.4 (1.6)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1.1 (1.5)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-0.3 (-0.7 to 0.1)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-0.2 (-0.5 to 0.2) 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0.0 (-0.4 to 0.3)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Social communication</w:t>
            </w:r>
            <w:r w:rsidR="005913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59136E"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difficulties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59136E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59136E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Total SCQ </w:t>
            </w:r>
            <w:proofErr w:type="spellStart"/>
            <w:r w:rsidRPr="0059136E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score</w:t>
            </w:r>
            <w:r w:rsidR="004C1B74"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fr-FR"/>
              </w:rPr>
              <w:t>c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5.6 (3.7)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4.5 (3.2)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0.039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-1.0 (-1.8 to -0.3)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0.1 (-0.7 to 0.9)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0.0 (-0.7 to 0.8)</w:t>
            </w:r>
          </w:p>
        </w:tc>
      </w:tr>
      <w:tr w:rsidR="0059136E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36E" w:rsidRPr="0059136E" w:rsidRDefault="0059136E" w:rsidP="00E961E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By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domain</w:t>
            </w:r>
            <w:r w:rsidR="004C1B74" w:rsidRPr="004B593A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fr-FR"/>
              </w:rPr>
              <w:t>c</w:t>
            </w:r>
            <w:proofErr w:type="spellEnd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,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36E" w:rsidRPr="004B593A" w:rsidRDefault="0059136E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36E" w:rsidRPr="004B593A" w:rsidRDefault="0059136E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36E" w:rsidRPr="004B593A" w:rsidRDefault="0059136E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36E" w:rsidRPr="004B593A" w:rsidRDefault="0059136E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36E" w:rsidRPr="004B593A" w:rsidRDefault="0059136E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36E" w:rsidRPr="004B593A" w:rsidRDefault="0059136E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</w:t>
            </w:r>
            <w:proofErr w:type="spellStart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Reciprocal</w:t>
            </w:r>
            <w:proofErr w:type="spellEnd"/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Social Interaction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1.1 (1.3)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0.8 (1.1)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0.033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-0.3 (-0.6 to -0.1)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0.0 (-0.2 to 0.3)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0.0 (-0.3 to 0.3)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</w:t>
            </w: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Communication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2.4 (1.8)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2.3 (1.7)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0.66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-0.1 (-0.6 to 0.4)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0.1 (-0.4 to 0.5)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0.0 (-0.3 to 0.4)</w:t>
            </w:r>
          </w:p>
        </w:tc>
      </w:tr>
      <w:tr w:rsidR="00A02696" w:rsidRPr="004B593A" w:rsidTr="004C1B74">
        <w:trPr>
          <w:trHeight w:val="113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2696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 </w:t>
            </w:r>
            <w:r w:rsidRPr="004B593A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Restricted, Repetitive, and </w:t>
            </w:r>
          </w:p>
          <w:p w:rsidR="00A02696" w:rsidRPr="004B593A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 xml:space="preserve">  </w:t>
            </w:r>
            <w:r w:rsidRPr="004B593A">
              <w:rPr>
                <w:rFonts w:ascii="Calibri" w:eastAsia="Times New Roman" w:hAnsi="Calibri" w:cs="Calibri"/>
                <w:sz w:val="20"/>
                <w:szCs w:val="20"/>
                <w:lang w:val="en-US" w:eastAsia="fr-FR"/>
              </w:rPr>
              <w:t>Stereotyped Patterns of Behavior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1.8 (1.9)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1.3 (1.8)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-0.5 (-1.0 to 0.0)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0.0 (-0.4 to 0.5)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4B593A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593A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0.0 (-0.4 to 0.5)</w:t>
            </w:r>
          </w:p>
        </w:tc>
      </w:tr>
    </w:tbl>
    <w:p w:rsidR="00A02696" w:rsidRPr="006747A0" w:rsidRDefault="00A02696" w:rsidP="00C86C90">
      <w:pPr>
        <w:spacing w:after="0" w:line="240" w:lineRule="auto"/>
        <w:ind w:right="-171"/>
        <w:rPr>
          <w:rFonts w:cs="Calibri"/>
          <w:iCs/>
          <w:color w:val="000000"/>
          <w:sz w:val="18"/>
          <w:szCs w:val="16"/>
          <w:lang w:val="en-US"/>
        </w:rPr>
      </w:pPr>
      <w:r w:rsidRPr="006747A0">
        <w:rPr>
          <w:rFonts w:cs="Calibri"/>
          <w:iCs/>
          <w:color w:val="000000"/>
          <w:sz w:val="18"/>
          <w:szCs w:val="16"/>
          <w:lang w:val="en-US"/>
        </w:rPr>
        <w:t xml:space="preserve">Data are No./total (weighted %), unless otherwise indicated. Denominators vary according to the number of missing </w:t>
      </w:r>
      <w:proofErr w:type="gramStart"/>
      <w:r w:rsidRPr="006747A0">
        <w:rPr>
          <w:rFonts w:cs="Calibri"/>
          <w:iCs/>
          <w:color w:val="000000"/>
          <w:sz w:val="18"/>
          <w:szCs w:val="16"/>
          <w:lang w:val="en-US"/>
        </w:rPr>
        <w:t>data</w:t>
      </w:r>
      <w:proofErr w:type="gramEnd"/>
      <w:r w:rsidRPr="006747A0">
        <w:rPr>
          <w:rFonts w:cs="Calibri"/>
          <w:iCs/>
          <w:color w:val="000000"/>
          <w:sz w:val="18"/>
          <w:szCs w:val="16"/>
          <w:lang w:val="en-US"/>
        </w:rPr>
        <w:t xml:space="preserve"> for each variable. </w:t>
      </w:r>
      <w:r>
        <w:rPr>
          <w:rFonts w:cs="Calibri"/>
          <w:iCs/>
          <w:color w:val="000000"/>
          <w:sz w:val="18"/>
          <w:szCs w:val="16"/>
          <w:lang w:val="en-US"/>
        </w:rPr>
        <w:t>Mean</w:t>
      </w:r>
      <w:r w:rsidRPr="006747A0">
        <w:rPr>
          <w:rFonts w:cs="Calibri"/>
          <w:iCs/>
          <w:color w:val="000000"/>
          <w:sz w:val="18"/>
          <w:szCs w:val="16"/>
          <w:lang w:val="en-US"/>
        </w:rPr>
        <w:t xml:space="preserve"> are weighted to consider the differences in survey design between gestational age groups.</w:t>
      </w:r>
    </w:p>
    <w:p w:rsidR="00A02696" w:rsidRDefault="00A02696" w:rsidP="00C86C90">
      <w:pPr>
        <w:spacing w:after="0" w:line="240" w:lineRule="auto"/>
        <w:ind w:right="-171"/>
        <w:rPr>
          <w:rFonts w:cs="Calibri"/>
          <w:iCs/>
          <w:color w:val="000000"/>
          <w:sz w:val="18"/>
          <w:szCs w:val="16"/>
          <w:lang w:val="en-US"/>
        </w:rPr>
      </w:pPr>
      <w:r w:rsidRPr="006747A0">
        <w:rPr>
          <w:rFonts w:cs="Calibri"/>
          <w:iCs/>
          <w:color w:val="000000"/>
          <w:sz w:val="18"/>
          <w:szCs w:val="16"/>
          <w:lang w:val="en-US"/>
        </w:rPr>
        <w:t>Abbreviations: ASQ, Ages &amp; Stages Questionnaire; M-CHAT, Modified Checklist for Autism in Toddlers; SCQ, Social Communication Questionnaire; SDQ, Strengths and difficulties questionnaire.</w:t>
      </w:r>
    </w:p>
    <w:p w:rsidR="00A02696" w:rsidRPr="006747A0" w:rsidRDefault="00A02696" w:rsidP="00C86C90">
      <w:pPr>
        <w:spacing w:after="0" w:line="240" w:lineRule="auto"/>
        <w:ind w:right="-171"/>
        <w:rPr>
          <w:rFonts w:ascii="Calibri" w:eastAsia="Times New Roman" w:hAnsi="Calibri" w:cs="Calibri"/>
          <w:color w:val="000000"/>
          <w:sz w:val="18"/>
          <w:szCs w:val="16"/>
          <w:lang w:val="en-US" w:eastAsia="fr-FR"/>
        </w:rPr>
      </w:pPr>
      <w:r w:rsidRPr="006747A0">
        <w:rPr>
          <w:rFonts w:cstheme="minorHAnsi"/>
          <w:sz w:val="18"/>
          <w:szCs w:val="16"/>
          <w:vertAlign w:val="superscript"/>
          <w:lang w:val="en-US"/>
        </w:rPr>
        <w:lastRenderedPageBreak/>
        <w:t>a</w:t>
      </w:r>
      <w:r w:rsidRPr="006747A0">
        <w:rPr>
          <w:rFonts w:cstheme="minorHAnsi"/>
          <w:sz w:val="18"/>
          <w:szCs w:val="16"/>
          <w:lang w:val="en-US"/>
        </w:rPr>
        <w:t xml:space="preserve"> Logistic regression analysis with </w:t>
      </w:r>
      <w:r w:rsidRPr="006747A0">
        <w:rPr>
          <w:rFonts w:cstheme="minorHAnsi"/>
          <w:bCs/>
          <w:sz w:val="18"/>
          <w:szCs w:val="16"/>
          <w:lang w:val="en-US"/>
        </w:rPr>
        <w:t>cluster</w:t>
      </w:r>
      <w:r w:rsidRPr="006747A0">
        <w:rPr>
          <w:rFonts w:cstheme="minorHAnsi"/>
          <w:sz w:val="18"/>
          <w:szCs w:val="16"/>
          <w:lang w:val="en-US"/>
        </w:rPr>
        <w:t xml:space="preserve"> robust variance estimates to account for non-independence of twins, adjusted on </w:t>
      </w:r>
      <w:r w:rsidRPr="006747A0">
        <w:rPr>
          <w:rFonts w:ascii="Calibri" w:eastAsia="Times New Roman" w:hAnsi="Calibri" w:cs="Calibri"/>
          <w:color w:val="000000"/>
          <w:sz w:val="18"/>
          <w:szCs w:val="16"/>
          <w:lang w:val="en-US" w:eastAsia="fr-FR"/>
        </w:rPr>
        <w:t>maternal age, primiparity, maternal birth in France, maternal level of education, parents’ socio-economic status, tobacco use during pregnancy, gestational age and child sex.</w:t>
      </w:r>
      <w:r w:rsidR="00444FBD">
        <w:rPr>
          <w:rFonts w:ascii="Calibri" w:eastAsia="Times New Roman" w:hAnsi="Calibri" w:cs="Calibri"/>
          <w:color w:val="000000"/>
          <w:sz w:val="18"/>
          <w:szCs w:val="16"/>
          <w:lang w:val="en-US" w:eastAsia="fr-FR"/>
        </w:rPr>
        <w:t xml:space="preserve"> </w:t>
      </w:r>
      <w:r w:rsidRPr="006747A0">
        <w:rPr>
          <w:rFonts w:ascii="Calibri" w:eastAsia="Times New Roman" w:hAnsi="Calibri" w:cs="Calibri"/>
          <w:color w:val="000000"/>
          <w:sz w:val="18"/>
          <w:szCs w:val="16"/>
          <w:vertAlign w:val="superscript"/>
          <w:lang w:val="en-US" w:eastAsia="fr-FR"/>
        </w:rPr>
        <w:t>b</w:t>
      </w:r>
      <w:r>
        <w:rPr>
          <w:rFonts w:cs="Calibri"/>
          <w:iCs/>
          <w:color w:val="000000"/>
          <w:sz w:val="18"/>
          <w:szCs w:val="16"/>
          <w:lang w:val="en-US"/>
        </w:rPr>
        <w:t xml:space="preserve"> </w:t>
      </w:r>
      <w:r w:rsidRPr="00773B0A">
        <w:rPr>
          <w:rFonts w:cstheme="minorHAnsi"/>
          <w:sz w:val="18"/>
          <w:szCs w:val="18"/>
          <w:lang w:val="en-US"/>
        </w:rPr>
        <w:t xml:space="preserve">Higher scores correspond to better </w:t>
      </w:r>
      <w:r w:rsidRPr="006747A0">
        <w:rPr>
          <w:rFonts w:cs="Calibri"/>
          <w:iCs/>
          <w:color w:val="000000"/>
          <w:sz w:val="18"/>
          <w:szCs w:val="16"/>
          <w:lang w:val="en-US"/>
        </w:rPr>
        <w:t>development</w:t>
      </w:r>
      <w:r>
        <w:rPr>
          <w:rFonts w:cs="Calibri"/>
          <w:iCs/>
          <w:color w:val="000000"/>
          <w:sz w:val="18"/>
          <w:szCs w:val="16"/>
          <w:lang w:val="en-US"/>
        </w:rPr>
        <w:t xml:space="preserve"> assessment.</w:t>
      </w:r>
      <w:r w:rsidR="00444FBD">
        <w:rPr>
          <w:rFonts w:ascii="Calibri" w:eastAsia="Times New Roman" w:hAnsi="Calibri" w:cs="Calibri"/>
          <w:color w:val="000000"/>
          <w:sz w:val="18"/>
          <w:szCs w:val="16"/>
          <w:lang w:val="en-US" w:eastAsia="fr-FR"/>
        </w:rPr>
        <w:t xml:space="preserve"> </w:t>
      </w:r>
      <w:r w:rsidRPr="006747A0">
        <w:rPr>
          <w:rFonts w:cs="Calibri"/>
          <w:iCs/>
          <w:color w:val="000000"/>
          <w:sz w:val="18"/>
          <w:szCs w:val="16"/>
          <w:vertAlign w:val="superscript"/>
          <w:lang w:val="en-US"/>
        </w:rPr>
        <w:t>c</w:t>
      </w:r>
      <w:r w:rsidRPr="006747A0">
        <w:rPr>
          <w:rFonts w:cs="Calibri"/>
          <w:iCs/>
          <w:color w:val="000000"/>
          <w:sz w:val="18"/>
          <w:szCs w:val="16"/>
          <w:lang w:val="en-US"/>
        </w:rPr>
        <w:t xml:space="preserve"> </w:t>
      </w:r>
      <w:r w:rsidRPr="00773B0A">
        <w:rPr>
          <w:rFonts w:cstheme="minorHAnsi"/>
          <w:sz w:val="18"/>
          <w:szCs w:val="18"/>
          <w:lang w:val="en-US"/>
        </w:rPr>
        <w:t xml:space="preserve">Higher scores correspond to </w:t>
      </w:r>
      <w:r>
        <w:rPr>
          <w:rFonts w:cstheme="minorHAnsi"/>
          <w:sz w:val="18"/>
          <w:szCs w:val="18"/>
          <w:lang w:val="en-US"/>
        </w:rPr>
        <w:t>more difficulties.</w:t>
      </w:r>
    </w:p>
    <w:p w:rsidR="00A02696" w:rsidRDefault="00A02696" w:rsidP="00C86C90">
      <w:pPr>
        <w:spacing w:after="0" w:line="240" w:lineRule="auto"/>
        <w:ind w:right="-171"/>
        <w:rPr>
          <w:rFonts w:cs="Calibri"/>
          <w:iCs/>
          <w:color w:val="000000"/>
          <w:sz w:val="18"/>
          <w:szCs w:val="16"/>
          <w:lang w:val="en-US"/>
        </w:rPr>
        <w:sectPr w:rsidR="00A02696" w:rsidSect="0059136E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02696" w:rsidRPr="007F3D61" w:rsidRDefault="00A02696" w:rsidP="00A02696">
      <w:pPr>
        <w:spacing w:after="0" w:line="240" w:lineRule="auto"/>
        <w:ind w:right="970"/>
        <w:jc w:val="both"/>
        <w:rPr>
          <w:rFonts w:eastAsia="Times New Roman" w:cstheme="minorHAnsi"/>
          <w:color w:val="0A0A0A"/>
          <w:lang w:val="en-US" w:eastAsia="fr-FR"/>
        </w:rPr>
      </w:pPr>
      <w:r w:rsidRPr="004F6B41">
        <w:rPr>
          <w:rFonts w:cs="Calibri"/>
          <w:b/>
          <w:iCs/>
          <w:color w:val="000000"/>
          <w:szCs w:val="20"/>
          <w:lang w:val="en-US"/>
        </w:rPr>
        <w:lastRenderedPageBreak/>
        <w:t xml:space="preserve">Supplemental </w:t>
      </w:r>
      <w:r>
        <w:rPr>
          <w:rFonts w:cs="Calibri"/>
          <w:b/>
          <w:iCs/>
          <w:color w:val="000000"/>
          <w:szCs w:val="20"/>
          <w:lang w:val="en-US"/>
        </w:rPr>
        <w:t>figure 1</w:t>
      </w:r>
      <w:r w:rsidRPr="004F6B41">
        <w:rPr>
          <w:rFonts w:cs="Calibri"/>
          <w:b/>
          <w:iCs/>
          <w:color w:val="000000"/>
          <w:szCs w:val="20"/>
          <w:lang w:val="en-US"/>
        </w:rPr>
        <w:t>.</w:t>
      </w:r>
      <w:r w:rsidRPr="004F6B41">
        <w:rPr>
          <w:rFonts w:cs="Calibri"/>
          <w:iCs/>
          <w:color w:val="000000"/>
          <w:szCs w:val="20"/>
          <w:lang w:val="en-US"/>
        </w:rPr>
        <w:t xml:space="preserve"> </w:t>
      </w:r>
      <w:r w:rsidRPr="007F3D61">
        <w:rPr>
          <w:rFonts w:eastAsia="Times New Roman" w:cstheme="minorHAnsi"/>
          <w:color w:val="0A0A0A"/>
          <w:lang w:val="en-US" w:eastAsia="fr-FR"/>
        </w:rPr>
        <w:t xml:space="preserve">Covariable balance in the </w:t>
      </w:r>
      <w:r w:rsidRPr="007F3D61">
        <w:rPr>
          <w:rFonts w:cstheme="minorHAnsi"/>
          <w:lang w:val="en-US"/>
        </w:rPr>
        <w:t>propensity score-matched sample.</w:t>
      </w:r>
    </w:p>
    <w:p w:rsidR="00A02696" w:rsidRDefault="00A02696" w:rsidP="00A02696">
      <w:pPr>
        <w:spacing w:after="0" w:line="240" w:lineRule="auto"/>
        <w:ind w:right="1506"/>
        <w:rPr>
          <w:rFonts w:cs="Calibri"/>
          <w:iCs/>
          <w:color w:val="000000"/>
          <w:sz w:val="18"/>
          <w:szCs w:val="18"/>
          <w:lang w:val="en-US"/>
        </w:rPr>
      </w:pPr>
    </w:p>
    <w:p w:rsidR="00A02696" w:rsidRPr="007A3594" w:rsidRDefault="00A02696" w:rsidP="00A02696">
      <w:pPr>
        <w:rPr>
          <w:rFonts w:cs="Calibri"/>
          <w:sz w:val="18"/>
          <w:szCs w:val="18"/>
          <w:lang w:val="en-US"/>
        </w:rPr>
      </w:pPr>
      <w:r w:rsidRPr="00132BDB">
        <w:rPr>
          <w:rFonts w:cs="Calibri"/>
          <w:noProof/>
          <w:sz w:val="18"/>
          <w:szCs w:val="18"/>
          <w:lang w:val="en-US"/>
        </w:rPr>
        <w:drawing>
          <wp:inline distT="0" distB="0" distL="0" distR="0" wp14:anchorId="6BE02A47" wp14:editId="11C2E998">
            <wp:extent cx="6363190" cy="4152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9335" cy="416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696" w:rsidRPr="00B72C3F" w:rsidRDefault="00A02696" w:rsidP="00A02696">
      <w:pPr>
        <w:rPr>
          <w:rFonts w:cstheme="minorHAnsi"/>
          <w:sz w:val="16"/>
          <w:szCs w:val="16"/>
          <w:lang w:val="en-US"/>
        </w:rPr>
      </w:pPr>
      <w:r w:rsidRPr="006747A0">
        <w:rPr>
          <w:rFonts w:cstheme="minorHAnsi"/>
          <w:sz w:val="18"/>
          <w:szCs w:val="20"/>
          <w:lang w:val="en-US"/>
        </w:rPr>
        <w:t>Each point illustrates the standardized difference for each variable in the full sample (green circle) and the propensity score-matched sample (orange triangle). The vertical dotted line at 10% illustrates the standard cut-off for acceptable imbalance between groups. 1</w:t>
      </w:r>
      <w:r>
        <w:rPr>
          <w:rFonts w:cstheme="minorHAnsi"/>
          <w:sz w:val="18"/>
          <w:szCs w:val="20"/>
          <w:lang w:val="en-US"/>
        </w:rPr>
        <w:t>55</w:t>
      </w:r>
      <w:r w:rsidRPr="006747A0">
        <w:rPr>
          <w:rFonts w:cstheme="minorHAnsi"/>
          <w:sz w:val="18"/>
          <w:szCs w:val="20"/>
          <w:lang w:val="en-US"/>
        </w:rPr>
        <w:t xml:space="preserve"> children in exposed group are matched to 1</w:t>
      </w:r>
      <w:r>
        <w:rPr>
          <w:rFonts w:cstheme="minorHAnsi"/>
          <w:sz w:val="18"/>
          <w:szCs w:val="20"/>
          <w:lang w:val="en-US"/>
        </w:rPr>
        <w:t>55</w:t>
      </w:r>
      <w:r w:rsidRPr="006747A0">
        <w:rPr>
          <w:rFonts w:cstheme="minorHAnsi"/>
          <w:sz w:val="18"/>
          <w:szCs w:val="20"/>
          <w:lang w:val="en-US"/>
        </w:rPr>
        <w:t xml:space="preserve"> non-exposed.</w:t>
      </w:r>
      <w:r w:rsidRPr="006747A0">
        <w:rPr>
          <w:rFonts w:cstheme="minorHAnsi"/>
          <w:sz w:val="18"/>
          <w:szCs w:val="20"/>
          <w:lang w:val="en-US"/>
        </w:rPr>
        <w:tab/>
      </w:r>
      <w:r w:rsidRPr="00B72C3F">
        <w:rPr>
          <w:rFonts w:cstheme="minorHAnsi"/>
          <w:sz w:val="16"/>
          <w:szCs w:val="16"/>
          <w:lang w:val="en-US"/>
        </w:rPr>
        <w:tab/>
      </w:r>
    </w:p>
    <w:p w:rsidR="00A02696" w:rsidRDefault="00A02696" w:rsidP="00A02696">
      <w:pPr>
        <w:rPr>
          <w:rFonts w:cstheme="minorHAnsi"/>
          <w:sz w:val="20"/>
          <w:szCs w:val="20"/>
          <w:lang w:val="en-US"/>
        </w:rPr>
      </w:pPr>
    </w:p>
    <w:p w:rsidR="00A02696" w:rsidRDefault="00A02696" w:rsidP="00A02696">
      <w:pPr>
        <w:rPr>
          <w:rFonts w:cstheme="minorHAnsi"/>
          <w:sz w:val="20"/>
          <w:szCs w:val="20"/>
          <w:lang w:val="en-US"/>
        </w:rPr>
      </w:pPr>
    </w:p>
    <w:p w:rsidR="00A02696" w:rsidRDefault="00A02696" w:rsidP="00A02696">
      <w:pPr>
        <w:rPr>
          <w:rFonts w:cstheme="minorHAnsi"/>
          <w:sz w:val="20"/>
          <w:szCs w:val="20"/>
          <w:lang w:val="en-US"/>
        </w:rPr>
      </w:pPr>
    </w:p>
    <w:p w:rsidR="00A02696" w:rsidRDefault="00A02696" w:rsidP="00A02696">
      <w:pPr>
        <w:rPr>
          <w:rFonts w:cstheme="minorHAnsi"/>
          <w:sz w:val="20"/>
          <w:szCs w:val="20"/>
          <w:lang w:val="en-US"/>
        </w:rPr>
      </w:pPr>
    </w:p>
    <w:p w:rsidR="00A02696" w:rsidRDefault="00A02696" w:rsidP="00A02696">
      <w:pPr>
        <w:rPr>
          <w:rFonts w:cstheme="minorHAnsi"/>
          <w:sz w:val="20"/>
          <w:szCs w:val="20"/>
          <w:lang w:val="en-US"/>
        </w:rPr>
      </w:pPr>
    </w:p>
    <w:p w:rsidR="00A02696" w:rsidRDefault="00A02696" w:rsidP="00A02696">
      <w:pPr>
        <w:rPr>
          <w:rFonts w:cstheme="minorHAnsi"/>
          <w:sz w:val="20"/>
          <w:szCs w:val="20"/>
          <w:lang w:val="en-US"/>
        </w:rPr>
      </w:pPr>
    </w:p>
    <w:p w:rsidR="00A02696" w:rsidRDefault="00A02696" w:rsidP="00A02696">
      <w:pPr>
        <w:rPr>
          <w:rFonts w:cs="Calibri"/>
          <w:b/>
          <w:iCs/>
          <w:color w:val="000000"/>
          <w:szCs w:val="20"/>
          <w:lang w:val="en-US"/>
        </w:rPr>
        <w:sectPr w:rsidR="00A02696" w:rsidSect="005913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136E" w:rsidRDefault="0059136E">
      <w:pPr>
        <w:rPr>
          <w:rFonts w:cs="Calibri"/>
          <w:b/>
          <w:iCs/>
          <w:color w:val="000000"/>
          <w:szCs w:val="20"/>
          <w:lang w:val="en-US"/>
        </w:rPr>
      </w:pPr>
      <w:r>
        <w:rPr>
          <w:rFonts w:cs="Calibri"/>
          <w:b/>
          <w:iCs/>
          <w:color w:val="000000"/>
          <w:szCs w:val="20"/>
          <w:lang w:val="en-US"/>
        </w:rPr>
        <w:br w:type="page"/>
      </w:r>
    </w:p>
    <w:p w:rsidR="00A02696" w:rsidRDefault="00A02696" w:rsidP="00A02696">
      <w:pPr>
        <w:rPr>
          <w:rFonts w:cstheme="minorHAnsi"/>
          <w:sz w:val="20"/>
          <w:szCs w:val="20"/>
          <w:lang w:val="en-US"/>
        </w:rPr>
      </w:pPr>
      <w:r w:rsidRPr="004F6B41">
        <w:rPr>
          <w:rFonts w:cs="Calibri"/>
          <w:b/>
          <w:iCs/>
          <w:color w:val="000000"/>
          <w:szCs w:val="20"/>
          <w:lang w:val="en-US"/>
        </w:rPr>
        <w:lastRenderedPageBreak/>
        <w:t xml:space="preserve">Supplemental table </w:t>
      </w:r>
      <w:r>
        <w:rPr>
          <w:rFonts w:cs="Calibri"/>
          <w:b/>
          <w:iCs/>
          <w:color w:val="000000"/>
          <w:szCs w:val="20"/>
          <w:lang w:val="en-US"/>
        </w:rPr>
        <w:t>3</w:t>
      </w:r>
      <w:r w:rsidRPr="004F6B41">
        <w:rPr>
          <w:rFonts w:cs="Calibri"/>
          <w:b/>
          <w:iCs/>
          <w:color w:val="000000"/>
          <w:szCs w:val="20"/>
          <w:lang w:val="en-US"/>
        </w:rPr>
        <w:t>.</w:t>
      </w:r>
      <w:r>
        <w:rPr>
          <w:rFonts w:cs="Calibri"/>
          <w:b/>
          <w:iCs/>
          <w:color w:val="000000"/>
          <w:szCs w:val="20"/>
          <w:lang w:val="en-US"/>
        </w:rPr>
        <w:t xml:space="preserve"> </w:t>
      </w:r>
      <w:r w:rsidRPr="00707C5D">
        <w:rPr>
          <w:rFonts w:eastAsia="Times New Roman" w:cstheme="minorHAnsi"/>
          <w:color w:val="0A0A0A"/>
          <w:lang w:val="en-US" w:eastAsia="fr-FR"/>
        </w:rPr>
        <w:t>Behavior</w:t>
      </w:r>
      <w:r>
        <w:rPr>
          <w:rFonts w:eastAsia="Times New Roman" w:cstheme="minorHAnsi"/>
          <w:color w:val="0A0A0A"/>
          <w:lang w:val="en-US" w:eastAsia="fr-FR"/>
        </w:rPr>
        <w:t xml:space="preserve"> and communication o</w:t>
      </w:r>
      <w:r w:rsidRPr="00064C5A">
        <w:rPr>
          <w:rFonts w:cstheme="minorHAnsi"/>
          <w:iCs/>
          <w:color w:val="000000"/>
          <w:lang w:val="en-US"/>
        </w:rPr>
        <w:t>utcome</w:t>
      </w:r>
      <w:r>
        <w:rPr>
          <w:rFonts w:cstheme="minorHAnsi"/>
          <w:iCs/>
          <w:color w:val="000000"/>
          <w:lang w:val="en-US"/>
        </w:rPr>
        <w:t xml:space="preserve"> at 2 and 5 years </w:t>
      </w:r>
      <w:r w:rsidRPr="000665A2">
        <w:rPr>
          <w:rFonts w:cstheme="minorHAnsi"/>
          <w:lang w:val="en-US"/>
        </w:rPr>
        <w:t>according to maternal autoimmune disease exposure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Cs/>
          <w:color w:val="000000"/>
          <w:lang w:val="en-US"/>
        </w:rPr>
        <w:t>for children without maternal immunosuppressive therapy</w:t>
      </w:r>
      <w:r w:rsidRPr="00D05209">
        <w:rPr>
          <w:rFonts w:cstheme="minorHAnsi"/>
          <w:iCs/>
          <w:color w:val="000000"/>
          <w:lang w:val="en-US"/>
        </w:rPr>
        <w:t>, n=3498.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4640"/>
      </w:tblGrid>
      <w:tr w:rsidR="00A02696" w:rsidRPr="007921D1" w:rsidTr="0059136E">
        <w:trPr>
          <w:trHeight w:val="227"/>
        </w:trPr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02696" w:rsidRPr="007921D1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792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Without</w:t>
            </w:r>
            <w:proofErr w:type="spellEnd"/>
            <w:r w:rsidRPr="00792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immunosuppressive </w:t>
            </w: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therapy</w:t>
            </w:r>
            <w:proofErr w:type="spellEnd"/>
            <w:r w:rsidRPr="00792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02696" w:rsidRPr="007921D1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Exposed</w:t>
            </w:r>
            <w:proofErr w:type="spellEnd"/>
            <w:r w:rsidRPr="00792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vs </w:t>
            </w: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Unexposed</w:t>
            </w:r>
            <w:proofErr w:type="spellEnd"/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aOR</w:t>
            </w:r>
            <w:proofErr w:type="spellEnd"/>
            <w:proofErr w:type="gramEnd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(95% CI), </w:t>
            </w: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after</w:t>
            </w:r>
            <w:proofErr w:type="spellEnd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multiple Imputation  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At 2 </w:t>
            </w: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years</w:t>
            </w:r>
            <w:proofErr w:type="spellEnd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’ </w:t>
            </w: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corrected</w:t>
            </w:r>
            <w:proofErr w:type="spellEnd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age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</w:pPr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  <w:t>Global developmental delay (ASQ score</w:t>
            </w:r>
            <w:r w:rsidRPr="006747A0">
              <w:rPr>
                <w:rFonts w:cstheme="minorHAnsi"/>
                <w:iCs/>
                <w:color w:val="000000"/>
                <w:sz w:val="18"/>
                <w:szCs w:val="20"/>
                <w:vertAlign w:val="superscript"/>
                <w:lang w:val="en-US"/>
              </w:rPr>
              <w:t xml:space="preserve"> a</w:t>
            </w:r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0.99 (0.66 to 1.50)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By </w:t>
            </w:r>
            <w:proofErr w:type="spellStart"/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domain</w:t>
            </w:r>
            <w:proofErr w:type="spellEnd"/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, 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Communication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1.11 (0.64 to 1.93)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Gross </w:t>
            </w:r>
            <w:proofErr w:type="spellStart"/>
            <w:r w:rsidRPr="00792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motor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0.91 (0.47 to 1.74)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Fine </w:t>
            </w:r>
            <w:proofErr w:type="spellStart"/>
            <w:r w:rsidRPr="00792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motor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0.85 (0.45 to 1.60)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92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Problem</w:t>
            </w:r>
            <w:proofErr w:type="spellEnd"/>
            <w:r w:rsidRPr="00792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92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solving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0.87 (0.49 to 1.55)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92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Personal</w:t>
            </w:r>
            <w:proofErr w:type="spellEnd"/>
            <w:r w:rsidRPr="00792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-social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1.49 (0.81 to 2.74)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Autistic</w:t>
            </w:r>
            <w:proofErr w:type="spellEnd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traits (M-CHAT</w:t>
            </w:r>
            <w:r w:rsidRPr="006747A0">
              <w:rPr>
                <w:rFonts w:cstheme="minorHAnsi"/>
                <w:iCs/>
                <w:color w:val="000000"/>
                <w:sz w:val="18"/>
                <w:szCs w:val="20"/>
                <w:vertAlign w:val="superscript"/>
                <w:lang w:val="en-US"/>
              </w:rPr>
              <w:t xml:space="preserve"> b</w:t>
            </w:r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0.61 (0.34 to 1.09)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At 5.5 </w:t>
            </w: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years</w:t>
            </w:r>
            <w:proofErr w:type="spellEnd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of </w:t>
            </w: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age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Behaviour</w:t>
            </w:r>
            <w:r w:rsidR="005913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al</w:t>
            </w:r>
            <w:proofErr w:type="spellEnd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difficulties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</w:pPr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fr-FR"/>
              </w:rPr>
              <w:t>Total SDQ score &gt;90th percentile</w:t>
            </w:r>
            <w:r w:rsidRPr="006747A0">
              <w:rPr>
                <w:rFonts w:cstheme="minorHAnsi"/>
                <w:iCs/>
                <w:color w:val="000000"/>
                <w:sz w:val="18"/>
                <w:szCs w:val="20"/>
                <w:vertAlign w:val="superscript"/>
                <w:lang w:val="en-US"/>
              </w:rPr>
              <w:t xml:space="preserve"> 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0.93 (0.44 to 1.96)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By </w:t>
            </w:r>
            <w:proofErr w:type="spellStart"/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domain</w:t>
            </w:r>
            <w:proofErr w:type="spellEnd"/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, 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Emotional</w:t>
            </w:r>
            <w:proofErr w:type="spellEnd"/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symptoms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0.99 (0.58 to 1.69)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Conduct</w:t>
            </w:r>
            <w:proofErr w:type="spellEnd"/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problems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0.82 (0.45 to 1.47)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Hyperactivity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1.28 (0.78 to 2.08)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Peer </w:t>
            </w:r>
            <w:proofErr w:type="spellStart"/>
            <w:r w:rsidRPr="007921D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problems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0.90 (0.48 to 1.70)</w:t>
            </w:r>
          </w:p>
        </w:tc>
      </w:tr>
      <w:tr w:rsidR="00A02696" w:rsidRPr="007921D1" w:rsidTr="0059136E">
        <w:trPr>
          <w:trHeight w:val="227"/>
        </w:trPr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A02696" w:rsidP="00E96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Social communication</w:t>
            </w:r>
            <w:r w:rsidR="005913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5913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difficulties</w:t>
            </w:r>
            <w:proofErr w:type="spellEnd"/>
            <w:r w:rsidR="0059136E" w:rsidRPr="006747A0">
              <w:rPr>
                <w:rFonts w:cstheme="minorHAnsi"/>
                <w:iCs/>
                <w:color w:val="000000"/>
                <w:sz w:val="18"/>
                <w:szCs w:val="20"/>
                <w:vertAlign w:val="superscript"/>
                <w:lang w:val="en-US"/>
              </w:rPr>
              <w:t xml:space="preserve"> d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2696" w:rsidRPr="007921D1" w:rsidRDefault="0059136E" w:rsidP="00E96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921D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fr-FR"/>
              </w:rPr>
              <w:t>0.95 (0.48 to 1.86)</w:t>
            </w:r>
            <w:r w:rsidR="00A02696" w:rsidRPr="007921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A02696" w:rsidRPr="006747A0" w:rsidRDefault="00A02696" w:rsidP="0059136E">
      <w:pPr>
        <w:spacing w:after="0" w:line="240" w:lineRule="auto"/>
        <w:ind w:right="708"/>
        <w:rPr>
          <w:rFonts w:eastAsia="Times New Roman" w:cstheme="minorHAnsi"/>
          <w:color w:val="000000"/>
          <w:sz w:val="18"/>
          <w:szCs w:val="20"/>
          <w:lang w:val="en-US" w:eastAsia="fr-FR"/>
        </w:rPr>
      </w:pPr>
      <w:r w:rsidRPr="006747A0">
        <w:rPr>
          <w:rFonts w:cstheme="minorHAnsi"/>
          <w:sz w:val="18"/>
          <w:szCs w:val="20"/>
          <w:lang w:val="en-US"/>
        </w:rPr>
        <w:t xml:space="preserve">Logistic regression analysis with </w:t>
      </w:r>
      <w:r w:rsidRPr="006747A0">
        <w:rPr>
          <w:rFonts w:cstheme="minorHAnsi"/>
          <w:bCs/>
          <w:sz w:val="18"/>
          <w:szCs w:val="20"/>
          <w:lang w:val="en-US"/>
        </w:rPr>
        <w:t>cluster</w:t>
      </w:r>
      <w:r w:rsidRPr="006747A0">
        <w:rPr>
          <w:rFonts w:cstheme="minorHAnsi"/>
          <w:sz w:val="18"/>
          <w:szCs w:val="20"/>
          <w:lang w:val="en-US"/>
        </w:rPr>
        <w:t xml:space="preserve"> robust variance estimates to account for non-independence of twins, adjusted on </w:t>
      </w:r>
      <w:r w:rsidRPr="006747A0">
        <w:rPr>
          <w:rFonts w:eastAsia="Times New Roman" w:cstheme="minorHAnsi"/>
          <w:color w:val="000000"/>
          <w:sz w:val="18"/>
          <w:szCs w:val="20"/>
          <w:lang w:val="en-US" w:eastAsia="fr-FR"/>
        </w:rPr>
        <w:t xml:space="preserve">maternal age, primiparity, maternal birth in France, maternal level of education, parents’ socio-economic status, tobacco use during pregnancy, </w:t>
      </w:r>
      <w:r>
        <w:rPr>
          <w:rFonts w:eastAsia="Times New Roman" w:cstheme="minorHAnsi"/>
          <w:color w:val="000000"/>
          <w:sz w:val="18"/>
          <w:szCs w:val="20"/>
          <w:lang w:val="en-US" w:eastAsia="fr-FR"/>
        </w:rPr>
        <w:t xml:space="preserve">and </w:t>
      </w:r>
      <w:r w:rsidRPr="006747A0">
        <w:rPr>
          <w:rFonts w:eastAsia="Times New Roman" w:cstheme="minorHAnsi"/>
          <w:color w:val="000000"/>
          <w:sz w:val="18"/>
          <w:szCs w:val="20"/>
          <w:lang w:val="en-US" w:eastAsia="fr-FR"/>
        </w:rPr>
        <w:t>gestational ag</w:t>
      </w:r>
      <w:r>
        <w:rPr>
          <w:rFonts w:eastAsia="Times New Roman" w:cstheme="minorHAnsi"/>
          <w:color w:val="000000"/>
          <w:sz w:val="18"/>
          <w:szCs w:val="20"/>
          <w:lang w:val="en-US" w:eastAsia="fr-FR"/>
        </w:rPr>
        <w:t>e</w:t>
      </w:r>
      <w:r w:rsidRPr="006747A0">
        <w:rPr>
          <w:rFonts w:eastAsia="Times New Roman" w:cstheme="minorHAnsi"/>
          <w:color w:val="000000"/>
          <w:sz w:val="18"/>
          <w:szCs w:val="20"/>
          <w:lang w:val="en-US" w:eastAsia="fr-FR"/>
        </w:rPr>
        <w:t>. Result after multiple imputation.</w:t>
      </w:r>
    </w:p>
    <w:p w:rsidR="0059136E" w:rsidRPr="006747A0" w:rsidRDefault="0059136E" w:rsidP="0059136E">
      <w:pPr>
        <w:spacing w:after="0" w:line="240" w:lineRule="auto"/>
        <w:ind w:right="708"/>
        <w:rPr>
          <w:rFonts w:cstheme="minorHAnsi"/>
          <w:iCs/>
          <w:color w:val="000000"/>
          <w:sz w:val="18"/>
          <w:szCs w:val="20"/>
          <w:lang w:val="en-US"/>
        </w:rPr>
      </w:pPr>
      <w:r w:rsidRPr="006747A0">
        <w:rPr>
          <w:rFonts w:cstheme="minorHAnsi"/>
          <w:iCs/>
          <w:color w:val="000000"/>
          <w:sz w:val="18"/>
          <w:szCs w:val="20"/>
          <w:lang w:val="en-US"/>
        </w:rPr>
        <w:t>Abbreviations: ASQ, Ages &amp; Stages Questionnaire; M-CHAT, Modified Checklist for Autism in Toddlers; SCQ, Social Communication Questionnaire; SDQ, Strengths and difficulties questionnaire.</w:t>
      </w:r>
    </w:p>
    <w:p w:rsidR="00A02696" w:rsidRPr="006747A0" w:rsidRDefault="00A02696" w:rsidP="0059136E">
      <w:pPr>
        <w:spacing w:after="0" w:line="240" w:lineRule="auto"/>
        <w:ind w:right="708"/>
        <w:rPr>
          <w:rFonts w:eastAsia="Times New Roman" w:cstheme="minorHAnsi"/>
          <w:color w:val="000000"/>
          <w:sz w:val="18"/>
          <w:szCs w:val="20"/>
          <w:lang w:val="en-US" w:eastAsia="fr-FR"/>
        </w:rPr>
      </w:pPr>
    </w:p>
    <w:p w:rsidR="00A02696" w:rsidRPr="006747A0" w:rsidRDefault="00A02696" w:rsidP="0059136E">
      <w:pPr>
        <w:spacing w:after="0" w:line="240" w:lineRule="auto"/>
        <w:ind w:right="708"/>
        <w:rPr>
          <w:rFonts w:cstheme="minorHAnsi"/>
          <w:iCs/>
          <w:color w:val="000000"/>
          <w:sz w:val="18"/>
          <w:szCs w:val="20"/>
          <w:lang w:val="en-US"/>
        </w:rPr>
      </w:pPr>
      <w:r w:rsidRPr="006747A0">
        <w:rPr>
          <w:rFonts w:cstheme="minorHAnsi"/>
          <w:iCs/>
          <w:color w:val="000000"/>
          <w:sz w:val="18"/>
          <w:szCs w:val="20"/>
          <w:vertAlign w:val="superscript"/>
          <w:lang w:val="en-US"/>
        </w:rPr>
        <w:t>a</w:t>
      </w:r>
      <w:r w:rsidRPr="006747A0">
        <w:rPr>
          <w:rFonts w:cstheme="minorHAnsi"/>
          <w:iCs/>
          <w:color w:val="000000"/>
          <w:sz w:val="18"/>
          <w:szCs w:val="20"/>
          <w:lang w:val="en-US"/>
        </w:rPr>
        <w:t xml:space="preserve"> Risk of developmental delay is defined by an ASQ score &lt; 2 SDs from the mean in any of the five ASQ domains.</w:t>
      </w:r>
    </w:p>
    <w:p w:rsidR="00A02696" w:rsidRPr="006747A0" w:rsidRDefault="00A02696" w:rsidP="0059136E">
      <w:pPr>
        <w:spacing w:after="0" w:line="240" w:lineRule="auto"/>
        <w:ind w:right="708"/>
        <w:rPr>
          <w:rFonts w:cstheme="minorHAnsi"/>
          <w:iCs/>
          <w:color w:val="000000"/>
          <w:sz w:val="18"/>
          <w:szCs w:val="20"/>
          <w:lang w:val="en-US"/>
        </w:rPr>
      </w:pPr>
      <w:r w:rsidRPr="006747A0">
        <w:rPr>
          <w:rFonts w:cstheme="minorHAnsi"/>
          <w:iCs/>
          <w:color w:val="000000"/>
          <w:sz w:val="18"/>
          <w:szCs w:val="20"/>
          <w:vertAlign w:val="superscript"/>
          <w:lang w:val="en-US"/>
        </w:rPr>
        <w:t>b</w:t>
      </w:r>
      <w:r w:rsidRPr="006747A0">
        <w:rPr>
          <w:rFonts w:cstheme="minorHAnsi"/>
          <w:iCs/>
          <w:color w:val="000000"/>
          <w:sz w:val="18"/>
          <w:szCs w:val="20"/>
          <w:lang w:val="en-US"/>
        </w:rPr>
        <w:t xml:space="preserve"> Positive M-CHAT is defined by at least 3 of the 23 items failed.</w:t>
      </w:r>
    </w:p>
    <w:p w:rsidR="00A02696" w:rsidRPr="006747A0" w:rsidRDefault="00A02696" w:rsidP="0059136E">
      <w:pPr>
        <w:spacing w:after="0" w:line="240" w:lineRule="auto"/>
        <w:ind w:right="708"/>
        <w:rPr>
          <w:rFonts w:cstheme="minorHAnsi"/>
          <w:iCs/>
          <w:color w:val="000000"/>
          <w:sz w:val="18"/>
          <w:szCs w:val="20"/>
          <w:lang w:val="en-US"/>
        </w:rPr>
      </w:pPr>
      <w:r w:rsidRPr="006747A0">
        <w:rPr>
          <w:rFonts w:cstheme="minorHAnsi"/>
          <w:iCs/>
          <w:color w:val="000000"/>
          <w:sz w:val="18"/>
          <w:szCs w:val="20"/>
          <w:vertAlign w:val="superscript"/>
          <w:lang w:val="en-US"/>
        </w:rPr>
        <w:t>c</w:t>
      </w:r>
      <w:r w:rsidRPr="006747A0">
        <w:rPr>
          <w:rFonts w:cstheme="minorHAnsi"/>
          <w:iCs/>
          <w:color w:val="000000"/>
          <w:sz w:val="18"/>
          <w:szCs w:val="20"/>
          <w:lang w:val="en-US"/>
        </w:rPr>
        <w:t xml:space="preserve"> Cut-off </w:t>
      </w:r>
      <w:r w:rsidRPr="006747A0">
        <w:rPr>
          <w:rFonts w:cstheme="minorHAnsi"/>
          <w:iCs/>
          <w:color w:val="000000"/>
          <w:sz w:val="18"/>
          <w:szCs w:val="20"/>
          <w:u w:val="single"/>
          <w:lang w:val="en-US"/>
        </w:rPr>
        <w:t>&gt;</w:t>
      </w:r>
      <w:r w:rsidRPr="006747A0">
        <w:rPr>
          <w:rFonts w:cstheme="minorHAnsi"/>
          <w:iCs/>
          <w:color w:val="000000"/>
          <w:sz w:val="18"/>
          <w:szCs w:val="20"/>
          <w:lang w:val="en-US"/>
        </w:rPr>
        <w:t xml:space="preserve"> 90th percentile of the reference group of term-born children, corresponds to SDQ score ≥ 19.</w:t>
      </w:r>
    </w:p>
    <w:p w:rsidR="00A02696" w:rsidRPr="006747A0" w:rsidRDefault="00A02696" w:rsidP="0059136E">
      <w:pPr>
        <w:spacing w:after="0" w:line="240" w:lineRule="auto"/>
        <w:ind w:right="708"/>
        <w:rPr>
          <w:rFonts w:cstheme="minorHAnsi"/>
          <w:iCs/>
          <w:color w:val="000000"/>
          <w:sz w:val="18"/>
          <w:szCs w:val="20"/>
          <w:lang w:val="en-US"/>
        </w:rPr>
      </w:pPr>
      <w:r w:rsidRPr="006747A0">
        <w:rPr>
          <w:rFonts w:cstheme="minorHAnsi"/>
          <w:iCs/>
          <w:color w:val="000000"/>
          <w:sz w:val="18"/>
          <w:szCs w:val="20"/>
          <w:vertAlign w:val="superscript"/>
          <w:lang w:val="en-US"/>
        </w:rPr>
        <w:t>d</w:t>
      </w:r>
      <w:r w:rsidRPr="006747A0">
        <w:rPr>
          <w:rFonts w:cstheme="minorHAnsi"/>
          <w:iCs/>
          <w:color w:val="000000"/>
          <w:sz w:val="18"/>
          <w:szCs w:val="20"/>
          <w:lang w:val="en-US"/>
        </w:rPr>
        <w:t xml:space="preserve"> </w:t>
      </w:r>
      <w:r w:rsidR="0059136E">
        <w:rPr>
          <w:rFonts w:cs="Calibri"/>
          <w:sz w:val="18"/>
          <w:szCs w:val="20"/>
          <w:lang w:val="en-US"/>
        </w:rPr>
        <w:t xml:space="preserve">Defined by total SCQ score </w:t>
      </w:r>
      <w:r w:rsidRPr="006747A0">
        <w:rPr>
          <w:rFonts w:cstheme="minorHAnsi"/>
          <w:iCs/>
          <w:color w:val="000000"/>
          <w:sz w:val="18"/>
          <w:szCs w:val="20"/>
          <w:u w:val="single"/>
          <w:lang w:val="en-US"/>
        </w:rPr>
        <w:t>&gt;</w:t>
      </w:r>
      <w:r w:rsidRPr="006747A0">
        <w:rPr>
          <w:rFonts w:cstheme="minorHAnsi"/>
          <w:iCs/>
          <w:color w:val="000000"/>
          <w:sz w:val="18"/>
          <w:szCs w:val="20"/>
          <w:lang w:val="en-US"/>
        </w:rPr>
        <w:t xml:space="preserve"> 90th percentile of the reference group of term-born children, corresponds to SCQ score ≥ 11.</w:t>
      </w:r>
    </w:p>
    <w:p w:rsidR="00A02696" w:rsidRPr="00F44DA7" w:rsidRDefault="00A02696" w:rsidP="00A02696">
      <w:pPr>
        <w:rPr>
          <w:rFonts w:cstheme="minorHAnsi"/>
          <w:sz w:val="20"/>
          <w:szCs w:val="20"/>
          <w:lang w:val="en-US"/>
        </w:rPr>
      </w:pPr>
    </w:p>
    <w:p w:rsidR="00ED63DC" w:rsidRPr="0020558D" w:rsidRDefault="00ED63DC">
      <w:pPr>
        <w:rPr>
          <w:lang w:val="en-GB"/>
        </w:rPr>
      </w:pPr>
    </w:p>
    <w:sectPr w:rsidR="00ED63DC" w:rsidRPr="0020558D" w:rsidSect="005913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96"/>
    <w:rsid w:val="0020558D"/>
    <w:rsid w:val="0028565A"/>
    <w:rsid w:val="00363C5A"/>
    <w:rsid w:val="00444FBD"/>
    <w:rsid w:val="004C1B74"/>
    <w:rsid w:val="0059136E"/>
    <w:rsid w:val="006C5554"/>
    <w:rsid w:val="00A02696"/>
    <w:rsid w:val="00C86C90"/>
    <w:rsid w:val="00EB43B4"/>
    <w:rsid w:val="00E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7676"/>
  <w15:chartTrackingRefBased/>
  <w15:docId w15:val="{49942D65-D2B6-4FBA-8E65-DA102FF3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6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026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026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02696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69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05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6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Laëtitia MARCHAND</dc:creator>
  <cp:keywords/>
  <dc:description/>
  <cp:lastModifiedBy>Pierre Ellul</cp:lastModifiedBy>
  <cp:revision>3</cp:revision>
  <dcterms:created xsi:type="dcterms:W3CDTF">2025-12-19T09:49:00Z</dcterms:created>
  <dcterms:modified xsi:type="dcterms:W3CDTF">2025-12-29T08:39:00Z</dcterms:modified>
</cp:coreProperties>
</file>