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089DD" w14:textId="77777777" w:rsidR="0081604A" w:rsidRPr="00E92BDC" w:rsidRDefault="0081604A" w:rsidP="0081604A">
      <w:pPr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E92BDC">
        <w:rPr>
          <w:rFonts w:ascii="Times New Roman" w:hAnsi="Times New Roman" w:cs="Times New Roman"/>
          <w:b/>
          <w:bCs/>
          <w:sz w:val="22"/>
          <w:szCs w:val="22"/>
          <w:u w:val="single"/>
        </w:rPr>
        <w:t>Appendix</w:t>
      </w:r>
    </w:p>
    <w:p w14:paraId="1775A812" w14:textId="77777777" w:rsidR="0081604A" w:rsidRDefault="0081604A" w:rsidP="0081604A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92BDC">
        <w:rPr>
          <w:rFonts w:ascii="Times New Roman" w:hAnsi="Times New Roman" w:cs="Times New Roman"/>
          <w:b/>
          <w:bCs/>
          <w:sz w:val="22"/>
          <w:szCs w:val="22"/>
        </w:rPr>
        <w:t>Supplementary Table 1.</w:t>
      </w:r>
      <w:r>
        <w:rPr>
          <w:rFonts w:ascii="Times New Roman" w:hAnsi="Times New Roman" w:cs="Times New Roman"/>
          <w:sz w:val="22"/>
          <w:szCs w:val="22"/>
        </w:rPr>
        <w:t xml:space="preserve"> Search Strategy</w:t>
      </w:r>
    </w:p>
    <w:tbl>
      <w:tblPr>
        <w:tblW w:w="906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0"/>
        <w:gridCol w:w="8532"/>
      </w:tblGrid>
      <w:tr w:rsidR="0081604A" w:rsidRPr="00E92BDC" w14:paraId="09D6E440" w14:textId="77777777" w:rsidTr="00DA017A">
        <w:trPr>
          <w:trHeight w:val="2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7BD8AA4" w14:textId="77777777" w:rsidR="0081604A" w:rsidRPr="00E92BDC" w:rsidRDefault="0081604A" w:rsidP="00DA01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92BD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No.</w:t>
            </w:r>
          </w:p>
        </w:tc>
        <w:tc>
          <w:tcPr>
            <w:tcW w:w="8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D7C6FB9" w14:textId="77777777" w:rsidR="0081604A" w:rsidRPr="00E92BDC" w:rsidRDefault="0081604A" w:rsidP="00DA01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92BD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Query</w:t>
            </w:r>
          </w:p>
        </w:tc>
      </w:tr>
      <w:tr w:rsidR="0081604A" w:rsidRPr="00E92BDC" w14:paraId="47D594F8" w14:textId="77777777" w:rsidTr="00DA017A">
        <w:trPr>
          <w:trHeight w:val="2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3FF2F23" w14:textId="77777777" w:rsidR="0081604A" w:rsidRPr="00E92BDC" w:rsidRDefault="0081604A" w:rsidP="00DA01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92BD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#1</w:t>
            </w:r>
          </w:p>
        </w:tc>
        <w:tc>
          <w:tcPr>
            <w:tcW w:w="8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FC01AEC" w14:textId="77777777" w:rsidR="0081604A" w:rsidRPr="00E92BDC" w:rsidRDefault="0081604A" w:rsidP="00DA01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92BD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Natural history</w:t>
            </w:r>
          </w:p>
        </w:tc>
      </w:tr>
      <w:tr w:rsidR="0081604A" w:rsidRPr="00E92BDC" w14:paraId="47033BB6" w14:textId="77777777" w:rsidTr="00DA017A">
        <w:trPr>
          <w:trHeight w:val="2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7C0C1A3" w14:textId="77777777" w:rsidR="0081604A" w:rsidRPr="00E92BDC" w:rsidRDefault="0081604A" w:rsidP="00DA01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92BD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#2</w:t>
            </w:r>
          </w:p>
        </w:tc>
        <w:tc>
          <w:tcPr>
            <w:tcW w:w="8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8D1785B" w14:textId="77777777" w:rsidR="0081604A" w:rsidRPr="00E92BDC" w:rsidRDefault="0081604A" w:rsidP="00DA01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92BD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Progression</w:t>
            </w:r>
          </w:p>
        </w:tc>
      </w:tr>
      <w:tr w:rsidR="0081604A" w:rsidRPr="00E92BDC" w14:paraId="4F8C9D20" w14:textId="77777777" w:rsidTr="00DA017A">
        <w:trPr>
          <w:trHeight w:val="2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2168A3C" w14:textId="77777777" w:rsidR="0081604A" w:rsidRPr="00E92BDC" w:rsidRDefault="0081604A" w:rsidP="00DA01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92BD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#3</w:t>
            </w:r>
          </w:p>
        </w:tc>
        <w:tc>
          <w:tcPr>
            <w:tcW w:w="8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5C206D4" w14:textId="77777777" w:rsidR="0081604A" w:rsidRPr="00E92BDC" w:rsidRDefault="0081604A" w:rsidP="00DA01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92BD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Spondylolisthesis </w:t>
            </w:r>
          </w:p>
        </w:tc>
      </w:tr>
      <w:tr w:rsidR="0081604A" w:rsidRPr="00E92BDC" w14:paraId="4B95C2B7" w14:textId="77777777" w:rsidTr="00DA017A">
        <w:trPr>
          <w:trHeight w:val="2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074B19C" w14:textId="77777777" w:rsidR="0081604A" w:rsidRPr="00E92BDC" w:rsidRDefault="0081604A" w:rsidP="00DA01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92BD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#4</w:t>
            </w:r>
          </w:p>
        </w:tc>
        <w:tc>
          <w:tcPr>
            <w:tcW w:w="8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7CE9778" w14:textId="77777777" w:rsidR="0081604A" w:rsidRPr="00E92BDC" w:rsidRDefault="0081604A" w:rsidP="00DA01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92BD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Isthmic Spondylolisthesis </w:t>
            </w:r>
          </w:p>
        </w:tc>
      </w:tr>
      <w:tr w:rsidR="0081604A" w:rsidRPr="00E92BDC" w14:paraId="74704122" w14:textId="77777777" w:rsidTr="00DA017A">
        <w:trPr>
          <w:trHeight w:val="2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B5BC484" w14:textId="77777777" w:rsidR="0081604A" w:rsidRPr="00E92BDC" w:rsidRDefault="0081604A" w:rsidP="00DA01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92BD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#5</w:t>
            </w:r>
          </w:p>
        </w:tc>
        <w:tc>
          <w:tcPr>
            <w:tcW w:w="8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A8ED439" w14:textId="77777777" w:rsidR="0081604A" w:rsidRPr="00E92BDC" w:rsidRDefault="0081604A" w:rsidP="00DA01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92BD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Lytic Spondylolisthesis </w:t>
            </w:r>
          </w:p>
        </w:tc>
      </w:tr>
      <w:tr w:rsidR="0081604A" w:rsidRPr="00E92BDC" w14:paraId="62A3DBAD" w14:textId="77777777" w:rsidTr="00DA017A">
        <w:trPr>
          <w:trHeight w:val="2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17F988F" w14:textId="77777777" w:rsidR="0081604A" w:rsidRPr="00E92BDC" w:rsidRDefault="0081604A" w:rsidP="00DA01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92BD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#6</w:t>
            </w:r>
          </w:p>
        </w:tc>
        <w:tc>
          <w:tcPr>
            <w:tcW w:w="8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70C6C4E" w14:textId="77777777" w:rsidR="0081604A" w:rsidRPr="00E92BDC" w:rsidRDefault="0081604A" w:rsidP="00DA01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92BD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Lumbar spondylolysis </w:t>
            </w:r>
          </w:p>
        </w:tc>
      </w:tr>
      <w:tr w:rsidR="0081604A" w:rsidRPr="00E92BDC" w14:paraId="5BD82CAC" w14:textId="77777777" w:rsidTr="00DA017A">
        <w:trPr>
          <w:trHeight w:val="2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32F78E7" w14:textId="77777777" w:rsidR="0081604A" w:rsidRPr="00E92BDC" w:rsidRDefault="0081604A" w:rsidP="00DA01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92BD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#7 </w:t>
            </w:r>
          </w:p>
        </w:tc>
        <w:tc>
          <w:tcPr>
            <w:tcW w:w="8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F3E15D4" w14:textId="77777777" w:rsidR="0081604A" w:rsidRPr="00E92BDC" w:rsidRDefault="0081604A" w:rsidP="00DA01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92BD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 or 2</w:t>
            </w:r>
          </w:p>
        </w:tc>
      </w:tr>
      <w:tr w:rsidR="0081604A" w:rsidRPr="00E92BDC" w14:paraId="2C7A5EF9" w14:textId="77777777" w:rsidTr="00DA017A">
        <w:trPr>
          <w:trHeight w:val="2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F36A757" w14:textId="77777777" w:rsidR="0081604A" w:rsidRPr="00E92BDC" w:rsidRDefault="0081604A" w:rsidP="00DA01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92BD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#8 </w:t>
            </w:r>
          </w:p>
        </w:tc>
        <w:tc>
          <w:tcPr>
            <w:tcW w:w="8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EBE7AD0" w14:textId="77777777" w:rsidR="0081604A" w:rsidRPr="00E92BDC" w:rsidRDefault="0081604A" w:rsidP="00DA01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92BD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 or 4 or 5 or 6</w:t>
            </w:r>
          </w:p>
        </w:tc>
      </w:tr>
      <w:tr w:rsidR="0081604A" w:rsidRPr="00E92BDC" w14:paraId="73DA0D3D" w14:textId="77777777" w:rsidTr="00DA017A">
        <w:trPr>
          <w:trHeight w:val="2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D9A2F07" w14:textId="77777777" w:rsidR="0081604A" w:rsidRPr="00E92BDC" w:rsidRDefault="0081604A" w:rsidP="00DA01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92BD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#9 </w:t>
            </w:r>
          </w:p>
        </w:tc>
        <w:tc>
          <w:tcPr>
            <w:tcW w:w="8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F0AFEB4" w14:textId="77777777" w:rsidR="0081604A" w:rsidRPr="00E92BDC" w:rsidRDefault="0081604A" w:rsidP="00DA01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92BD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 and 8</w:t>
            </w:r>
          </w:p>
        </w:tc>
      </w:tr>
      <w:tr w:rsidR="0081604A" w:rsidRPr="00E92BDC" w14:paraId="7D1A710C" w14:textId="77777777" w:rsidTr="00DA017A">
        <w:trPr>
          <w:trHeight w:val="2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F3AD2CD" w14:textId="77777777" w:rsidR="0081604A" w:rsidRPr="00E92BDC" w:rsidRDefault="0081604A" w:rsidP="00DA01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92BD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#10</w:t>
            </w:r>
          </w:p>
        </w:tc>
        <w:tc>
          <w:tcPr>
            <w:tcW w:w="8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EB5BCD7" w14:textId="77777777" w:rsidR="0081604A" w:rsidRPr="00E92BDC" w:rsidRDefault="0081604A" w:rsidP="00DA01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92BDC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Limit 9 to ( full text and human and English language )</w:t>
            </w:r>
          </w:p>
        </w:tc>
      </w:tr>
    </w:tbl>
    <w:p w14:paraId="7A6FDD9B" w14:textId="77777777" w:rsidR="0081604A" w:rsidRDefault="0081604A" w:rsidP="0081604A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30957414" w14:textId="77777777" w:rsidR="0081604A" w:rsidRDefault="0081604A" w:rsidP="0081604A">
      <w:pPr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7092E4FA" w14:textId="77777777" w:rsidR="0081604A" w:rsidRDefault="0081604A" w:rsidP="0081604A">
      <w:pPr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4E67301F" w14:textId="77777777" w:rsidR="0081604A" w:rsidRDefault="0081604A" w:rsidP="0081604A">
      <w:pPr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67AE0547" w14:textId="77777777" w:rsidR="0081604A" w:rsidRDefault="0081604A" w:rsidP="0081604A">
      <w:pPr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1A0D63D7" w14:textId="77777777" w:rsidR="0081604A" w:rsidRDefault="0081604A" w:rsidP="0081604A">
      <w:pPr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0EBBE9ED" w14:textId="77777777" w:rsidR="0081604A" w:rsidRDefault="0081604A" w:rsidP="0081604A">
      <w:pPr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5A09F320" w14:textId="77777777" w:rsidR="0081604A" w:rsidRDefault="0081604A" w:rsidP="0081604A">
      <w:pPr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4AC0FE26" w14:textId="77777777" w:rsidR="0081604A" w:rsidRDefault="0081604A" w:rsidP="0081604A">
      <w:pPr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68E2C461" w14:textId="77777777" w:rsidR="0081604A" w:rsidRDefault="0081604A" w:rsidP="0081604A">
      <w:pPr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5E94AF81" w14:textId="77777777" w:rsidR="0081604A" w:rsidRDefault="0081604A" w:rsidP="0081604A">
      <w:pPr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091DC1C8" w14:textId="77777777" w:rsidR="0081604A" w:rsidRDefault="0081604A" w:rsidP="0081604A">
      <w:pPr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559FC7EF" w14:textId="77777777" w:rsidR="0081604A" w:rsidRDefault="0081604A" w:rsidP="0081604A">
      <w:pPr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6DC5F117" w14:textId="77777777" w:rsidR="0081604A" w:rsidRDefault="0081604A" w:rsidP="0081604A">
      <w:pPr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5DBEF451" w14:textId="77777777" w:rsidR="0081604A" w:rsidRDefault="0081604A" w:rsidP="0081604A">
      <w:pPr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01AFB619" w14:textId="77777777" w:rsidR="0081604A" w:rsidRDefault="0081604A" w:rsidP="0081604A">
      <w:pPr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4CE99B6C" w14:textId="77777777" w:rsidR="0081604A" w:rsidRDefault="0081604A" w:rsidP="0081604A">
      <w:pPr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38FC5CDF" w14:textId="77777777" w:rsidR="0081604A" w:rsidRDefault="0081604A" w:rsidP="0081604A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  <w:sectPr w:rsidR="0081604A" w:rsidSect="0081604A">
          <w:footerReference w:type="even" r:id="rId4"/>
          <w:footerReference w:type="default" r:id="rId5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483B14D" w14:textId="77777777" w:rsidR="0081604A" w:rsidRPr="00B558F5" w:rsidRDefault="0081604A" w:rsidP="0081604A">
      <w:pPr>
        <w:spacing w:line="276" w:lineRule="auto"/>
        <w:jc w:val="both"/>
        <w:rPr>
          <w:rFonts w:ascii="Times New Roman" w:hAnsi="Times New Roman" w:cs="Times New Roman"/>
        </w:rPr>
      </w:pPr>
      <w:r w:rsidRPr="00CF49E9">
        <w:rPr>
          <w:rFonts w:ascii="Times New Roman" w:hAnsi="Times New Roman" w:cs="Times New Roman"/>
          <w:b/>
          <w:bCs/>
        </w:rPr>
        <w:lastRenderedPageBreak/>
        <w:t>Supplementary Table 2.</w:t>
      </w:r>
      <w:r w:rsidRPr="00CF49E9">
        <w:rPr>
          <w:rFonts w:ascii="Times New Roman" w:hAnsi="Times New Roman" w:cs="Times New Roman"/>
        </w:rPr>
        <w:t xml:space="preserve"> Characteristics of included studies 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5"/>
        <w:gridCol w:w="2436"/>
        <w:gridCol w:w="2201"/>
        <w:gridCol w:w="1254"/>
        <w:gridCol w:w="925"/>
        <w:gridCol w:w="1762"/>
        <w:gridCol w:w="1644"/>
        <w:gridCol w:w="1070"/>
        <w:gridCol w:w="1361"/>
      </w:tblGrid>
      <w:tr w:rsidR="0081604A" w:rsidRPr="00B558F5" w14:paraId="3A29D84A" w14:textId="77777777" w:rsidTr="00DA017A">
        <w:trPr>
          <w:tblHeader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0B35AC18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Study</w:t>
            </w:r>
            <w:r w:rsidRPr="00B558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(Year)</w:t>
            </w:r>
          </w:p>
        </w:tc>
        <w:tc>
          <w:tcPr>
            <w:tcW w:w="0" w:type="auto"/>
            <w:vAlign w:val="center"/>
            <w:hideMark/>
          </w:tcPr>
          <w:p w14:paraId="2517D562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Title</w:t>
            </w:r>
          </w:p>
        </w:tc>
        <w:tc>
          <w:tcPr>
            <w:tcW w:w="0" w:type="auto"/>
            <w:vAlign w:val="center"/>
            <w:hideMark/>
          </w:tcPr>
          <w:p w14:paraId="1E61E114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Aim of Study</w:t>
            </w:r>
          </w:p>
        </w:tc>
        <w:tc>
          <w:tcPr>
            <w:tcW w:w="0" w:type="auto"/>
            <w:vAlign w:val="center"/>
            <w:hideMark/>
          </w:tcPr>
          <w:p w14:paraId="2C0472E4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Total Participants</w:t>
            </w:r>
          </w:p>
        </w:tc>
        <w:tc>
          <w:tcPr>
            <w:tcW w:w="0" w:type="auto"/>
            <w:vAlign w:val="center"/>
            <w:hideMark/>
          </w:tcPr>
          <w:p w14:paraId="41B85844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Average Age</w:t>
            </w:r>
            <w:r w:rsidRPr="00B558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(years)</w:t>
            </w:r>
          </w:p>
        </w:tc>
        <w:tc>
          <w:tcPr>
            <w:tcW w:w="0" w:type="auto"/>
            <w:vAlign w:val="center"/>
            <w:hideMark/>
          </w:tcPr>
          <w:p w14:paraId="581EEE76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Outcome Measures</w:t>
            </w:r>
          </w:p>
        </w:tc>
        <w:tc>
          <w:tcPr>
            <w:tcW w:w="0" w:type="auto"/>
            <w:vAlign w:val="center"/>
            <w:hideMark/>
          </w:tcPr>
          <w:p w14:paraId="35AF02D4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Progression of Slip</w:t>
            </w:r>
          </w:p>
        </w:tc>
        <w:tc>
          <w:tcPr>
            <w:tcW w:w="0" w:type="auto"/>
            <w:vAlign w:val="center"/>
            <w:hideMark/>
          </w:tcPr>
          <w:p w14:paraId="160C5051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Mean Duration of Follow-up</w:t>
            </w:r>
          </w:p>
        </w:tc>
        <w:tc>
          <w:tcPr>
            <w:tcW w:w="0" w:type="auto"/>
            <w:vAlign w:val="center"/>
            <w:hideMark/>
          </w:tcPr>
          <w:p w14:paraId="7171E9F9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Progression to Surgery</w:t>
            </w:r>
            <w:r w:rsidRPr="00B558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(%)</w:t>
            </w:r>
          </w:p>
        </w:tc>
      </w:tr>
      <w:tr w:rsidR="0081604A" w:rsidRPr="00B558F5" w14:paraId="2F94F003" w14:textId="77777777" w:rsidTr="00DA017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25B58D6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Beutler</w:t>
            </w:r>
            <w:r w:rsidRPr="00B558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</w:t>
            </w: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2003</w:t>
            </w:r>
            <w:r w:rsidRPr="00B558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356BEE4C" w14:textId="77777777" w:rsidR="0081604A" w:rsidRPr="00B558F5" w:rsidRDefault="0081604A" w:rsidP="00DA017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The natural history of spondylolysis and spondylolisthesis: 45-Year follow-up evaluation</w:t>
            </w:r>
          </w:p>
          <w:p w14:paraId="08A1AA76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D1523F8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Evaluate </w:t>
            </w:r>
            <w:r w:rsidRPr="00B558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radiological progression and PROM</w:t>
            </w:r>
          </w:p>
        </w:tc>
        <w:tc>
          <w:tcPr>
            <w:tcW w:w="0" w:type="auto"/>
            <w:vAlign w:val="center"/>
            <w:hideMark/>
          </w:tcPr>
          <w:p w14:paraId="6F11B649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14:paraId="158AFC84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558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1006204F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Slip %, Lumbar Index, Slip Angle, Disc Height, Back pain, SF-36</w:t>
            </w:r>
          </w:p>
        </w:tc>
        <w:tc>
          <w:tcPr>
            <w:tcW w:w="0" w:type="auto"/>
            <w:vAlign w:val="center"/>
            <w:hideMark/>
          </w:tcPr>
          <w:p w14:paraId="56122DB2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11–18% over 45 years</w:t>
            </w:r>
          </w:p>
        </w:tc>
        <w:tc>
          <w:tcPr>
            <w:tcW w:w="0" w:type="auto"/>
            <w:vAlign w:val="center"/>
            <w:hideMark/>
          </w:tcPr>
          <w:p w14:paraId="126FEBF2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45 years</w:t>
            </w:r>
          </w:p>
        </w:tc>
        <w:tc>
          <w:tcPr>
            <w:tcW w:w="0" w:type="auto"/>
            <w:vAlign w:val="center"/>
            <w:hideMark/>
          </w:tcPr>
          <w:p w14:paraId="6ABB5411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558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15%</w:t>
            </w:r>
          </w:p>
        </w:tc>
      </w:tr>
      <w:tr w:rsidR="0081604A" w:rsidRPr="00B558F5" w14:paraId="14548FE5" w14:textId="77777777" w:rsidTr="00DA017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FC862C6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Blanda</w:t>
            </w:r>
            <w:r w:rsidRPr="00B558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(1</w:t>
            </w: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993</w:t>
            </w:r>
            <w:r w:rsidRPr="00B558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5825544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Defects of pars interarticularis in athletes: A protocol for nonoperative treatment</w:t>
            </w:r>
          </w:p>
        </w:tc>
        <w:tc>
          <w:tcPr>
            <w:tcW w:w="0" w:type="auto"/>
            <w:vAlign w:val="center"/>
            <w:hideMark/>
          </w:tcPr>
          <w:p w14:paraId="340DFDFA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558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Identify outcome of non operative treatment and PROM after surgery</w:t>
            </w:r>
          </w:p>
        </w:tc>
        <w:tc>
          <w:tcPr>
            <w:tcW w:w="0" w:type="auto"/>
            <w:vAlign w:val="center"/>
            <w:hideMark/>
          </w:tcPr>
          <w:p w14:paraId="17D5255B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14:paraId="6706DD1D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14:paraId="0D5D7F33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558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atient-reported outcomes</w:t>
            </w:r>
          </w:p>
        </w:tc>
        <w:tc>
          <w:tcPr>
            <w:tcW w:w="0" w:type="auto"/>
            <w:vAlign w:val="center"/>
            <w:hideMark/>
          </w:tcPr>
          <w:p w14:paraId="56E57CF3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patients had slip progression (no numeric value)</w:t>
            </w:r>
          </w:p>
        </w:tc>
        <w:tc>
          <w:tcPr>
            <w:tcW w:w="0" w:type="auto"/>
            <w:vAlign w:val="center"/>
            <w:hideMark/>
          </w:tcPr>
          <w:p w14:paraId="3CF763AC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3.2 years</w:t>
            </w:r>
          </w:p>
        </w:tc>
        <w:tc>
          <w:tcPr>
            <w:tcW w:w="0" w:type="auto"/>
            <w:vAlign w:val="center"/>
            <w:hideMark/>
          </w:tcPr>
          <w:p w14:paraId="79B79ED0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558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60%</w:t>
            </w:r>
          </w:p>
        </w:tc>
      </w:tr>
      <w:tr w:rsidR="0081604A" w:rsidRPr="00B558F5" w14:paraId="15C40807" w14:textId="77777777" w:rsidTr="00DA017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0B210143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Danielson </w:t>
            </w:r>
            <w:r w:rsidRPr="00B558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</w:t>
            </w: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1991</w:t>
            </w:r>
            <w:r w:rsidRPr="00B558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0C3A1C3E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Radiologic progression of isthmic lumbar spondylolisthesis in young patients</w:t>
            </w:r>
          </w:p>
        </w:tc>
        <w:tc>
          <w:tcPr>
            <w:tcW w:w="0" w:type="auto"/>
            <w:vAlign w:val="center"/>
            <w:hideMark/>
          </w:tcPr>
          <w:p w14:paraId="2C5A3324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Identify prognostic factors for progression</w:t>
            </w:r>
          </w:p>
        </w:tc>
        <w:tc>
          <w:tcPr>
            <w:tcW w:w="0" w:type="auto"/>
            <w:vAlign w:val="center"/>
            <w:hideMark/>
          </w:tcPr>
          <w:p w14:paraId="1B68C3E6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311</w:t>
            </w:r>
          </w:p>
        </w:tc>
        <w:tc>
          <w:tcPr>
            <w:tcW w:w="0" w:type="auto"/>
            <w:vAlign w:val="center"/>
            <w:hideMark/>
          </w:tcPr>
          <w:p w14:paraId="1D2FFD8A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16.2</w:t>
            </w:r>
          </w:p>
        </w:tc>
        <w:tc>
          <w:tcPr>
            <w:tcW w:w="0" w:type="auto"/>
            <w:vAlign w:val="center"/>
            <w:hideMark/>
          </w:tcPr>
          <w:p w14:paraId="551E4656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Slip %, Slip Angle, Lumbar Index, Disc height</w:t>
            </w:r>
          </w:p>
        </w:tc>
        <w:tc>
          <w:tcPr>
            <w:tcW w:w="0" w:type="auto"/>
            <w:vAlign w:val="center"/>
            <w:hideMark/>
          </w:tcPr>
          <w:p w14:paraId="057D3BB8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558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3%</w:t>
            </w: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had &gt;20% progression; peak at age 20–25</w:t>
            </w:r>
          </w:p>
        </w:tc>
        <w:tc>
          <w:tcPr>
            <w:tcW w:w="0" w:type="auto"/>
            <w:vAlign w:val="center"/>
            <w:hideMark/>
          </w:tcPr>
          <w:p w14:paraId="3068B997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3.8 years</w:t>
            </w:r>
          </w:p>
        </w:tc>
        <w:tc>
          <w:tcPr>
            <w:tcW w:w="0" w:type="auto"/>
            <w:vAlign w:val="center"/>
            <w:hideMark/>
          </w:tcPr>
          <w:p w14:paraId="3CA4B517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Not stated</w:t>
            </w:r>
          </w:p>
        </w:tc>
      </w:tr>
      <w:tr w:rsidR="0081604A" w:rsidRPr="00B558F5" w14:paraId="6C0D1B48" w14:textId="77777777" w:rsidTr="00DA017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C74B1C3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Floman </w:t>
            </w:r>
            <w:r w:rsidRPr="00B558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</w:t>
            </w: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2000</w:t>
            </w:r>
            <w:r w:rsidRPr="00B558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3D448AD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558F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Progression of lumbar isthmic spondylolisthesis in adults</w:t>
            </w:r>
          </w:p>
        </w:tc>
        <w:tc>
          <w:tcPr>
            <w:tcW w:w="0" w:type="auto"/>
            <w:vAlign w:val="center"/>
            <w:hideMark/>
          </w:tcPr>
          <w:p w14:paraId="41F4EF96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558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Describe the clinical presentation and analyse its causes</w:t>
            </w:r>
          </w:p>
        </w:tc>
        <w:tc>
          <w:tcPr>
            <w:tcW w:w="0" w:type="auto"/>
            <w:vAlign w:val="center"/>
            <w:hideMark/>
          </w:tcPr>
          <w:p w14:paraId="6C98260E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558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23F8DBC0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558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14:paraId="1D13278C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Slip %, </w:t>
            </w:r>
            <w:r w:rsidRPr="00B558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disc degeneration</w:t>
            </w:r>
          </w:p>
        </w:tc>
        <w:tc>
          <w:tcPr>
            <w:tcW w:w="0" w:type="auto"/>
            <w:vAlign w:val="center"/>
            <w:hideMark/>
          </w:tcPr>
          <w:p w14:paraId="02E0F4B0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558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14.6%</w:t>
            </w:r>
          </w:p>
        </w:tc>
        <w:tc>
          <w:tcPr>
            <w:tcW w:w="0" w:type="auto"/>
            <w:vAlign w:val="center"/>
            <w:hideMark/>
          </w:tcPr>
          <w:p w14:paraId="0B17BAB7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558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Range 2-30 years</w:t>
            </w:r>
          </w:p>
        </w:tc>
        <w:tc>
          <w:tcPr>
            <w:tcW w:w="0" w:type="auto"/>
            <w:vAlign w:val="center"/>
            <w:hideMark/>
          </w:tcPr>
          <w:p w14:paraId="2862A97E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558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77%</w:t>
            </w:r>
          </w:p>
        </w:tc>
      </w:tr>
      <w:tr w:rsidR="0081604A" w:rsidRPr="00B558F5" w14:paraId="3C04D455" w14:textId="77777777" w:rsidTr="00DA017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DDC85EA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Fredrickson </w:t>
            </w:r>
            <w:r w:rsidRPr="00B558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</w:t>
            </w: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1993</w:t>
            </w:r>
            <w:r w:rsidRPr="00B558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200A41B2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Natural history </w:t>
            </w:r>
            <w:r w:rsidRPr="00B558F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of</w:t>
            </w:r>
            <w:r w:rsidRPr="008F21F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  <w:r w:rsidRPr="00B558F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spondylolysis and spondylolisthesis</w:t>
            </w:r>
          </w:p>
        </w:tc>
        <w:tc>
          <w:tcPr>
            <w:tcW w:w="0" w:type="auto"/>
            <w:vAlign w:val="center"/>
            <w:hideMark/>
          </w:tcPr>
          <w:p w14:paraId="4486FB6B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Determine incidence and long-term progression</w:t>
            </w:r>
          </w:p>
        </w:tc>
        <w:tc>
          <w:tcPr>
            <w:tcW w:w="0" w:type="auto"/>
            <w:vAlign w:val="center"/>
            <w:hideMark/>
          </w:tcPr>
          <w:p w14:paraId="096802BA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558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14:paraId="763D5EA7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2B6518A4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Slip %, Lumbar Index, Back Pain</w:t>
            </w:r>
          </w:p>
        </w:tc>
        <w:tc>
          <w:tcPr>
            <w:tcW w:w="0" w:type="auto"/>
            <w:vAlign w:val="center"/>
            <w:hideMark/>
          </w:tcPr>
          <w:p w14:paraId="606F1BAD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Slip ↑16% (males), 14% (females); mostly during teenage years</w:t>
            </w:r>
          </w:p>
        </w:tc>
        <w:tc>
          <w:tcPr>
            <w:tcW w:w="0" w:type="auto"/>
            <w:vAlign w:val="center"/>
            <w:hideMark/>
          </w:tcPr>
          <w:p w14:paraId="21859C5C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25 years</w:t>
            </w:r>
          </w:p>
        </w:tc>
        <w:tc>
          <w:tcPr>
            <w:tcW w:w="0" w:type="auto"/>
            <w:vAlign w:val="center"/>
            <w:hideMark/>
          </w:tcPr>
          <w:p w14:paraId="1DCC271A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Not stated</w:t>
            </w:r>
          </w:p>
        </w:tc>
      </w:tr>
      <w:tr w:rsidR="0081604A" w:rsidRPr="00B558F5" w14:paraId="119DCEFB" w14:textId="77777777" w:rsidTr="00DA017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0528A16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Frennered </w:t>
            </w:r>
            <w:r w:rsidRPr="00B558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</w:t>
            </w: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1991</w:t>
            </w:r>
            <w:r w:rsidRPr="00B558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1988333B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Natural history of symptomatic isthmic low-grade spondylolisthesis in children and adolescents</w:t>
            </w:r>
          </w:p>
        </w:tc>
        <w:tc>
          <w:tcPr>
            <w:tcW w:w="0" w:type="auto"/>
            <w:vAlign w:val="center"/>
            <w:hideMark/>
          </w:tcPr>
          <w:p w14:paraId="19220B9E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Evaluate clinical and radiologic prognostic factors</w:t>
            </w:r>
          </w:p>
        </w:tc>
        <w:tc>
          <w:tcPr>
            <w:tcW w:w="0" w:type="auto"/>
            <w:vAlign w:val="center"/>
            <w:hideMark/>
          </w:tcPr>
          <w:p w14:paraId="4A24742E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14:paraId="7389E2FF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14:paraId="0BD64C1F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Slip %, Slip Angle, Lumbar Index, Back Pain</w:t>
            </w:r>
          </w:p>
        </w:tc>
        <w:tc>
          <w:tcPr>
            <w:tcW w:w="0" w:type="auto"/>
            <w:vAlign w:val="center"/>
            <w:hideMark/>
          </w:tcPr>
          <w:p w14:paraId="373301ED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 patients had &gt;20% progression; most stable</w:t>
            </w:r>
          </w:p>
        </w:tc>
        <w:tc>
          <w:tcPr>
            <w:tcW w:w="0" w:type="auto"/>
            <w:vAlign w:val="center"/>
            <w:hideMark/>
          </w:tcPr>
          <w:p w14:paraId="3ADDB192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years</w:t>
            </w:r>
          </w:p>
        </w:tc>
        <w:tc>
          <w:tcPr>
            <w:tcW w:w="0" w:type="auto"/>
            <w:vAlign w:val="center"/>
            <w:hideMark/>
          </w:tcPr>
          <w:p w14:paraId="65F20B06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558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30%</w:t>
            </w:r>
          </w:p>
        </w:tc>
      </w:tr>
      <w:tr w:rsidR="0081604A" w:rsidRPr="00B558F5" w14:paraId="7F8D8B58" w14:textId="77777777" w:rsidTr="00DA017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E1A38F0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 xml:space="preserve">Muschik </w:t>
            </w:r>
            <w:r w:rsidRPr="00B558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</w:t>
            </w: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1996</w:t>
            </w:r>
            <w:r w:rsidRPr="00B558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7F075382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Competitive sports and the progression of spondylolisthesis</w:t>
            </w:r>
          </w:p>
        </w:tc>
        <w:tc>
          <w:tcPr>
            <w:tcW w:w="0" w:type="auto"/>
            <w:vAlign w:val="center"/>
            <w:hideMark/>
          </w:tcPr>
          <w:p w14:paraId="571B9A09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impact of competitive sports on slip progression</w:t>
            </w:r>
          </w:p>
        </w:tc>
        <w:tc>
          <w:tcPr>
            <w:tcW w:w="0" w:type="auto"/>
            <w:vAlign w:val="center"/>
            <w:hideMark/>
          </w:tcPr>
          <w:p w14:paraId="58F13631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86</w:t>
            </w:r>
          </w:p>
        </w:tc>
        <w:tc>
          <w:tcPr>
            <w:tcW w:w="0" w:type="auto"/>
            <w:vAlign w:val="center"/>
            <w:hideMark/>
          </w:tcPr>
          <w:p w14:paraId="38B8D75C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11.9</w:t>
            </w:r>
          </w:p>
        </w:tc>
        <w:tc>
          <w:tcPr>
            <w:tcW w:w="0" w:type="auto"/>
            <w:vAlign w:val="center"/>
            <w:hideMark/>
          </w:tcPr>
          <w:p w14:paraId="262AAAEE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Slip %</w:t>
            </w:r>
          </w:p>
        </w:tc>
        <w:tc>
          <w:tcPr>
            <w:tcW w:w="0" w:type="auto"/>
            <w:vAlign w:val="center"/>
            <w:hideMark/>
          </w:tcPr>
          <w:p w14:paraId="4DEC4361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558F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47% stable, 44% &gt; 5% increase, </w:t>
            </w:r>
            <w:r w:rsidRPr="00B558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Mean 10.1% increase to 13.8%</w:t>
            </w:r>
          </w:p>
        </w:tc>
        <w:tc>
          <w:tcPr>
            <w:tcW w:w="0" w:type="auto"/>
            <w:vAlign w:val="center"/>
            <w:hideMark/>
          </w:tcPr>
          <w:p w14:paraId="7BE1AEAF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4.8 years</w:t>
            </w:r>
          </w:p>
        </w:tc>
        <w:tc>
          <w:tcPr>
            <w:tcW w:w="0" w:type="auto"/>
            <w:vAlign w:val="center"/>
            <w:hideMark/>
          </w:tcPr>
          <w:p w14:paraId="1BF77699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None; all asymptomatic</w:t>
            </w:r>
          </w:p>
        </w:tc>
      </w:tr>
      <w:tr w:rsidR="0081604A" w:rsidRPr="00B558F5" w14:paraId="2E248C68" w14:textId="77777777" w:rsidTr="00DA017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4279EE9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Ohmori </w:t>
            </w:r>
            <w:r w:rsidRPr="00B558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</w:t>
            </w: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1995</w:t>
            </w:r>
            <w:r w:rsidRPr="00B558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2F0838DF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Vertebral slip in lumbar spondylolysis and spondylolisthesis: Long-term follow-up of 22 adult patients</w:t>
            </w:r>
          </w:p>
        </w:tc>
        <w:tc>
          <w:tcPr>
            <w:tcW w:w="0" w:type="auto"/>
            <w:vAlign w:val="center"/>
            <w:hideMark/>
          </w:tcPr>
          <w:p w14:paraId="697A8FF6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Study relationship between slip and L5 transverse process configuration</w:t>
            </w:r>
          </w:p>
        </w:tc>
        <w:tc>
          <w:tcPr>
            <w:tcW w:w="0" w:type="auto"/>
            <w:vAlign w:val="center"/>
            <w:hideMark/>
          </w:tcPr>
          <w:p w14:paraId="1DF1BF1D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5E3D80D8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62.8</w:t>
            </w:r>
          </w:p>
        </w:tc>
        <w:tc>
          <w:tcPr>
            <w:tcW w:w="0" w:type="auto"/>
            <w:vAlign w:val="center"/>
            <w:hideMark/>
          </w:tcPr>
          <w:p w14:paraId="7884B8FB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558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Slip progression</w:t>
            </w:r>
          </w:p>
        </w:tc>
        <w:tc>
          <w:tcPr>
            <w:tcW w:w="0" w:type="auto"/>
            <w:vAlign w:val="center"/>
            <w:hideMark/>
          </w:tcPr>
          <w:p w14:paraId="16B95F36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Slip increased from 15.5 → 21.</w:t>
            </w:r>
            <w:r w:rsidRPr="00B558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60864EFE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12 years</w:t>
            </w:r>
          </w:p>
        </w:tc>
        <w:tc>
          <w:tcPr>
            <w:tcW w:w="0" w:type="auto"/>
            <w:vAlign w:val="center"/>
            <w:hideMark/>
          </w:tcPr>
          <w:p w14:paraId="1B913ED7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Not stated</w:t>
            </w:r>
          </w:p>
        </w:tc>
      </w:tr>
      <w:tr w:rsidR="0081604A" w:rsidRPr="00B558F5" w14:paraId="6F18CACB" w14:textId="77777777" w:rsidTr="00DA017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B2B4480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Saraste </w:t>
            </w:r>
            <w:r w:rsidRPr="00B558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</w:t>
            </w: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1987</w:t>
            </w:r>
            <w:r w:rsidRPr="00B558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55EFD0B8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Long-term clinical and radiological follow-up of spondylolysis and spondylolisthesis</w:t>
            </w:r>
          </w:p>
        </w:tc>
        <w:tc>
          <w:tcPr>
            <w:tcW w:w="0" w:type="auto"/>
            <w:vAlign w:val="center"/>
            <w:hideMark/>
          </w:tcPr>
          <w:p w14:paraId="6C270419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Study long-term clinical course &amp; radiographic predictors</w:t>
            </w:r>
          </w:p>
        </w:tc>
        <w:tc>
          <w:tcPr>
            <w:tcW w:w="0" w:type="auto"/>
            <w:vAlign w:val="center"/>
            <w:hideMark/>
          </w:tcPr>
          <w:p w14:paraId="2FD52A72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255</w:t>
            </w:r>
          </w:p>
        </w:tc>
        <w:tc>
          <w:tcPr>
            <w:tcW w:w="0" w:type="auto"/>
            <w:vAlign w:val="center"/>
            <w:hideMark/>
          </w:tcPr>
          <w:p w14:paraId="1FCA1887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14:paraId="271BC6F7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Slip (mm), Lumbar Index, Disc Height, Questionnaire</w:t>
            </w:r>
          </w:p>
        </w:tc>
        <w:tc>
          <w:tcPr>
            <w:tcW w:w="0" w:type="auto"/>
            <w:vAlign w:val="center"/>
            <w:hideMark/>
          </w:tcPr>
          <w:p w14:paraId="6FACB5FD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Mean progression 4 mm (7→11 mm); 5% &gt;10 mm</w:t>
            </w:r>
          </w:p>
        </w:tc>
        <w:tc>
          <w:tcPr>
            <w:tcW w:w="0" w:type="auto"/>
            <w:vAlign w:val="center"/>
            <w:hideMark/>
          </w:tcPr>
          <w:p w14:paraId="4FCE96F5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29 years</w:t>
            </w:r>
          </w:p>
        </w:tc>
        <w:tc>
          <w:tcPr>
            <w:tcW w:w="0" w:type="auto"/>
            <w:vAlign w:val="center"/>
            <w:hideMark/>
          </w:tcPr>
          <w:p w14:paraId="43820C25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15%</w:t>
            </w:r>
          </w:p>
        </w:tc>
      </w:tr>
      <w:tr w:rsidR="0081604A" w:rsidRPr="00B558F5" w14:paraId="3996BF72" w14:textId="77777777" w:rsidTr="00DA017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528C868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Schwab </w:t>
            </w:r>
            <w:r w:rsidRPr="00B558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</w:t>
            </w: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1997</w:t>
            </w:r>
            <w:r w:rsidRPr="00B558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289CFE99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The sagittal pelvic tilt index as a criterion in the evaluation of spondylolisthesis</w:t>
            </w:r>
          </w:p>
        </w:tc>
        <w:tc>
          <w:tcPr>
            <w:tcW w:w="0" w:type="auto"/>
            <w:vAlign w:val="center"/>
            <w:hideMark/>
          </w:tcPr>
          <w:p w14:paraId="29DFEBA1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Evaluate correlation between pelvic tilt index, symptoms, and slip progression</w:t>
            </w:r>
          </w:p>
        </w:tc>
        <w:tc>
          <w:tcPr>
            <w:tcW w:w="0" w:type="auto"/>
            <w:vAlign w:val="center"/>
            <w:hideMark/>
          </w:tcPr>
          <w:p w14:paraId="0E5F543C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14:paraId="7A2F45FA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029C9344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Pain scale, Sagittal Pelvic Tilt Index</w:t>
            </w:r>
          </w:p>
        </w:tc>
        <w:tc>
          <w:tcPr>
            <w:tcW w:w="0" w:type="auto"/>
            <w:vAlign w:val="center"/>
            <w:hideMark/>
          </w:tcPr>
          <w:p w14:paraId="4BCA4C87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SPTI &lt;0.76 associated with ≥1 slip grade increase</w:t>
            </w:r>
          </w:p>
        </w:tc>
        <w:tc>
          <w:tcPr>
            <w:tcW w:w="0" w:type="auto"/>
            <w:vAlign w:val="center"/>
            <w:hideMark/>
          </w:tcPr>
          <w:p w14:paraId="2AE6B30F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5.6 years</w:t>
            </w:r>
          </w:p>
        </w:tc>
        <w:tc>
          <w:tcPr>
            <w:tcW w:w="0" w:type="auto"/>
            <w:vAlign w:val="center"/>
            <w:hideMark/>
          </w:tcPr>
          <w:p w14:paraId="6F701306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558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11%</w:t>
            </w:r>
          </w:p>
        </w:tc>
      </w:tr>
      <w:tr w:rsidR="0081604A" w:rsidRPr="00B558F5" w14:paraId="3777F921" w14:textId="77777777" w:rsidTr="00DA017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73B5267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Seitsalo </w:t>
            </w:r>
            <w:r w:rsidRPr="00B558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</w:t>
            </w:r>
            <w:r w:rsidRPr="008F21F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1991</w:t>
            </w:r>
            <w:r w:rsidRPr="00B558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69D51906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Progression of spondylolisthesis in children and adolescents: A long-term follow-up of 272 patients</w:t>
            </w:r>
          </w:p>
        </w:tc>
        <w:tc>
          <w:tcPr>
            <w:tcW w:w="0" w:type="auto"/>
            <w:vAlign w:val="center"/>
            <w:hideMark/>
          </w:tcPr>
          <w:p w14:paraId="2F2DF2B1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Determine amount/frequency of progression and predictive radiographic factors</w:t>
            </w:r>
          </w:p>
        </w:tc>
        <w:tc>
          <w:tcPr>
            <w:tcW w:w="0" w:type="auto"/>
            <w:vAlign w:val="center"/>
            <w:hideMark/>
          </w:tcPr>
          <w:p w14:paraId="10C43F47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82 (conservative group)</w:t>
            </w:r>
          </w:p>
        </w:tc>
        <w:tc>
          <w:tcPr>
            <w:tcW w:w="0" w:type="auto"/>
            <w:vAlign w:val="center"/>
            <w:hideMark/>
          </w:tcPr>
          <w:p w14:paraId="53BC4B80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Boys: 14.9, Girls: 13.8</w:t>
            </w:r>
          </w:p>
        </w:tc>
        <w:tc>
          <w:tcPr>
            <w:tcW w:w="0" w:type="auto"/>
            <w:vAlign w:val="center"/>
            <w:hideMark/>
          </w:tcPr>
          <w:p w14:paraId="79A95CFD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Slip %, Lumbar Index, Sacral rounding, Slip Angle</w:t>
            </w:r>
          </w:p>
        </w:tc>
        <w:tc>
          <w:tcPr>
            <w:tcW w:w="0" w:type="auto"/>
            <w:vAlign w:val="center"/>
            <w:hideMark/>
          </w:tcPr>
          <w:p w14:paraId="716160E6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Mean progression 1.4 ± 7%</w:t>
            </w:r>
          </w:p>
        </w:tc>
        <w:tc>
          <w:tcPr>
            <w:tcW w:w="0" w:type="auto"/>
            <w:vAlign w:val="center"/>
            <w:hideMark/>
          </w:tcPr>
          <w:p w14:paraId="3FCF55A9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14.8 years</w:t>
            </w:r>
          </w:p>
        </w:tc>
        <w:tc>
          <w:tcPr>
            <w:tcW w:w="0" w:type="auto"/>
            <w:vAlign w:val="center"/>
            <w:hideMark/>
          </w:tcPr>
          <w:p w14:paraId="101602D9" w14:textId="77777777" w:rsidR="0081604A" w:rsidRPr="008F21F7" w:rsidRDefault="0081604A" w:rsidP="00DA017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21F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Not reported</w:t>
            </w:r>
          </w:p>
        </w:tc>
      </w:tr>
    </w:tbl>
    <w:p w14:paraId="109D269B" w14:textId="77777777" w:rsidR="0081604A" w:rsidRDefault="0081604A" w:rsidP="0081604A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77DEC3F3" w14:textId="77777777" w:rsidR="0081604A" w:rsidRDefault="0081604A" w:rsidP="0081604A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38103198" w14:textId="77777777" w:rsidR="0081604A" w:rsidRDefault="0081604A" w:rsidP="0081604A"/>
    <w:p w14:paraId="497C945F" w14:textId="77777777" w:rsidR="00F553FF" w:rsidRDefault="00F553FF"/>
    <w:sectPr w:rsidR="00F553FF" w:rsidSect="0081604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2003574852"/>
      <w:docPartObj>
        <w:docPartGallery w:val="Page Numbers (Bottom of Page)"/>
        <w:docPartUnique/>
      </w:docPartObj>
    </w:sdtPr>
    <w:sdtContent>
      <w:p w14:paraId="604B78D9" w14:textId="77777777" w:rsidR="0081604A" w:rsidRDefault="0081604A" w:rsidP="007160E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4A67F47F" w14:textId="77777777" w:rsidR="0081604A" w:rsidRDefault="0081604A" w:rsidP="004136D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964393126"/>
      <w:docPartObj>
        <w:docPartGallery w:val="Page Numbers (Bottom of Page)"/>
        <w:docPartUnique/>
      </w:docPartObj>
    </w:sdtPr>
    <w:sdtContent>
      <w:p w14:paraId="6AEC3717" w14:textId="77777777" w:rsidR="0081604A" w:rsidRDefault="0081604A" w:rsidP="007160E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9</w:t>
        </w:r>
        <w:r>
          <w:rPr>
            <w:rStyle w:val="PageNumber"/>
          </w:rPr>
          <w:fldChar w:fldCharType="end"/>
        </w:r>
      </w:p>
    </w:sdtContent>
  </w:sdt>
  <w:p w14:paraId="030A5715" w14:textId="77777777" w:rsidR="0081604A" w:rsidRDefault="0081604A" w:rsidP="004136DA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04A"/>
    <w:rsid w:val="003C2EF4"/>
    <w:rsid w:val="00446799"/>
    <w:rsid w:val="006A7E07"/>
    <w:rsid w:val="00701021"/>
    <w:rsid w:val="0081604A"/>
    <w:rsid w:val="00B74216"/>
    <w:rsid w:val="00BD5F4A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77303"/>
  <w15:chartTrackingRefBased/>
  <w15:docId w15:val="{9AD3099A-857D-46DA-8A65-CE62720A0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604A"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60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60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60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60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60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60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60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60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60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60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60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60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60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60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60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60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60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60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60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8160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60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8160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604A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8160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604A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8160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60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60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604A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8160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04A"/>
    <w:rPr>
      <w:lang w:val="en-AU"/>
    </w:rPr>
  </w:style>
  <w:style w:type="character" w:styleId="PageNumber">
    <w:name w:val="page number"/>
    <w:basedOn w:val="DefaultParagraphFont"/>
    <w:uiPriority w:val="99"/>
    <w:semiHidden/>
    <w:unhideWhenUsed/>
    <w:rsid w:val="008160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468</Words>
  <Characters>2964</Characters>
  <Application>Microsoft Office Word</Application>
  <DocSecurity>0</DocSecurity>
  <Lines>87</Lines>
  <Paragraphs>39</Paragraphs>
  <ScaleCrop>false</ScaleCrop>
  <Company>Springer Nature</Company>
  <LinksUpToDate>false</LinksUpToDate>
  <CharactersWithSpaces>3393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2026-04-13T18:12:00Z</dcterms:created>
  <dcterms:modified xsi:type="dcterms:W3CDTF">2026-04-13T18:12:00Z</dcterms:modified>
</cp:coreProperties>
</file>