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2294A" w14:textId="25D7E701" w:rsidR="009D20C7" w:rsidRDefault="00FB5BA2" w:rsidP="00FB5BA2">
      <w:pPr>
        <w:spacing w:before="240" w:after="240"/>
        <w:jc w:val="center"/>
        <w:rPr>
          <w:rFonts w:ascii="Times New Roman" w:hAnsi="Times New Roman" w:cs="Times New Roman"/>
          <w:b/>
          <w:bCs/>
        </w:rPr>
      </w:pPr>
      <w:r w:rsidRPr="00FB5BA2">
        <w:rPr>
          <w:rFonts w:ascii="Times New Roman" w:hAnsi="Times New Roman" w:cs="Times New Roman"/>
          <w:b/>
          <w:bCs/>
        </w:rPr>
        <w:t>Marine Invasion in the Era of Shipping Growth and Regulation</w:t>
      </w:r>
    </w:p>
    <w:p w14:paraId="0644A966" w14:textId="064BD259" w:rsidR="00FB5BA2" w:rsidRDefault="00FB5BA2" w:rsidP="00FB5BA2">
      <w:pPr>
        <w:spacing w:before="240" w:after="240"/>
        <w:jc w:val="center"/>
        <w:rPr>
          <w:rFonts w:ascii="Times New Roman" w:hAnsi="Times New Roman" w:cs="Times New Roman"/>
          <w:b/>
          <w:bCs/>
        </w:rPr>
      </w:pPr>
      <w:r>
        <w:rPr>
          <w:rFonts w:ascii="Times New Roman" w:hAnsi="Times New Roman" w:cs="Times New Roman"/>
          <w:b/>
          <w:bCs/>
        </w:rPr>
        <w:t>Supplementary Information</w:t>
      </w:r>
    </w:p>
    <w:p w14:paraId="6ADC97A2" w14:textId="77777777" w:rsidR="00CE619D" w:rsidRPr="00F80FB9" w:rsidRDefault="00CE619D" w:rsidP="00CE619D">
      <w:pPr>
        <w:tabs>
          <w:tab w:val="left" w:pos="7125"/>
        </w:tabs>
        <w:rPr>
          <w:rFonts w:ascii="Times New Roman" w:hAnsi="Times New Roman" w:cs="Times New Roman"/>
        </w:rPr>
      </w:pPr>
      <w:r w:rsidRPr="00F80FB9">
        <w:rPr>
          <w:rFonts w:ascii="Times New Roman" w:hAnsi="Times New Roman" w:cs="Times New Roman"/>
        </w:rPr>
        <w:t>Zhaojun Wang</w:t>
      </w:r>
      <w:r>
        <w:rPr>
          <w:rFonts w:ascii="Times New Roman" w:hAnsi="Times New Roman" w:cs="Times New Roman" w:hint="eastAsia"/>
        </w:rPr>
        <w:t xml:space="preserve"> </w:t>
      </w:r>
      <w:r w:rsidRPr="00F80FB9">
        <w:rPr>
          <w:rFonts w:ascii="Times New Roman" w:hAnsi="Times New Roman" w:cs="Times New Roman"/>
          <w:vertAlign w:val="superscript"/>
        </w:rPr>
        <w:t>a</w:t>
      </w:r>
      <w:r>
        <w:rPr>
          <w:rFonts w:ascii="Times New Roman" w:hAnsi="Times New Roman" w:cs="Times New Roman"/>
          <w:vertAlign w:val="superscript"/>
        </w:rPr>
        <w:t>*</w:t>
      </w:r>
      <w:r w:rsidRPr="00F80FB9">
        <w:rPr>
          <w:rFonts w:ascii="Times New Roman" w:hAnsi="Times New Roman" w:cs="Times New Roman"/>
        </w:rPr>
        <w:t>, Zhe Dong</w:t>
      </w:r>
      <w:r>
        <w:rPr>
          <w:rFonts w:ascii="Times New Roman" w:hAnsi="Times New Roman" w:cs="Times New Roman" w:hint="eastAsia"/>
        </w:rPr>
        <w:t xml:space="preserve"> </w:t>
      </w:r>
      <w:r>
        <w:rPr>
          <w:rFonts w:ascii="Times New Roman" w:hAnsi="Times New Roman" w:cs="Times New Roman"/>
          <w:vertAlign w:val="superscript"/>
        </w:rPr>
        <w:t>b</w:t>
      </w:r>
      <w:r w:rsidRPr="00F80FB9">
        <w:rPr>
          <w:rFonts w:ascii="Times New Roman" w:hAnsi="Times New Roman" w:cs="Times New Roman"/>
        </w:rPr>
        <w:t xml:space="preserve">, </w:t>
      </w:r>
      <w:r>
        <w:rPr>
          <w:rFonts w:ascii="Times New Roman" w:hAnsi="Times New Roman" w:cs="Times New Roman" w:hint="eastAsia"/>
        </w:rPr>
        <w:t xml:space="preserve">Sarah A. Bailey </w:t>
      </w:r>
      <w:r w:rsidRPr="001B2376">
        <w:rPr>
          <w:rFonts w:ascii="Times New Roman" w:hAnsi="Times New Roman" w:cs="Times New Roman" w:hint="eastAsia"/>
          <w:vertAlign w:val="superscript"/>
        </w:rPr>
        <w:t>c</w:t>
      </w:r>
      <w:r>
        <w:rPr>
          <w:rFonts w:ascii="Times New Roman" w:hAnsi="Times New Roman" w:cs="Times New Roman"/>
          <w:vertAlign w:val="superscript"/>
        </w:rPr>
        <w:tab/>
      </w:r>
    </w:p>
    <w:p w14:paraId="2BB2147E" w14:textId="77777777" w:rsidR="00CE619D" w:rsidRPr="00F80FB9" w:rsidRDefault="00CE619D" w:rsidP="00CE619D">
      <w:pPr>
        <w:rPr>
          <w:rFonts w:ascii="Times New Roman" w:hAnsi="Times New Roman" w:cs="Times New Roman"/>
        </w:rPr>
      </w:pPr>
      <w:r w:rsidRPr="00F80FB9">
        <w:rPr>
          <w:rFonts w:ascii="Times New Roman" w:hAnsi="Times New Roman" w:cs="Times New Roman"/>
        </w:rPr>
        <w:t xml:space="preserve">a. </w:t>
      </w:r>
      <w:r w:rsidRPr="002D0832">
        <w:rPr>
          <w:rFonts w:ascii="Times New Roman" w:hAnsi="Times New Roman" w:cs="Times New Roman"/>
        </w:rPr>
        <w:t>Department of Marine and Coastal Environmental Sciences, College of Marine Sciences and Maritime Studies</w:t>
      </w:r>
      <w:r>
        <w:rPr>
          <w:rFonts w:ascii="Times New Roman" w:hAnsi="Times New Roman" w:cs="Times New Roman" w:hint="eastAsia"/>
        </w:rPr>
        <w:t xml:space="preserve">, </w:t>
      </w:r>
      <w:r>
        <w:rPr>
          <w:rFonts w:ascii="Times New Roman" w:hAnsi="Times New Roman" w:cs="Times New Roman"/>
        </w:rPr>
        <w:t>Texas A&amp;M University</w:t>
      </w:r>
      <w:r w:rsidRPr="00F80FB9">
        <w:rPr>
          <w:rFonts w:ascii="Times New Roman" w:hAnsi="Times New Roman" w:cs="Times New Roman"/>
        </w:rPr>
        <w:t xml:space="preserve">, </w:t>
      </w:r>
      <w:r>
        <w:rPr>
          <w:rFonts w:ascii="Times New Roman" w:hAnsi="Times New Roman" w:cs="Times New Roman"/>
        </w:rPr>
        <w:t>Galveston</w:t>
      </w:r>
      <w:r w:rsidRPr="00F80FB9">
        <w:rPr>
          <w:rFonts w:ascii="Times New Roman" w:hAnsi="Times New Roman" w:cs="Times New Roman"/>
        </w:rPr>
        <w:t xml:space="preserve">, </w:t>
      </w:r>
      <w:r>
        <w:rPr>
          <w:rFonts w:ascii="Times New Roman" w:hAnsi="Times New Roman" w:cs="Times New Roman"/>
        </w:rPr>
        <w:t>Texas</w:t>
      </w:r>
      <w:r w:rsidRPr="00F80FB9">
        <w:rPr>
          <w:rFonts w:ascii="Times New Roman" w:hAnsi="Times New Roman" w:cs="Times New Roman"/>
        </w:rPr>
        <w:t xml:space="preserve"> </w:t>
      </w:r>
      <w:r w:rsidRPr="00227185">
        <w:rPr>
          <w:rFonts w:ascii="Times New Roman" w:hAnsi="Times New Roman" w:cs="Times New Roman"/>
        </w:rPr>
        <w:t>77554</w:t>
      </w:r>
      <w:r w:rsidRPr="00F80FB9">
        <w:rPr>
          <w:rFonts w:ascii="Times New Roman" w:hAnsi="Times New Roman" w:cs="Times New Roman"/>
        </w:rPr>
        <w:t>, United States</w:t>
      </w:r>
    </w:p>
    <w:p w14:paraId="69C8FC50" w14:textId="77777777" w:rsidR="00CE619D" w:rsidRDefault="00CE619D" w:rsidP="00CE619D">
      <w:pPr>
        <w:rPr>
          <w:rFonts w:ascii="Times New Roman" w:hAnsi="Times New Roman" w:cs="Times New Roman"/>
        </w:rPr>
      </w:pPr>
      <w:r>
        <w:rPr>
          <w:rFonts w:ascii="Times New Roman" w:hAnsi="Times New Roman" w:cs="Times New Roman"/>
        </w:rPr>
        <w:t>b</w:t>
      </w:r>
      <w:r w:rsidRPr="00F80FB9">
        <w:rPr>
          <w:rFonts w:ascii="Times New Roman" w:hAnsi="Times New Roman" w:cs="Times New Roman"/>
        </w:rPr>
        <w:t>. 101 Saratoga Ave</w:t>
      </w:r>
      <w:r>
        <w:rPr>
          <w:rFonts w:ascii="Times New Roman" w:hAnsi="Times New Roman" w:cs="Times New Roman"/>
        </w:rPr>
        <w:t>,</w:t>
      </w:r>
      <w:r w:rsidRPr="00F80FB9">
        <w:rPr>
          <w:rFonts w:ascii="Times New Roman" w:hAnsi="Times New Roman" w:cs="Times New Roman"/>
        </w:rPr>
        <w:t xml:space="preserve"> Santa Clara, CA 95051, United States</w:t>
      </w:r>
    </w:p>
    <w:p w14:paraId="5E848165" w14:textId="77777777" w:rsidR="00CE619D" w:rsidRPr="00F80FB9" w:rsidRDefault="00CE619D" w:rsidP="00CE619D">
      <w:pPr>
        <w:rPr>
          <w:rFonts w:ascii="Times New Roman" w:hAnsi="Times New Roman" w:cs="Times New Roman" w:hint="eastAsia"/>
        </w:rPr>
      </w:pPr>
      <w:r>
        <w:rPr>
          <w:rFonts w:ascii="Times New Roman" w:hAnsi="Times New Roman" w:cs="Times New Roman" w:hint="eastAsia"/>
        </w:rPr>
        <w:t xml:space="preserve">c. </w:t>
      </w:r>
      <w:r w:rsidRPr="0059290C">
        <w:rPr>
          <w:rFonts w:ascii="Times New Roman" w:hAnsi="Times New Roman" w:cs="Times New Roman"/>
        </w:rPr>
        <w:t>Great Lakes Laboratory for Fisheries and Aquatic Sciences, Fisheries and Oceans Canada, 867 Lakeshore Road, Burlington, ON, L7S 1A1, Canada</w:t>
      </w:r>
    </w:p>
    <w:p w14:paraId="1C64F4F5" w14:textId="77777777" w:rsidR="00CE619D" w:rsidRPr="00F80FB9" w:rsidRDefault="00CE619D" w:rsidP="00CE619D">
      <w:pPr>
        <w:rPr>
          <w:rFonts w:ascii="Times New Roman" w:hAnsi="Times New Roman" w:cs="Times New Roman"/>
        </w:rPr>
      </w:pPr>
      <w:r>
        <w:rPr>
          <w:rFonts w:ascii="Times New Roman" w:hAnsi="Times New Roman" w:cs="Times New Roman"/>
        </w:rPr>
        <w:t>*Corresponding author</w:t>
      </w:r>
    </w:p>
    <w:p w14:paraId="4929FD05" w14:textId="77777777" w:rsidR="00CE619D" w:rsidRPr="00FB5BA2" w:rsidRDefault="00CE619D" w:rsidP="00FB5BA2">
      <w:pPr>
        <w:spacing w:before="240" w:after="240"/>
        <w:jc w:val="center"/>
        <w:rPr>
          <w:rFonts w:ascii="Times New Roman" w:hAnsi="Times New Roman" w:cs="Times New Roman"/>
          <w:b/>
          <w:bCs/>
        </w:rPr>
      </w:pPr>
    </w:p>
    <w:p w14:paraId="2B8A6E92" w14:textId="7FE8C924" w:rsidR="7767E126" w:rsidRPr="0012715B" w:rsidRDefault="737B6648" w:rsidP="5A673DB1">
      <w:pPr>
        <w:pStyle w:val="Heading1"/>
        <w:rPr>
          <w:rFonts w:ascii="Times New Roman" w:eastAsia="Aptos" w:hAnsi="Times New Roman" w:cs="Times New Roman"/>
          <w:b/>
          <w:bCs/>
          <w:color w:val="auto"/>
          <w:sz w:val="24"/>
          <w:szCs w:val="24"/>
        </w:rPr>
      </w:pPr>
      <w:r w:rsidRPr="0012715B">
        <w:rPr>
          <w:rFonts w:ascii="Times New Roman" w:hAnsi="Times New Roman" w:cs="Times New Roman"/>
          <w:b/>
          <w:bCs/>
          <w:color w:val="auto"/>
          <w:sz w:val="24"/>
          <w:szCs w:val="24"/>
        </w:rPr>
        <w:t>1</w:t>
      </w:r>
      <w:r w:rsidR="7767E126" w:rsidRPr="0012715B">
        <w:rPr>
          <w:rFonts w:ascii="Times New Roman" w:hAnsi="Times New Roman" w:cs="Times New Roman"/>
          <w:b/>
          <w:bCs/>
          <w:color w:val="auto"/>
          <w:sz w:val="24"/>
          <w:szCs w:val="24"/>
        </w:rPr>
        <w:t>. Methodology</w:t>
      </w:r>
    </w:p>
    <w:p w14:paraId="19FBAA08" w14:textId="770FA4B6" w:rsidR="7767E126" w:rsidRPr="0012715B" w:rsidRDefault="2F2F7E44" w:rsidP="5A673DB1">
      <w:pPr>
        <w:pStyle w:val="Heading2"/>
        <w:rPr>
          <w:rFonts w:ascii="Times New Roman" w:eastAsia="Aptos" w:hAnsi="Times New Roman" w:cs="Times New Roman"/>
          <w:b/>
          <w:bCs/>
          <w:color w:val="auto"/>
          <w:sz w:val="24"/>
          <w:szCs w:val="24"/>
        </w:rPr>
      </w:pPr>
      <w:r w:rsidRPr="0012715B">
        <w:rPr>
          <w:rFonts w:ascii="Times New Roman" w:hAnsi="Times New Roman" w:cs="Times New Roman"/>
          <w:b/>
          <w:bCs/>
          <w:color w:val="auto"/>
          <w:sz w:val="24"/>
          <w:szCs w:val="24"/>
        </w:rPr>
        <w:t>1</w:t>
      </w:r>
      <w:r w:rsidR="7767E126" w:rsidRPr="0012715B">
        <w:rPr>
          <w:rFonts w:ascii="Times New Roman" w:hAnsi="Times New Roman" w:cs="Times New Roman"/>
          <w:b/>
          <w:bCs/>
          <w:color w:val="auto"/>
          <w:sz w:val="24"/>
          <w:szCs w:val="24"/>
        </w:rPr>
        <w:t>.1. Data and Key Features</w:t>
      </w:r>
    </w:p>
    <w:p w14:paraId="49C46C4C" w14:textId="4E8C6F5A" w:rsidR="442276DB" w:rsidRPr="0012715B" w:rsidRDefault="442276DB" w:rsidP="5A673DB1">
      <w:pPr>
        <w:spacing w:before="240" w:after="240"/>
        <w:rPr>
          <w:rFonts w:ascii="Times New Roman" w:eastAsia="Aptos" w:hAnsi="Times New Roman" w:cs="Times New Roman"/>
        </w:rPr>
      </w:pPr>
      <w:r w:rsidRPr="0012715B">
        <w:rPr>
          <w:rFonts w:ascii="Times New Roman" w:eastAsia="Aptos" w:hAnsi="Times New Roman" w:cs="Times New Roman"/>
        </w:rPr>
        <w:t xml:space="preserve">Our predictive model is built upon a comprehensive dataset integrating global shipping activities with key economic, geographical, and relational indicators. </w:t>
      </w:r>
      <w:r w:rsidR="2B69C659" w:rsidRPr="0012715B">
        <w:rPr>
          <w:rFonts w:ascii="Times New Roman" w:eastAsia="Aptos" w:hAnsi="Times New Roman" w:cs="Times New Roman"/>
        </w:rPr>
        <w:t>Below are our incorporated several crucial data sources:</w:t>
      </w:r>
    </w:p>
    <w:p w14:paraId="3DB89851" w14:textId="6C5F9C98" w:rsidR="2B69C659" w:rsidRPr="0012715B" w:rsidRDefault="2B69C659" w:rsidP="5A673DB1">
      <w:pPr>
        <w:pStyle w:val="ListParagraph"/>
        <w:numPr>
          <w:ilvl w:val="0"/>
          <w:numId w:val="1"/>
        </w:numPr>
        <w:spacing w:before="240" w:after="240"/>
        <w:rPr>
          <w:rFonts w:ascii="Times New Roman" w:eastAsia="Aptos" w:hAnsi="Times New Roman" w:cs="Times New Roman"/>
        </w:rPr>
      </w:pPr>
      <w:r w:rsidRPr="0012715B">
        <w:rPr>
          <w:rFonts w:ascii="Times New Roman" w:eastAsia="Aptos" w:hAnsi="Times New Roman" w:cs="Times New Roman"/>
        </w:rPr>
        <w:t xml:space="preserve">Shipping Data: Historical voyages </w:t>
      </w:r>
      <w:r w:rsidR="1294D57E" w:rsidRPr="0012715B">
        <w:rPr>
          <w:rFonts w:ascii="Times New Roman" w:eastAsia="Aptos" w:hAnsi="Times New Roman" w:cs="Times New Roman"/>
        </w:rPr>
        <w:t>a</w:t>
      </w:r>
      <w:r w:rsidR="357792B1" w:rsidRPr="0012715B">
        <w:rPr>
          <w:rFonts w:ascii="Times New Roman" w:eastAsia="Aptos" w:hAnsi="Times New Roman" w:cs="Times New Roman"/>
        </w:rPr>
        <w:t xml:space="preserve">re </w:t>
      </w:r>
      <w:r w:rsidRPr="0012715B">
        <w:rPr>
          <w:rFonts w:ascii="Times New Roman" w:eastAsia="Aptos" w:hAnsi="Times New Roman" w:cs="Times New Roman"/>
        </w:rPr>
        <w:t xml:space="preserve">obtained from </w:t>
      </w:r>
      <w:r w:rsidR="00643A50" w:rsidRPr="0012715B">
        <w:rPr>
          <w:rFonts w:ascii="Times New Roman" w:eastAsia="Aptos" w:hAnsi="Times New Roman" w:cs="Times New Roman"/>
        </w:rPr>
        <w:t>Lloyd’s List</w:t>
      </w:r>
      <w:r w:rsidRPr="0012715B">
        <w:rPr>
          <w:rFonts w:ascii="Times New Roman" w:eastAsia="Aptos" w:hAnsi="Times New Roman" w:cs="Times New Roman"/>
        </w:rPr>
        <w:t xml:space="preserve"> </w:t>
      </w:r>
      <w:r w:rsidR="010B8A41" w:rsidRPr="0012715B">
        <w:rPr>
          <w:rFonts w:ascii="Times New Roman" w:eastAsia="Aptos" w:hAnsi="Times New Roman" w:cs="Times New Roman"/>
        </w:rPr>
        <w:t>and</w:t>
      </w:r>
      <w:r w:rsidRPr="0012715B">
        <w:rPr>
          <w:rFonts w:ascii="Times New Roman" w:eastAsia="Aptos" w:hAnsi="Times New Roman" w:cs="Times New Roman"/>
        </w:rPr>
        <w:t xml:space="preserve"> aggregated to a country-to-country level</w:t>
      </w:r>
      <w:r w:rsidR="00643A50" w:rsidRPr="0012715B">
        <w:rPr>
          <w:rFonts w:ascii="Times New Roman" w:eastAsia="Aptos" w:hAnsi="Times New Roman" w:cs="Times New Roman"/>
        </w:rPr>
        <w:t xml:space="preserve"> by vessel type</w:t>
      </w:r>
      <w:r w:rsidRPr="0012715B">
        <w:rPr>
          <w:rFonts w:ascii="Times New Roman" w:eastAsia="Aptos" w:hAnsi="Times New Roman" w:cs="Times New Roman"/>
        </w:rPr>
        <w:t>.</w:t>
      </w:r>
    </w:p>
    <w:p w14:paraId="0B888576" w14:textId="02B0153B" w:rsidR="332AC36E" w:rsidRPr="0012715B" w:rsidRDefault="332AC36E" w:rsidP="5A673DB1">
      <w:pPr>
        <w:pStyle w:val="ListParagraph"/>
        <w:numPr>
          <w:ilvl w:val="0"/>
          <w:numId w:val="1"/>
        </w:numPr>
        <w:spacing w:before="240" w:after="240"/>
        <w:rPr>
          <w:rFonts w:ascii="Times New Roman" w:eastAsia="Aptos" w:hAnsi="Times New Roman" w:cs="Times New Roman"/>
        </w:rPr>
      </w:pPr>
      <w:r w:rsidRPr="0012715B">
        <w:rPr>
          <w:rFonts w:ascii="Times New Roman" w:eastAsia="Aptos" w:hAnsi="Times New Roman" w:cs="Times New Roman"/>
        </w:rPr>
        <w:t xml:space="preserve">Economic Data: Historical and future Gross Domestic Product (GDP) and population figures for countries </w:t>
      </w:r>
      <w:r w:rsidR="73D01A27" w:rsidRPr="0012715B">
        <w:rPr>
          <w:rFonts w:ascii="Times New Roman" w:eastAsia="Aptos" w:hAnsi="Times New Roman" w:cs="Times New Roman"/>
        </w:rPr>
        <w:t>a</w:t>
      </w:r>
      <w:r w:rsidRPr="0012715B">
        <w:rPr>
          <w:rFonts w:ascii="Times New Roman" w:eastAsia="Aptos" w:hAnsi="Times New Roman" w:cs="Times New Roman"/>
        </w:rPr>
        <w:t>re sourced from the World Bank</w:t>
      </w:r>
      <w:r w:rsidR="09FFD496" w:rsidRPr="0012715B">
        <w:rPr>
          <w:rFonts w:ascii="Times New Roman" w:eastAsia="Aptos" w:hAnsi="Times New Roman" w:cs="Times New Roman"/>
        </w:rPr>
        <w:t xml:space="preserve"> OECD ENV-Growth 2023</w:t>
      </w:r>
      <w:r w:rsidR="008879B8">
        <w:rPr>
          <w:rFonts w:ascii="Times New Roman" w:eastAsia="Aptos" w:hAnsi="Times New Roman" w:cs="Times New Roman"/>
        </w:rPr>
        <w:t xml:space="preserve"> </w:t>
      </w:r>
      <w:r w:rsidR="008879B8">
        <w:rPr>
          <w:rFonts w:ascii="Times New Roman" w:hAnsi="Times New Roman" w:cs="Times New Roman"/>
        </w:rPr>
        <w:fldChar w:fldCharType="begin"/>
      </w:r>
      <w:r w:rsidR="008879B8">
        <w:rPr>
          <w:rFonts w:ascii="Times New Roman" w:hAnsi="Times New Roman" w:cs="Times New Roman"/>
        </w:rPr>
        <w:instrText xml:space="preserve"> ADDIN ZOTERO_ITEM CSL_CITATION {"citationID":"lLYDOuR0","properties":{"formattedCitation":"(World Bank, 2024)","plainCitation":"(World Bank, 2024)","noteIndex":0},"citationItems":[{"id":1803,"uris":["http://zotero.org/users/13154070/items/4VWKR8KF"],"itemData":{"id":1803,"type":"dataset","title":"World Bank Open Data. https://data.worldbank.org","author":[{"family":"World Bank","given":""}],"issued":{"date-parts":[["2024"]]}}}],"schema":"https://github.com/citation-style-language/schema/raw/master/csl-citation.json"} </w:instrText>
      </w:r>
      <w:r w:rsidR="008879B8">
        <w:rPr>
          <w:rFonts w:ascii="Times New Roman" w:hAnsi="Times New Roman" w:cs="Times New Roman"/>
        </w:rPr>
        <w:fldChar w:fldCharType="separate"/>
      </w:r>
      <w:r w:rsidR="008879B8" w:rsidRPr="00315D0F">
        <w:rPr>
          <w:rFonts w:ascii="Times New Roman" w:hAnsi="Times New Roman" w:cs="Times New Roman"/>
        </w:rPr>
        <w:t>(World Bank, 2024)</w:t>
      </w:r>
      <w:r w:rsidR="008879B8">
        <w:rPr>
          <w:rFonts w:ascii="Times New Roman" w:hAnsi="Times New Roman" w:cs="Times New Roman"/>
        </w:rPr>
        <w:fldChar w:fldCharType="end"/>
      </w:r>
      <w:r w:rsidRPr="0012715B">
        <w:rPr>
          <w:rFonts w:ascii="Times New Roman" w:eastAsia="Aptos" w:hAnsi="Times New Roman" w:cs="Times New Roman"/>
        </w:rPr>
        <w:t>.</w:t>
      </w:r>
    </w:p>
    <w:p w14:paraId="27E35481" w14:textId="62F0AEED" w:rsidR="332AC36E" w:rsidRPr="0012715B" w:rsidRDefault="332AC36E" w:rsidP="5A673DB1">
      <w:pPr>
        <w:pStyle w:val="ListParagraph"/>
        <w:numPr>
          <w:ilvl w:val="0"/>
          <w:numId w:val="1"/>
        </w:numPr>
        <w:spacing w:before="240" w:after="240"/>
        <w:rPr>
          <w:rFonts w:ascii="Times New Roman" w:eastAsia="Aptos" w:hAnsi="Times New Roman" w:cs="Times New Roman"/>
        </w:rPr>
      </w:pPr>
      <w:r w:rsidRPr="0012715B">
        <w:rPr>
          <w:rFonts w:ascii="Times New Roman" w:eastAsia="Aptos" w:hAnsi="Times New Roman" w:cs="Times New Roman"/>
        </w:rPr>
        <w:t xml:space="preserve">Geopolitical and Relational Data: </w:t>
      </w:r>
      <w:r w:rsidR="009D20C7" w:rsidRPr="0012715B">
        <w:rPr>
          <w:rFonts w:ascii="Times New Roman" w:eastAsia="Aptos" w:hAnsi="Times New Roman" w:cs="Times New Roman"/>
        </w:rPr>
        <w:t>i</w:t>
      </w:r>
      <w:r w:rsidRPr="0012715B">
        <w:rPr>
          <w:rFonts w:ascii="Times New Roman" w:eastAsia="Aptos" w:hAnsi="Times New Roman" w:cs="Times New Roman"/>
        </w:rPr>
        <w:t xml:space="preserve">nformation pertaining to inter-country relationships </w:t>
      </w:r>
      <w:r w:rsidR="7A467620" w:rsidRPr="0012715B">
        <w:rPr>
          <w:rFonts w:ascii="Times New Roman" w:eastAsia="Aptos" w:hAnsi="Times New Roman" w:cs="Times New Roman"/>
        </w:rPr>
        <w:t>i</w:t>
      </w:r>
      <w:r w:rsidR="16120E71" w:rsidRPr="0012715B">
        <w:rPr>
          <w:rFonts w:ascii="Times New Roman" w:eastAsia="Aptos" w:hAnsi="Times New Roman" w:cs="Times New Roman"/>
        </w:rPr>
        <w:t xml:space="preserve">s drawn from </w:t>
      </w:r>
      <w:r w:rsidR="001D3CC4" w:rsidRPr="000B210C">
        <w:rPr>
          <w:rFonts w:ascii="Times New Roman" w:hAnsi="Times New Roman" w:cs="Times New Roman"/>
        </w:rPr>
        <w:t>Centre d</w:t>
      </w:r>
      <w:r w:rsidR="001D3CC4">
        <w:rPr>
          <w:rFonts w:ascii="Times New Roman" w:hAnsi="Times New Roman" w:cs="Times New Roman"/>
        </w:rPr>
        <w:t>’</w:t>
      </w:r>
      <w:r w:rsidR="001D3CC4" w:rsidRPr="000B210C">
        <w:rPr>
          <w:rFonts w:ascii="Times New Roman" w:hAnsi="Times New Roman" w:cs="Times New Roman"/>
        </w:rPr>
        <w:t>Études Prospectives et d</w:t>
      </w:r>
      <w:r w:rsidR="001D3CC4">
        <w:rPr>
          <w:rFonts w:ascii="Times New Roman" w:hAnsi="Times New Roman" w:cs="Times New Roman"/>
        </w:rPr>
        <w:t>’</w:t>
      </w:r>
      <w:r w:rsidR="001D3CC4" w:rsidRPr="000B210C">
        <w:rPr>
          <w:rFonts w:ascii="Times New Roman" w:hAnsi="Times New Roman" w:cs="Times New Roman"/>
        </w:rPr>
        <w:t>Informations Internationales</w:t>
      </w:r>
      <w:r w:rsidR="001D3CC4">
        <w:rPr>
          <w:rFonts w:ascii="Times New Roman" w:hAnsi="Times New Roman" w:cs="Times New Roman"/>
        </w:rPr>
        <w:t xml:space="preserve">, </w:t>
      </w:r>
      <w:r w:rsidR="001D3CC4" w:rsidRPr="00F73AA2">
        <w:rPr>
          <w:rFonts w:ascii="Times New Roman" w:hAnsi="Times New Roman" w:cs="Times New Roman"/>
        </w:rPr>
        <w:t>CEPII</w:t>
      </w:r>
      <w:r w:rsidR="001D3CC4">
        <w:rPr>
          <w:rFonts w:ascii="Times New Roman" w:hAnsi="Times New Roman" w:cs="Times New Roman"/>
        </w:rPr>
        <w:t xml:space="preserve"> </w:t>
      </w:r>
      <w:r w:rsidR="001D3CC4">
        <w:rPr>
          <w:rFonts w:ascii="Times New Roman" w:hAnsi="Times New Roman" w:cs="Times New Roman"/>
        </w:rPr>
        <w:fldChar w:fldCharType="begin"/>
      </w:r>
      <w:r w:rsidR="001D3CC4">
        <w:rPr>
          <w:rFonts w:ascii="Times New Roman" w:hAnsi="Times New Roman" w:cs="Times New Roman"/>
        </w:rPr>
        <w:instrText xml:space="preserve"> ADDIN ZOTERO_ITEM CSL_CITATION {"citationID":"2k6zOuvw","properties":{"formattedCitation":"(CEPII, 2025)","plainCitation":"(CEPII, 2025)","noteIndex":0},"citationItems":[{"id":1801,"uris":["http://zotero.org/users/13154070/items/NHECLW5I"],"itemData":{"id":1801,"type":"dataset","publisher":"https://www.cepii.fr/CEPII/en/bdd_modele/bdd_modele.asp","title":"World Economy Databases. https://www.cepii.fr/CEPII/en/bdd_modele/bdd_modele.asp","URL":"https://www.cepii.fr/CEPII/en/bdd_modele/bdd_modele.asp","author":[{"family":"CEPII","given":""}],"issued":{"date-parts":[["2025"]]}}}],"schema":"https://github.com/citation-style-language/schema/raw/master/csl-citation.json"} </w:instrText>
      </w:r>
      <w:r w:rsidR="001D3CC4">
        <w:rPr>
          <w:rFonts w:ascii="Times New Roman" w:hAnsi="Times New Roman" w:cs="Times New Roman"/>
        </w:rPr>
        <w:fldChar w:fldCharType="separate"/>
      </w:r>
      <w:r w:rsidR="001D3CC4" w:rsidRPr="00414C75">
        <w:rPr>
          <w:rFonts w:ascii="Times New Roman" w:hAnsi="Times New Roman" w:cs="Times New Roman"/>
        </w:rPr>
        <w:t>(CEPII, 2025)</w:t>
      </w:r>
      <w:r w:rsidR="001D3CC4">
        <w:rPr>
          <w:rFonts w:ascii="Times New Roman" w:hAnsi="Times New Roman" w:cs="Times New Roman"/>
        </w:rPr>
        <w:fldChar w:fldCharType="end"/>
      </w:r>
      <w:r w:rsidR="16120E71" w:rsidRPr="0012715B">
        <w:rPr>
          <w:rFonts w:ascii="Times New Roman" w:eastAsia="Aptos" w:hAnsi="Times New Roman" w:cs="Times New Roman"/>
        </w:rPr>
        <w:t>.</w:t>
      </w:r>
    </w:p>
    <w:p w14:paraId="0F1A2B60" w14:textId="473CE42B" w:rsidR="43176A7E" w:rsidRPr="0012715B" w:rsidRDefault="43176A7E" w:rsidP="5A673DB1">
      <w:pPr>
        <w:spacing w:before="240" w:after="240"/>
        <w:rPr>
          <w:rFonts w:ascii="Times New Roman" w:eastAsia="Aptos" w:hAnsi="Times New Roman" w:cs="Times New Roman"/>
        </w:rPr>
      </w:pPr>
      <w:r w:rsidRPr="0012715B">
        <w:rPr>
          <w:rFonts w:ascii="Times New Roman" w:eastAsia="Aptos" w:hAnsi="Times New Roman" w:cs="Times New Roman"/>
        </w:rPr>
        <w:t>We organize the original historical information (2002, 2005, 2008, 2012, 2015, and 2018) into structured features and labels</w:t>
      </w:r>
      <w:r w:rsidR="4F989B49" w:rsidRPr="0012715B">
        <w:rPr>
          <w:rFonts w:ascii="Times New Roman" w:eastAsia="Aptos" w:hAnsi="Times New Roman" w:cs="Times New Roman"/>
        </w:rPr>
        <w:t xml:space="preserve">. </w:t>
      </w:r>
      <w:r w:rsidR="442276DB" w:rsidRPr="0012715B">
        <w:rPr>
          <w:rFonts w:ascii="Times New Roman" w:eastAsia="Aptos" w:hAnsi="Times New Roman" w:cs="Times New Roman"/>
        </w:rPr>
        <w:t>The key input features used in our model draw inspiration from established economic theories and network science. These include:</w:t>
      </w:r>
    </w:p>
    <w:p w14:paraId="32F4E0C9" w14:textId="197A2D9F" w:rsidR="7C80D299" w:rsidRPr="0012715B" w:rsidRDefault="7C80D299" w:rsidP="5A673DB1">
      <w:pPr>
        <w:pStyle w:val="ListParagraph"/>
        <w:numPr>
          <w:ilvl w:val="0"/>
          <w:numId w:val="2"/>
        </w:numPr>
        <w:spacing w:before="240" w:after="240"/>
        <w:rPr>
          <w:rFonts w:ascii="Times New Roman" w:eastAsia="Aptos" w:hAnsi="Times New Roman" w:cs="Times New Roman"/>
        </w:rPr>
      </w:pPr>
      <w:r w:rsidRPr="0012715B">
        <w:rPr>
          <w:rFonts w:ascii="Times New Roman" w:hAnsi="Times New Roman" w:cs="Times New Roman"/>
          <w:b/>
          <w:bCs/>
        </w:rPr>
        <w:t>Basic Economic Features.</w:t>
      </w:r>
      <w:r w:rsidRPr="0012715B">
        <w:rPr>
          <w:rFonts w:ascii="Times New Roman" w:hAnsi="Times New Roman" w:cs="Times New Roman"/>
        </w:rPr>
        <w:t xml:space="preserve"> Core economic indicators for both origin and destination countries</w:t>
      </w:r>
      <w:r w:rsidR="009D20C7" w:rsidRPr="0012715B">
        <w:rPr>
          <w:rFonts w:ascii="Times New Roman" w:hAnsi="Times New Roman" w:cs="Times New Roman"/>
        </w:rPr>
        <w:t xml:space="preserve">, </w:t>
      </w:r>
      <w:r w:rsidRPr="0012715B">
        <w:rPr>
          <w:rFonts w:ascii="Times New Roman" w:hAnsi="Times New Roman" w:cs="Times New Roman"/>
        </w:rPr>
        <w:t>namely their Gross Domestic Product, population size, and inter-country shipping distance</w:t>
      </w:r>
      <w:r w:rsidR="009D20C7" w:rsidRPr="0012715B">
        <w:rPr>
          <w:rFonts w:ascii="Times New Roman" w:hAnsi="Times New Roman" w:cs="Times New Roman"/>
        </w:rPr>
        <w:t xml:space="preserve">, </w:t>
      </w:r>
      <w:r w:rsidRPr="0012715B">
        <w:rPr>
          <w:rFonts w:ascii="Times New Roman" w:hAnsi="Times New Roman" w:cs="Times New Roman"/>
        </w:rPr>
        <w:t xml:space="preserve">are included. These features are theoretically grounded in the gravity </w:t>
      </w:r>
      <w:r w:rsidRPr="0012715B">
        <w:rPr>
          <w:rFonts w:ascii="Times New Roman" w:hAnsi="Times New Roman" w:cs="Times New Roman"/>
        </w:rPr>
        <w:lastRenderedPageBreak/>
        <w:t>model of trade, which predicts that bilateral flows increase with economic size and decrease with geographic distance (Anderson &amp; van Wincoop, 2003).</w:t>
      </w:r>
    </w:p>
    <w:p w14:paraId="40E6E17C" w14:textId="71068D95" w:rsidR="7C80D299" w:rsidRPr="0012715B" w:rsidRDefault="7C80D299" w:rsidP="5A673DB1">
      <w:pPr>
        <w:pStyle w:val="ListParagraph"/>
        <w:numPr>
          <w:ilvl w:val="0"/>
          <w:numId w:val="2"/>
        </w:numPr>
        <w:spacing w:before="240" w:after="240"/>
        <w:rPr>
          <w:rFonts w:ascii="Times New Roman" w:hAnsi="Times New Roman" w:cs="Times New Roman"/>
        </w:rPr>
      </w:pPr>
      <w:r w:rsidRPr="0012715B">
        <w:rPr>
          <w:rFonts w:ascii="Times New Roman" w:hAnsi="Times New Roman" w:cs="Times New Roman"/>
          <w:b/>
          <w:bCs/>
        </w:rPr>
        <w:t>Basic Geopolitical Information.</w:t>
      </w:r>
      <w:r w:rsidRPr="0012715B">
        <w:rPr>
          <w:rFonts w:ascii="Times New Roman" w:hAnsi="Times New Roman" w:cs="Times New Roman"/>
        </w:rPr>
        <w:t xml:space="preserve"> Geopolitical variables such as common language, shared borders, and colonial history are incorporated to capture socio-political frictions that influence trade and shipping flows. The inclusion of these variables follows both the theoretical reasoning in Anderson &amp; van Wincoop (2003) and the empirical modeling approach of Sardain et al. (2019).</w:t>
      </w:r>
    </w:p>
    <w:p w14:paraId="2E504081" w14:textId="7AB5ED28" w:rsidR="2EF5EAD6" w:rsidRPr="0012715B" w:rsidRDefault="2EF5EAD6" w:rsidP="5A673DB1">
      <w:pPr>
        <w:pStyle w:val="ListParagraph"/>
        <w:numPr>
          <w:ilvl w:val="0"/>
          <w:numId w:val="2"/>
        </w:numPr>
        <w:spacing w:before="240" w:after="240"/>
        <w:rPr>
          <w:rFonts w:ascii="Times New Roman" w:eastAsia="Aptos" w:hAnsi="Times New Roman" w:cs="Times New Roman"/>
        </w:rPr>
      </w:pPr>
      <w:r w:rsidRPr="0012715B">
        <w:rPr>
          <w:rFonts w:ascii="Times New Roman" w:hAnsi="Times New Roman" w:cs="Times New Roman"/>
          <w:b/>
          <w:bCs/>
        </w:rPr>
        <w:t>Network Structural Features.</w:t>
      </w:r>
      <w:r w:rsidRPr="0012715B">
        <w:rPr>
          <w:rFonts w:ascii="Times New Roman" w:hAnsi="Times New Roman" w:cs="Times New Roman"/>
        </w:rPr>
        <w:t xml:space="preserve"> The global maritime shipping network exhibits complex structural properties that can significantly influence vessel traffic patterns. Recent research by Song et al. (2024) demonstrated that these centrality measures are positively correlated with shipping flows, highlighting the importance of network topology in maritime traffic forecasting. To mitigate potential inaccuracies arising from future changes in shipping routes, we construct the network as an unweighted, undirected graph with deduplicated edges. This approach focuses on the structural connectivity of </w:t>
      </w:r>
      <w:r w:rsidR="156B13A3" w:rsidRPr="0012715B">
        <w:rPr>
          <w:rFonts w:ascii="Times New Roman" w:hAnsi="Times New Roman" w:cs="Times New Roman"/>
        </w:rPr>
        <w:t>countries</w:t>
      </w:r>
      <w:r w:rsidRPr="0012715B">
        <w:rPr>
          <w:rFonts w:ascii="Times New Roman" w:hAnsi="Times New Roman" w:cs="Times New Roman"/>
        </w:rPr>
        <w:t>, reducing sensitivity to fluctuations in route frequencies and ensuring the robustness of centrality-based features.</w:t>
      </w:r>
    </w:p>
    <w:p w14:paraId="41302669" w14:textId="119055A2" w:rsidR="7B6AE7B6" w:rsidRPr="0012715B" w:rsidRDefault="49E56094" w:rsidP="5A673DB1">
      <w:pPr>
        <w:pStyle w:val="ListParagraph"/>
        <w:numPr>
          <w:ilvl w:val="0"/>
          <w:numId w:val="2"/>
        </w:numPr>
        <w:spacing w:before="240" w:after="240"/>
        <w:rPr>
          <w:rFonts w:ascii="Times New Roman" w:eastAsia="Aptos" w:hAnsi="Times New Roman" w:cs="Times New Roman"/>
        </w:rPr>
      </w:pPr>
      <w:r w:rsidRPr="0012715B">
        <w:rPr>
          <w:rFonts w:ascii="Times New Roman" w:eastAsia="Aptos" w:hAnsi="Times New Roman" w:cs="Times New Roman"/>
          <w:b/>
          <w:bCs/>
        </w:rPr>
        <w:t xml:space="preserve">Derived Economic Indicators. </w:t>
      </w:r>
      <w:r w:rsidRPr="0012715B">
        <w:rPr>
          <w:rFonts w:ascii="Times New Roman" w:eastAsia="Aptos" w:hAnsi="Times New Roman" w:cs="Times New Roman"/>
        </w:rPr>
        <w:t>To capture more nuanced aspects of economic interaction and development levels, additional features were from the basic economic indicators. Ratios of Gross Domestic Product and population between origin and destination countries were computed to represent relative economic mass and demographic differentials. Products of these core economic variables were also generated to reflect combined market potential. Furthermore, per capita GDP for both origin and destination countries was included as a proxy for economic development and productivity, factors that can significantly shape trade composition and intensity.</w:t>
      </w:r>
    </w:p>
    <w:p w14:paraId="4503AC35" w14:textId="04A13DEC" w:rsidR="0EAD1523" w:rsidRPr="0012715B" w:rsidRDefault="6F5311E7" w:rsidP="5A673DB1">
      <w:pPr>
        <w:pStyle w:val="Heading2"/>
        <w:rPr>
          <w:rFonts w:ascii="Times New Roman" w:hAnsi="Times New Roman" w:cs="Times New Roman"/>
          <w:b/>
          <w:bCs/>
          <w:color w:val="auto"/>
          <w:sz w:val="24"/>
          <w:szCs w:val="24"/>
        </w:rPr>
      </w:pPr>
      <w:r w:rsidRPr="0012715B">
        <w:rPr>
          <w:rFonts w:ascii="Times New Roman" w:hAnsi="Times New Roman" w:cs="Times New Roman"/>
          <w:b/>
          <w:bCs/>
          <w:color w:val="auto"/>
          <w:sz w:val="24"/>
          <w:szCs w:val="24"/>
        </w:rPr>
        <w:t>1</w:t>
      </w:r>
      <w:r w:rsidR="0EAD1523" w:rsidRPr="0012715B">
        <w:rPr>
          <w:rFonts w:ascii="Times New Roman" w:hAnsi="Times New Roman" w:cs="Times New Roman"/>
          <w:b/>
          <w:bCs/>
          <w:color w:val="auto"/>
          <w:sz w:val="24"/>
          <w:szCs w:val="24"/>
        </w:rPr>
        <w:t xml:space="preserve">.2 </w:t>
      </w:r>
      <w:r w:rsidR="71700B6C" w:rsidRPr="0012715B">
        <w:rPr>
          <w:rFonts w:ascii="Times New Roman" w:hAnsi="Times New Roman" w:cs="Times New Roman"/>
          <w:b/>
          <w:bCs/>
          <w:color w:val="auto"/>
          <w:sz w:val="24"/>
          <w:szCs w:val="24"/>
        </w:rPr>
        <w:t>Data Characteristics and Modeling Approach</w:t>
      </w:r>
    </w:p>
    <w:p w14:paraId="49256F0D" w14:textId="12957684" w:rsidR="7C0BCFB2" w:rsidRPr="0012715B" w:rsidRDefault="7C0BCFB2">
      <w:pPr>
        <w:rPr>
          <w:rFonts w:ascii="Times New Roman" w:hAnsi="Times New Roman" w:cs="Times New Roman"/>
        </w:rPr>
      </w:pPr>
      <w:r w:rsidRPr="0012715B">
        <w:rPr>
          <w:rFonts w:ascii="Times New Roman" w:eastAsia="Aptos" w:hAnsi="Times New Roman" w:cs="Times New Roman"/>
        </w:rPr>
        <w:t>A key characteristic of our target variable, shipping volume</w:t>
      </w:r>
      <w:r w:rsidR="009819DC">
        <w:rPr>
          <w:rFonts w:ascii="Times New Roman" w:eastAsia="Aptos" w:hAnsi="Times New Roman" w:cs="Times New Roman"/>
        </w:rPr>
        <w:t xml:space="preserve"> (i.e., the number of voyages)</w:t>
      </w:r>
      <w:r w:rsidRPr="0012715B">
        <w:rPr>
          <w:rFonts w:ascii="Times New Roman" w:eastAsia="Aptos" w:hAnsi="Times New Roman" w:cs="Times New Roman"/>
        </w:rPr>
        <w:t xml:space="preserve">, is its significant skewness, as illustrated in Figure </w:t>
      </w:r>
      <w:r w:rsidR="003B1ECE" w:rsidRPr="0012715B">
        <w:rPr>
          <w:rFonts w:ascii="Times New Roman" w:eastAsia="Aptos" w:hAnsi="Times New Roman" w:cs="Times New Roman"/>
        </w:rPr>
        <w:t>S</w:t>
      </w:r>
      <w:r w:rsidRPr="0012715B">
        <w:rPr>
          <w:rFonts w:ascii="Times New Roman" w:eastAsia="Aptos" w:hAnsi="Times New Roman" w:cs="Times New Roman"/>
        </w:rPr>
        <w:t xml:space="preserve">1 (left panel). The distribution is heavily concentrated at lower volumes with a long tail towards higher volumes. While a logarithmic transformation (Figure </w:t>
      </w:r>
      <w:r w:rsidR="003B1ECE" w:rsidRPr="0012715B">
        <w:rPr>
          <w:rFonts w:ascii="Times New Roman" w:eastAsia="Aptos" w:hAnsi="Times New Roman" w:cs="Times New Roman"/>
        </w:rPr>
        <w:t>S</w:t>
      </w:r>
      <w:r w:rsidRPr="0012715B">
        <w:rPr>
          <w:rFonts w:ascii="Times New Roman" w:eastAsia="Aptos" w:hAnsi="Times New Roman" w:cs="Times New Roman"/>
        </w:rPr>
        <w:t>1, right panel) alleviates some of this skewness, a notable rightward skew remains. Initial analyses indicated that such transformations did not sufficiently normalize the distribution or improve model performance adequately. Consequently, we opted not to transform the target variable.</w:t>
      </w:r>
    </w:p>
    <w:p w14:paraId="27BE9BCC" w14:textId="380F6494" w:rsidR="0B326EF9" w:rsidRPr="0012715B" w:rsidRDefault="0B326EF9">
      <w:pPr>
        <w:rPr>
          <w:rFonts w:ascii="Times New Roman" w:hAnsi="Times New Roman" w:cs="Times New Roman"/>
        </w:rPr>
      </w:pPr>
      <w:r w:rsidRPr="0012715B">
        <w:rPr>
          <w:rFonts w:ascii="Times New Roman" w:hAnsi="Times New Roman" w:cs="Times New Roman"/>
          <w:noProof/>
        </w:rPr>
        <w:lastRenderedPageBreak/>
        <w:drawing>
          <wp:inline distT="0" distB="0" distL="0" distR="0" wp14:anchorId="75457056" wp14:editId="6977C187">
            <wp:extent cx="5943600" cy="2600325"/>
            <wp:effectExtent l="0" t="0" r="0" b="0"/>
            <wp:docPr id="1412947603" name="Picture 141294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56A7F60F" w14:textId="342975FD" w:rsidR="0A66430C" w:rsidRPr="0012715B" w:rsidRDefault="0A66430C" w:rsidP="5A673DB1">
      <w:pPr>
        <w:jc w:val="center"/>
        <w:rPr>
          <w:rFonts w:ascii="Times New Roman" w:eastAsia="Aptos" w:hAnsi="Times New Roman" w:cs="Times New Roman"/>
        </w:rPr>
      </w:pPr>
      <w:r w:rsidRPr="0012715B">
        <w:rPr>
          <w:rFonts w:ascii="Times New Roman" w:eastAsia="Aptos" w:hAnsi="Times New Roman" w:cs="Times New Roman"/>
        </w:rPr>
        <w:t>Figure</w:t>
      </w:r>
      <w:r w:rsidR="00D86B30" w:rsidRPr="0012715B">
        <w:rPr>
          <w:rFonts w:ascii="Times New Roman" w:eastAsia="Aptos" w:hAnsi="Times New Roman" w:cs="Times New Roman"/>
        </w:rPr>
        <w:t xml:space="preserve"> S</w:t>
      </w:r>
      <w:r w:rsidRPr="0012715B">
        <w:rPr>
          <w:rFonts w:ascii="Times New Roman" w:eastAsia="Aptos" w:hAnsi="Times New Roman" w:cs="Times New Roman"/>
        </w:rPr>
        <w:t xml:space="preserve">1. </w:t>
      </w:r>
      <w:r w:rsidR="69ED7564" w:rsidRPr="0012715B">
        <w:rPr>
          <w:rFonts w:ascii="Times New Roman" w:eastAsia="Aptos" w:hAnsi="Times New Roman" w:cs="Times New Roman"/>
        </w:rPr>
        <w:t>Distribution Comparison: Original vs. Log-transformed Shipping Volume</w:t>
      </w:r>
    </w:p>
    <w:p w14:paraId="7A4177F1" w14:textId="562CADCC" w:rsidR="7EAE70C2" w:rsidRPr="0012715B" w:rsidRDefault="16F8BE6B" w:rsidP="0012715B">
      <w:pPr>
        <w:rPr>
          <w:rFonts w:ascii="Times New Roman" w:eastAsia="Aptos" w:hAnsi="Times New Roman" w:cs="Times New Roman"/>
        </w:rPr>
      </w:pPr>
      <w:r w:rsidRPr="0012715B">
        <w:rPr>
          <w:rFonts w:ascii="Times New Roman" w:eastAsia="Aptos" w:hAnsi="Times New Roman" w:cs="Times New Roman"/>
        </w:rPr>
        <w:t xml:space="preserve">Furthermore, a critical challenge arises from the input data for future predictions: projected Gross Domestic Product (GDP) values often extend significantly beyond the range observed in our historical training dataset (2002-2018), as visualized in Figure </w:t>
      </w:r>
      <w:r w:rsidR="003B1ECE" w:rsidRPr="0012715B">
        <w:rPr>
          <w:rFonts w:ascii="Times New Roman" w:eastAsia="Aptos" w:hAnsi="Times New Roman" w:cs="Times New Roman"/>
        </w:rPr>
        <w:t>S</w:t>
      </w:r>
      <w:r w:rsidRPr="0012715B">
        <w:rPr>
          <w:rFonts w:ascii="Times New Roman" w:eastAsia="Aptos" w:hAnsi="Times New Roman" w:cs="Times New Roman"/>
        </w:rPr>
        <w:t xml:space="preserve">2. Figure </w:t>
      </w:r>
      <w:r w:rsidR="003B1ECE" w:rsidRPr="0012715B">
        <w:rPr>
          <w:rFonts w:ascii="Times New Roman" w:eastAsia="Aptos" w:hAnsi="Times New Roman" w:cs="Times New Roman"/>
        </w:rPr>
        <w:t>S</w:t>
      </w:r>
      <w:r w:rsidRPr="0012715B">
        <w:rPr>
          <w:rFonts w:ascii="Times New Roman" w:eastAsia="Aptos" w:hAnsi="Times New Roman" w:cs="Times New Roman"/>
        </w:rPr>
        <w:t>2 compares the distribution of historical GDP used for model training against</w:t>
      </w:r>
      <w:r w:rsidRPr="0012715B">
        <w:rPr>
          <w:rFonts w:ascii="Times New Roman" w:eastAsia="Times New Roman" w:hAnsi="Times New Roman" w:cs="Times New Roman"/>
        </w:rPr>
        <w:t xml:space="preserve"> several future GDP projections under different Shared Socioeconomic Pathways (SSPs), clearly highlighting the substantial extrapolation range the model must address. This necessitates a modeling approach capable of handling both the skewed target variable (discussed earlier) and the extrapolation required for these out-of-distribution GDP inputs.</w:t>
      </w:r>
      <w:r w:rsidR="7EAE70C2" w:rsidRPr="0012715B">
        <w:rPr>
          <w:rFonts w:ascii="Times New Roman" w:hAnsi="Times New Roman" w:cs="Times New Roman"/>
          <w:noProof/>
        </w:rPr>
        <w:lastRenderedPageBreak/>
        <w:drawing>
          <wp:inline distT="0" distB="0" distL="0" distR="0" wp14:anchorId="46D293E9" wp14:editId="5C0282DE">
            <wp:extent cx="6276574" cy="3590925"/>
            <wp:effectExtent l="0" t="0" r="0" b="0"/>
            <wp:docPr id="1711149180" name="Picture 171114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276574" cy="3590925"/>
                    </a:xfrm>
                    <a:prstGeom prst="rect">
                      <a:avLst/>
                    </a:prstGeom>
                  </pic:spPr>
                </pic:pic>
              </a:graphicData>
            </a:graphic>
          </wp:inline>
        </w:drawing>
      </w:r>
      <w:r w:rsidRPr="0012715B">
        <w:rPr>
          <w:rFonts w:ascii="Times New Roman" w:eastAsia="Aptos" w:hAnsi="Times New Roman" w:cs="Times New Roman"/>
        </w:rPr>
        <w:t>Figure</w:t>
      </w:r>
      <w:r w:rsidR="00A70E4D" w:rsidRPr="0012715B">
        <w:rPr>
          <w:rFonts w:ascii="Times New Roman" w:eastAsia="Aptos" w:hAnsi="Times New Roman" w:cs="Times New Roman"/>
        </w:rPr>
        <w:t xml:space="preserve"> S</w:t>
      </w:r>
      <w:r w:rsidRPr="0012715B">
        <w:rPr>
          <w:rFonts w:ascii="Times New Roman" w:eastAsia="Aptos" w:hAnsi="Times New Roman" w:cs="Times New Roman"/>
        </w:rPr>
        <w:t>2. GDP Distribution Comparison: Historical vs. OECD Projections</w:t>
      </w:r>
    </w:p>
    <w:p w14:paraId="0592402E" w14:textId="58C8972B" w:rsidR="5A673DB1" w:rsidRPr="0012715B" w:rsidRDefault="5A673DB1" w:rsidP="5A673DB1">
      <w:pPr>
        <w:rPr>
          <w:rFonts w:ascii="Times New Roman" w:eastAsia="Aptos" w:hAnsi="Times New Roman" w:cs="Times New Roman"/>
        </w:rPr>
      </w:pPr>
    </w:p>
    <w:p w14:paraId="45593D2E" w14:textId="620E27AD" w:rsidR="2BB1D0E9" w:rsidRPr="0012715B" w:rsidRDefault="16F8BE6B" w:rsidP="0ABB0FF3">
      <w:pPr>
        <w:rPr>
          <w:rFonts w:ascii="Times New Roman" w:eastAsia="Aptos" w:hAnsi="Times New Roman" w:cs="Times New Roman"/>
        </w:rPr>
      </w:pPr>
      <w:r w:rsidRPr="0012715B">
        <w:rPr>
          <w:rFonts w:ascii="Times New Roman" w:eastAsia="Aptos" w:hAnsi="Times New Roman" w:cs="Times New Roman"/>
        </w:rPr>
        <w:t>To address these challenges—namely, the skewed distribution of the target variable (shipping volume) and the out-of-distribution nature of projected GDP inputs—we employed an integrated Neural Network and Random Forest model.</w:t>
      </w:r>
    </w:p>
    <w:p w14:paraId="376EC064" w14:textId="5E279DF1" w:rsidR="2BB1D0E9" w:rsidRPr="0012715B" w:rsidRDefault="0ABB0FF3" w:rsidP="5A673DB1">
      <w:pPr>
        <w:rPr>
          <w:rFonts w:ascii="Times New Roman" w:hAnsi="Times New Roman" w:cs="Times New Roman"/>
        </w:rPr>
      </w:pPr>
      <w:r w:rsidRPr="0012715B">
        <w:rPr>
          <w:rFonts w:ascii="Times New Roman" w:eastAsia="Aptos" w:hAnsi="Times New Roman" w:cs="Times New Roman"/>
        </w:rPr>
        <w:t xml:space="preserve">The Random Forest </w:t>
      </w:r>
      <w:r w:rsidRPr="007744E1">
        <w:rPr>
          <w:rFonts w:ascii="Times New Roman" w:eastAsia="Aptos" w:hAnsi="Times New Roman" w:cs="Times New Roman"/>
        </w:rPr>
        <w:t xml:space="preserve">algorithm, an ensemble learning method based on decision trees, was chosen for several key reasons. Firstly, it is well-suited to manage skewed data distributions of the target variable without requiring data transformation, and it can effectively capture complex, non-linear relationships between features and the outcome </w:t>
      </w:r>
      <w:r w:rsidR="006257C6" w:rsidRPr="007744E1">
        <w:rPr>
          <w:rFonts w:ascii="Times New Roman" w:eastAsia="Aptos" w:hAnsi="Times New Roman" w:cs="Times New Roman"/>
        </w:rPr>
        <w:t>(</w:t>
      </w:r>
      <w:r w:rsidR="006257C6" w:rsidRPr="007744E1">
        <w:rPr>
          <w:rFonts w:ascii="Times New Roman" w:eastAsia="Aptos" w:hAnsi="Times New Roman" w:cs="Times New Roman"/>
          <w:lang w:eastAsia="zh-CN"/>
        </w:rPr>
        <w:t>Breiman, 2001</w:t>
      </w:r>
      <w:r w:rsidR="006257C6" w:rsidRPr="007744E1">
        <w:rPr>
          <w:rFonts w:ascii="Times New Roman" w:eastAsia="Aptos" w:hAnsi="Times New Roman" w:cs="Times New Roman"/>
        </w:rPr>
        <w:t>)</w:t>
      </w:r>
      <w:r w:rsidRPr="007744E1">
        <w:rPr>
          <w:rFonts w:ascii="Times New Roman" w:eastAsia="Aptos" w:hAnsi="Times New Roman" w:cs="Times New Roman"/>
        </w:rPr>
        <w:t>. Secondly, for input features like future GDP that extend significantly beyond the training range (as shown in Figure</w:t>
      </w:r>
      <w:r w:rsidRPr="0012715B">
        <w:rPr>
          <w:rFonts w:ascii="Times New Roman" w:eastAsia="Aptos" w:hAnsi="Times New Roman" w:cs="Times New Roman"/>
        </w:rPr>
        <w:t xml:space="preserve"> </w:t>
      </w:r>
      <w:r w:rsidR="003B1ECE" w:rsidRPr="0012715B">
        <w:rPr>
          <w:rFonts w:ascii="Times New Roman" w:eastAsia="Aptos" w:hAnsi="Times New Roman" w:cs="Times New Roman"/>
        </w:rPr>
        <w:t>S</w:t>
      </w:r>
      <w:r w:rsidRPr="0012715B">
        <w:rPr>
          <w:rFonts w:ascii="Times New Roman" w:eastAsia="Aptos" w:hAnsi="Times New Roman" w:cs="Times New Roman"/>
        </w:rPr>
        <w:t xml:space="preserve">2), the Random Forest applies rules learned from the most similar instances observed within the training data's feature space. While traditional Random Forests have limitations in extrapolating the target variable beyond its observed training range, our approach leverages a neural network as a sophisticated feature engineering front-end to enhance the robustness of predictions under these out-of-distribution conditions. The overall architecture of </w:t>
      </w:r>
      <w:r w:rsidR="002D0188">
        <w:rPr>
          <w:rFonts w:ascii="Times New Roman" w:eastAsia="Aptos" w:hAnsi="Times New Roman" w:cs="Times New Roman"/>
        </w:rPr>
        <w:t xml:space="preserve">the </w:t>
      </w:r>
      <w:r w:rsidR="002D0188" w:rsidRPr="00C521C7">
        <w:rPr>
          <w:rFonts w:ascii="Times New Roman" w:hAnsi="Times New Roman" w:cs="Times New Roman"/>
        </w:rPr>
        <w:t>NNERF</w:t>
      </w:r>
      <w:r w:rsidR="002D0188">
        <w:rPr>
          <w:rFonts w:ascii="Times New Roman" w:hAnsi="Times New Roman" w:cs="Times New Roman"/>
        </w:rPr>
        <w:t xml:space="preserve"> </w:t>
      </w:r>
      <w:r w:rsidRPr="0012715B">
        <w:rPr>
          <w:rFonts w:ascii="Times New Roman" w:eastAsia="Aptos" w:hAnsi="Times New Roman" w:cs="Times New Roman"/>
        </w:rPr>
        <w:t xml:space="preserve">model, illustrating how the neural network provides features to the Random Forest, is depicted in Figure </w:t>
      </w:r>
      <w:r w:rsidR="000E6BE4" w:rsidRPr="0012715B">
        <w:rPr>
          <w:rFonts w:ascii="Times New Roman" w:eastAsia="Aptos" w:hAnsi="Times New Roman" w:cs="Times New Roman"/>
        </w:rPr>
        <w:t>S</w:t>
      </w:r>
      <w:r w:rsidRPr="0012715B">
        <w:rPr>
          <w:rFonts w:ascii="Times New Roman" w:eastAsia="Aptos" w:hAnsi="Times New Roman" w:cs="Times New Roman"/>
        </w:rPr>
        <w:t>3.</w:t>
      </w:r>
    </w:p>
    <w:p w14:paraId="70934DD8" w14:textId="472917B7" w:rsidR="0ABB0FF3" w:rsidRPr="0012715B" w:rsidRDefault="38B96F85" w:rsidP="0ABB0FF3">
      <w:pPr>
        <w:jc w:val="center"/>
        <w:rPr>
          <w:rFonts w:ascii="Times New Roman" w:hAnsi="Times New Roman" w:cs="Times New Roman"/>
        </w:rPr>
      </w:pPr>
      <w:r w:rsidRPr="0012715B">
        <w:rPr>
          <w:rFonts w:ascii="Times New Roman" w:hAnsi="Times New Roman" w:cs="Times New Roman"/>
          <w:noProof/>
        </w:rPr>
        <w:lastRenderedPageBreak/>
        <w:drawing>
          <wp:inline distT="0" distB="0" distL="0" distR="0" wp14:anchorId="1B1BBA07" wp14:editId="5F853E7D">
            <wp:extent cx="5943600" cy="4093083"/>
            <wp:effectExtent l="0" t="0" r="0" b="3175"/>
            <wp:docPr id="367205379" name="Picture 36720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13188"/>
                    <a:stretch>
                      <a:fillRect/>
                    </a:stretch>
                  </pic:blipFill>
                  <pic:spPr bwMode="auto">
                    <a:xfrm>
                      <a:off x="0" y="0"/>
                      <a:ext cx="5943600" cy="4093083"/>
                    </a:xfrm>
                    <a:prstGeom prst="rect">
                      <a:avLst/>
                    </a:prstGeom>
                    <a:ln>
                      <a:noFill/>
                    </a:ln>
                    <a:extLst>
                      <a:ext uri="{53640926-AAD7-44D8-BBD7-CCE9431645EC}">
                        <a14:shadowObscured xmlns:a14="http://schemas.microsoft.com/office/drawing/2010/main"/>
                      </a:ext>
                    </a:extLst>
                  </pic:spPr>
                </pic:pic>
              </a:graphicData>
            </a:graphic>
          </wp:inline>
        </w:drawing>
      </w:r>
      <w:r w:rsidR="0ABB0FF3" w:rsidRPr="0012715B">
        <w:rPr>
          <w:rFonts w:ascii="Times New Roman" w:hAnsi="Times New Roman" w:cs="Times New Roman"/>
        </w:rPr>
        <w:t xml:space="preserve">Figure </w:t>
      </w:r>
      <w:r w:rsidR="00173F04" w:rsidRPr="0012715B">
        <w:rPr>
          <w:rFonts w:ascii="Times New Roman" w:hAnsi="Times New Roman" w:cs="Times New Roman"/>
        </w:rPr>
        <w:t>S</w:t>
      </w:r>
      <w:r w:rsidR="0ABB0FF3" w:rsidRPr="0012715B">
        <w:rPr>
          <w:rFonts w:ascii="Times New Roman" w:hAnsi="Times New Roman" w:cs="Times New Roman"/>
        </w:rPr>
        <w:t xml:space="preserve">3. Overview of the </w:t>
      </w:r>
      <w:r w:rsidR="000636DE" w:rsidRPr="00C521C7">
        <w:rPr>
          <w:rFonts w:ascii="Times New Roman" w:hAnsi="Times New Roman" w:cs="Times New Roman"/>
        </w:rPr>
        <w:t>NNERF</w:t>
      </w:r>
      <w:r w:rsidR="000636DE">
        <w:rPr>
          <w:rFonts w:ascii="Times New Roman" w:hAnsi="Times New Roman" w:cs="Times New Roman"/>
        </w:rPr>
        <w:t xml:space="preserve"> </w:t>
      </w:r>
      <w:r w:rsidR="0ABB0FF3" w:rsidRPr="0012715B">
        <w:rPr>
          <w:rFonts w:ascii="Times New Roman" w:hAnsi="Times New Roman" w:cs="Times New Roman"/>
        </w:rPr>
        <w:t>Model</w:t>
      </w:r>
    </w:p>
    <w:p w14:paraId="63CEB2BD" w14:textId="552BAB0B" w:rsidR="2BB1D0E9" w:rsidRPr="0012715B" w:rsidRDefault="68CA2B37" w:rsidP="5A673DB1">
      <w:pPr>
        <w:rPr>
          <w:rFonts w:ascii="Times New Roman" w:hAnsi="Times New Roman" w:cs="Times New Roman"/>
        </w:rPr>
      </w:pPr>
      <w:r w:rsidRPr="0012715B">
        <w:rPr>
          <w:rFonts w:ascii="Times New Roman" w:eastAsia="Aptos" w:hAnsi="Times New Roman" w:cs="Times New Roman"/>
        </w:rPr>
        <w:t>Specifically, our model architecture first processes inputs through a neural network designed to learn rich feature representations. Categorical identifiers, such as origin and destination country names, are converted into dense vector embeddings via a dedicated embedding layer. These learned country embeddings</w:t>
      </w:r>
      <w:r w:rsidR="12B5C049" w:rsidRPr="0012715B">
        <w:rPr>
          <w:rFonts w:ascii="Times New Roman" w:eastAsia="Aptos" w:hAnsi="Times New Roman" w:cs="Times New Roman"/>
        </w:rPr>
        <w:t>,</w:t>
      </w:r>
      <w:r w:rsidRPr="0012715B">
        <w:rPr>
          <w:rFonts w:ascii="Times New Roman" w:eastAsia="Aptos" w:hAnsi="Times New Roman" w:cs="Times New Roman"/>
        </w:rPr>
        <w:t xml:space="preserve"> </w:t>
      </w:r>
      <w:r w:rsidR="12B5C049" w:rsidRPr="0012715B">
        <w:rPr>
          <w:rFonts w:ascii="Times New Roman" w:eastAsia="Aptos" w:hAnsi="Times New Roman" w:cs="Times New Roman"/>
        </w:rPr>
        <w:t xml:space="preserve">along with </w:t>
      </w:r>
      <w:r w:rsidRPr="0012715B">
        <w:rPr>
          <w:rFonts w:ascii="Times New Roman" w:eastAsia="Aptos" w:hAnsi="Times New Roman" w:cs="Times New Roman"/>
        </w:rPr>
        <w:t>the pre-processed numerical features (such as GDP, population, distance, and engineered metrics)</w:t>
      </w:r>
      <w:r w:rsidR="4AEE0872" w:rsidRPr="0012715B">
        <w:rPr>
          <w:rFonts w:ascii="Times New Roman" w:eastAsia="Aptos" w:hAnsi="Times New Roman" w:cs="Times New Roman"/>
        </w:rPr>
        <w:t xml:space="preserve">, are then passed </w:t>
      </w:r>
      <w:r w:rsidRPr="0012715B">
        <w:rPr>
          <w:rFonts w:ascii="Times New Roman" w:eastAsia="Aptos" w:hAnsi="Times New Roman" w:cs="Times New Roman"/>
        </w:rPr>
        <w:t xml:space="preserve">through neural network layers to learn more complex, interactive representations. This technique allows the model to capture latent relationships and similarities between countries in a low-dimensional space, a more effective approach for high-cardinality categorical data than </w:t>
      </w:r>
      <w:r w:rsidR="32555A2B" w:rsidRPr="0012715B">
        <w:rPr>
          <w:rFonts w:ascii="Times New Roman" w:eastAsia="Aptos" w:hAnsi="Times New Roman" w:cs="Times New Roman"/>
        </w:rPr>
        <w:t>traditional feature engineering techniques such as one-hot encoding (which can lead to excessively high dimensionality for numerous categories) or label encoding (which can introduce artificial and misleading ordinal relationships between categories)</w:t>
      </w:r>
      <w:r w:rsidR="000F7729" w:rsidRPr="0012715B">
        <w:rPr>
          <w:rFonts w:ascii="Times New Roman" w:eastAsia="Aptos" w:hAnsi="Times New Roman" w:cs="Times New Roman"/>
        </w:rPr>
        <w:t xml:space="preserve"> (</w:t>
      </w:r>
      <w:r w:rsidR="00A06615" w:rsidRPr="0012715B">
        <w:rPr>
          <w:rFonts w:ascii="Times New Roman" w:eastAsia="Aptos" w:hAnsi="Times New Roman" w:cs="Times New Roman"/>
          <w:lang w:eastAsia="zh-CN"/>
        </w:rPr>
        <w:t>Bengio et al., 2013</w:t>
      </w:r>
      <w:r w:rsidR="000F7729" w:rsidRPr="0012715B">
        <w:rPr>
          <w:rFonts w:ascii="Times New Roman" w:eastAsia="Aptos" w:hAnsi="Times New Roman" w:cs="Times New Roman"/>
        </w:rPr>
        <w:t>)</w:t>
      </w:r>
      <w:r w:rsidR="32555A2B" w:rsidRPr="0012715B">
        <w:rPr>
          <w:rFonts w:ascii="Times New Roman" w:eastAsia="Aptos" w:hAnsi="Times New Roman" w:cs="Times New Roman"/>
        </w:rPr>
        <w:t>.</w:t>
      </w:r>
      <w:r w:rsidRPr="0012715B">
        <w:rPr>
          <w:rFonts w:ascii="Times New Roman" w:eastAsia="Aptos" w:hAnsi="Times New Roman" w:cs="Times New Roman"/>
        </w:rPr>
        <w:t xml:space="preserve"> These learned country embeddings, along with the original scaled numerical features, are then passed through further neural network layers.</w:t>
      </w:r>
    </w:p>
    <w:p w14:paraId="0E98D413" w14:textId="12F648AB" w:rsidR="2BB1D0E9" w:rsidRPr="0012715B" w:rsidRDefault="68CA2B37" w:rsidP="5A673DB1">
      <w:pPr>
        <w:rPr>
          <w:rFonts w:ascii="Times New Roman" w:hAnsi="Times New Roman" w:cs="Times New Roman"/>
        </w:rPr>
      </w:pPr>
      <w:r w:rsidRPr="0012715B">
        <w:rPr>
          <w:rFonts w:ascii="Times New Roman" w:eastAsia="Aptos" w:hAnsi="Times New Roman" w:cs="Times New Roman"/>
        </w:rPr>
        <w:t>Crucially, the neural network component is trained with an internal mechanism that considers linear extrapolation trends for its own predictive task</w:t>
      </w:r>
      <w:r w:rsidR="280B0DCE" w:rsidRPr="0012715B">
        <w:rPr>
          <w:rFonts w:ascii="Times New Roman" w:eastAsia="Aptos" w:hAnsi="Times New Roman" w:cs="Times New Roman"/>
        </w:rPr>
        <w:t>, which</w:t>
      </w:r>
      <w:r w:rsidR="7B962031" w:rsidRPr="0012715B">
        <w:rPr>
          <w:rFonts w:ascii="Times New Roman" w:eastAsia="Aptos" w:hAnsi="Times New Roman" w:cs="Times New Roman"/>
        </w:rPr>
        <w:t xml:space="preserve"> </w:t>
      </w:r>
      <w:r w:rsidRPr="0012715B">
        <w:rPr>
          <w:rFonts w:ascii="Times New Roman" w:eastAsia="Aptos" w:hAnsi="Times New Roman" w:cs="Times New Roman"/>
        </w:rPr>
        <w:t>involve</w:t>
      </w:r>
      <w:r w:rsidR="280B0DCE" w:rsidRPr="0012715B">
        <w:rPr>
          <w:rFonts w:ascii="Times New Roman" w:eastAsia="Aptos" w:hAnsi="Times New Roman" w:cs="Times New Roman"/>
        </w:rPr>
        <w:t>s</w:t>
      </w:r>
      <w:r w:rsidRPr="0012715B">
        <w:rPr>
          <w:rFonts w:ascii="Times New Roman" w:eastAsia="Aptos" w:hAnsi="Times New Roman" w:cs="Times New Roman"/>
        </w:rPr>
        <w:t xml:space="preserve"> a weighted combination of a main network prediction and a linear projection. While the direct output of this internal extrapolation component is not fed into the Random Forest, its presence during the neural network's training phase influences the characteristics of the feature representations learned by </w:t>
      </w:r>
      <w:r w:rsidRPr="0012715B">
        <w:rPr>
          <w:rFonts w:ascii="Times New Roman" w:eastAsia="Aptos" w:hAnsi="Times New Roman" w:cs="Times New Roman"/>
        </w:rPr>
        <w:lastRenderedPageBreak/>
        <w:t xml:space="preserve">the network. This </w:t>
      </w:r>
      <w:r w:rsidR="6A38FCD9" w:rsidRPr="0012715B">
        <w:rPr>
          <w:rFonts w:ascii="Times New Roman" w:eastAsia="Aptos" w:hAnsi="Times New Roman" w:cs="Times New Roman"/>
        </w:rPr>
        <w:t xml:space="preserve">enables </w:t>
      </w:r>
      <w:r w:rsidRPr="0012715B">
        <w:rPr>
          <w:rFonts w:ascii="Times New Roman" w:eastAsia="Aptos" w:hAnsi="Times New Roman" w:cs="Times New Roman"/>
        </w:rPr>
        <w:t>the neural network to develop features that are not only descriptive of the historical data but are also more aligned with potential future trends, particularly when confronted with out-of-distribution inputs like projected GDP.</w:t>
      </w:r>
    </w:p>
    <w:p w14:paraId="240D02D4" w14:textId="50BAD94E" w:rsidR="5A673DB1" w:rsidRPr="0012715B" w:rsidRDefault="0ABB0FF3" w:rsidP="5A673DB1">
      <w:pPr>
        <w:rPr>
          <w:rFonts w:ascii="Times New Roman" w:hAnsi="Times New Roman" w:cs="Times New Roman"/>
        </w:rPr>
      </w:pPr>
      <w:r w:rsidRPr="0012715B">
        <w:rPr>
          <w:rFonts w:ascii="Times New Roman" w:eastAsia="Aptos" w:hAnsi="Times New Roman" w:cs="Times New Roman"/>
        </w:rPr>
        <w:t>The final set of features input to the Random Forest therefore consists of: (i) the original, pre-processed numerical features (including the raw projected GDP values, which allow the RF to directly see the scale of future economic indicators), and (ii) the abstract, interaction-rich features extracted from the trained neural network. This hybrid approach aims to combine the Random Forest's strength in handling complex, tabular data with the neural network's capacity for learning potent, task-relevant feature representations that indirectly carry the "imprint" of having been optimized in a context that considered extrapolation. This design is intended to make the Random Forest's predictions as reasonable as possible when faced with future economic scenarios that differ substantially from historical precedent.</w:t>
      </w:r>
    </w:p>
    <w:p w14:paraId="61B516FF" w14:textId="3405039F" w:rsidR="7767E126" w:rsidRPr="0012715B" w:rsidRDefault="5C901171" w:rsidP="5A673DB1">
      <w:pPr>
        <w:pStyle w:val="Heading1"/>
        <w:rPr>
          <w:rFonts w:ascii="Times New Roman" w:hAnsi="Times New Roman" w:cs="Times New Roman"/>
          <w:b/>
          <w:bCs/>
          <w:color w:val="auto"/>
          <w:sz w:val="24"/>
          <w:szCs w:val="24"/>
        </w:rPr>
      </w:pPr>
      <w:r w:rsidRPr="0012715B">
        <w:rPr>
          <w:rFonts w:ascii="Times New Roman" w:hAnsi="Times New Roman" w:cs="Times New Roman"/>
          <w:b/>
          <w:bCs/>
          <w:color w:val="auto"/>
          <w:sz w:val="24"/>
          <w:szCs w:val="24"/>
        </w:rPr>
        <w:t>2</w:t>
      </w:r>
      <w:r w:rsidR="7767E126" w:rsidRPr="0012715B">
        <w:rPr>
          <w:rFonts w:ascii="Times New Roman" w:hAnsi="Times New Roman" w:cs="Times New Roman"/>
          <w:b/>
          <w:bCs/>
          <w:color w:val="auto"/>
          <w:sz w:val="24"/>
          <w:szCs w:val="24"/>
        </w:rPr>
        <w:t xml:space="preserve">. Model Performance and Key Findings </w:t>
      </w:r>
    </w:p>
    <w:p w14:paraId="1868AC20" w14:textId="17D1F666" w:rsidR="7767E126" w:rsidRPr="0012715B" w:rsidRDefault="2693B607" w:rsidP="6540A433">
      <w:pPr>
        <w:pStyle w:val="Heading2"/>
        <w:rPr>
          <w:rFonts w:ascii="Times New Roman" w:hAnsi="Times New Roman" w:cs="Times New Roman"/>
          <w:b/>
          <w:bCs/>
          <w:color w:val="auto"/>
          <w:sz w:val="24"/>
          <w:szCs w:val="24"/>
        </w:rPr>
      </w:pPr>
      <w:r w:rsidRPr="0012715B">
        <w:rPr>
          <w:rFonts w:ascii="Times New Roman" w:hAnsi="Times New Roman" w:cs="Times New Roman"/>
          <w:b/>
          <w:bCs/>
          <w:color w:val="auto"/>
          <w:sz w:val="24"/>
          <w:szCs w:val="24"/>
        </w:rPr>
        <w:t>2</w:t>
      </w:r>
      <w:r w:rsidR="7767E126" w:rsidRPr="0012715B">
        <w:rPr>
          <w:rFonts w:ascii="Times New Roman" w:hAnsi="Times New Roman" w:cs="Times New Roman"/>
          <w:b/>
          <w:bCs/>
          <w:color w:val="auto"/>
          <w:sz w:val="24"/>
          <w:szCs w:val="24"/>
        </w:rPr>
        <w:t>.1. Predictive Accuracy</w:t>
      </w:r>
    </w:p>
    <w:p w14:paraId="74F3E506" w14:textId="64752A90" w:rsidR="552FC431" w:rsidRPr="0012715B" w:rsidRDefault="4321402B" w:rsidP="5A673DB1">
      <w:pPr>
        <w:rPr>
          <w:rFonts w:ascii="Times New Roman" w:hAnsi="Times New Roman" w:cs="Times New Roman"/>
        </w:rPr>
      </w:pPr>
      <w:r w:rsidRPr="0012715B">
        <w:rPr>
          <w:rFonts w:ascii="Times New Roman" w:hAnsi="Times New Roman" w:cs="Times New Roman"/>
        </w:rPr>
        <w:t xml:space="preserve">The predictive accuracy of our </w:t>
      </w:r>
      <w:r w:rsidR="000A337D" w:rsidRPr="00C521C7">
        <w:rPr>
          <w:rFonts w:ascii="Times New Roman" w:hAnsi="Times New Roman" w:cs="Times New Roman"/>
        </w:rPr>
        <w:t xml:space="preserve">NNERF model </w:t>
      </w:r>
      <w:r w:rsidRPr="0012715B">
        <w:rPr>
          <w:rFonts w:ascii="Times New Roman" w:hAnsi="Times New Roman" w:cs="Times New Roman"/>
        </w:rPr>
        <w:t>was rigorously evaluated on a held-out test dataset. We focused on metrics that illustrate the model's ability to explain variance in shipping volumes and the magnitude of errors relative to the data's characteristics. The performance was assessed for overall shipping traffic and further broken down by specific vessel types.</w:t>
      </w:r>
    </w:p>
    <w:p w14:paraId="5917474B" w14:textId="28485B0B" w:rsidR="552FC431" w:rsidRPr="0012715B" w:rsidRDefault="4321402B" w:rsidP="5A673DB1">
      <w:pPr>
        <w:rPr>
          <w:rFonts w:ascii="Times New Roman" w:hAnsi="Times New Roman" w:cs="Times New Roman"/>
        </w:rPr>
      </w:pPr>
      <w:r w:rsidRPr="0012715B">
        <w:rPr>
          <w:rFonts w:ascii="Times New Roman" w:hAnsi="Times New Roman" w:cs="Times New Roman"/>
        </w:rPr>
        <w:t xml:space="preserve">As presented in Table </w:t>
      </w:r>
      <w:r w:rsidR="005E01E1" w:rsidRPr="0012715B">
        <w:rPr>
          <w:rFonts w:ascii="Times New Roman" w:hAnsi="Times New Roman" w:cs="Times New Roman"/>
        </w:rPr>
        <w:t>S</w:t>
      </w:r>
      <w:r w:rsidRPr="0012715B">
        <w:rPr>
          <w:rFonts w:ascii="Times New Roman" w:hAnsi="Times New Roman" w:cs="Times New Roman"/>
        </w:rPr>
        <w:t xml:space="preserve">1, our model demonstrates a strong overall predictive capability. For all vessel types combined, it achieved an R² of 0.928. This robust overall performance compares favorably with benchmarks in the field; for example, it </w:t>
      </w:r>
      <w:r w:rsidR="5039BA65" w:rsidRPr="0012715B">
        <w:rPr>
          <w:rFonts w:ascii="Times New Roman" w:hAnsi="Times New Roman" w:cs="Times New Roman"/>
        </w:rPr>
        <w:t xml:space="preserve">outperforms </w:t>
      </w:r>
      <w:r w:rsidRPr="0012715B">
        <w:rPr>
          <w:rFonts w:ascii="Times New Roman" w:hAnsi="Times New Roman" w:cs="Times New Roman"/>
        </w:rPr>
        <w:t>the aggregate R² (MSE-based) of 0.897 reported by Sardain et al. (2019) and the effective R² (derived from Corr.²) of approximately 0.778 from Song et al. (2024) for their respective overall model evaluations. Furthermore, the Normalized Root Mean Squared Error by range (NRMSE Range) for all vessel types in our model was exceptionally low at 0.0104 (or 1.04%), suggesting that the typical error magnitude is very small relative to the overall spread of shipping volumes.</w:t>
      </w:r>
    </w:p>
    <w:p w14:paraId="36E4E2B8" w14:textId="79866593" w:rsidR="7B9B9CE6" w:rsidRPr="0012715B" w:rsidRDefault="2B8B8AB9" w:rsidP="5A673DB1">
      <w:pPr>
        <w:rPr>
          <w:rFonts w:ascii="Times New Roman" w:hAnsi="Times New Roman" w:cs="Times New Roman"/>
        </w:rPr>
      </w:pPr>
      <w:r w:rsidRPr="0012715B">
        <w:rPr>
          <w:rFonts w:ascii="Times New Roman" w:hAnsi="Times New Roman" w:cs="Times New Roman"/>
        </w:rPr>
        <w:t xml:space="preserve">When examining performance by specific vessel categories, our model consistently yields high R² values, often exceeding those reported in comparable studies For instance, our model achieved an R² of 0.9366 for Container ships and 0.906 for Oil tankers. These figures indicate a higher degree of explained variance compared to Kramel et al. (2024), who reported R² values of 0.83 and 0.68 for Container ships and Oil tankers, respectively, and also compared to Sardain et al. (2019) (who reported R² (MSE-based) values of 0.875 and 0.741 for the same categories). Similar trends of strong relative performance are observed for other key vessel types such as Bulk carriers and Chemical tankers when compared against these studies. While Sardain et al. (2019) report a particularly high R² (MSE-based) for General Cargo (0.931), our model also performs strongly in this category with an R² of 0.8821. The consistently low NRMSE Range values across different segments in our model further </w:t>
      </w:r>
      <w:r w:rsidR="08DACC32" w:rsidRPr="0012715B">
        <w:rPr>
          <w:rFonts w:ascii="Times New Roman" w:hAnsi="Times New Roman" w:cs="Times New Roman"/>
        </w:rPr>
        <w:t>underscore</w:t>
      </w:r>
      <w:r w:rsidRPr="0012715B">
        <w:rPr>
          <w:rFonts w:ascii="Times New Roman" w:hAnsi="Times New Roman" w:cs="Times New Roman"/>
        </w:rPr>
        <w:t xml:space="preserve"> </w:t>
      </w:r>
      <w:r w:rsidR="006765EB" w:rsidRPr="0012715B">
        <w:rPr>
          <w:rFonts w:ascii="Times New Roman" w:hAnsi="Times New Roman" w:cs="Times New Roman"/>
        </w:rPr>
        <w:t>the</w:t>
      </w:r>
      <w:r w:rsidRPr="0012715B">
        <w:rPr>
          <w:rFonts w:ascii="Times New Roman" w:hAnsi="Times New Roman" w:cs="Times New Roman"/>
        </w:rPr>
        <w:t xml:space="preserve"> robust performance.</w:t>
      </w:r>
    </w:p>
    <w:p w14:paraId="5FF99BB4" w14:textId="774168D6" w:rsidR="7B9B9CE6" w:rsidRPr="0012715B" w:rsidRDefault="7B9B9CE6" w:rsidP="5A673DB1">
      <w:pPr>
        <w:rPr>
          <w:rFonts w:ascii="Times New Roman" w:hAnsi="Times New Roman" w:cs="Times New Roman"/>
        </w:rPr>
      </w:pPr>
      <w:r w:rsidRPr="0012715B">
        <w:rPr>
          <w:rFonts w:ascii="Times New Roman" w:hAnsi="Times New Roman" w:cs="Times New Roman"/>
        </w:rPr>
        <w:lastRenderedPageBreak/>
        <w:t xml:space="preserve">It is worth noting that metrics such as Mean Absolute Percentage Error (MAPE) or Symmetric Mean Absolute Percentage Error (SMAPE) were not prioritized in this evaluation. Due to the highly skewed distribution of shipping volumes (Figure </w:t>
      </w:r>
      <w:r w:rsidR="003B1ECE" w:rsidRPr="0012715B">
        <w:rPr>
          <w:rFonts w:ascii="Times New Roman" w:hAnsi="Times New Roman" w:cs="Times New Roman"/>
        </w:rPr>
        <w:t>S</w:t>
      </w:r>
      <w:r w:rsidRPr="0012715B">
        <w:rPr>
          <w:rFonts w:ascii="Times New Roman" w:hAnsi="Times New Roman" w:cs="Times New Roman"/>
        </w:rPr>
        <w:t>1), where many routes exhibit very low traffic, percentage-based errors can become disproportionately large and potentially misleading, even with small absolute prediction errors. Instead, R² and NRMSE Range offer a more stable and interpretable assessment of the model's effectiveness in capturing overall trends and the magnitude of actual shipping volumes. The strong R² values, coupled with low NRMSE Range, affirm the model's utility for accurately forecasting shipping volumes.</w:t>
      </w:r>
    </w:p>
    <w:p w14:paraId="67944303" w14:textId="376E2209" w:rsidR="7767E126" w:rsidRPr="0012715B" w:rsidRDefault="45FE1580" w:rsidP="6540A433">
      <w:pPr>
        <w:pStyle w:val="Heading2"/>
        <w:rPr>
          <w:rFonts w:ascii="Times New Roman" w:eastAsia="Aptos" w:hAnsi="Times New Roman" w:cs="Times New Roman"/>
          <w:b/>
          <w:bCs/>
          <w:color w:val="auto"/>
          <w:sz w:val="24"/>
          <w:szCs w:val="24"/>
        </w:rPr>
      </w:pPr>
      <w:r w:rsidRPr="0012715B">
        <w:rPr>
          <w:rFonts w:ascii="Times New Roman" w:hAnsi="Times New Roman" w:cs="Times New Roman"/>
          <w:b/>
          <w:bCs/>
          <w:color w:val="auto"/>
          <w:sz w:val="24"/>
          <w:szCs w:val="24"/>
        </w:rPr>
        <w:t>2</w:t>
      </w:r>
      <w:r w:rsidR="7767E126" w:rsidRPr="0012715B">
        <w:rPr>
          <w:rFonts w:ascii="Times New Roman" w:hAnsi="Times New Roman" w:cs="Times New Roman"/>
          <w:b/>
          <w:bCs/>
          <w:color w:val="auto"/>
          <w:sz w:val="24"/>
          <w:szCs w:val="24"/>
        </w:rPr>
        <w:t xml:space="preserve">.2. What Drives Shipping Volume? Insights from Feature Importance </w:t>
      </w:r>
    </w:p>
    <w:p w14:paraId="6490E16E" w14:textId="2B1647D0" w:rsidR="69AC95D7" w:rsidRPr="0012715B" w:rsidRDefault="0ABB0FF3" w:rsidP="5A673DB1">
      <w:pPr>
        <w:spacing w:before="240" w:after="240"/>
        <w:rPr>
          <w:rFonts w:ascii="Times New Roman" w:hAnsi="Times New Roman" w:cs="Times New Roman"/>
        </w:rPr>
      </w:pPr>
      <w:r w:rsidRPr="0012715B">
        <w:rPr>
          <w:rFonts w:ascii="Times New Roman" w:eastAsia="Aptos" w:hAnsi="Times New Roman" w:cs="Times New Roman"/>
        </w:rPr>
        <w:t>To understand the primary factors influencing global shipping volumes for all vessel types (</w:t>
      </w:r>
      <w:r w:rsidR="00C23A8E">
        <w:rPr>
          <w:rFonts w:ascii="Times New Roman" w:eastAsia="Aptos" w:hAnsi="Times New Roman" w:cs="Times New Roman"/>
        </w:rPr>
        <w:t>“</w:t>
      </w:r>
      <w:r w:rsidRPr="0012715B">
        <w:rPr>
          <w:rFonts w:ascii="Times New Roman" w:eastAsia="Aptos" w:hAnsi="Times New Roman" w:cs="Times New Roman"/>
        </w:rPr>
        <w:t>All</w:t>
      </w:r>
      <w:r w:rsidR="00C23A8E">
        <w:rPr>
          <w:rFonts w:ascii="Times New Roman" w:eastAsia="Aptos" w:hAnsi="Times New Roman" w:cs="Times New Roman"/>
        </w:rPr>
        <w:t>”</w:t>
      </w:r>
      <w:r w:rsidRPr="0012715B">
        <w:rPr>
          <w:rFonts w:ascii="Times New Roman" w:eastAsia="Aptos" w:hAnsi="Times New Roman" w:cs="Times New Roman"/>
        </w:rPr>
        <w:t xml:space="preserve">), we conducted a feature importance analysis. The importance scores were derived using a hybrid methodology that integrates feature contributions identified by the Random Forest with an advanced attribution of influences within the neural network component. This approach employs a sensitivity analysis to trace the impact of original input features (numerical variables and country identities) through the neural network's learned representations, ultimately providing a comprehensive measure of each feature's overall predictive impact. A comprehensive list of feature importances is provided in Table </w:t>
      </w:r>
      <w:r w:rsidR="00BB1368" w:rsidRPr="0012715B">
        <w:rPr>
          <w:rFonts w:ascii="Times New Roman" w:eastAsia="Aptos" w:hAnsi="Times New Roman" w:cs="Times New Roman"/>
        </w:rPr>
        <w:t xml:space="preserve">S1. </w:t>
      </w:r>
    </w:p>
    <w:p w14:paraId="2D55A461" w14:textId="2854F0BC" w:rsidR="003B1ECE" w:rsidRPr="0012715B" w:rsidRDefault="003B1ECE" w:rsidP="003B1ECE">
      <w:pPr>
        <w:spacing w:before="240" w:after="240"/>
        <w:jc w:val="center"/>
        <w:rPr>
          <w:rFonts w:ascii="Times New Roman" w:eastAsia="Aptos" w:hAnsi="Times New Roman" w:cs="Times New Roman"/>
        </w:rPr>
      </w:pPr>
      <w:r w:rsidRPr="0012715B">
        <w:rPr>
          <w:rFonts w:ascii="Times New Roman" w:eastAsia="Aptos" w:hAnsi="Times New Roman" w:cs="Times New Roman"/>
        </w:rPr>
        <w:t xml:space="preserve">Table S1. Feature Importance </w:t>
      </w:r>
    </w:p>
    <w:tbl>
      <w:tblPr>
        <w:tblStyle w:val="TableGrid"/>
        <w:tblW w:w="0" w:type="auto"/>
        <w:jc w:val="center"/>
        <w:tblLayout w:type="fixed"/>
        <w:tblLook w:val="06A0" w:firstRow="1" w:lastRow="0" w:firstColumn="1" w:lastColumn="0" w:noHBand="1" w:noVBand="1"/>
      </w:tblPr>
      <w:tblGrid>
        <w:gridCol w:w="4251"/>
        <w:gridCol w:w="1701"/>
      </w:tblGrid>
      <w:tr w:rsidR="0012715B" w:rsidRPr="000636DE" w14:paraId="70C33E04" w14:textId="77777777" w:rsidTr="000636DE">
        <w:trPr>
          <w:trHeight w:val="315"/>
          <w:jc w:val="center"/>
        </w:trPr>
        <w:tc>
          <w:tcPr>
            <w:tcW w:w="4251" w:type="dxa"/>
          </w:tcPr>
          <w:p w14:paraId="2AF1E401" w14:textId="06C2077A" w:rsidR="5A673DB1" w:rsidRPr="000636DE" w:rsidRDefault="5A673DB1" w:rsidP="5A673DB1">
            <w:pPr>
              <w:rPr>
                <w:rFonts w:ascii="Times New Roman" w:hAnsi="Times New Roman" w:cs="Times New Roman"/>
                <w:b/>
                <w:bCs/>
              </w:rPr>
            </w:pPr>
            <w:r w:rsidRPr="000636DE">
              <w:rPr>
                <w:rFonts w:ascii="Times New Roman" w:eastAsia="Arial" w:hAnsi="Times New Roman" w:cs="Times New Roman"/>
                <w:b/>
                <w:bCs/>
              </w:rPr>
              <w:t>Fe</w:t>
            </w:r>
            <w:r w:rsidR="000636DE" w:rsidRPr="000636DE">
              <w:rPr>
                <w:rFonts w:ascii="Times New Roman" w:eastAsia="Arial" w:hAnsi="Times New Roman" w:cs="Times New Roman"/>
                <w:b/>
                <w:bCs/>
              </w:rPr>
              <w:t>a</w:t>
            </w:r>
            <w:r w:rsidRPr="000636DE">
              <w:rPr>
                <w:rFonts w:ascii="Times New Roman" w:eastAsia="Arial" w:hAnsi="Times New Roman" w:cs="Times New Roman"/>
                <w:b/>
                <w:bCs/>
              </w:rPr>
              <w:t>ture</w:t>
            </w:r>
            <w:r w:rsidR="000636DE" w:rsidRPr="000636DE">
              <w:rPr>
                <w:rFonts w:ascii="Times New Roman" w:eastAsia="Arial" w:hAnsi="Times New Roman" w:cs="Times New Roman"/>
                <w:b/>
                <w:bCs/>
              </w:rPr>
              <w:t>s</w:t>
            </w:r>
          </w:p>
        </w:tc>
        <w:tc>
          <w:tcPr>
            <w:tcW w:w="1701" w:type="dxa"/>
          </w:tcPr>
          <w:p w14:paraId="31EA0ED2" w14:textId="11B870A5" w:rsidR="5A673DB1" w:rsidRPr="000636DE" w:rsidRDefault="5A673DB1" w:rsidP="5A673DB1">
            <w:pPr>
              <w:rPr>
                <w:rFonts w:ascii="Times New Roman" w:hAnsi="Times New Roman" w:cs="Times New Roman"/>
                <w:b/>
                <w:bCs/>
              </w:rPr>
            </w:pPr>
            <w:r w:rsidRPr="000636DE">
              <w:rPr>
                <w:rFonts w:ascii="Times New Roman" w:eastAsia="Arial" w:hAnsi="Times New Roman" w:cs="Times New Roman"/>
                <w:b/>
                <w:bCs/>
              </w:rPr>
              <w:t>Importance</w:t>
            </w:r>
          </w:p>
        </w:tc>
      </w:tr>
      <w:tr w:rsidR="0012715B" w:rsidRPr="000636DE" w14:paraId="4A5376BA" w14:textId="77777777" w:rsidTr="000636DE">
        <w:trPr>
          <w:trHeight w:val="315"/>
          <w:jc w:val="center"/>
        </w:trPr>
        <w:tc>
          <w:tcPr>
            <w:tcW w:w="4251" w:type="dxa"/>
          </w:tcPr>
          <w:p w14:paraId="7EF3CA11" w14:textId="02EB97A4"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 × Destination Population Product</w:t>
            </w:r>
          </w:p>
        </w:tc>
        <w:tc>
          <w:tcPr>
            <w:tcW w:w="1701" w:type="dxa"/>
          </w:tcPr>
          <w:p w14:paraId="6487EF13" w14:textId="7C5652EF"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0.1189</w:t>
            </w:r>
          </w:p>
        </w:tc>
      </w:tr>
      <w:tr w:rsidR="0012715B" w:rsidRPr="000636DE" w14:paraId="555968DF" w14:textId="77777777" w:rsidTr="000636DE">
        <w:trPr>
          <w:trHeight w:val="315"/>
          <w:jc w:val="center"/>
        </w:trPr>
        <w:tc>
          <w:tcPr>
            <w:tcW w:w="4251" w:type="dxa"/>
          </w:tcPr>
          <w:p w14:paraId="6F82B8D9" w14:textId="17250637" w:rsidR="5A673DB1" w:rsidRPr="000636DE" w:rsidRDefault="5A673DB1" w:rsidP="5A673DB1">
            <w:pPr>
              <w:rPr>
                <w:rFonts w:ascii="Times New Roman" w:hAnsi="Times New Roman" w:cs="Times New Roman"/>
              </w:rPr>
            </w:pPr>
            <w:r w:rsidRPr="000636DE">
              <w:rPr>
                <w:rFonts w:ascii="Times New Roman" w:eastAsia="Arial" w:hAnsi="Times New Roman" w:cs="Times New Roman"/>
              </w:rPr>
              <w:t>Weighted Average Inter-port Distance</w:t>
            </w:r>
          </w:p>
        </w:tc>
        <w:tc>
          <w:tcPr>
            <w:tcW w:w="1701" w:type="dxa"/>
          </w:tcPr>
          <w:p w14:paraId="7AA6B24A" w14:textId="1965E3E0"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0.1085</w:t>
            </w:r>
          </w:p>
        </w:tc>
      </w:tr>
      <w:tr w:rsidR="0012715B" w:rsidRPr="000636DE" w14:paraId="4D594FA5" w14:textId="77777777" w:rsidTr="000636DE">
        <w:trPr>
          <w:trHeight w:val="315"/>
          <w:jc w:val="center"/>
        </w:trPr>
        <w:tc>
          <w:tcPr>
            <w:tcW w:w="4251" w:type="dxa"/>
          </w:tcPr>
          <w:p w14:paraId="5DFB40BE" w14:textId="7AE9CCA1"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 GDP</w:t>
            </w:r>
          </w:p>
        </w:tc>
        <w:tc>
          <w:tcPr>
            <w:tcW w:w="1701" w:type="dxa"/>
          </w:tcPr>
          <w:p w14:paraId="7B5A800C" w14:textId="36494614"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0.1076</w:t>
            </w:r>
          </w:p>
        </w:tc>
      </w:tr>
      <w:tr w:rsidR="0012715B" w:rsidRPr="000636DE" w14:paraId="6D95FBEB" w14:textId="77777777" w:rsidTr="000636DE">
        <w:trPr>
          <w:trHeight w:val="315"/>
          <w:jc w:val="center"/>
        </w:trPr>
        <w:tc>
          <w:tcPr>
            <w:tcW w:w="4251" w:type="dxa"/>
          </w:tcPr>
          <w:p w14:paraId="67137771" w14:textId="44725D35"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 × Destination Centrality Product</w:t>
            </w:r>
          </w:p>
        </w:tc>
        <w:tc>
          <w:tcPr>
            <w:tcW w:w="1701" w:type="dxa"/>
          </w:tcPr>
          <w:p w14:paraId="0B09F3F0" w14:textId="075F9B48"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0.1009</w:t>
            </w:r>
          </w:p>
        </w:tc>
      </w:tr>
      <w:tr w:rsidR="0012715B" w:rsidRPr="000636DE" w14:paraId="389D3931" w14:textId="77777777" w:rsidTr="000636DE">
        <w:trPr>
          <w:trHeight w:val="315"/>
          <w:jc w:val="center"/>
        </w:trPr>
        <w:tc>
          <w:tcPr>
            <w:tcW w:w="4251" w:type="dxa"/>
          </w:tcPr>
          <w:p w14:paraId="45FFC3A8" w14:textId="7E540E5D" w:rsidR="5A673DB1" w:rsidRPr="000636DE" w:rsidRDefault="5A673DB1" w:rsidP="5A673DB1">
            <w:pPr>
              <w:rPr>
                <w:rFonts w:ascii="Times New Roman" w:hAnsi="Times New Roman" w:cs="Times New Roman"/>
              </w:rPr>
            </w:pPr>
            <w:r w:rsidRPr="000636DE">
              <w:rPr>
                <w:rFonts w:ascii="Times New Roman" w:eastAsia="Arial" w:hAnsi="Times New Roman" w:cs="Times New Roman"/>
              </w:rPr>
              <w:t>Destination Country Identity Vector</w:t>
            </w:r>
          </w:p>
        </w:tc>
        <w:tc>
          <w:tcPr>
            <w:tcW w:w="1701" w:type="dxa"/>
          </w:tcPr>
          <w:p w14:paraId="441418DD" w14:textId="542DBD32"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0.0663</w:t>
            </w:r>
          </w:p>
        </w:tc>
      </w:tr>
      <w:tr w:rsidR="0012715B" w:rsidRPr="000636DE" w14:paraId="15327681" w14:textId="77777777" w:rsidTr="000636DE">
        <w:trPr>
          <w:trHeight w:val="315"/>
          <w:jc w:val="center"/>
        </w:trPr>
        <w:tc>
          <w:tcPr>
            <w:tcW w:w="4251" w:type="dxa"/>
          </w:tcPr>
          <w:p w14:paraId="12F87DF4" w14:textId="1E931DCF"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Origin/Destination Population Ratio</w:t>
            </w:r>
          </w:p>
        </w:tc>
        <w:tc>
          <w:tcPr>
            <w:tcW w:w="1701" w:type="dxa"/>
          </w:tcPr>
          <w:p w14:paraId="7BC9B625" w14:textId="256C796A"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0.0627</w:t>
            </w:r>
          </w:p>
        </w:tc>
      </w:tr>
      <w:tr w:rsidR="0012715B" w:rsidRPr="000636DE" w14:paraId="5BADACEC" w14:textId="77777777" w:rsidTr="000636DE">
        <w:trPr>
          <w:trHeight w:val="315"/>
          <w:jc w:val="center"/>
        </w:trPr>
        <w:tc>
          <w:tcPr>
            <w:tcW w:w="4251" w:type="dxa"/>
          </w:tcPr>
          <w:p w14:paraId="465ECFF6" w14:textId="6C9CA7B3" w:rsidR="5A673DB1" w:rsidRPr="000636DE" w:rsidRDefault="5A673DB1" w:rsidP="5A673DB1">
            <w:pPr>
              <w:rPr>
                <w:rFonts w:ascii="Times New Roman" w:hAnsi="Times New Roman" w:cs="Times New Roman"/>
              </w:rPr>
            </w:pPr>
            <w:r w:rsidRPr="000636DE">
              <w:rPr>
                <w:rFonts w:ascii="Times New Roman" w:eastAsia="Arial" w:hAnsi="Times New Roman" w:cs="Times New Roman"/>
              </w:rPr>
              <w:t>Destination GDP</w:t>
            </w:r>
          </w:p>
        </w:tc>
        <w:tc>
          <w:tcPr>
            <w:tcW w:w="1701" w:type="dxa"/>
          </w:tcPr>
          <w:p w14:paraId="4A882987" w14:textId="43691B79"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0.0622</w:t>
            </w:r>
          </w:p>
        </w:tc>
      </w:tr>
      <w:tr w:rsidR="0012715B" w:rsidRPr="000636DE" w14:paraId="19874EAE" w14:textId="77777777" w:rsidTr="000636DE">
        <w:trPr>
          <w:trHeight w:val="315"/>
          <w:jc w:val="center"/>
        </w:trPr>
        <w:tc>
          <w:tcPr>
            <w:tcW w:w="4251" w:type="dxa"/>
          </w:tcPr>
          <w:p w14:paraId="0A46E1EF" w14:textId="3B5C70DB"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 Country Identity Vector</w:t>
            </w:r>
          </w:p>
        </w:tc>
        <w:tc>
          <w:tcPr>
            <w:tcW w:w="1701" w:type="dxa"/>
          </w:tcPr>
          <w:p w14:paraId="0436C089" w14:textId="193CFF54"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0.0565</w:t>
            </w:r>
          </w:p>
        </w:tc>
      </w:tr>
      <w:tr w:rsidR="0012715B" w:rsidRPr="000636DE" w14:paraId="2C7E98DD" w14:textId="77777777" w:rsidTr="000636DE">
        <w:trPr>
          <w:trHeight w:val="315"/>
          <w:jc w:val="center"/>
        </w:trPr>
        <w:tc>
          <w:tcPr>
            <w:tcW w:w="4251" w:type="dxa"/>
          </w:tcPr>
          <w:p w14:paraId="436473B0" w14:textId="11395AA2" w:rsidR="5A673DB1" w:rsidRPr="000636DE" w:rsidRDefault="5A673DB1" w:rsidP="5A673DB1">
            <w:pPr>
              <w:rPr>
                <w:rFonts w:ascii="Times New Roman" w:hAnsi="Times New Roman" w:cs="Times New Roman"/>
              </w:rPr>
            </w:pPr>
            <w:r w:rsidRPr="000636DE">
              <w:rPr>
                <w:rFonts w:ascii="Times New Roman" w:eastAsia="Arial" w:hAnsi="Times New Roman" w:cs="Times New Roman"/>
              </w:rPr>
              <w:t>Destination GDP per Capita</w:t>
            </w:r>
          </w:p>
        </w:tc>
        <w:tc>
          <w:tcPr>
            <w:tcW w:w="1701" w:type="dxa"/>
          </w:tcPr>
          <w:p w14:paraId="407C8480" w14:textId="579E6A10"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0.0521</w:t>
            </w:r>
          </w:p>
        </w:tc>
      </w:tr>
      <w:tr w:rsidR="0012715B" w:rsidRPr="000636DE" w14:paraId="5DE1D6D0" w14:textId="77777777" w:rsidTr="000636DE">
        <w:trPr>
          <w:trHeight w:val="315"/>
          <w:jc w:val="center"/>
        </w:trPr>
        <w:tc>
          <w:tcPr>
            <w:tcW w:w="4251" w:type="dxa"/>
          </w:tcPr>
          <w:p w14:paraId="2DF8A764" w14:textId="65E20FAB" w:rsidR="5A673DB1" w:rsidRPr="000636DE" w:rsidRDefault="5A673DB1" w:rsidP="5A673DB1">
            <w:pPr>
              <w:rPr>
                <w:rFonts w:ascii="Times New Roman" w:hAnsi="Times New Roman" w:cs="Times New Roman"/>
              </w:rPr>
            </w:pPr>
            <w:r w:rsidRPr="000636DE">
              <w:rPr>
                <w:rFonts w:ascii="Times New Roman" w:eastAsia="Arial" w:hAnsi="Times New Roman" w:cs="Times New Roman"/>
              </w:rPr>
              <w:t>Geographic Contiguity</w:t>
            </w:r>
          </w:p>
        </w:tc>
        <w:tc>
          <w:tcPr>
            <w:tcW w:w="1701" w:type="dxa"/>
          </w:tcPr>
          <w:p w14:paraId="38F80C53" w14:textId="4C75F1BA"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0.0502</w:t>
            </w:r>
          </w:p>
        </w:tc>
      </w:tr>
      <w:tr w:rsidR="0012715B" w:rsidRPr="000636DE" w14:paraId="11A418C1" w14:textId="77777777" w:rsidTr="000636DE">
        <w:trPr>
          <w:trHeight w:val="315"/>
          <w:jc w:val="center"/>
        </w:trPr>
        <w:tc>
          <w:tcPr>
            <w:tcW w:w="4251" w:type="dxa"/>
          </w:tcPr>
          <w:p w14:paraId="2F9420C1" w14:textId="09CB785E"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 × Destination GDP Product</w:t>
            </w:r>
          </w:p>
        </w:tc>
        <w:tc>
          <w:tcPr>
            <w:tcW w:w="1701" w:type="dxa"/>
          </w:tcPr>
          <w:p w14:paraId="24708534" w14:textId="4294650C"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0.0425</w:t>
            </w:r>
          </w:p>
        </w:tc>
      </w:tr>
      <w:tr w:rsidR="0012715B" w:rsidRPr="000636DE" w14:paraId="20EF72DA" w14:textId="77777777" w:rsidTr="000636DE">
        <w:trPr>
          <w:trHeight w:val="315"/>
          <w:jc w:val="center"/>
        </w:trPr>
        <w:tc>
          <w:tcPr>
            <w:tcW w:w="4251" w:type="dxa"/>
          </w:tcPr>
          <w:p w14:paraId="69B47DA5" w14:textId="5B157BD9"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 - Destination Centrality Difference</w:t>
            </w:r>
          </w:p>
        </w:tc>
        <w:tc>
          <w:tcPr>
            <w:tcW w:w="1701" w:type="dxa"/>
          </w:tcPr>
          <w:p w14:paraId="6A5FA84C" w14:textId="6CD3D42E"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0.0363</w:t>
            </w:r>
          </w:p>
        </w:tc>
      </w:tr>
      <w:tr w:rsidR="0012715B" w:rsidRPr="000636DE" w14:paraId="2F72A53D" w14:textId="77777777" w:rsidTr="000636DE">
        <w:trPr>
          <w:trHeight w:val="315"/>
          <w:jc w:val="center"/>
        </w:trPr>
        <w:tc>
          <w:tcPr>
            <w:tcW w:w="4251" w:type="dxa"/>
          </w:tcPr>
          <w:p w14:paraId="2D602C25" w14:textId="4686521D" w:rsidR="5A673DB1" w:rsidRPr="000636DE" w:rsidRDefault="5A673DB1" w:rsidP="5A673DB1">
            <w:pPr>
              <w:rPr>
                <w:rFonts w:ascii="Times New Roman" w:hAnsi="Times New Roman" w:cs="Times New Roman"/>
              </w:rPr>
            </w:pPr>
            <w:r w:rsidRPr="000636DE">
              <w:rPr>
                <w:rFonts w:ascii="Times New Roman" w:eastAsia="Arial" w:hAnsi="Times New Roman" w:cs="Times New Roman"/>
              </w:rPr>
              <w:t>Free Trade Agreement/WTO Relationship</w:t>
            </w:r>
          </w:p>
        </w:tc>
        <w:tc>
          <w:tcPr>
            <w:tcW w:w="1701" w:type="dxa"/>
          </w:tcPr>
          <w:p w14:paraId="37E0F4C0" w14:textId="545E9C14"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0.0307</w:t>
            </w:r>
          </w:p>
        </w:tc>
      </w:tr>
      <w:tr w:rsidR="0012715B" w:rsidRPr="000636DE" w14:paraId="7DB981E4" w14:textId="77777777" w:rsidTr="000636DE">
        <w:trPr>
          <w:trHeight w:val="315"/>
          <w:jc w:val="center"/>
        </w:trPr>
        <w:tc>
          <w:tcPr>
            <w:tcW w:w="4251" w:type="dxa"/>
          </w:tcPr>
          <w:p w14:paraId="40E3C072" w14:textId="3121DBB6"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 Shipping Network Centrality</w:t>
            </w:r>
          </w:p>
        </w:tc>
        <w:tc>
          <w:tcPr>
            <w:tcW w:w="1701" w:type="dxa"/>
          </w:tcPr>
          <w:p w14:paraId="534CED8C" w14:textId="14B2958D"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0.0273</w:t>
            </w:r>
          </w:p>
        </w:tc>
      </w:tr>
      <w:tr w:rsidR="0012715B" w:rsidRPr="000636DE" w14:paraId="61D5D366" w14:textId="77777777" w:rsidTr="000636DE">
        <w:trPr>
          <w:trHeight w:val="315"/>
          <w:jc w:val="center"/>
        </w:trPr>
        <w:tc>
          <w:tcPr>
            <w:tcW w:w="4251" w:type="dxa"/>
          </w:tcPr>
          <w:p w14:paraId="575000BC" w14:textId="096B6B62"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 Population</w:t>
            </w:r>
          </w:p>
        </w:tc>
        <w:tc>
          <w:tcPr>
            <w:tcW w:w="1701" w:type="dxa"/>
          </w:tcPr>
          <w:p w14:paraId="25B171E0" w14:textId="5857FC5E"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0.0165</w:t>
            </w:r>
          </w:p>
        </w:tc>
      </w:tr>
      <w:tr w:rsidR="0012715B" w:rsidRPr="000636DE" w14:paraId="798542CB" w14:textId="77777777" w:rsidTr="000636DE">
        <w:trPr>
          <w:trHeight w:val="315"/>
          <w:jc w:val="center"/>
        </w:trPr>
        <w:tc>
          <w:tcPr>
            <w:tcW w:w="4251" w:type="dxa"/>
          </w:tcPr>
          <w:p w14:paraId="6037F5EE" w14:textId="1377C6B8" w:rsidR="5A673DB1" w:rsidRPr="000636DE" w:rsidRDefault="5A673DB1" w:rsidP="5A673DB1">
            <w:pPr>
              <w:rPr>
                <w:rFonts w:ascii="Times New Roman" w:hAnsi="Times New Roman" w:cs="Times New Roman"/>
              </w:rPr>
            </w:pPr>
            <w:r w:rsidRPr="000636DE">
              <w:rPr>
                <w:rFonts w:ascii="Times New Roman" w:eastAsia="Arial" w:hAnsi="Times New Roman" w:cs="Times New Roman"/>
              </w:rPr>
              <w:t>Destination Population</w:t>
            </w:r>
          </w:p>
        </w:tc>
        <w:tc>
          <w:tcPr>
            <w:tcW w:w="1701" w:type="dxa"/>
          </w:tcPr>
          <w:p w14:paraId="6BB96EC6" w14:textId="0774B8C2"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0.0124</w:t>
            </w:r>
          </w:p>
        </w:tc>
      </w:tr>
      <w:tr w:rsidR="0012715B" w:rsidRPr="000636DE" w14:paraId="50873392" w14:textId="77777777" w:rsidTr="000636DE">
        <w:trPr>
          <w:trHeight w:val="315"/>
          <w:jc w:val="center"/>
        </w:trPr>
        <w:tc>
          <w:tcPr>
            <w:tcW w:w="4251" w:type="dxa"/>
          </w:tcPr>
          <w:p w14:paraId="2DB49CA0" w14:textId="35551C71" w:rsidR="5A673DB1" w:rsidRPr="000636DE" w:rsidRDefault="5A673DB1" w:rsidP="5A673DB1">
            <w:pPr>
              <w:rPr>
                <w:rFonts w:ascii="Times New Roman" w:hAnsi="Times New Roman" w:cs="Times New Roman"/>
              </w:rPr>
            </w:pPr>
            <w:r w:rsidRPr="000636DE">
              <w:rPr>
                <w:rFonts w:ascii="Times New Roman" w:eastAsia="Arial" w:hAnsi="Times New Roman" w:cs="Times New Roman"/>
              </w:rPr>
              <w:lastRenderedPageBreak/>
              <w:t>Common Colonial History</w:t>
            </w:r>
          </w:p>
        </w:tc>
        <w:tc>
          <w:tcPr>
            <w:tcW w:w="1701" w:type="dxa"/>
          </w:tcPr>
          <w:p w14:paraId="2D7D1128" w14:textId="67C39C19"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0.0101</w:t>
            </w:r>
          </w:p>
        </w:tc>
      </w:tr>
      <w:tr w:rsidR="0012715B" w:rsidRPr="000636DE" w14:paraId="2CAF600C" w14:textId="77777777" w:rsidTr="000636DE">
        <w:trPr>
          <w:trHeight w:val="315"/>
          <w:jc w:val="center"/>
        </w:trPr>
        <w:tc>
          <w:tcPr>
            <w:tcW w:w="4251" w:type="dxa"/>
          </w:tcPr>
          <w:p w14:paraId="3FC94C86" w14:textId="5CF9F6F5"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Origin/Destination GDP Ratio</w:t>
            </w:r>
          </w:p>
        </w:tc>
        <w:tc>
          <w:tcPr>
            <w:tcW w:w="1701" w:type="dxa"/>
          </w:tcPr>
          <w:p w14:paraId="4F852230" w14:textId="00CF597D"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0.0088</w:t>
            </w:r>
          </w:p>
        </w:tc>
      </w:tr>
      <w:tr w:rsidR="0012715B" w:rsidRPr="000636DE" w14:paraId="644DCB31" w14:textId="77777777" w:rsidTr="000636DE">
        <w:trPr>
          <w:trHeight w:val="315"/>
          <w:jc w:val="center"/>
        </w:trPr>
        <w:tc>
          <w:tcPr>
            <w:tcW w:w="4251" w:type="dxa"/>
          </w:tcPr>
          <w:p w14:paraId="340A640F" w14:textId="1C9A707F" w:rsidR="5A673DB1" w:rsidRPr="000636DE" w:rsidRDefault="5A673DB1" w:rsidP="5A673DB1">
            <w:pPr>
              <w:rPr>
                <w:rFonts w:ascii="Times New Roman" w:hAnsi="Times New Roman" w:cs="Times New Roman"/>
              </w:rPr>
            </w:pPr>
            <w:r w:rsidRPr="000636DE">
              <w:rPr>
                <w:rFonts w:ascii="Times New Roman" w:eastAsia="Arial" w:hAnsi="Times New Roman" w:cs="Times New Roman"/>
              </w:rPr>
              <w:t>Origin GDP per Capita</w:t>
            </w:r>
          </w:p>
        </w:tc>
        <w:tc>
          <w:tcPr>
            <w:tcW w:w="1701" w:type="dxa"/>
          </w:tcPr>
          <w:p w14:paraId="418F67B0" w14:textId="736366ED"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0.0086</w:t>
            </w:r>
          </w:p>
        </w:tc>
      </w:tr>
      <w:tr w:rsidR="0012715B" w:rsidRPr="000636DE" w14:paraId="1234E1B6" w14:textId="77777777" w:rsidTr="000636DE">
        <w:trPr>
          <w:trHeight w:val="315"/>
          <w:jc w:val="center"/>
        </w:trPr>
        <w:tc>
          <w:tcPr>
            <w:tcW w:w="4251" w:type="dxa"/>
          </w:tcPr>
          <w:p w14:paraId="30C71634" w14:textId="7CE7D6C3" w:rsidR="5A673DB1" w:rsidRPr="000636DE" w:rsidRDefault="5A673DB1" w:rsidP="5A673DB1">
            <w:pPr>
              <w:rPr>
                <w:rFonts w:ascii="Times New Roman" w:hAnsi="Times New Roman" w:cs="Times New Roman"/>
              </w:rPr>
            </w:pPr>
            <w:r w:rsidRPr="000636DE">
              <w:rPr>
                <w:rFonts w:ascii="Times New Roman" w:eastAsia="Arial" w:hAnsi="Times New Roman" w:cs="Times New Roman"/>
              </w:rPr>
              <w:t>Common Official Language</w:t>
            </w:r>
          </w:p>
        </w:tc>
        <w:tc>
          <w:tcPr>
            <w:tcW w:w="1701" w:type="dxa"/>
          </w:tcPr>
          <w:p w14:paraId="3267C28F" w14:textId="41D85DF7"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0.0081</w:t>
            </w:r>
          </w:p>
        </w:tc>
      </w:tr>
      <w:tr w:rsidR="0012715B" w:rsidRPr="000636DE" w14:paraId="36790A80" w14:textId="77777777" w:rsidTr="000636DE">
        <w:trPr>
          <w:trHeight w:val="315"/>
          <w:jc w:val="center"/>
        </w:trPr>
        <w:tc>
          <w:tcPr>
            <w:tcW w:w="4251" w:type="dxa"/>
          </w:tcPr>
          <w:p w14:paraId="33AB9E02" w14:textId="4D26C285" w:rsidR="5A673DB1" w:rsidRPr="000636DE" w:rsidRDefault="5A673DB1" w:rsidP="5A673DB1">
            <w:pPr>
              <w:rPr>
                <w:rFonts w:ascii="Times New Roman" w:hAnsi="Times New Roman" w:cs="Times New Roman"/>
              </w:rPr>
            </w:pPr>
            <w:r w:rsidRPr="000636DE">
              <w:rPr>
                <w:rFonts w:ascii="Times New Roman" w:eastAsia="Arial" w:hAnsi="Times New Roman" w:cs="Times New Roman"/>
              </w:rPr>
              <w:t>Post-1945 Colonial Relationship</w:t>
            </w:r>
          </w:p>
        </w:tc>
        <w:tc>
          <w:tcPr>
            <w:tcW w:w="1701" w:type="dxa"/>
          </w:tcPr>
          <w:p w14:paraId="353B9174" w14:textId="37AF2941"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0.0073</w:t>
            </w:r>
          </w:p>
        </w:tc>
      </w:tr>
      <w:tr w:rsidR="0012715B" w:rsidRPr="000636DE" w14:paraId="376BAA26" w14:textId="77777777" w:rsidTr="000636DE">
        <w:trPr>
          <w:trHeight w:val="315"/>
          <w:jc w:val="center"/>
        </w:trPr>
        <w:tc>
          <w:tcPr>
            <w:tcW w:w="4251" w:type="dxa"/>
          </w:tcPr>
          <w:p w14:paraId="486BDD05" w14:textId="531887B4" w:rsidR="5A673DB1" w:rsidRPr="000636DE" w:rsidRDefault="5A673DB1" w:rsidP="5A673DB1">
            <w:pPr>
              <w:rPr>
                <w:rFonts w:ascii="Times New Roman" w:hAnsi="Times New Roman" w:cs="Times New Roman"/>
              </w:rPr>
            </w:pPr>
            <w:r w:rsidRPr="000636DE">
              <w:rPr>
                <w:rFonts w:ascii="Times New Roman" w:eastAsia="Arial" w:hAnsi="Times New Roman" w:cs="Times New Roman"/>
              </w:rPr>
              <w:t>Destination Shipping Network Centrality</w:t>
            </w:r>
          </w:p>
        </w:tc>
        <w:tc>
          <w:tcPr>
            <w:tcW w:w="1701" w:type="dxa"/>
          </w:tcPr>
          <w:p w14:paraId="374C82F9" w14:textId="7882A02F" w:rsidR="5A673DB1" w:rsidRPr="000636DE" w:rsidRDefault="5A673DB1" w:rsidP="5A673DB1">
            <w:pPr>
              <w:jc w:val="right"/>
              <w:rPr>
                <w:rFonts w:ascii="Times New Roman" w:hAnsi="Times New Roman" w:cs="Times New Roman"/>
              </w:rPr>
            </w:pPr>
            <w:r w:rsidRPr="000636DE">
              <w:rPr>
                <w:rFonts w:ascii="Times New Roman" w:eastAsia="Arial" w:hAnsi="Times New Roman" w:cs="Times New Roman"/>
              </w:rPr>
              <w:t>0.0057</w:t>
            </w:r>
          </w:p>
        </w:tc>
      </w:tr>
    </w:tbl>
    <w:p w14:paraId="7541B327" w14:textId="77777777" w:rsidR="00FD3020" w:rsidRDefault="00FD3020" w:rsidP="5A673DB1">
      <w:pPr>
        <w:spacing w:before="240" w:after="240"/>
        <w:rPr>
          <w:rFonts w:ascii="Times New Roman" w:hAnsi="Times New Roman" w:cs="Times New Roman"/>
        </w:rPr>
      </w:pPr>
      <w:r w:rsidRPr="0012715B">
        <w:rPr>
          <w:rFonts w:ascii="Times New Roman" w:hAnsi="Times New Roman" w:cs="Times New Roman"/>
        </w:rPr>
        <w:t>Our analysis reveals an interplay of demographic, geographic, economic, and network-structural factors in determining overall shipping volume. The five most influential features identified are:</w:t>
      </w:r>
    </w:p>
    <w:p w14:paraId="65237E37" w14:textId="46D50586" w:rsidR="23B0E521" w:rsidRPr="0012715B" w:rsidRDefault="23B0E521" w:rsidP="5A673DB1">
      <w:pPr>
        <w:spacing w:before="240" w:after="240"/>
        <w:rPr>
          <w:rFonts w:ascii="Times New Roman" w:hAnsi="Times New Roman" w:cs="Times New Roman"/>
        </w:rPr>
      </w:pPr>
      <w:r w:rsidRPr="0012715B">
        <w:rPr>
          <w:rFonts w:ascii="Times New Roman" w:hAnsi="Times New Roman" w:cs="Times New Roman"/>
          <w:b/>
          <w:bCs/>
        </w:rPr>
        <w:t>Origin × Destination Population Product (0.1189)</w:t>
      </w:r>
      <w:r w:rsidRPr="0012715B">
        <w:rPr>
          <w:rFonts w:ascii="Times New Roman" w:hAnsi="Times New Roman" w:cs="Times New Roman"/>
        </w:rPr>
        <w:t>: This feature, representing the multiplicative effect of the populations of the origin and destination countries, emerged as the most critical driver. It suggests that the combined demographic scale, indicative of total market size, labor availability, and aggregate demand/supply potential between two trading nations, is a primary determinant of shipping volume.</w:t>
      </w:r>
    </w:p>
    <w:p w14:paraId="3B7573BC" w14:textId="6B0B35C9" w:rsidR="23B0E521" w:rsidRPr="0012715B" w:rsidRDefault="23B0E521" w:rsidP="5A673DB1">
      <w:pPr>
        <w:spacing w:before="240" w:after="240"/>
        <w:rPr>
          <w:rFonts w:ascii="Times New Roman" w:hAnsi="Times New Roman" w:cs="Times New Roman"/>
        </w:rPr>
      </w:pPr>
      <w:r w:rsidRPr="0012715B">
        <w:rPr>
          <w:rFonts w:ascii="Times New Roman" w:hAnsi="Times New Roman" w:cs="Times New Roman"/>
          <w:b/>
          <w:bCs/>
        </w:rPr>
        <w:t>Weighted Average Inter-port Distance (0.1085)</w:t>
      </w:r>
      <w:r w:rsidRPr="0012715B">
        <w:rPr>
          <w:rFonts w:ascii="Times New Roman" w:hAnsi="Times New Roman" w:cs="Times New Roman"/>
        </w:rPr>
        <w:t>: The geographical separation between countries, quantified as a weighted average of distances between their active ports, ranks as the second most important feature. This underscores the enduring significance of distance as a factor influencing transportation costs, transit times, and overall trade friction, a core tenet in trade models.</w:t>
      </w:r>
    </w:p>
    <w:p w14:paraId="690A7DE2" w14:textId="0E6561BF" w:rsidR="23B0E521" w:rsidRPr="0012715B" w:rsidRDefault="23B0E521" w:rsidP="5A673DB1">
      <w:pPr>
        <w:spacing w:before="240" w:after="240"/>
        <w:rPr>
          <w:rFonts w:ascii="Times New Roman" w:hAnsi="Times New Roman" w:cs="Times New Roman"/>
        </w:rPr>
      </w:pPr>
      <w:r w:rsidRPr="0012715B">
        <w:rPr>
          <w:rFonts w:ascii="Times New Roman" w:hAnsi="Times New Roman" w:cs="Times New Roman"/>
          <w:b/>
          <w:bCs/>
        </w:rPr>
        <w:t>Origin GDP (0.1076)</w:t>
      </w:r>
      <w:r w:rsidRPr="0012715B">
        <w:rPr>
          <w:rFonts w:ascii="Times New Roman" w:hAnsi="Times New Roman" w:cs="Times New Roman"/>
        </w:rPr>
        <w:t>: The Gross Domestic Product of the origin country is the third leading factor. This highlights the strong relationship between a nation's economic output, its production capacity, and its propensity to export goods, thereby generating shipping demand.</w:t>
      </w:r>
    </w:p>
    <w:p w14:paraId="46ED79E4" w14:textId="3B12E0B9" w:rsidR="23B0E521" w:rsidRPr="0012715B" w:rsidRDefault="23B0E521" w:rsidP="5A673DB1">
      <w:pPr>
        <w:spacing w:before="240" w:after="240"/>
        <w:rPr>
          <w:rFonts w:ascii="Times New Roman" w:hAnsi="Times New Roman" w:cs="Times New Roman"/>
        </w:rPr>
      </w:pPr>
      <w:r w:rsidRPr="0012715B">
        <w:rPr>
          <w:rFonts w:ascii="Times New Roman" w:hAnsi="Times New Roman" w:cs="Times New Roman"/>
          <w:b/>
          <w:bCs/>
        </w:rPr>
        <w:t>Origin × Destination Centrality Product (0.1009)</w:t>
      </w:r>
      <w:r w:rsidRPr="0012715B">
        <w:rPr>
          <w:rFonts w:ascii="Times New Roman" w:hAnsi="Times New Roman" w:cs="Times New Roman"/>
        </w:rPr>
        <w:t>: The combined network centrality of both the origin and destination countries within the global shipping network is also highly influential. This indicates that it's not merely individual country prominence but the mutual embeddedness and structural importance of a trading dyad that significantly impacts shipping flows between them. Countries that are both central within the network tend to engage in or facilitate more substantial maritime trad</w:t>
      </w:r>
      <w:r w:rsidR="003B1ECE" w:rsidRPr="0012715B">
        <w:rPr>
          <w:rFonts w:ascii="Times New Roman" w:hAnsi="Times New Roman" w:cs="Times New Roman"/>
        </w:rPr>
        <w:t>e</w:t>
      </w:r>
      <w:r w:rsidRPr="0012715B">
        <w:rPr>
          <w:rFonts w:ascii="Times New Roman" w:hAnsi="Times New Roman" w:cs="Times New Roman"/>
        </w:rPr>
        <w:t>.</w:t>
      </w:r>
    </w:p>
    <w:p w14:paraId="182BCB30" w14:textId="2D940F5D" w:rsidR="23B0E521" w:rsidRPr="0012715B" w:rsidRDefault="23B0E521" w:rsidP="5A673DB1">
      <w:pPr>
        <w:spacing w:before="240" w:after="240"/>
        <w:rPr>
          <w:rFonts w:ascii="Times New Roman" w:hAnsi="Times New Roman" w:cs="Times New Roman"/>
        </w:rPr>
      </w:pPr>
      <w:r w:rsidRPr="0012715B">
        <w:rPr>
          <w:rFonts w:ascii="Times New Roman" w:hAnsi="Times New Roman" w:cs="Times New Roman"/>
          <w:b/>
          <w:bCs/>
        </w:rPr>
        <w:t>Destination Country Identity Vector (0.0663)</w:t>
      </w:r>
      <w:r w:rsidRPr="0012715B">
        <w:rPr>
          <w:rFonts w:ascii="Times New Roman" w:hAnsi="Times New Roman" w:cs="Times New Roman"/>
        </w:rPr>
        <w:t>: The learned embedding representing the unique characteristics of the destination country ranks fifth. This is a noteworthy finding, suggesting that complex, latent attributes of a destination nation—beyond its raw GDP or population figures (which are also important, with Destination GDP at 0.0622)—play a distinct role. These attributes, captured by the neural network's representation learning</w:t>
      </w:r>
      <w:r w:rsidR="00C31829" w:rsidRPr="0012715B">
        <w:rPr>
          <w:rFonts w:ascii="Times New Roman" w:hAnsi="Times New Roman" w:cs="Times New Roman"/>
        </w:rPr>
        <w:t xml:space="preserve"> (</w:t>
      </w:r>
      <w:r w:rsidR="00C31829" w:rsidRPr="0012715B">
        <w:rPr>
          <w:rFonts w:ascii="Times New Roman" w:eastAsia="Aptos" w:hAnsi="Times New Roman" w:cs="Times New Roman"/>
          <w:lang w:eastAsia="zh-CN"/>
        </w:rPr>
        <w:t>Bengio et al., 2013)</w:t>
      </w:r>
      <w:r w:rsidRPr="0012715B">
        <w:rPr>
          <w:rFonts w:ascii="Times New Roman" w:hAnsi="Times New Roman" w:cs="Times New Roman"/>
        </w:rPr>
        <w:t>, could encompass factors like specific import demands, port efficiency, regulatory environments, or specialized industrial structures not explicitly measured by other variables.</w:t>
      </w:r>
    </w:p>
    <w:p w14:paraId="7A61FC6E" w14:textId="4E469C06" w:rsidR="72882590" w:rsidRPr="0012715B" w:rsidRDefault="05A04170" w:rsidP="5A673DB1">
      <w:pPr>
        <w:spacing w:before="240" w:after="240"/>
        <w:rPr>
          <w:rFonts w:ascii="Times New Roman" w:hAnsi="Times New Roman" w:cs="Times New Roman"/>
        </w:rPr>
      </w:pPr>
      <w:r w:rsidRPr="0012715B">
        <w:rPr>
          <w:rFonts w:ascii="Times New Roman" w:eastAsia="Aptos" w:hAnsi="Times New Roman" w:cs="Times New Roman"/>
        </w:rPr>
        <w:lastRenderedPageBreak/>
        <w:t xml:space="preserve">Beyond these top five, other features such as the Origin/Destination Population Ratio (0.0627), Destination GDP (0.0622), and the Origin Country Identity Vector (0.0565) also demonstrate considerable influence, as detailed in Table </w:t>
      </w:r>
      <w:r w:rsidR="003B1ECE" w:rsidRPr="0012715B">
        <w:rPr>
          <w:rFonts w:ascii="Times New Roman" w:eastAsia="Aptos" w:hAnsi="Times New Roman" w:cs="Times New Roman"/>
        </w:rPr>
        <w:t>S1</w:t>
      </w:r>
      <w:r w:rsidRPr="0012715B">
        <w:rPr>
          <w:rFonts w:ascii="Times New Roman" w:eastAsia="Aptos" w:hAnsi="Times New Roman" w:cs="Times New Roman"/>
        </w:rPr>
        <w:t xml:space="preserve">. The importance of these "identity vectors" (country embeddings) further validates the </w:t>
      </w:r>
      <w:r w:rsidR="000636DE" w:rsidRPr="00C521C7">
        <w:rPr>
          <w:rFonts w:ascii="Times New Roman" w:hAnsi="Times New Roman" w:cs="Times New Roman"/>
        </w:rPr>
        <w:t>NNERF</w:t>
      </w:r>
      <w:r w:rsidRPr="0012715B">
        <w:rPr>
          <w:rFonts w:ascii="Times New Roman" w:eastAsia="Aptos" w:hAnsi="Times New Roman" w:cs="Times New Roman"/>
        </w:rPr>
        <w:t xml:space="preserve"> model's ability to extract meaningful, data-driven representations of country-specific effects.</w:t>
      </w:r>
    </w:p>
    <w:p w14:paraId="290B60DE" w14:textId="2526E64A" w:rsidR="00875B2B" w:rsidRPr="00E9425F" w:rsidRDefault="00875B2B" w:rsidP="00875B2B">
      <w:pPr>
        <w:pStyle w:val="Heading1"/>
        <w:rPr>
          <w:rFonts w:ascii="Times New Roman" w:hAnsi="Times New Roman" w:cs="Times New Roman"/>
          <w:b/>
          <w:bCs/>
          <w:color w:val="auto"/>
          <w:sz w:val="24"/>
          <w:szCs w:val="24"/>
        </w:rPr>
      </w:pPr>
      <w:r w:rsidRPr="0012715B">
        <w:rPr>
          <w:rFonts w:ascii="Times New Roman" w:hAnsi="Times New Roman" w:cs="Times New Roman"/>
          <w:b/>
          <w:bCs/>
          <w:color w:val="auto"/>
          <w:sz w:val="24"/>
          <w:szCs w:val="24"/>
        </w:rPr>
        <w:t xml:space="preserve">3. Descriptions of </w:t>
      </w:r>
      <w:r w:rsidRPr="00E9425F">
        <w:rPr>
          <w:rFonts w:ascii="Times New Roman" w:hAnsi="Times New Roman" w:cs="Times New Roman"/>
          <w:b/>
          <w:bCs/>
          <w:color w:val="auto"/>
          <w:sz w:val="24"/>
          <w:szCs w:val="24"/>
        </w:rPr>
        <w:t>SSPs</w:t>
      </w:r>
      <w:r w:rsidR="003B745B" w:rsidRPr="00E9425F">
        <w:rPr>
          <w:rFonts w:ascii="Times New Roman" w:hAnsi="Times New Roman" w:cs="Times New Roman"/>
          <w:b/>
          <w:bCs/>
          <w:color w:val="auto"/>
          <w:sz w:val="24"/>
          <w:szCs w:val="24"/>
        </w:rPr>
        <w:t xml:space="preserve"> </w:t>
      </w:r>
      <w:r w:rsidR="003B745B" w:rsidRPr="00E9425F">
        <w:rPr>
          <w:rFonts w:ascii="Times New Roman" w:eastAsia="Aptos" w:hAnsi="Times New Roman" w:cs="Times New Roman"/>
          <w:color w:val="auto"/>
        </w:rPr>
        <w:fldChar w:fldCharType="begin"/>
      </w:r>
      <w:r w:rsidR="003B745B" w:rsidRPr="00E9425F">
        <w:rPr>
          <w:rFonts w:ascii="Times New Roman" w:eastAsia="Aptos" w:hAnsi="Times New Roman" w:cs="Times New Roman"/>
          <w:color w:val="auto"/>
        </w:rPr>
        <w:instrText xml:space="preserve"> ADDIN ZOTERO_ITEM CSL_CITATION {"citationID":"rcaPzfew","properties":{"formattedCitation":"(Leimbach et al., 2017)","plainCitation":"(Leimbach et al., 2017)","noteIndex":0},"citationItems":[{"id":1124,"uris":["http://zotero.org/users/13154070/items/SXDM3ZLX"],"itemData":{"id":1124,"type":"article-journal","abstract":"Global GDP projections for the 21st century are needed for the exploration of long-term global environmental problems, in particular climate change. Greenhouse gas emissions as well as climate change mitigation and adaption capacities strongly depend on growth of per capita income. However, long-term economic projections are highly uncertain. This paper provides five new long-term economic scenarios as part of the newly developed shared socio-economic pathways (SSPs) which represent a set of widely diverging narratives. A method of GDP scenario building is presented that is based on assumptions about technological progress, and human and physical capital formation as major drivers of long-term GDP per capita growth. The impact of these drivers differs significantly between different shared socio-economic pathways and is traced back to the underlying narratives and the associated population and education scenarios. In a highly fragmented world, technological and knowledge spillovers are low. Hence, the growth impact of technological progress and human capital is comparatively low, and per capita income diverges between world regions. These factors play a much larger role in globalization scenarios, leading to higher economic growth and stronger convergence between world regions. At the global average, per capita GDP is projected to grow annually in a range between 1.0% (SSP3) and 2.8% (SSP5) from 2010 to 2100. While this covers a large portion of variety in future global economic growth projections, plausible lower and higher growth projections may still be conceivable. The GDP projections are put into the context of historic patterns of economic growth (stylized facts), and their sensitivity to key assumptions is explored.","container-title":"Global Environmental Change","DOI":"10.1016/j.gloenvcha.2015.02.005","ISSN":"0959-3780","journalAbbreviation":"Global Environmental Change","page":"215-225","source":"ScienceDirect","title":"Future growth patterns of world regions – A GDP scenario approach","volume":"42","author":[{"family":"Leimbach","given":"Marian"},{"family":"Kriegler","given":"Elmar"},{"family":"Roming","given":"Niklas"},{"family":"Schwanitz","given":"Jana"}],"issued":{"date-parts":[["2017",1,1]]}}}],"schema":"https://github.com/citation-style-language/schema/raw/master/csl-citation.json"} </w:instrText>
      </w:r>
      <w:r w:rsidR="003B745B" w:rsidRPr="00E9425F">
        <w:rPr>
          <w:rFonts w:ascii="Times New Roman" w:eastAsia="Aptos" w:hAnsi="Times New Roman" w:cs="Times New Roman"/>
          <w:color w:val="auto"/>
        </w:rPr>
        <w:fldChar w:fldCharType="separate"/>
      </w:r>
      <w:r w:rsidR="003B745B" w:rsidRPr="00E9425F">
        <w:rPr>
          <w:rFonts w:ascii="Times New Roman" w:hAnsi="Times New Roman" w:cs="Times New Roman"/>
          <w:color w:val="auto"/>
          <w:sz w:val="24"/>
        </w:rPr>
        <w:t>(Leimbach et al., 2017)</w:t>
      </w:r>
      <w:r w:rsidR="003B745B" w:rsidRPr="00E9425F">
        <w:rPr>
          <w:rFonts w:ascii="Times New Roman" w:eastAsia="Aptos" w:hAnsi="Times New Roman" w:cs="Times New Roman"/>
          <w:color w:val="auto"/>
        </w:rPr>
        <w:fldChar w:fldCharType="end"/>
      </w:r>
    </w:p>
    <w:p w14:paraId="0E6009EB" w14:textId="0EF580BC" w:rsidR="00875B2B" w:rsidRPr="0012715B" w:rsidRDefault="00875B2B" w:rsidP="00875B2B">
      <w:pPr>
        <w:rPr>
          <w:rFonts w:ascii="Times New Roman" w:hAnsi="Times New Roman" w:cs="Times New Roman"/>
        </w:rPr>
      </w:pPr>
      <w:r w:rsidRPr="0012715B">
        <w:rPr>
          <w:rFonts w:ascii="Times New Roman" w:eastAsia="Aptos" w:hAnsi="Times New Roman" w:cs="Times New Roman"/>
        </w:rPr>
        <w:t>SSP1: Sustainability, emphasizing inclusive development, reduced inequality, and rapid adoption of clean technologies. Shipping may shift toward greener logistics and improved infrastructure. SSP2: Middle of the Road, reflecting a continuation of historical trends with moderate growth and uneven sustainability efforts. Shipping volumes grow steadily with global trade.</w:t>
      </w:r>
      <w:r w:rsidRPr="0012715B">
        <w:rPr>
          <w:rFonts w:ascii="Times New Roman" w:hAnsi="Times New Roman" w:cs="Times New Roman"/>
        </w:rPr>
        <w:t xml:space="preserve"> </w:t>
      </w:r>
      <w:r w:rsidRPr="0012715B">
        <w:rPr>
          <w:rFonts w:ascii="Times New Roman" w:eastAsia="Aptos" w:hAnsi="Times New Roman" w:cs="Times New Roman"/>
        </w:rPr>
        <w:t>SSP3: Regional Rivalry, which is characterized by nationalism, limited cooperation, and slow economic growth. Global trade contracts, favoring regional shipping.</w:t>
      </w:r>
      <w:r w:rsidRPr="0012715B">
        <w:rPr>
          <w:rFonts w:ascii="Times New Roman" w:eastAsia="Times New Roman" w:hAnsi="Times New Roman" w:cs="Times New Roman"/>
        </w:rPr>
        <w:t xml:space="preserve"> </w:t>
      </w:r>
      <w:r w:rsidRPr="0012715B">
        <w:rPr>
          <w:rFonts w:ascii="Times New Roman" w:eastAsia="Aptos" w:hAnsi="Times New Roman" w:cs="Times New Roman"/>
        </w:rPr>
        <w:t>SSP4: Inequality. High disparities in development and access to technology. Trade concentrates among wealthy nations, with uneven port development. SSP5: Fossil-Fueled Development, with rapid economic growth driven by fossil fuels, high energy demand and emissions. Shipping volumes increase significantly, but with elevated environmental impacts</w:t>
      </w:r>
      <w:r w:rsidR="00A40274">
        <w:rPr>
          <w:rFonts w:ascii="Times New Roman" w:eastAsia="Aptos" w:hAnsi="Times New Roman" w:cs="Times New Roman"/>
        </w:rPr>
        <w:t xml:space="preserve"> </w:t>
      </w:r>
      <w:r w:rsidR="008B6C2C">
        <w:rPr>
          <w:rFonts w:ascii="Times New Roman" w:eastAsia="Aptos" w:hAnsi="Times New Roman" w:cs="Times New Roman"/>
        </w:rPr>
        <w:fldChar w:fldCharType="begin"/>
      </w:r>
      <w:r w:rsidR="001268CA">
        <w:rPr>
          <w:rFonts w:ascii="Times New Roman" w:eastAsia="Aptos" w:hAnsi="Times New Roman" w:cs="Times New Roman"/>
        </w:rPr>
        <w:instrText xml:space="preserve"> ADDIN ZOTERO_ITEM CSL_CITATION {"citationID":"x66Z9dHe","properties":{"formattedCitation":"(Leimbach et al., 2017)","plainCitation":"(Leimbach et al., 2017)","noteIndex":0},"citationItems":[{"id":1124,"uris":["http://zotero.org/users/13154070/items/SXDM3ZLX"],"itemData":{"id":1124,"type":"article-journal","abstract":"Global GDP projections for the 21st century are needed for the exploration of long-term global environmental problems, in particular climate change. Greenhouse gas emissions as well as climate change mitigation and adaption capacities strongly depend on growth of per capita income. However, long-term economic projections are highly uncertain. This paper provides five new long-term economic scenarios as part of the newly developed shared socio-economic pathways (SSPs) which represent a set of widely diverging narratives. A method of GDP scenario building is presented that is based on assumptions about technological progress, and human and physical capital formation as major drivers of long-term GDP per capita growth. The impact of these drivers differs significantly between different shared socio-economic pathways and is traced back to the underlying narratives and the associated population and education scenarios. In a highly fragmented world, technological and knowledge spillovers are low. Hence, the growth impact of technological progress and human capital is comparatively low, and per capita income diverges between world regions. These factors play a much larger role in globalization scenarios, leading to higher economic growth and stronger convergence between world regions. At the global average, per capita GDP is projected to grow annually in a range between 1.0% (SSP3) and 2.8% (SSP5) from 2010 to 2100. While this covers a large portion of variety in future global economic growth projections, plausible lower and higher growth projections may still be conceivable. The GDP projections are put into the context of historic patterns of economic growth (stylized facts), and their sensitivity to key assumptions is explored.","container-title":"Global Environmental Change","DOI":"10.1016/j.gloenvcha.2015.02.005","ISSN":"0959-3780","journalAbbreviation":"Global Environmental Change","page":"215-225","source":"ScienceDirect","title":"Future growth patterns of world regions – A GDP scenario approach","volume":"42","author":[{"family":"Leimbach","given":"Marian"},{"family":"Kriegler","given":"Elmar"},{"family":"Roming","given":"Niklas"},{"family":"Schwanitz","given":"Jana"}],"issued":{"date-parts":[["2017",1,1]]}}}],"schema":"https://github.com/citation-style-language/schema/raw/master/csl-citation.json"} </w:instrText>
      </w:r>
      <w:r w:rsidR="008B6C2C">
        <w:rPr>
          <w:rFonts w:ascii="Times New Roman" w:eastAsia="Aptos" w:hAnsi="Times New Roman" w:cs="Times New Roman"/>
        </w:rPr>
        <w:fldChar w:fldCharType="separate"/>
      </w:r>
      <w:r w:rsidR="008B6C2C" w:rsidRPr="008B6C2C">
        <w:rPr>
          <w:rFonts w:ascii="Times New Roman" w:hAnsi="Times New Roman" w:cs="Times New Roman"/>
        </w:rPr>
        <w:t>(Leimbach et al., 2017)</w:t>
      </w:r>
      <w:r w:rsidR="008B6C2C">
        <w:rPr>
          <w:rFonts w:ascii="Times New Roman" w:eastAsia="Aptos" w:hAnsi="Times New Roman" w:cs="Times New Roman"/>
        </w:rPr>
        <w:fldChar w:fldCharType="end"/>
      </w:r>
    </w:p>
    <w:p w14:paraId="25F6CE66" w14:textId="462936B5" w:rsidR="00437504" w:rsidRPr="0012715B" w:rsidRDefault="00437504" w:rsidP="00437504">
      <w:pPr>
        <w:pStyle w:val="Heading1"/>
        <w:rPr>
          <w:rFonts w:ascii="Times New Roman" w:hAnsi="Times New Roman" w:cs="Times New Roman"/>
          <w:b/>
          <w:bCs/>
          <w:color w:val="auto"/>
          <w:sz w:val="24"/>
          <w:szCs w:val="24"/>
        </w:rPr>
      </w:pPr>
      <w:r w:rsidRPr="0012715B">
        <w:rPr>
          <w:rFonts w:ascii="Times New Roman" w:hAnsi="Times New Roman" w:cs="Times New Roman"/>
          <w:b/>
          <w:bCs/>
          <w:color w:val="auto"/>
          <w:sz w:val="24"/>
          <w:szCs w:val="24"/>
        </w:rPr>
        <w:lastRenderedPageBreak/>
        <w:t xml:space="preserve">4. </w:t>
      </w:r>
      <w:r w:rsidR="00682772">
        <w:rPr>
          <w:rFonts w:ascii="Times New Roman" w:hAnsi="Times New Roman" w:cs="Times New Roman"/>
          <w:b/>
          <w:bCs/>
          <w:color w:val="auto"/>
          <w:sz w:val="24"/>
          <w:szCs w:val="24"/>
        </w:rPr>
        <w:t>Results for i</w:t>
      </w:r>
      <w:r w:rsidRPr="0012715B">
        <w:rPr>
          <w:rFonts w:ascii="Times New Roman" w:hAnsi="Times New Roman" w:cs="Times New Roman"/>
          <w:b/>
          <w:bCs/>
          <w:color w:val="auto"/>
          <w:sz w:val="24"/>
          <w:szCs w:val="24"/>
        </w:rPr>
        <w:t>ndividual countries</w:t>
      </w:r>
    </w:p>
    <w:p w14:paraId="321AEA56" w14:textId="06065159" w:rsidR="00437504" w:rsidRPr="0012715B" w:rsidRDefault="00437504" w:rsidP="00437504">
      <w:pPr>
        <w:pStyle w:val="Heading2"/>
        <w:rPr>
          <w:rFonts w:ascii="Times New Roman" w:hAnsi="Times New Roman" w:cs="Times New Roman"/>
          <w:b/>
          <w:bCs/>
          <w:color w:val="auto"/>
          <w:sz w:val="24"/>
          <w:szCs w:val="24"/>
        </w:rPr>
      </w:pPr>
      <w:r w:rsidRPr="0012715B">
        <w:rPr>
          <w:rFonts w:ascii="Times New Roman" w:hAnsi="Times New Roman" w:cs="Times New Roman"/>
          <w:b/>
          <w:bCs/>
          <w:color w:val="auto"/>
          <w:sz w:val="24"/>
          <w:szCs w:val="24"/>
        </w:rPr>
        <w:t xml:space="preserve">4.1 </w:t>
      </w:r>
      <w:r w:rsidR="00682772">
        <w:rPr>
          <w:rFonts w:ascii="Times New Roman" w:hAnsi="Times New Roman" w:cs="Times New Roman"/>
          <w:b/>
          <w:bCs/>
          <w:color w:val="auto"/>
          <w:sz w:val="24"/>
          <w:szCs w:val="24"/>
        </w:rPr>
        <w:t>Predicted t</w:t>
      </w:r>
      <w:r w:rsidRPr="0012715B">
        <w:rPr>
          <w:rFonts w:ascii="Times New Roman" w:hAnsi="Times New Roman" w:cs="Times New Roman"/>
          <w:b/>
          <w:bCs/>
          <w:color w:val="auto"/>
          <w:sz w:val="24"/>
          <w:szCs w:val="24"/>
        </w:rPr>
        <w:t>raffic to individual countries</w:t>
      </w:r>
    </w:p>
    <w:p w14:paraId="481DA1D1" w14:textId="0E37427E" w:rsidR="004F23D8" w:rsidRPr="004F23D8" w:rsidRDefault="004F23D8" w:rsidP="004F23D8">
      <w:pPr>
        <w:pStyle w:val="ListParagraph"/>
        <w:ind w:left="360"/>
        <w:jc w:val="center"/>
        <w:rPr>
          <w:rFonts w:ascii="Times New Roman" w:hAnsi="Times New Roman" w:cs="Times New Roman"/>
        </w:rPr>
      </w:pPr>
      <w:r w:rsidRPr="004F23D8">
        <w:rPr>
          <w:rFonts w:ascii="Times New Roman" w:hAnsi="Times New Roman" w:cs="Times New Roman"/>
          <w:noProof/>
        </w:rPr>
        <w:drawing>
          <wp:inline distT="0" distB="0" distL="0" distR="0" wp14:anchorId="11962532" wp14:editId="02E1A8AD">
            <wp:extent cx="5943600" cy="5062118"/>
            <wp:effectExtent l="0" t="0" r="0" b="5715"/>
            <wp:docPr id="1503486317"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86317" name="Picture 4" descr="A graph of different colored lin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8150" cy="5065993"/>
                    </a:xfrm>
                    <a:prstGeom prst="rect">
                      <a:avLst/>
                    </a:prstGeom>
                    <a:noFill/>
                    <a:ln>
                      <a:noFill/>
                    </a:ln>
                  </pic:spPr>
                </pic:pic>
              </a:graphicData>
            </a:graphic>
          </wp:inline>
        </w:drawing>
      </w:r>
    </w:p>
    <w:p w14:paraId="1887B3AB" w14:textId="04E91DA0" w:rsidR="00437504" w:rsidRDefault="00437504" w:rsidP="00C92968">
      <w:pPr>
        <w:jc w:val="center"/>
        <w:rPr>
          <w:rFonts w:ascii="Times New Roman" w:hAnsi="Times New Roman" w:cs="Times New Roman"/>
        </w:rPr>
      </w:pPr>
      <w:r w:rsidRPr="0012715B">
        <w:rPr>
          <w:rFonts w:ascii="Times New Roman" w:hAnsi="Times New Roman" w:cs="Times New Roman"/>
        </w:rPr>
        <w:t xml:space="preserve">Figure S4 </w:t>
      </w:r>
      <w:r w:rsidR="004F23D8">
        <w:rPr>
          <w:rFonts w:ascii="Times New Roman" w:hAnsi="Times New Roman" w:cs="Times New Roman"/>
        </w:rPr>
        <w:t xml:space="preserve">Top 20 </w:t>
      </w:r>
      <w:r w:rsidR="004311DA">
        <w:rPr>
          <w:rFonts w:ascii="Times New Roman" w:hAnsi="Times New Roman" w:cs="Times New Roman"/>
        </w:rPr>
        <w:t>destination countries’ predicted t</w:t>
      </w:r>
      <w:r w:rsidRPr="0012715B">
        <w:rPr>
          <w:rFonts w:ascii="Times New Roman" w:hAnsi="Times New Roman" w:cs="Times New Roman"/>
        </w:rPr>
        <w:t>raffic</w:t>
      </w:r>
      <w:r w:rsidR="004311DA">
        <w:rPr>
          <w:rFonts w:ascii="Times New Roman" w:hAnsi="Times New Roman" w:cs="Times New Roman"/>
        </w:rPr>
        <w:t xml:space="preserve"> </w:t>
      </w:r>
      <w:r w:rsidR="00A04453">
        <w:rPr>
          <w:rFonts w:ascii="Times New Roman" w:hAnsi="Times New Roman" w:cs="Times New Roman"/>
        </w:rPr>
        <w:t xml:space="preserve">(number of voyages) </w:t>
      </w:r>
      <w:r w:rsidR="004311DA">
        <w:rPr>
          <w:rFonts w:ascii="Times New Roman" w:hAnsi="Times New Roman" w:cs="Times New Roman"/>
        </w:rPr>
        <w:t>(2018-2100)</w:t>
      </w:r>
    </w:p>
    <w:p w14:paraId="6F7927C4" w14:textId="7691D0CB" w:rsidR="00B30197" w:rsidRPr="00B30197" w:rsidRDefault="00B30197" w:rsidP="00B30197">
      <w:pPr>
        <w:jc w:val="center"/>
        <w:rPr>
          <w:rFonts w:ascii="Times New Roman" w:hAnsi="Times New Roman" w:cs="Times New Roman"/>
          <w:b/>
          <w:bCs/>
        </w:rPr>
      </w:pPr>
      <w:r w:rsidRPr="00B30197">
        <w:rPr>
          <w:rFonts w:ascii="Times New Roman" w:hAnsi="Times New Roman" w:cs="Times New Roman"/>
          <w:b/>
          <w:bCs/>
          <w:noProof/>
        </w:rPr>
        <w:lastRenderedPageBreak/>
        <w:drawing>
          <wp:inline distT="0" distB="0" distL="0" distR="0" wp14:anchorId="61CC2375" wp14:editId="6270C11A">
            <wp:extent cx="5943600" cy="4457700"/>
            <wp:effectExtent l="0" t="0" r="0" b="0"/>
            <wp:docPr id="744938165" name="Picture 6" descr="A chart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38165" name="Picture 6" descr="A chart of graphs and diagram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BE83D77" w14:textId="3BBD7BC3" w:rsidR="00B30197" w:rsidRDefault="00B30197" w:rsidP="00B30197">
      <w:pPr>
        <w:jc w:val="center"/>
        <w:rPr>
          <w:rFonts w:ascii="Times New Roman" w:hAnsi="Times New Roman" w:cs="Times New Roman"/>
        </w:rPr>
      </w:pPr>
      <w:r w:rsidRPr="0012715B">
        <w:rPr>
          <w:rFonts w:ascii="Times New Roman" w:hAnsi="Times New Roman" w:cs="Times New Roman"/>
        </w:rPr>
        <w:t>Figure S</w:t>
      </w:r>
      <w:r>
        <w:rPr>
          <w:rFonts w:ascii="Times New Roman" w:hAnsi="Times New Roman" w:cs="Times New Roman"/>
        </w:rPr>
        <w:t>5</w:t>
      </w:r>
      <w:r w:rsidRPr="0012715B">
        <w:rPr>
          <w:rFonts w:ascii="Times New Roman" w:hAnsi="Times New Roman" w:cs="Times New Roman"/>
        </w:rPr>
        <w:t xml:space="preserve"> </w:t>
      </w:r>
      <w:r>
        <w:rPr>
          <w:rFonts w:ascii="Times New Roman" w:hAnsi="Times New Roman" w:cs="Times New Roman"/>
        </w:rPr>
        <w:t>Destination countries’ predicted t</w:t>
      </w:r>
      <w:r w:rsidRPr="0012715B">
        <w:rPr>
          <w:rFonts w:ascii="Times New Roman" w:hAnsi="Times New Roman" w:cs="Times New Roman"/>
        </w:rPr>
        <w:t>raffic</w:t>
      </w:r>
      <w:r>
        <w:rPr>
          <w:rFonts w:ascii="Times New Roman" w:hAnsi="Times New Roman" w:cs="Times New Roman"/>
        </w:rPr>
        <w:t xml:space="preserve"> (2018-2100)</w:t>
      </w:r>
    </w:p>
    <w:p w14:paraId="44E75856" w14:textId="77777777" w:rsidR="00B30197" w:rsidRPr="0012715B" w:rsidRDefault="00B30197" w:rsidP="00C92968">
      <w:pPr>
        <w:jc w:val="center"/>
        <w:rPr>
          <w:rFonts w:ascii="Times New Roman" w:hAnsi="Times New Roman" w:cs="Times New Roman"/>
          <w:b/>
          <w:bCs/>
        </w:rPr>
      </w:pPr>
    </w:p>
    <w:p w14:paraId="6D298EBB" w14:textId="7BF6B50C" w:rsidR="00351990" w:rsidRPr="0012715B" w:rsidRDefault="00351990" w:rsidP="00351990">
      <w:pPr>
        <w:pStyle w:val="Heading2"/>
        <w:rPr>
          <w:rFonts w:ascii="Times New Roman" w:hAnsi="Times New Roman" w:cs="Times New Roman"/>
          <w:b/>
          <w:bCs/>
          <w:color w:val="auto"/>
          <w:sz w:val="24"/>
          <w:szCs w:val="24"/>
        </w:rPr>
      </w:pPr>
      <w:r w:rsidRPr="0012715B">
        <w:rPr>
          <w:rFonts w:ascii="Times New Roman" w:hAnsi="Times New Roman" w:cs="Times New Roman"/>
          <w:b/>
          <w:bCs/>
          <w:color w:val="auto"/>
          <w:sz w:val="24"/>
          <w:szCs w:val="24"/>
        </w:rPr>
        <w:t>4.2 Risk changes to individual countries</w:t>
      </w:r>
    </w:p>
    <w:p w14:paraId="68B33DCC" w14:textId="5E479CAC" w:rsidR="00351990" w:rsidRDefault="00351990" w:rsidP="00351990">
      <w:pPr>
        <w:spacing w:line="278" w:lineRule="auto"/>
        <w:rPr>
          <w:rFonts w:ascii="Times New Roman" w:hAnsi="Times New Roman" w:cs="Times New Roman"/>
        </w:rPr>
      </w:pPr>
      <w:r w:rsidRPr="0012715B">
        <w:rPr>
          <w:rFonts w:ascii="Times New Roman" w:hAnsi="Times New Roman" w:cs="Times New Roman"/>
        </w:rPr>
        <w:t>Risk changes to individual countries under different policy scenarios</w:t>
      </w:r>
      <w:r w:rsidR="00E3262B">
        <w:rPr>
          <w:rFonts w:ascii="Times New Roman" w:hAnsi="Times New Roman" w:cs="Times New Roman"/>
        </w:rPr>
        <w:t xml:space="preserve">. </w:t>
      </w:r>
    </w:p>
    <w:p w14:paraId="0131F392" w14:textId="77777777" w:rsidR="00E3262B" w:rsidRPr="0012715B" w:rsidRDefault="00E3262B" w:rsidP="00351990">
      <w:pPr>
        <w:spacing w:line="278" w:lineRule="auto"/>
        <w:rPr>
          <w:rFonts w:ascii="Times New Roman" w:hAnsi="Times New Roman" w:cs="Times New Roman"/>
        </w:rPr>
      </w:pPr>
    </w:p>
    <w:p w14:paraId="472F311C" w14:textId="1A549DDF" w:rsidR="00351990" w:rsidRDefault="00351990" w:rsidP="004A3FA9">
      <w:pPr>
        <w:jc w:val="center"/>
        <w:rPr>
          <w:rFonts w:ascii="Times New Roman" w:hAnsi="Times New Roman" w:cs="Times New Roman"/>
        </w:rPr>
      </w:pPr>
    </w:p>
    <w:p w14:paraId="51FF7A13" w14:textId="55A37E81" w:rsidR="00EE4E93" w:rsidRDefault="00EE4E93" w:rsidP="004A3FA9">
      <w:pPr>
        <w:jc w:val="center"/>
        <w:rPr>
          <w:rFonts w:ascii="Times New Roman" w:hAnsi="Times New Roman" w:cs="Times New Roman"/>
        </w:rPr>
      </w:pPr>
    </w:p>
    <w:p w14:paraId="1B702F4A" w14:textId="1069FF9F" w:rsidR="00527FE4" w:rsidRPr="0012715B" w:rsidRDefault="00BA0B22" w:rsidP="004A3FA9">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162EA03" wp14:editId="3211F6E1">
            <wp:extent cx="5555103" cy="3942936"/>
            <wp:effectExtent l="0" t="0" r="7620" b="635"/>
            <wp:docPr id="20445734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8566" cy="3952492"/>
                    </a:xfrm>
                    <a:prstGeom prst="rect">
                      <a:avLst/>
                    </a:prstGeom>
                    <a:noFill/>
                  </pic:spPr>
                </pic:pic>
              </a:graphicData>
            </a:graphic>
          </wp:inline>
        </w:drawing>
      </w:r>
    </w:p>
    <w:p w14:paraId="787BD590" w14:textId="16E6012D" w:rsidR="00351990" w:rsidRPr="0012715B" w:rsidRDefault="007D6620" w:rsidP="004A3FA9">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AD1D8FF" wp14:editId="38D96710">
            <wp:extent cx="5955113" cy="4226857"/>
            <wp:effectExtent l="0" t="0" r="7620" b="2540"/>
            <wp:docPr id="88628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3299" cy="4232667"/>
                    </a:xfrm>
                    <a:prstGeom prst="rect">
                      <a:avLst/>
                    </a:prstGeom>
                    <a:noFill/>
                  </pic:spPr>
                </pic:pic>
              </a:graphicData>
            </a:graphic>
          </wp:inline>
        </w:drawing>
      </w:r>
    </w:p>
    <w:p w14:paraId="41BCDFB6" w14:textId="7CA3F2DD" w:rsidR="00351990" w:rsidRPr="0012715B" w:rsidRDefault="00351990" w:rsidP="004A3FA9">
      <w:pPr>
        <w:jc w:val="center"/>
        <w:rPr>
          <w:rFonts w:ascii="Times New Roman" w:hAnsi="Times New Roman" w:cs="Times New Roman"/>
        </w:rPr>
      </w:pPr>
      <w:r w:rsidRPr="0012715B">
        <w:rPr>
          <w:rFonts w:ascii="Times New Roman" w:hAnsi="Times New Roman" w:cs="Times New Roman"/>
        </w:rPr>
        <w:t>Figure S</w:t>
      </w:r>
      <w:r w:rsidR="00F7512E">
        <w:rPr>
          <w:rFonts w:ascii="Times New Roman" w:hAnsi="Times New Roman" w:cs="Times New Roman"/>
        </w:rPr>
        <w:t>6</w:t>
      </w:r>
      <w:r w:rsidR="00C92968" w:rsidRPr="0012715B">
        <w:rPr>
          <w:rFonts w:ascii="Times New Roman" w:hAnsi="Times New Roman" w:cs="Times New Roman"/>
        </w:rPr>
        <w:t xml:space="preserve"> Risk changes to individual countries under </w:t>
      </w:r>
      <w:r w:rsidR="004A3FA9" w:rsidRPr="0012715B">
        <w:rPr>
          <w:rFonts w:ascii="Times New Roman" w:hAnsi="Times New Roman" w:cs="Times New Roman"/>
        </w:rPr>
        <w:t>SSP1 and SSP3</w:t>
      </w:r>
    </w:p>
    <w:p w14:paraId="3F1CE999" w14:textId="533A4DBC" w:rsidR="00406232" w:rsidRDefault="004A3FA9" w:rsidP="00406232">
      <w:pPr>
        <w:pStyle w:val="Heading1"/>
        <w:rPr>
          <w:rFonts w:ascii="Times New Roman" w:hAnsi="Times New Roman" w:cs="Times New Roman"/>
          <w:b/>
          <w:bCs/>
          <w:color w:val="auto"/>
          <w:sz w:val="24"/>
          <w:szCs w:val="24"/>
        </w:rPr>
      </w:pPr>
      <w:r w:rsidRPr="0012715B">
        <w:rPr>
          <w:rFonts w:ascii="Times New Roman" w:hAnsi="Times New Roman" w:cs="Times New Roman"/>
          <w:b/>
          <w:bCs/>
          <w:color w:val="auto"/>
          <w:sz w:val="24"/>
          <w:szCs w:val="24"/>
        </w:rPr>
        <w:t xml:space="preserve">5. </w:t>
      </w:r>
      <w:r w:rsidR="00DC4381" w:rsidRPr="00DC4381">
        <w:rPr>
          <w:rFonts w:ascii="Times New Roman" w:hAnsi="Times New Roman" w:cs="Times New Roman"/>
          <w:b/>
          <w:bCs/>
          <w:color w:val="auto"/>
          <w:sz w:val="24"/>
          <w:szCs w:val="24"/>
        </w:rPr>
        <w:t>Baseline NIS spread risk by country and port</w:t>
      </w:r>
    </w:p>
    <w:p w14:paraId="1DDB0DB3" w14:textId="794A273F" w:rsidR="00406232" w:rsidRDefault="00406232" w:rsidP="00406232">
      <w:pPr>
        <w:rPr>
          <w:rFonts w:ascii="Times New Roman" w:hAnsi="Times New Roman" w:cs="Times New Roman"/>
        </w:rPr>
      </w:pPr>
      <w:r>
        <w:rPr>
          <w:rFonts w:ascii="Times New Roman" w:hAnsi="Times New Roman" w:cs="Times New Roman"/>
        </w:rPr>
        <w:t>Baseline NIS risk results are available at:</w:t>
      </w:r>
    </w:p>
    <w:p w14:paraId="66C49027" w14:textId="79B42CF1" w:rsidR="00406232" w:rsidRPr="00406232" w:rsidRDefault="00406232" w:rsidP="00406232">
      <w:pPr>
        <w:rPr>
          <w:rFonts w:ascii="Times New Roman" w:hAnsi="Times New Roman" w:cs="Times New Roman"/>
        </w:rPr>
      </w:pPr>
      <w:hyperlink r:id="rId14" w:history="1">
        <w:r w:rsidRPr="00831681">
          <w:rPr>
            <w:rStyle w:val="Hyperlink"/>
            <w:rFonts w:ascii="Times New Roman" w:hAnsi="Times New Roman" w:cs="Times New Roman"/>
          </w:rPr>
          <w:t>https://github.com/msaebi1993/Scenario_SF_HON/tree/v.0.0/Data</w:t>
        </w:r>
      </w:hyperlink>
    </w:p>
    <w:p w14:paraId="07430C77" w14:textId="4D71158E" w:rsidR="00DC4381" w:rsidRDefault="00F23BCB" w:rsidP="00DC4381">
      <w:pPr>
        <w:jc w:val="center"/>
      </w:pPr>
      <w:r>
        <w:rPr>
          <w:noProof/>
        </w:rPr>
        <w:t>=</w:t>
      </w:r>
    </w:p>
    <w:p w14:paraId="3EE2EB09" w14:textId="3D4F1BF1" w:rsidR="00DC4381" w:rsidRDefault="00DC4381" w:rsidP="00DC4381">
      <w:pPr>
        <w:rPr>
          <w:rFonts w:cstheme="majorBidi"/>
          <w:color w:val="000000" w:themeColor="text1"/>
          <w:sz w:val="20"/>
          <w:szCs w:val="20"/>
        </w:rPr>
      </w:pPr>
    </w:p>
    <w:p w14:paraId="5320AB0B" w14:textId="77777777" w:rsidR="00DC4381" w:rsidRDefault="00DC4381" w:rsidP="00DC4381">
      <w:pPr>
        <w:rPr>
          <w:rFonts w:ascii="Times New Roman" w:hAnsi="Times New Roman" w:cs="Times New Roman"/>
        </w:rPr>
      </w:pPr>
      <w:r w:rsidRPr="00887AAF">
        <w:rPr>
          <w:rFonts w:ascii="Times New Roman" w:hAnsi="Times New Roman" w:cs="Times New Roman"/>
          <w:noProof/>
        </w:rPr>
        <w:lastRenderedPageBreak/>
        <w:drawing>
          <wp:inline distT="0" distB="0" distL="0" distR="0" wp14:anchorId="009152D8" wp14:editId="6223D859">
            <wp:extent cx="5943600" cy="2986405"/>
            <wp:effectExtent l="0" t="0" r="0" b="4445"/>
            <wp:docPr id="51419012" name="Picture 1" descr="A map of the world with colorful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9012" name="Picture 1" descr="A map of the world with colorful circles and lines&#10;&#10;AI-generated content may be incorrect."/>
                    <pic:cNvPicPr/>
                  </pic:nvPicPr>
                  <pic:blipFill>
                    <a:blip r:embed="rId15"/>
                    <a:stretch>
                      <a:fillRect/>
                    </a:stretch>
                  </pic:blipFill>
                  <pic:spPr>
                    <a:xfrm>
                      <a:off x="0" y="0"/>
                      <a:ext cx="5943600" cy="2986405"/>
                    </a:xfrm>
                    <a:prstGeom prst="rect">
                      <a:avLst/>
                    </a:prstGeom>
                  </pic:spPr>
                </pic:pic>
              </a:graphicData>
            </a:graphic>
          </wp:inline>
        </w:drawing>
      </w:r>
    </w:p>
    <w:p w14:paraId="010BF4D2" w14:textId="42E578B0" w:rsidR="00406232" w:rsidRPr="00F65381" w:rsidRDefault="00406232" w:rsidP="00406232">
      <w:pPr>
        <w:rPr>
          <w:rFonts w:cstheme="majorBidi"/>
          <w:color w:val="000000" w:themeColor="text1"/>
          <w:sz w:val="20"/>
          <w:szCs w:val="20"/>
          <w:lang w:val="fr-FR"/>
        </w:rPr>
      </w:pPr>
      <w:r>
        <w:rPr>
          <w:rFonts w:ascii="Times New Roman" w:hAnsi="Times New Roman" w:cs="Times New Roman"/>
        </w:rPr>
        <w:t>Figure S</w:t>
      </w:r>
      <w:r w:rsidR="00F23BCB">
        <w:rPr>
          <w:rFonts w:ascii="Times New Roman" w:hAnsi="Times New Roman" w:cs="Times New Roman"/>
        </w:rPr>
        <w:t>7</w:t>
      </w:r>
      <w:r>
        <w:rPr>
          <w:rFonts w:ascii="Times New Roman" w:hAnsi="Times New Roman" w:cs="Times New Roman"/>
        </w:rPr>
        <w:t>. The baseline risks by port</w:t>
      </w:r>
      <w:r w:rsidR="00F23BCB">
        <w:rPr>
          <w:rFonts w:ascii="Times New Roman" w:hAnsi="Times New Roman" w:cs="Times New Roman"/>
        </w:rPr>
        <w:t xml:space="preserve"> and voyages</w:t>
      </w:r>
      <w:r>
        <w:rPr>
          <w:rFonts w:ascii="Times New Roman" w:hAnsi="Times New Roman" w:cs="Times New Roman"/>
        </w:rPr>
        <w:t xml:space="preserve">. </w:t>
      </w:r>
      <w:r w:rsidR="0011328B">
        <w:rPr>
          <w:rFonts w:ascii="Times New Roman" w:hAnsi="Times New Roman" w:cs="Times New Roman"/>
          <w:lang w:val="fr-FR"/>
        </w:rPr>
        <w:t>Source</w:t>
      </w:r>
      <w:r w:rsidR="001268CA">
        <w:rPr>
          <w:rFonts w:ascii="Times New Roman" w:hAnsi="Times New Roman" w:cs="Times New Roman"/>
          <w:lang w:val="fr-FR"/>
        </w:rPr>
        <w:t> :</w:t>
      </w:r>
      <w:r w:rsidR="0011328B">
        <w:rPr>
          <w:rFonts w:ascii="Times New Roman" w:hAnsi="Times New Roman" w:cs="Times New Roman"/>
          <w:lang w:val="fr-FR"/>
        </w:rPr>
        <w:t xml:space="preserve"> </w:t>
      </w:r>
      <w:r w:rsidR="001268CA">
        <w:rPr>
          <w:rFonts w:ascii="Times New Roman" w:hAnsi="Times New Roman" w:cs="Times New Roman"/>
          <w:lang w:val="fr-FR"/>
        </w:rPr>
        <w:fldChar w:fldCharType="begin"/>
      </w:r>
      <w:r w:rsidR="001268CA">
        <w:rPr>
          <w:rFonts w:ascii="Times New Roman" w:hAnsi="Times New Roman" w:cs="Times New Roman"/>
          <w:lang w:val="fr-FR"/>
        </w:rPr>
        <w:instrText xml:space="preserve"> ADDIN ZOTERO_ITEM CSL_CITATION {"citationID":"xljdvy6x","properties":{"formattedCitation":"(Wang et al., 2021)","plainCitation":"(Wang et al., 2021)","noteIndex":0},"citationItems":[{"id":1244,"uris":["http://zotero.org/users/13154070/items/5BWL3TJ4"],"itemData":{"id":1244,"type":"article-journal","container-title":"Environmental Science &amp; Technology","DOI":"10.1021/acs.est.1c04009","ISSN":"0013-936X","issue":"19","journalAbbreviation":"Environ. Sci. Technol.","page":"12791-12800","publisher":"American Chemical Society","title":"Integrated Biological Risk and Cost Model Analysis Supports a Geopolitical Shift in Ballast Water Management","volume":"55","author":[{"family":"Wang","given":"Zhaojun"},{"family":"Saebi","given":"Mandana"},{"family":"Corbett","given":"James J."},{"family":"Grey","given":"Erin K."},{"family":"Curasi","given":"Salvatore R."}],"issued":{"date-parts":[["2021",10,5]]}}}],"schema":"https://github.com/citation-style-language/schema/raw/master/csl-citation.json"} </w:instrText>
      </w:r>
      <w:r w:rsidR="001268CA">
        <w:rPr>
          <w:rFonts w:ascii="Times New Roman" w:hAnsi="Times New Roman" w:cs="Times New Roman"/>
          <w:lang w:val="fr-FR"/>
        </w:rPr>
        <w:fldChar w:fldCharType="separate"/>
      </w:r>
      <w:r w:rsidR="001268CA" w:rsidRPr="001268CA">
        <w:rPr>
          <w:rFonts w:ascii="Times New Roman" w:hAnsi="Times New Roman" w:cs="Times New Roman"/>
          <w:lang w:val="fr-FR"/>
        </w:rPr>
        <w:t>(Wang et al., 2021)</w:t>
      </w:r>
      <w:r w:rsidR="001268CA">
        <w:rPr>
          <w:rFonts w:ascii="Times New Roman" w:hAnsi="Times New Roman" w:cs="Times New Roman"/>
          <w:lang w:val="fr-FR"/>
        </w:rPr>
        <w:fldChar w:fldCharType="end"/>
      </w:r>
      <w:r w:rsidR="001268CA">
        <w:rPr>
          <w:rFonts w:ascii="Times New Roman" w:hAnsi="Times New Roman" w:cs="Times New Roman"/>
          <w:lang w:val="fr-FR"/>
        </w:rPr>
        <w:t>.</w:t>
      </w:r>
    </w:p>
    <w:p w14:paraId="034B7674" w14:textId="5B4E627A" w:rsidR="00406232" w:rsidRPr="00406232" w:rsidRDefault="00406232" w:rsidP="00DC4381">
      <w:pPr>
        <w:rPr>
          <w:rFonts w:ascii="Times New Roman" w:hAnsi="Times New Roman" w:cs="Times New Roman"/>
        </w:rPr>
      </w:pPr>
      <w:r>
        <w:rPr>
          <w:rFonts w:ascii="Times New Roman" w:hAnsi="Times New Roman" w:cs="Times New Roman"/>
        </w:rPr>
        <w:t xml:space="preserve">Table S2 </w:t>
      </w:r>
      <w:r w:rsidRPr="00801027">
        <w:rPr>
          <w:rFonts w:ascii="Times New Roman" w:hAnsi="Times New Roman" w:cs="Times New Roman"/>
        </w:rPr>
        <w:t xml:space="preserve">Top 10 Port </w:t>
      </w:r>
      <w:r w:rsidR="00F23BCB">
        <w:rPr>
          <w:rFonts w:ascii="Times New Roman" w:hAnsi="Times New Roman" w:cs="Times New Roman"/>
        </w:rPr>
        <w:t xml:space="preserve">Receiving </w:t>
      </w:r>
      <w:r w:rsidRPr="00801027">
        <w:rPr>
          <w:rFonts w:ascii="Times New Roman" w:hAnsi="Times New Roman" w:cs="Times New Roman"/>
        </w:rPr>
        <w:t xml:space="preserve">Risks </w:t>
      </w:r>
    </w:p>
    <w:p w14:paraId="131A0875" w14:textId="64DE05F3" w:rsidR="001F4291" w:rsidRDefault="001F4291" w:rsidP="00DC4381">
      <w:pPr>
        <w:rPr>
          <w:rFonts w:ascii="Times New Roman" w:hAnsi="Times New Roman" w:cs="Times New Roman"/>
        </w:rPr>
      </w:pPr>
      <w:r w:rsidRPr="00F648C1">
        <w:rPr>
          <w:rFonts w:ascii="Times New Roman" w:hAnsi="Times New Roman" w:cs="Times New Roman"/>
          <w:noProof/>
        </w:rPr>
        <w:drawing>
          <wp:inline distT="0" distB="0" distL="0" distR="0" wp14:anchorId="34972AED" wp14:editId="6716FFC4">
            <wp:extent cx="3105150" cy="1800225"/>
            <wp:effectExtent l="0" t="0" r="0" b="9525"/>
            <wp:docPr id="933341021"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41021" name="Picture 1" descr="A table with numbers and text&#10;&#10;AI-generated content may be incorrect."/>
                    <pic:cNvPicPr/>
                  </pic:nvPicPr>
                  <pic:blipFill>
                    <a:blip r:embed="rId16"/>
                    <a:stretch>
                      <a:fillRect/>
                    </a:stretch>
                  </pic:blipFill>
                  <pic:spPr>
                    <a:xfrm>
                      <a:off x="0" y="0"/>
                      <a:ext cx="3116029" cy="1806532"/>
                    </a:xfrm>
                    <a:prstGeom prst="rect">
                      <a:avLst/>
                    </a:prstGeom>
                  </pic:spPr>
                </pic:pic>
              </a:graphicData>
            </a:graphic>
          </wp:inline>
        </w:drawing>
      </w:r>
    </w:p>
    <w:p w14:paraId="7DB13705" w14:textId="77777777" w:rsidR="00DC4381" w:rsidRPr="00DC4381" w:rsidRDefault="00DC4381" w:rsidP="00DC4381"/>
    <w:p w14:paraId="63FFAF8E" w14:textId="77777777" w:rsidR="00DC4381" w:rsidRDefault="00DC4381" w:rsidP="004A3FA9">
      <w:pPr>
        <w:pStyle w:val="Heading1"/>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6. </w:t>
      </w:r>
      <w:r w:rsidR="004A3FA9" w:rsidRPr="0012715B">
        <w:rPr>
          <w:rFonts w:ascii="Times New Roman" w:hAnsi="Times New Roman" w:cs="Times New Roman"/>
          <w:b/>
          <w:bCs/>
          <w:color w:val="auto"/>
          <w:sz w:val="24"/>
          <w:szCs w:val="24"/>
        </w:rPr>
        <w:t>References</w:t>
      </w:r>
    </w:p>
    <w:p w14:paraId="09EE093A" w14:textId="7E4624D3" w:rsidR="5A673DB1" w:rsidRPr="0012715B" w:rsidRDefault="5A673DB1" w:rsidP="00DC4381">
      <w:pPr>
        <w:rPr>
          <w:rFonts w:ascii="Times New Roman" w:eastAsia="Aptos" w:hAnsi="Times New Roman" w:cs="Times New Roman"/>
        </w:rPr>
      </w:pPr>
      <w:r w:rsidRPr="0012715B">
        <w:rPr>
          <w:rFonts w:ascii="Times New Roman" w:hAnsi="Times New Roman" w:cs="Times New Roman"/>
        </w:rPr>
        <w:br/>
      </w:r>
      <w:r w:rsidR="4981FFA2" w:rsidRPr="0012715B">
        <w:rPr>
          <w:rFonts w:ascii="Times New Roman" w:eastAsia="Aptos" w:hAnsi="Times New Roman" w:cs="Times New Roman"/>
        </w:rPr>
        <w:t xml:space="preserve">Anderson, J. E., &amp; van Wincoop, E. (2003). Gravity with gravitas: A solution to the border puzzle. American Economic Review, 93(1), 170–192. </w:t>
      </w:r>
    </w:p>
    <w:p w14:paraId="2741E0D2" w14:textId="77777777" w:rsidR="000D6F2E" w:rsidRPr="0012715B" w:rsidRDefault="000D6F2E" w:rsidP="000D6F2E">
      <w:pPr>
        <w:rPr>
          <w:rFonts w:ascii="Times New Roman" w:hAnsi="Times New Roman" w:cs="Times New Roman"/>
        </w:rPr>
      </w:pPr>
      <w:r w:rsidRPr="0012715B">
        <w:rPr>
          <w:rFonts w:ascii="Times New Roman" w:eastAsia="Aptos" w:hAnsi="Times New Roman" w:cs="Times New Roman"/>
          <w:lang w:eastAsia="zh-CN"/>
        </w:rPr>
        <w:t xml:space="preserve">Breiman, L. (2001). Random forests. </w:t>
      </w:r>
      <w:r w:rsidRPr="0012715B">
        <w:rPr>
          <w:rFonts w:ascii="Times New Roman" w:eastAsia="Aptos" w:hAnsi="Times New Roman" w:cs="Times New Roman"/>
          <w:i/>
          <w:iCs/>
          <w:lang w:eastAsia="zh-CN"/>
        </w:rPr>
        <w:t>Machine learning, 45</w:t>
      </w:r>
      <w:r w:rsidRPr="0012715B">
        <w:rPr>
          <w:rFonts w:ascii="Times New Roman" w:eastAsia="Aptos" w:hAnsi="Times New Roman" w:cs="Times New Roman"/>
          <w:lang w:eastAsia="zh-CN"/>
        </w:rPr>
        <w:t xml:space="preserve">(1), 5-32. </w:t>
      </w:r>
    </w:p>
    <w:p w14:paraId="255AA4DE" w14:textId="77777777" w:rsidR="000D6F2E" w:rsidRPr="0012715B" w:rsidRDefault="000D6F2E" w:rsidP="000D6F2E">
      <w:pPr>
        <w:rPr>
          <w:rFonts w:ascii="Times New Roman" w:hAnsi="Times New Roman" w:cs="Times New Roman"/>
        </w:rPr>
      </w:pPr>
      <w:r w:rsidRPr="0012715B">
        <w:rPr>
          <w:rFonts w:ascii="Times New Roman" w:eastAsia="Aptos" w:hAnsi="Times New Roman" w:cs="Times New Roman"/>
          <w:lang w:eastAsia="zh-CN"/>
        </w:rPr>
        <w:t xml:space="preserve">Bengio, Y., Courville, A., &amp; Vincent, P. (2013). Representation learning: A review and new perspectives. </w:t>
      </w:r>
      <w:r w:rsidRPr="0012715B">
        <w:rPr>
          <w:rFonts w:ascii="Times New Roman" w:eastAsia="Aptos" w:hAnsi="Times New Roman" w:cs="Times New Roman"/>
          <w:i/>
          <w:iCs/>
          <w:lang w:eastAsia="zh-CN"/>
        </w:rPr>
        <w:t>IEEE transactions on pattern analysis and machine intelligence, 35</w:t>
      </w:r>
      <w:r w:rsidRPr="0012715B">
        <w:rPr>
          <w:rFonts w:ascii="Times New Roman" w:eastAsia="Aptos" w:hAnsi="Times New Roman" w:cs="Times New Roman"/>
          <w:lang w:eastAsia="zh-CN"/>
        </w:rPr>
        <w:t xml:space="preserve">(8), 1798-1828. </w:t>
      </w:r>
    </w:p>
    <w:p w14:paraId="29F605E2" w14:textId="41F949BE" w:rsidR="00A315BA" w:rsidRDefault="00A315BA" w:rsidP="000D6F2E">
      <w:pPr>
        <w:rPr>
          <w:rFonts w:ascii="Times New Roman" w:hAnsi="Times New Roman" w:cs="Times New Roman"/>
        </w:rPr>
      </w:pPr>
      <w:r w:rsidRPr="007F4BA4">
        <w:rPr>
          <w:rFonts w:ascii="Times New Roman" w:hAnsi="Times New Roman" w:cs="Times New Roman"/>
        </w:rPr>
        <w:lastRenderedPageBreak/>
        <w:t xml:space="preserve">CEPII, 2025. World Economy Databases. </w:t>
      </w:r>
      <w:hyperlink r:id="rId17" w:history="1">
        <w:r w:rsidRPr="00DF4BD9">
          <w:rPr>
            <w:rStyle w:val="Hyperlink"/>
            <w:rFonts w:ascii="Times New Roman" w:hAnsi="Times New Roman" w:cs="Times New Roman"/>
          </w:rPr>
          <w:t>https://www.cepii.fr/CEPII/en/bdd_modele/bdd_modele.asp</w:t>
        </w:r>
      </w:hyperlink>
      <w:r w:rsidRPr="007F4BA4">
        <w:rPr>
          <w:rFonts w:ascii="Times New Roman" w:hAnsi="Times New Roman" w:cs="Times New Roman"/>
        </w:rPr>
        <w:t>.</w:t>
      </w:r>
    </w:p>
    <w:p w14:paraId="2173A48E" w14:textId="25F10268" w:rsidR="000D6F2E" w:rsidRDefault="000D6F2E" w:rsidP="000D6F2E">
      <w:pPr>
        <w:rPr>
          <w:rFonts w:ascii="Times New Roman" w:eastAsia="Aptos" w:hAnsi="Times New Roman" w:cs="Times New Roman"/>
          <w:lang w:eastAsia="zh-CN"/>
        </w:rPr>
      </w:pPr>
      <w:r w:rsidRPr="0012715B">
        <w:rPr>
          <w:rFonts w:ascii="Times New Roman" w:eastAsia="Aptos" w:hAnsi="Times New Roman" w:cs="Times New Roman"/>
          <w:lang w:eastAsia="zh-CN"/>
        </w:rPr>
        <w:t xml:space="preserve">Kramel, D., Franz, S. M., Klenner, J., Muri, H., Münster, M., &amp; Strømman, A. H. (2024). Advancing SSP-aligned scenarios of shipping toward 2050. </w:t>
      </w:r>
      <w:r w:rsidRPr="0012715B">
        <w:rPr>
          <w:rFonts w:ascii="Times New Roman" w:eastAsia="Aptos" w:hAnsi="Times New Roman" w:cs="Times New Roman"/>
          <w:i/>
          <w:iCs/>
          <w:lang w:eastAsia="zh-CN"/>
        </w:rPr>
        <w:t>Scientific Reports, 14</w:t>
      </w:r>
      <w:r w:rsidRPr="0012715B">
        <w:rPr>
          <w:rFonts w:ascii="Times New Roman" w:eastAsia="Aptos" w:hAnsi="Times New Roman" w:cs="Times New Roman"/>
          <w:lang w:eastAsia="zh-CN"/>
        </w:rPr>
        <w:t>, 8965.</w:t>
      </w:r>
    </w:p>
    <w:p w14:paraId="54544970" w14:textId="4B2CFC4C" w:rsidR="00AE684D" w:rsidRDefault="00AE684D">
      <w:pPr>
        <w:rPr>
          <w:rFonts w:ascii="Times New Roman" w:hAnsi="Times New Roman" w:cs="Times New Roman"/>
        </w:rPr>
      </w:pPr>
      <w:r w:rsidRPr="007F4BA4">
        <w:rPr>
          <w:rFonts w:ascii="Times New Roman" w:hAnsi="Times New Roman" w:cs="Times New Roman"/>
        </w:rPr>
        <w:t xml:space="preserve">Leimbach, M., Kriegler, E., Roming, N., Schwanitz, J., 2017. Future growth patterns of world regions – A GDP scenario approach. Global Environmental Change 42, 215–225. </w:t>
      </w:r>
      <w:hyperlink r:id="rId18" w:history="1">
        <w:r w:rsidRPr="00DF4BD9">
          <w:rPr>
            <w:rStyle w:val="Hyperlink"/>
            <w:rFonts w:ascii="Times New Roman" w:hAnsi="Times New Roman" w:cs="Times New Roman"/>
          </w:rPr>
          <w:t>https://doi.org/10.1016/j.gloenvcha.2015.02.005</w:t>
        </w:r>
      </w:hyperlink>
    </w:p>
    <w:p w14:paraId="5AC06A8E" w14:textId="30F8D01A" w:rsidR="402F5A70" w:rsidRPr="0012715B" w:rsidRDefault="402F5A70">
      <w:pPr>
        <w:rPr>
          <w:rFonts w:ascii="Times New Roman" w:hAnsi="Times New Roman" w:cs="Times New Roman"/>
        </w:rPr>
      </w:pPr>
      <w:r w:rsidRPr="0012715B">
        <w:rPr>
          <w:rFonts w:ascii="Times New Roman" w:eastAsia="Aptos" w:hAnsi="Times New Roman" w:cs="Times New Roman"/>
        </w:rPr>
        <w:t xml:space="preserve">Sardain, A., Sardain, E., &amp; Leung, B. (2019). Global forecasts of shipping traffic and biological invasions to 2050. </w:t>
      </w:r>
      <w:r w:rsidRPr="0012715B">
        <w:rPr>
          <w:rFonts w:ascii="Times New Roman" w:eastAsia="Aptos" w:hAnsi="Times New Roman" w:cs="Times New Roman"/>
          <w:i/>
          <w:iCs/>
        </w:rPr>
        <w:t>Nature Sustainability, 2</w:t>
      </w:r>
      <w:r w:rsidRPr="0012715B">
        <w:rPr>
          <w:rFonts w:ascii="Times New Roman" w:eastAsia="Aptos" w:hAnsi="Times New Roman" w:cs="Times New Roman"/>
        </w:rPr>
        <w:t xml:space="preserve">, 274–282. </w:t>
      </w:r>
    </w:p>
    <w:p w14:paraId="190E26FC" w14:textId="276E134F" w:rsidR="402F5A70" w:rsidRDefault="402F5A70" w:rsidP="5A673DB1">
      <w:pPr>
        <w:rPr>
          <w:rFonts w:ascii="Times New Roman" w:eastAsia="Aptos" w:hAnsi="Times New Roman" w:cs="Times New Roman"/>
          <w:lang w:eastAsia="zh-CN"/>
        </w:rPr>
      </w:pPr>
      <w:r w:rsidRPr="0012715B">
        <w:rPr>
          <w:rFonts w:ascii="Times New Roman" w:eastAsia="Aptos" w:hAnsi="Times New Roman" w:cs="Times New Roman"/>
          <w:lang w:eastAsia="zh-CN"/>
        </w:rPr>
        <w:t xml:space="preserve">Song, R., Spadon, G., Pelot, R., Matwin, S., &amp; Soares, A. (2024). Enhancing global maritime traffic network forecasting with gravity-inspired deep learning models. </w:t>
      </w:r>
      <w:r w:rsidRPr="0012715B">
        <w:rPr>
          <w:rFonts w:ascii="Times New Roman" w:eastAsia="Aptos" w:hAnsi="Times New Roman" w:cs="Times New Roman"/>
          <w:i/>
          <w:iCs/>
          <w:lang w:eastAsia="zh-CN"/>
        </w:rPr>
        <w:t>Scientific Reports, 14</w:t>
      </w:r>
      <w:r w:rsidRPr="0012715B">
        <w:rPr>
          <w:rFonts w:ascii="Times New Roman" w:eastAsia="Aptos" w:hAnsi="Times New Roman" w:cs="Times New Roman"/>
          <w:lang w:eastAsia="zh-CN"/>
        </w:rPr>
        <w:t>, 16665.</w:t>
      </w:r>
    </w:p>
    <w:p w14:paraId="33728B4F" w14:textId="39FEB48E" w:rsidR="00105F07" w:rsidRDefault="00105F07" w:rsidP="00105F07">
      <w:pPr>
        <w:pStyle w:val="Bibliography"/>
        <w:rPr>
          <w:rFonts w:ascii="Times New Roman" w:hAnsi="Times New Roman" w:cs="Times New Roman"/>
        </w:rPr>
      </w:pPr>
      <w:r w:rsidRPr="007F4BA4">
        <w:rPr>
          <w:rFonts w:ascii="Times New Roman" w:hAnsi="Times New Roman" w:cs="Times New Roman"/>
        </w:rPr>
        <w:t xml:space="preserve">Wang, Z., Saebi, M., Corbett, J.J., Grey, E.K., Curasi, S.R., 2021. Integrated Biological Risk and Cost Model Analysis Supports a Geopolitical Shift in Ballast Water Management. Environ. Sci. Technol. 55, 12791–12800. </w:t>
      </w:r>
      <w:hyperlink r:id="rId19" w:history="1">
        <w:r w:rsidR="000A4E63" w:rsidRPr="00DF4BD9">
          <w:rPr>
            <w:rStyle w:val="Hyperlink"/>
            <w:rFonts w:ascii="Times New Roman" w:hAnsi="Times New Roman" w:cs="Times New Roman"/>
          </w:rPr>
          <w:t>https://doi.org/10.1021/acs.est.1c04009</w:t>
        </w:r>
      </w:hyperlink>
    </w:p>
    <w:p w14:paraId="671D5A35" w14:textId="77777777" w:rsidR="000A4E63" w:rsidRPr="007F4BA4" w:rsidRDefault="000A4E63" w:rsidP="000A4E63">
      <w:pPr>
        <w:pStyle w:val="Bibliography"/>
        <w:rPr>
          <w:rFonts w:ascii="Times New Roman" w:hAnsi="Times New Roman" w:cs="Times New Roman"/>
        </w:rPr>
      </w:pPr>
      <w:r w:rsidRPr="007F4BA4">
        <w:rPr>
          <w:rFonts w:ascii="Times New Roman" w:hAnsi="Times New Roman" w:cs="Times New Roman"/>
        </w:rPr>
        <w:t>World Bank, 2024. World Bank Open Data. https://data.worldbank.org.</w:t>
      </w:r>
    </w:p>
    <w:p w14:paraId="1667DC2A" w14:textId="77777777" w:rsidR="000A4E63" w:rsidRPr="000A4E63" w:rsidRDefault="000A4E63" w:rsidP="000A4E63">
      <w:pPr>
        <w:rPr>
          <w:lang w:eastAsia="zh-CN"/>
        </w:rPr>
      </w:pPr>
    </w:p>
    <w:p w14:paraId="1859432B" w14:textId="77777777" w:rsidR="00105F07" w:rsidRPr="0012715B" w:rsidRDefault="00105F07" w:rsidP="5A673DB1">
      <w:pPr>
        <w:rPr>
          <w:rFonts w:ascii="Times New Roman" w:eastAsia="Aptos" w:hAnsi="Times New Roman" w:cs="Times New Roman"/>
          <w:lang w:eastAsia="zh-CN"/>
        </w:rPr>
      </w:pPr>
    </w:p>
    <w:p w14:paraId="0AFC0141" w14:textId="77777777" w:rsidR="008753E1" w:rsidRDefault="008753E1">
      <w:pPr>
        <w:rPr>
          <w:rFonts w:ascii="Times New Roman" w:eastAsia="Aptos" w:hAnsi="Times New Roman" w:cs="Times New Roman"/>
          <w:lang w:eastAsia="zh-CN"/>
        </w:rPr>
      </w:pPr>
    </w:p>
    <w:p w14:paraId="4836FA26" w14:textId="77777777" w:rsidR="00C022EA" w:rsidRPr="0012715B" w:rsidRDefault="00C022EA" w:rsidP="008753E1">
      <w:pPr>
        <w:rPr>
          <w:rFonts w:ascii="Times New Roman" w:hAnsi="Times New Roman" w:cs="Times New Roman"/>
        </w:rPr>
      </w:pPr>
    </w:p>
    <w:sectPr w:rsidR="00C022EA" w:rsidRPr="0012715B">
      <w:headerReference w:type="even" r:id="rId20"/>
      <w:head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06CE9" w14:textId="77777777" w:rsidR="0095049F" w:rsidRDefault="0095049F" w:rsidP="008221E3">
      <w:pPr>
        <w:spacing w:after="0" w:line="240" w:lineRule="auto"/>
      </w:pPr>
      <w:r>
        <w:separator/>
      </w:r>
    </w:p>
  </w:endnote>
  <w:endnote w:type="continuationSeparator" w:id="0">
    <w:p w14:paraId="007D12CF" w14:textId="77777777" w:rsidR="0095049F" w:rsidRDefault="0095049F" w:rsidP="00822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E0EEF" w14:textId="77777777" w:rsidR="0095049F" w:rsidRDefault="0095049F" w:rsidP="008221E3">
      <w:pPr>
        <w:spacing w:after="0" w:line="240" w:lineRule="auto"/>
      </w:pPr>
      <w:r>
        <w:separator/>
      </w:r>
    </w:p>
  </w:footnote>
  <w:footnote w:type="continuationSeparator" w:id="0">
    <w:p w14:paraId="27156282" w14:textId="77777777" w:rsidR="0095049F" w:rsidRDefault="0095049F" w:rsidP="008221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ECF92" w14:textId="1EEA7C61" w:rsidR="008221E3" w:rsidRDefault="008221E3">
    <w:pPr>
      <w:pStyle w:val="Header"/>
    </w:pPr>
    <w:r>
      <w:rPr>
        <w:noProof/>
      </w:rPr>
      <mc:AlternateContent>
        <mc:Choice Requires="wps">
          <w:drawing>
            <wp:anchor distT="0" distB="0" distL="0" distR="0" simplePos="0" relativeHeight="251659264" behindDoc="0" locked="0" layoutInCell="1" allowOverlap="1" wp14:anchorId="24B25647" wp14:editId="59BEC101">
              <wp:simplePos x="635" y="635"/>
              <wp:positionH relativeFrom="page">
                <wp:align>right</wp:align>
              </wp:positionH>
              <wp:positionV relativeFrom="page">
                <wp:align>top</wp:align>
              </wp:positionV>
              <wp:extent cx="1917700" cy="407035"/>
              <wp:effectExtent l="0" t="0" r="0" b="12065"/>
              <wp:wrapNone/>
              <wp:docPr id="1824156015" name="Text Box 2"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407035"/>
                      </a:xfrm>
                      <a:prstGeom prst="rect">
                        <a:avLst/>
                      </a:prstGeom>
                      <a:noFill/>
                      <a:ln>
                        <a:noFill/>
                      </a:ln>
                    </wps:spPr>
                    <wps:txbx>
                      <w:txbxContent>
                        <w:p w14:paraId="2E4153E0" w14:textId="1B3B92E4" w:rsidR="008221E3" w:rsidRPr="008221E3" w:rsidRDefault="008221E3" w:rsidP="008221E3">
                          <w:pPr>
                            <w:spacing w:after="0"/>
                            <w:rPr>
                              <w:rFonts w:ascii="Calibri" w:eastAsia="Calibri" w:hAnsi="Calibri" w:cs="Calibri"/>
                              <w:noProof/>
                              <w:color w:val="000000"/>
                            </w:rPr>
                          </w:pPr>
                          <w:r w:rsidRPr="008221E3">
                            <w:rPr>
                              <w:rFonts w:ascii="Calibri" w:eastAsia="Calibri" w:hAnsi="Calibri" w:cs="Calibri"/>
                              <w:noProof/>
                              <w:color w:val="000000"/>
                            </w:rPr>
                            <w:t>Unclassified - Non-Classifié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4B25647" id="_x0000_t202" coordsize="21600,21600" o:spt="202" path="m,l,21600r21600,l21600,xe">
              <v:stroke joinstyle="miter"/>
              <v:path gradientshapeok="t" o:connecttype="rect"/>
            </v:shapetype>
            <v:shape id="Text Box 2" o:spid="_x0000_s1026" type="#_x0000_t202" alt="Unclassified - Non-Classifié" style="position:absolute;margin-left:99.8pt;margin-top:0;width:151pt;height:32.0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NDgIAABsEAAAOAAAAZHJzL2Uyb0RvYy54bWysU8Fu2zAMvQ/YPwi6L7azZlmNOEXWIsOA&#10;oC2QDj0rshQbkERBUmJnXz9KdpKt22nYRaZI+pF8fFrc9VqRo3C+BVPRYpJTIgyHujX7in5/WX/4&#10;TIkPzNRMgREVPQlP75bv3y06W4opNKBq4QiCGF92tqJNCLbMMs8boZmfgBUGgxKcZgGvbp/VjnWI&#10;rlU2zfNPWQeutg648B69D0OQLhO+lIKHJym9CERVFHsL6XTp3MUzWy5YuXfMNi0f22D/0IVmrcGi&#10;F6gHFhg5uPYPKN1yBx5kmHDQGUjZcpFmwGmK/M0024ZZkWZBcry90OT/Hyx/PG7tsyOh/wI9LjAS&#10;0llfenTGeXrpdPxipwTjSOHpQpvoA+Hxp9tiPs8xxDF2k8/zj7MIk13/ts6HrwI0iUZFHa4lscWO&#10;Gx+G1HNKLGZg3SqVVqPMbw7EjJ7s2mK0Qr/rx753UJ9wHAfDpr3l6xZrbpgPz8zharFNlGt4wkMq&#10;6CoKo0VJA+7H3/wxHxnHKCUdSqWiBrVMifpmcBNRVckobvNZZMGl23R2k8fb7pxkDvoeUIUFPgjL&#10;kxmTgzqb0oF+RTWvYjUMMcOxZkXD2bwPg3DxNXCxWqUkVJFlYWO2lkfoSFZk8qV/Zc6OdAdc1COc&#10;xcTKN6wPufFPb1eHgNynlURiBzZHvlGBaanja4kS//Wesq5vevkTAAD//wMAUEsDBBQABgAIAAAA&#10;IQAoZnhx3QAAAAQBAAAPAAAAZHJzL2Rvd25yZXYueG1sTI9BS8NAEIXvgv9hGcGL2E1bKW2aTRGh&#10;YA8erObgbZOdJsHsbNjdpsm/d/RiLw8eb3jvm2w32k4M6EPrSMF8loBAqpxpqVbw+bF/XIMIUZPR&#10;nSNUMGGAXX57k+nUuAu943CMteASCqlW0MTYp1KGqkGrw8z1SJydnLc6svW1NF5fuNx2cpEkK2l1&#10;S7zQ6B5fGqy+j2eroBj9w9t+c3idyq92mJJDsVyfCqXu78bnLYiIY/w/hl98RoecmUp3JhNEp4Af&#10;iX/K2TJZsC0VrJ7mIPNMXsPnPwAAAP//AwBQSwECLQAUAAYACAAAACEAtoM4kv4AAADhAQAAEwAA&#10;AAAAAAAAAAAAAAAAAAAAW0NvbnRlbnRfVHlwZXNdLnhtbFBLAQItABQABgAIAAAAIQA4/SH/1gAA&#10;AJQBAAALAAAAAAAAAAAAAAAAAC8BAABfcmVscy8ucmVsc1BLAQItABQABgAIAAAAIQCZjb+NDgIA&#10;ABsEAAAOAAAAAAAAAAAAAAAAAC4CAABkcnMvZTJvRG9jLnhtbFBLAQItABQABgAIAAAAIQAoZnhx&#10;3QAAAAQBAAAPAAAAAAAAAAAAAAAAAGgEAABkcnMvZG93bnJldi54bWxQSwUGAAAAAAQABADzAAAA&#10;cgUAAAAA&#10;" filled="f" stroked="f">
              <v:textbox style="mso-fit-shape-to-text:t" inset="0,15pt,20pt,0">
                <w:txbxContent>
                  <w:p w14:paraId="2E4153E0" w14:textId="1B3B92E4" w:rsidR="008221E3" w:rsidRPr="008221E3" w:rsidRDefault="008221E3" w:rsidP="008221E3">
                    <w:pPr>
                      <w:spacing w:after="0"/>
                      <w:rPr>
                        <w:rFonts w:ascii="Calibri" w:eastAsia="Calibri" w:hAnsi="Calibri" w:cs="Calibri"/>
                        <w:noProof/>
                        <w:color w:val="000000"/>
                      </w:rPr>
                    </w:pPr>
                    <w:r w:rsidRPr="008221E3">
                      <w:rPr>
                        <w:rFonts w:ascii="Calibri" w:eastAsia="Calibri" w:hAnsi="Calibri" w:cs="Calibri"/>
                        <w:noProof/>
                        <w:color w:val="000000"/>
                      </w:rPr>
                      <w:t>Unclassified - Non-Classifié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2ABED" w14:textId="16AF7590" w:rsidR="008221E3" w:rsidRDefault="008221E3">
    <w:pPr>
      <w:pStyle w:val="Header"/>
    </w:pPr>
    <w:r>
      <w:rPr>
        <w:noProof/>
      </w:rPr>
      <mc:AlternateContent>
        <mc:Choice Requires="wps">
          <w:drawing>
            <wp:anchor distT="0" distB="0" distL="0" distR="0" simplePos="0" relativeHeight="251658240" behindDoc="0" locked="0" layoutInCell="1" allowOverlap="1" wp14:anchorId="643DD201" wp14:editId="19D1DEB0">
              <wp:simplePos x="635" y="635"/>
              <wp:positionH relativeFrom="page">
                <wp:align>right</wp:align>
              </wp:positionH>
              <wp:positionV relativeFrom="page">
                <wp:align>top</wp:align>
              </wp:positionV>
              <wp:extent cx="1917700" cy="407035"/>
              <wp:effectExtent l="0" t="0" r="0" b="12065"/>
              <wp:wrapNone/>
              <wp:docPr id="224026178" name="Text Box 1"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407035"/>
                      </a:xfrm>
                      <a:prstGeom prst="rect">
                        <a:avLst/>
                      </a:prstGeom>
                      <a:noFill/>
                      <a:ln>
                        <a:noFill/>
                      </a:ln>
                    </wps:spPr>
                    <wps:txbx>
                      <w:txbxContent>
                        <w:p w14:paraId="1C68807D" w14:textId="7015FBFF" w:rsidR="008221E3" w:rsidRPr="008221E3" w:rsidRDefault="008221E3" w:rsidP="008221E3">
                          <w:pPr>
                            <w:spacing w:after="0"/>
                            <w:rPr>
                              <w:rFonts w:ascii="Calibri" w:eastAsia="Calibri" w:hAnsi="Calibri" w:cs="Calibri"/>
                              <w:noProof/>
                              <w:color w:val="000000"/>
                            </w:rPr>
                          </w:pPr>
                          <w:r w:rsidRPr="008221E3">
                            <w:rPr>
                              <w:rFonts w:ascii="Calibri" w:eastAsia="Calibri" w:hAnsi="Calibri" w:cs="Calibri"/>
                              <w:noProof/>
                              <w:color w:val="000000"/>
                            </w:rPr>
                            <w:t>Unclassified - Non-Classifié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43DD201" id="_x0000_t202" coordsize="21600,21600" o:spt="202" path="m,l,21600r21600,l21600,xe">
              <v:stroke joinstyle="miter"/>
              <v:path gradientshapeok="t" o:connecttype="rect"/>
            </v:shapetype>
            <v:shape id="Text Box 1" o:spid="_x0000_s1027" type="#_x0000_t202" alt="Unclassified - Non-Classifié" style="position:absolute;margin-left:99.8pt;margin-top:0;width:151pt;height:32.0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9XEQIAACIEAAAOAAAAZHJzL2Uyb0RvYy54bWysU01v2zAMvQ/YfxB0X+xkzdIacYqsRYYB&#10;RVsgHXpWZDk2IImCpMTOfv1IOR9dt9Owi0yRND/ee5rf9kazvfKhBVvy8SjnTFkJVWu3Jf/xsvp0&#10;zVmIwlZCg1UlP6jAbxcfP8w7V6gJNKAr5RkWsaHoXMmbGF2RZUE2yogwAqcsBmvwRkS8+m1WedFh&#10;daOzSZ5/yTrwlfMgVQjovR+CfJHq17WS8amug4pMlxxni+n06dzQmS3moth64ZpWHscQ/zCFEa3F&#10;pudS9yIKtvPtH6VMKz0EqONIgsmgrlup0g64zTh/t826EU6lXRCc4M4whf9XVj7u1+7Zs9h/hR4J&#10;JEA6F4qATtqnr72hL07KMI4QHs6wqT4yST/djGezHEMSY1f5LP88pTLZ5W/nQ/ymwDAySu6RloSW&#10;2D+EOKSeUqiZhVWrdaJG298cWJM82WVEsmK/6VlbvRl/A9UBt/IwEB6cXLXY+kGE+Cw8MozTomrj&#10;Ex61hq7kcLQ4a8D//Juf8hF4jHLWoWJKblHSnOnvFgkhcSVjfJNPCQyfbpPpVU63zSnJ7swdoBjH&#10;+C6cTCYlR30yaw/mFUW9pG4YElZiz5LHk3kXB/3io5BquUxJKCYn4oNdO0mlCTMC9KV/Fd4dUY/I&#10;1yOcNCWKd+APufRncMtdRAoSM4TvgOYRdhRi4vb4aEjpb+8p6/K0F78AAAD//wMAUEsDBBQABgAI&#10;AAAAIQAoZnhx3QAAAAQBAAAPAAAAZHJzL2Rvd25yZXYueG1sTI9BS8NAEIXvgv9hGcGL2E1bKW2a&#10;TRGhYA8erObgbZOdJsHsbNjdpsm/d/RiLw8eb3jvm2w32k4M6EPrSMF8loBAqpxpqVbw+bF/XIMI&#10;UZPRnSNUMGGAXX57k+nUuAu943CMteASCqlW0MTYp1KGqkGrw8z1SJydnLc6svW1NF5fuNx2cpEk&#10;K2l1S7zQ6B5fGqy+j2eroBj9w9t+c3idyq92mJJDsVyfCqXu78bnLYiIY/w/hl98RoecmUp3JhNE&#10;p4AfiX/K2TJZsC0VrJ7mIPNMXsPnPwAAAP//AwBQSwECLQAUAAYACAAAACEAtoM4kv4AAADhAQAA&#10;EwAAAAAAAAAAAAAAAAAAAAAAW0NvbnRlbnRfVHlwZXNdLnhtbFBLAQItABQABgAIAAAAIQA4/SH/&#10;1gAAAJQBAAALAAAAAAAAAAAAAAAAAC8BAABfcmVscy8ucmVsc1BLAQItABQABgAIAAAAIQCcuW9X&#10;EQIAACIEAAAOAAAAAAAAAAAAAAAAAC4CAABkcnMvZTJvRG9jLnhtbFBLAQItABQABgAIAAAAIQAo&#10;Znhx3QAAAAQBAAAPAAAAAAAAAAAAAAAAAGsEAABkcnMvZG93bnJldi54bWxQSwUGAAAAAAQABADz&#10;AAAAdQUAAAAA&#10;" filled="f" stroked="f">
              <v:textbox style="mso-fit-shape-to-text:t" inset="0,15pt,20pt,0">
                <w:txbxContent>
                  <w:p w14:paraId="1C68807D" w14:textId="7015FBFF" w:rsidR="008221E3" w:rsidRPr="008221E3" w:rsidRDefault="008221E3" w:rsidP="008221E3">
                    <w:pPr>
                      <w:spacing w:after="0"/>
                      <w:rPr>
                        <w:rFonts w:ascii="Calibri" w:eastAsia="Calibri" w:hAnsi="Calibri" w:cs="Calibri"/>
                        <w:noProof/>
                        <w:color w:val="000000"/>
                      </w:rPr>
                    </w:pPr>
                    <w:r w:rsidRPr="008221E3">
                      <w:rPr>
                        <w:rFonts w:ascii="Calibri" w:eastAsia="Calibri" w:hAnsi="Calibri" w:cs="Calibri"/>
                        <w:noProof/>
                        <w:color w:val="000000"/>
                      </w:rPr>
                      <w:t>Unclassified - Non-Classifié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6F62D"/>
    <w:multiLevelType w:val="hybridMultilevel"/>
    <w:tmpl w:val="39B41FC4"/>
    <w:lvl w:ilvl="0" w:tplc="1D0A56E8">
      <w:start w:val="1"/>
      <w:numFmt w:val="bullet"/>
      <w:lvlText w:val=""/>
      <w:lvlJc w:val="left"/>
      <w:pPr>
        <w:ind w:left="720" w:hanging="360"/>
      </w:pPr>
      <w:rPr>
        <w:rFonts w:ascii="Symbol" w:hAnsi="Symbol" w:hint="default"/>
      </w:rPr>
    </w:lvl>
    <w:lvl w:ilvl="1" w:tplc="993648C2">
      <w:start w:val="1"/>
      <w:numFmt w:val="bullet"/>
      <w:lvlText w:val="o"/>
      <w:lvlJc w:val="left"/>
      <w:pPr>
        <w:ind w:left="1440" w:hanging="360"/>
      </w:pPr>
      <w:rPr>
        <w:rFonts w:ascii="Courier New" w:hAnsi="Courier New" w:hint="default"/>
      </w:rPr>
    </w:lvl>
    <w:lvl w:ilvl="2" w:tplc="9D2E8472">
      <w:start w:val="1"/>
      <w:numFmt w:val="bullet"/>
      <w:lvlText w:val=""/>
      <w:lvlJc w:val="left"/>
      <w:pPr>
        <w:ind w:left="2160" w:hanging="360"/>
      </w:pPr>
      <w:rPr>
        <w:rFonts w:ascii="Wingdings" w:hAnsi="Wingdings" w:hint="default"/>
      </w:rPr>
    </w:lvl>
    <w:lvl w:ilvl="3" w:tplc="77A6A8C8">
      <w:start w:val="1"/>
      <w:numFmt w:val="bullet"/>
      <w:lvlText w:val=""/>
      <w:lvlJc w:val="left"/>
      <w:pPr>
        <w:ind w:left="2880" w:hanging="360"/>
      </w:pPr>
      <w:rPr>
        <w:rFonts w:ascii="Symbol" w:hAnsi="Symbol" w:hint="default"/>
      </w:rPr>
    </w:lvl>
    <w:lvl w:ilvl="4" w:tplc="8CBEFFE0">
      <w:start w:val="1"/>
      <w:numFmt w:val="bullet"/>
      <w:lvlText w:val="o"/>
      <w:lvlJc w:val="left"/>
      <w:pPr>
        <w:ind w:left="3600" w:hanging="360"/>
      </w:pPr>
      <w:rPr>
        <w:rFonts w:ascii="Courier New" w:hAnsi="Courier New" w:hint="default"/>
      </w:rPr>
    </w:lvl>
    <w:lvl w:ilvl="5" w:tplc="C526E626">
      <w:start w:val="1"/>
      <w:numFmt w:val="bullet"/>
      <w:lvlText w:val=""/>
      <w:lvlJc w:val="left"/>
      <w:pPr>
        <w:ind w:left="4320" w:hanging="360"/>
      </w:pPr>
      <w:rPr>
        <w:rFonts w:ascii="Wingdings" w:hAnsi="Wingdings" w:hint="default"/>
      </w:rPr>
    </w:lvl>
    <w:lvl w:ilvl="6" w:tplc="E948FF62">
      <w:start w:val="1"/>
      <w:numFmt w:val="bullet"/>
      <w:lvlText w:val=""/>
      <w:lvlJc w:val="left"/>
      <w:pPr>
        <w:ind w:left="5040" w:hanging="360"/>
      </w:pPr>
      <w:rPr>
        <w:rFonts w:ascii="Symbol" w:hAnsi="Symbol" w:hint="default"/>
      </w:rPr>
    </w:lvl>
    <w:lvl w:ilvl="7" w:tplc="F8D23A28">
      <w:start w:val="1"/>
      <w:numFmt w:val="bullet"/>
      <w:lvlText w:val="o"/>
      <w:lvlJc w:val="left"/>
      <w:pPr>
        <w:ind w:left="5760" w:hanging="360"/>
      </w:pPr>
      <w:rPr>
        <w:rFonts w:ascii="Courier New" w:hAnsi="Courier New" w:hint="default"/>
      </w:rPr>
    </w:lvl>
    <w:lvl w:ilvl="8" w:tplc="59D2471E">
      <w:start w:val="1"/>
      <w:numFmt w:val="bullet"/>
      <w:lvlText w:val=""/>
      <w:lvlJc w:val="left"/>
      <w:pPr>
        <w:ind w:left="6480" w:hanging="360"/>
      </w:pPr>
      <w:rPr>
        <w:rFonts w:ascii="Wingdings" w:hAnsi="Wingdings" w:hint="default"/>
      </w:rPr>
    </w:lvl>
  </w:abstractNum>
  <w:abstractNum w:abstractNumId="1" w15:restartNumberingAfterBreak="0">
    <w:nsid w:val="2B466142"/>
    <w:multiLevelType w:val="hybridMultilevel"/>
    <w:tmpl w:val="BDE6AB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8F52094"/>
    <w:multiLevelType w:val="hybridMultilevel"/>
    <w:tmpl w:val="25301ED6"/>
    <w:lvl w:ilvl="0" w:tplc="374489B2">
      <w:start w:val="1"/>
      <w:numFmt w:val="bullet"/>
      <w:lvlText w:val=""/>
      <w:lvlJc w:val="left"/>
      <w:pPr>
        <w:ind w:left="720" w:hanging="360"/>
      </w:pPr>
      <w:rPr>
        <w:rFonts w:ascii="Symbol" w:hAnsi="Symbol" w:hint="default"/>
      </w:rPr>
    </w:lvl>
    <w:lvl w:ilvl="1" w:tplc="EDF69DBE">
      <w:start w:val="1"/>
      <w:numFmt w:val="bullet"/>
      <w:lvlText w:val="o"/>
      <w:lvlJc w:val="left"/>
      <w:pPr>
        <w:ind w:left="1440" w:hanging="360"/>
      </w:pPr>
      <w:rPr>
        <w:rFonts w:ascii="Courier New" w:hAnsi="Courier New" w:hint="default"/>
      </w:rPr>
    </w:lvl>
    <w:lvl w:ilvl="2" w:tplc="2AF204DA">
      <w:start w:val="1"/>
      <w:numFmt w:val="bullet"/>
      <w:lvlText w:val=""/>
      <w:lvlJc w:val="left"/>
      <w:pPr>
        <w:ind w:left="2160" w:hanging="360"/>
      </w:pPr>
      <w:rPr>
        <w:rFonts w:ascii="Wingdings" w:hAnsi="Wingdings" w:hint="default"/>
      </w:rPr>
    </w:lvl>
    <w:lvl w:ilvl="3" w:tplc="56EC0B24">
      <w:start w:val="1"/>
      <w:numFmt w:val="bullet"/>
      <w:lvlText w:val=""/>
      <w:lvlJc w:val="left"/>
      <w:pPr>
        <w:ind w:left="2880" w:hanging="360"/>
      </w:pPr>
      <w:rPr>
        <w:rFonts w:ascii="Symbol" w:hAnsi="Symbol" w:hint="default"/>
      </w:rPr>
    </w:lvl>
    <w:lvl w:ilvl="4" w:tplc="9F4C9914">
      <w:start w:val="1"/>
      <w:numFmt w:val="bullet"/>
      <w:lvlText w:val="o"/>
      <w:lvlJc w:val="left"/>
      <w:pPr>
        <w:ind w:left="3600" w:hanging="360"/>
      </w:pPr>
      <w:rPr>
        <w:rFonts w:ascii="Courier New" w:hAnsi="Courier New" w:hint="default"/>
      </w:rPr>
    </w:lvl>
    <w:lvl w:ilvl="5" w:tplc="0BCCF72A">
      <w:start w:val="1"/>
      <w:numFmt w:val="bullet"/>
      <w:lvlText w:val=""/>
      <w:lvlJc w:val="left"/>
      <w:pPr>
        <w:ind w:left="4320" w:hanging="360"/>
      </w:pPr>
      <w:rPr>
        <w:rFonts w:ascii="Wingdings" w:hAnsi="Wingdings" w:hint="default"/>
      </w:rPr>
    </w:lvl>
    <w:lvl w:ilvl="6" w:tplc="9848A290">
      <w:start w:val="1"/>
      <w:numFmt w:val="bullet"/>
      <w:lvlText w:val=""/>
      <w:lvlJc w:val="left"/>
      <w:pPr>
        <w:ind w:left="5040" w:hanging="360"/>
      </w:pPr>
      <w:rPr>
        <w:rFonts w:ascii="Symbol" w:hAnsi="Symbol" w:hint="default"/>
      </w:rPr>
    </w:lvl>
    <w:lvl w:ilvl="7" w:tplc="E0B8803E">
      <w:start w:val="1"/>
      <w:numFmt w:val="bullet"/>
      <w:lvlText w:val="o"/>
      <w:lvlJc w:val="left"/>
      <w:pPr>
        <w:ind w:left="5760" w:hanging="360"/>
      </w:pPr>
      <w:rPr>
        <w:rFonts w:ascii="Courier New" w:hAnsi="Courier New" w:hint="default"/>
      </w:rPr>
    </w:lvl>
    <w:lvl w:ilvl="8" w:tplc="3F3C71A6">
      <w:start w:val="1"/>
      <w:numFmt w:val="bullet"/>
      <w:lvlText w:val=""/>
      <w:lvlJc w:val="left"/>
      <w:pPr>
        <w:ind w:left="6480" w:hanging="360"/>
      </w:pPr>
      <w:rPr>
        <w:rFonts w:ascii="Wingdings" w:hAnsi="Wingdings" w:hint="default"/>
      </w:rPr>
    </w:lvl>
  </w:abstractNum>
  <w:abstractNum w:abstractNumId="3" w15:restartNumberingAfterBreak="0">
    <w:nsid w:val="7741506F"/>
    <w:multiLevelType w:val="multilevel"/>
    <w:tmpl w:val="E1422A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82BD5D4"/>
    <w:multiLevelType w:val="hybridMultilevel"/>
    <w:tmpl w:val="09D0DA8E"/>
    <w:lvl w:ilvl="0" w:tplc="3B1AA0DA">
      <w:start w:val="1"/>
      <w:numFmt w:val="bullet"/>
      <w:lvlText w:val=""/>
      <w:lvlJc w:val="left"/>
      <w:pPr>
        <w:ind w:left="720" w:hanging="360"/>
      </w:pPr>
      <w:rPr>
        <w:rFonts w:ascii="Symbol" w:hAnsi="Symbol" w:hint="default"/>
      </w:rPr>
    </w:lvl>
    <w:lvl w:ilvl="1" w:tplc="38E8AA3C">
      <w:start w:val="1"/>
      <w:numFmt w:val="bullet"/>
      <w:lvlText w:val="o"/>
      <w:lvlJc w:val="left"/>
      <w:pPr>
        <w:ind w:left="1440" w:hanging="360"/>
      </w:pPr>
      <w:rPr>
        <w:rFonts w:ascii="Courier New" w:hAnsi="Courier New" w:hint="default"/>
      </w:rPr>
    </w:lvl>
    <w:lvl w:ilvl="2" w:tplc="4C585686">
      <w:start w:val="1"/>
      <w:numFmt w:val="bullet"/>
      <w:lvlText w:val=""/>
      <w:lvlJc w:val="left"/>
      <w:pPr>
        <w:ind w:left="2160" w:hanging="360"/>
      </w:pPr>
      <w:rPr>
        <w:rFonts w:ascii="Wingdings" w:hAnsi="Wingdings" w:hint="default"/>
      </w:rPr>
    </w:lvl>
    <w:lvl w:ilvl="3" w:tplc="AB4AAB70">
      <w:start w:val="1"/>
      <w:numFmt w:val="bullet"/>
      <w:lvlText w:val=""/>
      <w:lvlJc w:val="left"/>
      <w:pPr>
        <w:ind w:left="2880" w:hanging="360"/>
      </w:pPr>
      <w:rPr>
        <w:rFonts w:ascii="Symbol" w:hAnsi="Symbol" w:hint="default"/>
      </w:rPr>
    </w:lvl>
    <w:lvl w:ilvl="4" w:tplc="71566F2E">
      <w:start w:val="1"/>
      <w:numFmt w:val="bullet"/>
      <w:lvlText w:val="o"/>
      <w:lvlJc w:val="left"/>
      <w:pPr>
        <w:ind w:left="3600" w:hanging="360"/>
      </w:pPr>
      <w:rPr>
        <w:rFonts w:ascii="Courier New" w:hAnsi="Courier New" w:hint="default"/>
      </w:rPr>
    </w:lvl>
    <w:lvl w:ilvl="5" w:tplc="986CD308">
      <w:start w:val="1"/>
      <w:numFmt w:val="bullet"/>
      <w:lvlText w:val=""/>
      <w:lvlJc w:val="left"/>
      <w:pPr>
        <w:ind w:left="4320" w:hanging="360"/>
      </w:pPr>
      <w:rPr>
        <w:rFonts w:ascii="Wingdings" w:hAnsi="Wingdings" w:hint="default"/>
      </w:rPr>
    </w:lvl>
    <w:lvl w:ilvl="6" w:tplc="5900AE02">
      <w:start w:val="1"/>
      <w:numFmt w:val="bullet"/>
      <w:lvlText w:val=""/>
      <w:lvlJc w:val="left"/>
      <w:pPr>
        <w:ind w:left="5040" w:hanging="360"/>
      </w:pPr>
      <w:rPr>
        <w:rFonts w:ascii="Symbol" w:hAnsi="Symbol" w:hint="default"/>
      </w:rPr>
    </w:lvl>
    <w:lvl w:ilvl="7" w:tplc="F0B28E32">
      <w:start w:val="1"/>
      <w:numFmt w:val="bullet"/>
      <w:lvlText w:val="o"/>
      <w:lvlJc w:val="left"/>
      <w:pPr>
        <w:ind w:left="5760" w:hanging="360"/>
      </w:pPr>
      <w:rPr>
        <w:rFonts w:ascii="Courier New" w:hAnsi="Courier New" w:hint="default"/>
      </w:rPr>
    </w:lvl>
    <w:lvl w:ilvl="8" w:tplc="8CE818AA">
      <w:start w:val="1"/>
      <w:numFmt w:val="bullet"/>
      <w:lvlText w:val=""/>
      <w:lvlJc w:val="left"/>
      <w:pPr>
        <w:ind w:left="6480" w:hanging="360"/>
      </w:pPr>
      <w:rPr>
        <w:rFonts w:ascii="Wingdings" w:hAnsi="Wingdings" w:hint="default"/>
      </w:rPr>
    </w:lvl>
  </w:abstractNum>
  <w:num w:numId="1" w16cid:durableId="462965310">
    <w:abstractNumId w:val="2"/>
  </w:num>
  <w:num w:numId="2" w16cid:durableId="1741097566">
    <w:abstractNumId w:val="4"/>
  </w:num>
  <w:num w:numId="3" w16cid:durableId="1296258032">
    <w:abstractNumId w:val="0"/>
  </w:num>
  <w:num w:numId="4" w16cid:durableId="1609510369">
    <w:abstractNumId w:val="1"/>
  </w:num>
  <w:num w:numId="5" w16cid:durableId="20872617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0DE439"/>
    <w:rsid w:val="000004AA"/>
    <w:rsid w:val="00005D2F"/>
    <w:rsid w:val="000636DE"/>
    <w:rsid w:val="000A303E"/>
    <w:rsid w:val="000A337D"/>
    <w:rsid w:val="000A4E63"/>
    <w:rsid w:val="000D50E8"/>
    <w:rsid w:val="000D6F2E"/>
    <w:rsid w:val="000E6BE4"/>
    <w:rsid w:val="000F7729"/>
    <w:rsid w:val="00100B14"/>
    <w:rsid w:val="001044A4"/>
    <w:rsid w:val="00105F07"/>
    <w:rsid w:val="0011328B"/>
    <w:rsid w:val="001268CA"/>
    <w:rsid w:val="0012715B"/>
    <w:rsid w:val="0013406F"/>
    <w:rsid w:val="001724DB"/>
    <w:rsid w:val="00173F04"/>
    <w:rsid w:val="00186F25"/>
    <w:rsid w:val="001936AE"/>
    <w:rsid w:val="001B2FFF"/>
    <w:rsid w:val="001C6CC3"/>
    <w:rsid w:val="001D1FA7"/>
    <w:rsid w:val="001D3CC4"/>
    <w:rsid w:val="001F4291"/>
    <w:rsid w:val="00203838"/>
    <w:rsid w:val="00234B7B"/>
    <w:rsid w:val="002528F0"/>
    <w:rsid w:val="002616F1"/>
    <w:rsid w:val="002673AD"/>
    <w:rsid w:val="002860CE"/>
    <w:rsid w:val="0028636F"/>
    <w:rsid w:val="002D0188"/>
    <w:rsid w:val="002F6FF1"/>
    <w:rsid w:val="00351990"/>
    <w:rsid w:val="00357816"/>
    <w:rsid w:val="00376B9F"/>
    <w:rsid w:val="00390CFD"/>
    <w:rsid w:val="003B1ECE"/>
    <w:rsid w:val="003B745B"/>
    <w:rsid w:val="003C5631"/>
    <w:rsid w:val="004036EF"/>
    <w:rsid w:val="00406232"/>
    <w:rsid w:val="004311DA"/>
    <w:rsid w:val="00437504"/>
    <w:rsid w:val="004465A7"/>
    <w:rsid w:val="004806FC"/>
    <w:rsid w:val="004864F7"/>
    <w:rsid w:val="004A3FA9"/>
    <w:rsid w:val="004C0288"/>
    <w:rsid w:val="004C2923"/>
    <w:rsid w:val="004E48C1"/>
    <w:rsid w:val="004E5C06"/>
    <w:rsid w:val="004F23D8"/>
    <w:rsid w:val="004F282A"/>
    <w:rsid w:val="00501175"/>
    <w:rsid w:val="00510B7A"/>
    <w:rsid w:val="00525E4C"/>
    <w:rsid w:val="00526BDC"/>
    <w:rsid w:val="00527FE4"/>
    <w:rsid w:val="00570FF8"/>
    <w:rsid w:val="005E01E1"/>
    <w:rsid w:val="006257C6"/>
    <w:rsid w:val="00643A50"/>
    <w:rsid w:val="00653A4B"/>
    <w:rsid w:val="006653AF"/>
    <w:rsid w:val="006765EB"/>
    <w:rsid w:val="00682772"/>
    <w:rsid w:val="006C75DA"/>
    <w:rsid w:val="00707DCB"/>
    <w:rsid w:val="00727FA5"/>
    <w:rsid w:val="007744E1"/>
    <w:rsid w:val="007B2402"/>
    <w:rsid w:val="007B3C87"/>
    <w:rsid w:val="007D6620"/>
    <w:rsid w:val="007D79E6"/>
    <w:rsid w:val="00801027"/>
    <w:rsid w:val="008221E3"/>
    <w:rsid w:val="00851042"/>
    <w:rsid w:val="00861745"/>
    <w:rsid w:val="008753E1"/>
    <w:rsid w:val="00875B2B"/>
    <w:rsid w:val="008801F0"/>
    <w:rsid w:val="008879B8"/>
    <w:rsid w:val="00887AAF"/>
    <w:rsid w:val="00892242"/>
    <w:rsid w:val="008B6C2C"/>
    <w:rsid w:val="008D789E"/>
    <w:rsid w:val="00906335"/>
    <w:rsid w:val="0095049F"/>
    <w:rsid w:val="009517C7"/>
    <w:rsid w:val="00961659"/>
    <w:rsid w:val="00970874"/>
    <w:rsid w:val="009819DC"/>
    <w:rsid w:val="009D20C7"/>
    <w:rsid w:val="00A04453"/>
    <w:rsid w:val="00A06615"/>
    <w:rsid w:val="00A315BA"/>
    <w:rsid w:val="00A40274"/>
    <w:rsid w:val="00A41962"/>
    <w:rsid w:val="00A61246"/>
    <w:rsid w:val="00A70E4D"/>
    <w:rsid w:val="00A9008F"/>
    <w:rsid w:val="00AC2136"/>
    <w:rsid w:val="00AC6A83"/>
    <w:rsid w:val="00AD1FEF"/>
    <w:rsid w:val="00AE684D"/>
    <w:rsid w:val="00AF5FB1"/>
    <w:rsid w:val="00AF682B"/>
    <w:rsid w:val="00B0783F"/>
    <w:rsid w:val="00B14328"/>
    <w:rsid w:val="00B30197"/>
    <w:rsid w:val="00B71F28"/>
    <w:rsid w:val="00B76B44"/>
    <w:rsid w:val="00B872AC"/>
    <w:rsid w:val="00BA0B22"/>
    <w:rsid w:val="00BB1368"/>
    <w:rsid w:val="00BE021D"/>
    <w:rsid w:val="00BE0452"/>
    <w:rsid w:val="00BF4E9E"/>
    <w:rsid w:val="00C022EA"/>
    <w:rsid w:val="00C126C2"/>
    <w:rsid w:val="00C16E92"/>
    <w:rsid w:val="00C2096E"/>
    <w:rsid w:val="00C23A8E"/>
    <w:rsid w:val="00C31829"/>
    <w:rsid w:val="00C72D8F"/>
    <w:rsid w:val="00C92968"/>
    <w:rsid w:val="00C929FF"/>
    <w:rsid w:val="00CE46E8"/>
    <w:rsid w:val="00CE619D"/>
    <w:rsid w:val="00CF47D0"/>
    <w:rsid w:val="00CF5415"/>
    <w:rsid w:val="00CF599D"/>
    <w:rsid w:val="00CF7274"/>
    <w:rsid w:val="00D20C9F"/>
    <w:rsid w:val="00D5121E"/>
    <w:rsid w:val="00D86B30"/>
    <w:rsid w:val="00D91F25"/>
    <w:rsid w:val="00DC4381"/>
    <w:rsid w:val="00E00185"/>
    <w:rsid w:val="00E03945"/>
    <w:rsid w:val="00E06E80"/>
    <w:rsid w:val="00E3262B"/>
    <w:rsid w:val="00E3262D"/>
    <w:rsid w:val="00E8799B"/>
    <w:rsid w:val="00E9425F"/>
    <w:rsid w:val="00E95D97"/>
    <w:rsid w:val="00EA0589"/>
    <w:rsid w:val="00EC61D9"/>
    <w:rsid w:val="00EE4E93"/>
    <w:rsid w:val="00F030BB"/>
    <w:rsid w:val="00F23BCB"/>
    <w:rsid w:val="00F3668D"/>
    <w:rsid w:val="00F53883"/>
    <w:rsid w:val="00F648C1"/>
    <w:rsid w:val="00F65381"/>
    <w:rsid w:val="00F7512E"/>
    <w:rsid w:val="00F75486"/>
    <w:rsid w:val="00FB0978"/>
    <w:rsid w:val="00FB5BA2"/>
    <w:rsid w:val="00FC1852"/>
    <w:rsid w:val="00FD3020"/>
    <w:rsid w:val="010B8A41"/>
    <w:rsid w:val="01596B91"/>
    <w:rsid w:val="01C3A9FB"/>
    <w:rsid w:val="031D4673"/>
    <w:rsid w:val="045F2084"/>
    <w:rsid w:val="04FE14FF"/>
    <w:rsid w:val="05643517"/>
    <w:rsid w:val="05A04170"/>
    <w:rsid w:val="08658402"/>
    <w:rsid w:val="08DACC32"/>
    <w:rsid w:val="092E5855"/>
    <w:rsid w:val="09E112BE"/>
    <w:rsid w:val="09FFD496"/>
    <w:rsid w:val="0A4203B9"/>
    <w:rsid w:val="0A66430C"/>
    <w:rsid w:val="0ABB0FF3"/>
    <w:rsid w:val="0B326EF9"/>
    <w:rsid w:val="0C596E97"/>
    <w:rsid w:val="0C6E6034"/>
    <w:rsid w:val="0D761CCC"/>
    <w:rsid w:val="0DF10950"/>
    <w:rsid w:val="0E4ADC6E"/>
    <w:rsid w:val="0EAD1523"/>
    <w:rsid w:val="0EFCA35D"/>
    <w:rsid w:val="0F3A5CA4"/>
    <w:rsid w:val="0FD9AFB2"/>
    <w:rsid w:val="1032DD33"/>
    <w:rsid w:val="112F098E"/>
    <w:rsid w:val="1276CAC5"/>
    <w:rsid w:val="1294D57E"/>
    <w:rsid w:val="12B5C049"/>
    <w:rsid w:val="12D78E2D"/>
    <w:rsid w:val="14B6338A"/>
    <w:rsid w:val="14B78EE5"/>
    <w:rsid w:val="15186230"/>
    <w:rsid w:val="153F7912"/>
    <w:rsid w:val="156B13A3"/>
    <w:rsid w:val="157BCA97"/>
    <w:rsid w:val="159DDFB2"/>
    <w:rsid w:val="16120E71"/>
    <w:rsid w:val="16262850"/>
    <w:rsid w:val="1680868D"/>
    <w:rsid w:val="16B179EF"/>
    <w:rsid w:val="16D31186"/>
    <w:rsid w:val="16F8BE6B"/>
    <w:rsid w:val="17A7C455"/>
    <w:rsid w:val="1844F074"/>
    <w:rsid w:val="18513EF2"/>
    <w:rsid w:val="19303450"/>
    <w:rsid w:val="1ACCC2AE"/>
    <w:rsid w:val="1BAB1C13"/>
    <w:rsid w:val="1CDC0BC7"/>
    <w:rsid w:val="1E20183C"/>
    <w:rsid w:val="216C1FAC"/>
    <w:rsid w:val="22BC6775"/>
    <w:rsid w:val="235AFDBF"/>
    <w:rsid w:val="23893318"/>
    <w:rsid w:val="23B0E521"/>
    <w:rsid w:val="24C915C2"/>
    <w:rsid w:val="2617314F"/>
    <w:rsid w:val="263CD93C"/>
    <w:rsid w:val="2693B607"/>
    <w:rsid w:val="27D7AF36"/>
    <w:rsid w:val="280B0DCE"/>
    <w:rsid w:val="28380E5D"/>
    <w:rsid w:val="2869CAA6"/>
    <w:rsid w:val="2879F601"/>
    <w:rsid w:val="28A753F3"/>
    <w:rsid w:val="2B69C659"/>
    <w:rsid w:val="2B8B8AB9"/>
    <w:rsid w:val="2BB1D0E9"/>
    <w:rsid w:val="2BBF8F76"/>
    <w:rsid w:val="2BFF8554"/>
    <w:rsid w:val="2C1E32A0"/>
    <w:rsid w:val="2CBABB28"/>
    <w:rsid w:val="2D7BBB2A"/>
    <w:rsid w:val="2E4B1499"/>
    <w:rsid w:val="2EBFB2AF"/>
    <w:rsid w:val="2EF5EAD6"/>
    <w:rsid w:val="2F2F7E44"/>
    <w:rsid w:val="32555A2B"/>
    <w:rsid w:val="33040C2E"/>
    <w:rsid w:val="332AC36E"/>
    <w:rsid w:val="34E312B3"/>
    <w:rsid w:val="355C18AF"/>
    <w:rsid w:val="357792B1"/>
    <w:rsid w:val="35835974"/>
    <w:rsid w:val="360F6055"/>
    <w:rsid w:val="36A5E48E"/>
    <w:rsid w:val="3709AA4E"/>
    <w:rsid w:val="3787EDEE"/>
    <w:rsid w:val="37AB6FCB"/>
    <w:rsid w:val="37F3EC35"/>
    <w:rsid w:val="38B96F85"/>
    <w:rsid w:val="38F798EA"/>
    <w:rsid w:val="3AB1885A"/>
    <w:rsid w:val="3B80440D"/>
    <w:rsid w:val="3BE8C362"/>
    <w:rsid w:val="3CA3CD0B"/>
    <w:rsid w:val="3D0D9C83"/>
    <w:rsid w:val="3D2C4874"/>
    <w:rsid w:val="3E5A03D6"/>
    <w:rsid w:val="3E6FCC72"/>
    <w:rsid w:val="3F701B38"/>
    <w:rsid w:val="400B88A8"/>
    <w:rsid w:val="402F5A70"/>
    <w:rsid w:val="41A374BE"/>
    <w:rsid w:val="42B93F2D"/>
    <w:rsid w:val="43176A7E"/>
    <w:rsid w:val="4321402B"/>
    <w:rsid w:val="4343B653"/>
    <w:rsid w:val="43AD70A3"/>
    <w:rsid w:val="442276DB"/>
    <w:rsid w:val="4451B1EF"/>
    <w:rsid w:val="45293777"/>
    <w:rsid w:val="455440B8"/>
    <w:rsid w:val="4561869A"/>
    <w:rsid w:val="45FE1580"/>
    <w:rsid w:val="472E73AE"/>
    <w:rsid w:val="48D2BD14"/>
    <w:rsid w:val="49699C6B"/>
    <w:rsid w:val="4981FFA2"/>
    <w:rsid w:val="49E56094"/>
    <w:rsid w:val="49FB7303"/>
    <w:rsid w:val="4AEE0872"/>
    <w:rsid w:val="4B6F3BB4"/>
    <w:rsid w:val="4C9AAA9F"/>
    <w:rsid w:val="4D6F7B7C"/>
    <w:rsid w:val="4F989B49"/>
    <w:rsid w:val="5039BA65"/>
    <w:rsid w:val="50A160BB"/>
    <w:rsid w:val="50E4C051"/>
    <w:rsid w:val="5174E20A"/>
    <w:rsid w:val="5247E85F"/>
    <w:rsid w:val="52DB5F88"/>
    <w:rsid w:val="540DE439"/>
    <w:rsid w:val="54A581F8"/>
    <w:rsid w:val="54BE796D"/>
    <w:rsid w:val="54D09746"/>
    <w:rsid w:val="552FC431"/>
    <w:rsid w:val="553E09DD"/>
    <w:rsid w:val="5590D848"/>
    <w:rsid w:val="55E98061"/>
    <w:rsid w:val="57EB996F"/>
    <w:rsid w:val="58BB7501"/>
    <w:rsid w:val="5A673DB1"/>
    <w:rsid w:val="5AD1C20C"/>
    <w:rsid w:val="5AEE582F"/>
    <w:rsid w:val="5B862B6B"/>
    <w:rsid w:val="5C1A6A37"/>
    <w:rsid w:val="5C901171"/>
    <w:rsid w:val="5CDA7DFF"/>
    <w:rsid w:val="5E5DBF90"/>
    <w:rsid w:val="5E7FA596"/>
    <w:rsid w:val="5F2DC97A"/>
    <w:rsid w:val="60FB6A02"/>
    <w:rsid w:val="611814D3"/>
    <w:rsid w:val="623829F5"/>
    <w:rsid w:val="625BCF35"/>
    <w:rsid w:val="62C78D34"/>
    <w:rsid w:val="6365FBCD"/>
    <w:rsid w:val="6371F598"/>
    <w:rsid w:val="63A147D5"/>
    <w:rsid w:val="65157239"/>
    <w:rsid w:val="6540A433"/>
    <w:rsid w:val="6640CEA9"/>
    <w:rsid w:val="673A74CF"/>
    <w:rsid w:val="6857C0A9"/>
    <w:rsid w:val="68CA2B37"/>
    <w:rsid w:val="69AC95D7"/>
    <w:rsid w:val="69DE5332"/>
    <w:rsid w:val="69ED7564"/>
    <w:rsid w:val="6A38FCD9"/>
    <w:rsid w:val="6A66C3A9"/>
    <w:rsid w:val="6A6CD10B"/>
    <w:rsid w:val="6B181CBB"/>
    <w:rsid w:val="6B533934"/>
    <w:rsid w:val="6B805110"/>
    <w:rsid w:val="6B823353"/>
    <w:rsid w:val="6C44163A"/>
    <w:rsid w:val="6F5311E7"/>
    <w:rsid w:val="708D32B7"/>
    <w:rsid w:val="71700B6C"/>
    <w:rsid w:val="71B07FAA"/>
    <w:rsid w:val="71B19389"/>
    <w:rsid w:val="7200A66D"/>
    <w:rsid w:val="72882590"/>
    <w:rsid w:val="72A354AA"/>
    <w:rsid w:val="7358AD8E"/>
    <w:rsid w:val="737B6648"/>
    <w:rsid w:val="73D01A27"/>
    <w:rsid w:val="73FEF35D"/>
    <w:rsid w:val="74D777A1"/>
    <w:rsid w:val="7511DAAC"/>
    <w:rsid w:val="77475453"/>
    <w:rsid w:val="77512604"/>
    <w:rsid w:val="7767E126"/>
    <w:rsid w:val="797433AD"/>
    <w:rsid w:val="7A467620"/>
    <w:rsid w:val="7A5369AB"/>
    <w:rsid w:val="7B6AE7B6"/>
    <w:rsid w:val="7B962031"/>
    <w:rsid w:val="7B9B9CE6"/>
    <w:rsid w:val="7BB0D971"/>
    <w:rsid w:val="7C0BCFB2"/>
    <w:rsid w:val="7C80D299"/>
    <w:rsid w:val="7D7DCB0C"/>
    <w:rsid w:val="7E584FAC"/>
    <w:rsid w:val="7EAE70C2"/>
    <w:rsid w:val="7F6A06C8"/>
    <w:rsid w:val="7FED6B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DE439"/>
  <w15:chartTrackingRefBased/>
  <w15:docId w15:val="{86B303FD-C77E-411B-9C56-554DBD565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5A673DB1"/>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CommentReference">
    <w:name w:val="annotation reference"/>
    <w:basedOn w:val="DefaultParagraphFont"/>
    <w:uiPriority w:val="99"/>
    <w:semiHidden/>
    <w:unhideWhenUsed/>
    <w:rsid w:val="00892242"/>
    <w:rPr>
      <w:sz w:val="16"/>
      <w:szCs w:val="16"/>
    </w:rPr>
  </w:style>
  <w:style w:type="paragraph" w:styleId="CommentText">
    <w:name w:val="annotation text"/>
    <w:basedOn w:val="Normal"/>
    <w:link w:val="CommentTextChar"/>
    <w:uiPriority w:val="99"/>
    <w:unhideWhenUsed/>
    <w:rsid w:val="00892242"/>
    <w:pPr>
      <w:spacing w:line="240" w:lineRule="auto"/>
    </w:pPr>
    <w:rPr>
      <w:sz w:val="20"/>
      <w:szCs w:val="20"/>
    </w:rPr>
  </w:style>
  <w:style w:type="character" w:customStyle="1" w:styleId="CommentTextChar">
    <w:name w:val="Comment Text Char"/>
    <w:basedOn w:val="DefaultParagraphFont"/>
    <w:link w:val="CommentText"/>
    <w:uiPriority w:val="99"/>
    <w:rsid w:val="00892242"/>
    <w:rPr>
      <w:sz w:val="20"/>
      <w:szCs w:val="20"/>
    </w:rPr>
  </w:style>
  <w:style w:type="paragraph" w:styleId="CommentSubject">
    <w:name w:val="annotation subject"/>
    <w:basedOn w:val="CommentText"/>
    <w:next w:val="CommentText"/>
    <w:link w:val="CommentSubjectChar"/>
    <w:uiPriority w:val="99"/>
    <w:semiHidden/>
    <w:unhideWhenUsed/>
    <w:rsid w:val="00892242"/>
    <w:rPr>
      <w:b/>
      <w:bCs/>
    </w:rPr>
  </w:style>
  <w:style w:type="character" w:customStyle="1" w:styleId="CommentSubjectChar">
    <w:name w:val="Comment Subject Char"/>
    <w:basedOn w:val="CommentTextChar"/>
    <w:link w:val="CommentSubject"/>
    <w:uiPriority w:val="99"/>
    <w:semiHidden/>
    <w:rsid w:val="00892242"/>
    <w:rPr>
      <w:b/>
      <w:bCs/>
      <w:sz w:val="20"/>
      <w:szCs w:val="20"/>
    </w:rPr>
  </w:style>
  <w:style w:type="paragraph" w:styleId="Revision">
    <w:name w:val="Revision"/>
    <w:hidden/>
    <w:uiPriority w:val="99"/>
    <w:semiHidden/>
    <w:rsid w:val="00E8799B"/>
    <w:pPr>
      <w:spacing w:after="0" w:line="240" w:lineRule="auto"/>
    </w:pPr>
  </w:style>
  <w:style w:type="table" w:styleId="PlainTable1">
    <w:name w:val="Plain Table 1"/>
    <w:basedOn w:val="TableNormal"/>
    <w:uiPriority w:val="41"/>
    <w:rsid w:val="000636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636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022EA"/>
    <w:rPr>
      <w:color w:val="467886" w:themeColor="hyperlink"/>
      <w:u w:val="single"/>
    </w:rPr>
  </w:style>
  <w:style w:type="character" w:styleId="UnresolvedMention">
    <w:name w:val="Unresolved Mention"/>
    <w:basedOn w:val="DefaultParagraphFont"/>
    <w:uiPriority w:val="99"/>
    <w:semiHidden/>
    <w:unhideWhenUsed/>
    <w:rsid w:val="00C022EA"/>
    <w:rPr>
      <w:color w:val="605E5C"/>
      <w:shd w:val="clear" w:color="auto" w:fill="E1DFDD"/>
    </w:rPr>
  </w:style>
  <w:style w:type="paragraph" w:styleId="Header">
    <w:name w:val="header"/>
    <w:basedOn w:val="Normal"/>
    <w:link w:val="HeaderChar"/>
    <w:uiPriority w:val="99"/>
    <w:unhideWhenUsed/>
    <w:rsid w:val="008221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1E3"/>
  </w:style>
  <w:style w:type="paragraph" w:styleId="Footer">
    <w:name w:val="footer"/>
    <w:basedOn w:val="Normal"/>
    <w:link w:val="FooterChar"/>
    <w:uiPriority w:val="99"/>
    <w:unhideWhenUsed/>
    <w:rsid w:val="00E32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62B"/>
  </w:style>
  <w:style w:type="paragraph" w:styleId="Bibliography">
    <w:name w:val="Bibliography"/>
    <w:basedOn w:val="Normal"/>
    <w:next w:val="Normal"/>
    <w:uiPriority w:val="37"/>
    <w:unhideWhenUsed/>
    <w:rsid w:val="00105F07"/>
    <w:pPr>
      <w:spacing w:line="278" w:lineRule="auto"/>
    </w:pPr>
    <w:rPr>
      <w:kern w:val="2"/>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j.gloenvcha.2015.02.005"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epii.fr/CEPII/en/bdd_modele/bdd_modele.asp"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21/acs.est.1c0400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ithub.com/msaebi1993/Scenario_SF_HON/tree/v.0.0/Dat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15</Pages>
  <Words>2722</Words>
  <Characters>24879</Characters>
  <Application>Microsoft Office Word</Application>
  <DocSecurity>0</DocSecurity>
  <Lines>388</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 Dong</dc:creator>
  <cp:keywords/>
  <dc:description/>
  <cp:lastModifiedBy>Wang, Zhaojun</cp:lastModifiedBy>
  <cp:revision>37</cp:revision>
  <dcterms:created xsi:type="dcterms:W3CDTF">2026-01-19T16:58:00Z</dcterms:created>
  <dcterms:modified xsi:type="dcterms:W3CDTF">2026-01-26T02:15:00Z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bd975819-3dad-4f44-ad53-33e01faa4259</vt:lpwstr>
  </property>
  <property fmtid="{D5CDD505-2E9C-101B-9397-08002B2CF9AE}" pid="3" name="ZOTERO_PREF_1">
    <vt:lpwstr>&lt;data data-version="3" zotero-version="7.0.32"&gt;&lt;session id="RzPjKebP"/&gt;&lt;style id="http://www.zotero.org/styles/apa" locale="en-US" hasBibliography="1" bibliographyStyleHasBeenSet="0"/&gt;&lt;prefs&gt;&lt;pref name="fieldType" value="Field"/&gt;&lt;pref name="automaticJourn</vt:lpwstr>
  </property>
  <property fmtid="{D5CDD505-2E9C-101B-9397-08002B2CF9AE}" pid="4" name="ZOTERO_PREF_2">
    <vt:lpwstr>alAbbreviations" value="true"/&gt;&lt;/prefs&gt;&lt;/data&gt;</vt:lpwstr>
  </property>
  <property fmtid="{D5CDD505-2E9C-101B-9397-08002B2CF9AE}" pid="5" name="ClassificationContentMarkingHeaderShapeIds">
    <vt:lpwstr>d5a5e42,6cba696f,2314076b</vt:lpwstr>
  </property>
  <property fmtid="{D5CDD505-2E9C-101B-9397-08002B2CF9AE}" pid="6" name="ClassificationContentMarkingHeaderFontProps">
    <vt:lpwstr>#000000,12,Calibri</vt:lpwstr>
  </property>
  <property fmtid="{D5CDD505-2E9C-101B-9397-08002B2CF9AE}" pid="7" name="ClassificationContentMarkingHeaderText">
    <vt:lpwstr>Unclassified - Non-Classifié</vt:lpwstr>
  </property>
  <property fmtid="{D5CDD505-2E9C-101B-9397-08002B2CF9AE}" pid="8" name="MSIP_Label_4e6cdb53-fd15-486d-84de-c510e3a62203_Enabled">
    <vt:lpwstr>true</vt:lpwstr>
  </property>
  <property fmtid="{D5CDD505-2E9C-101B-9397-08002B2CF9AE}" pid="9" name="MSIP_Label_4e6cdb53-fd15-486d-84de-c510e3a62203_SetDate">
    <vt:lpwstr>2026-01-19T16:58:08Z</vt:lpwstr>
  </property>
  <property fmtid="{D5CDD505-2E9C-101B-9397-08002B2CF9AE}" pid="10" name="MSIP_Label_4e6cdb53-fd15-486d-84de-c510e3a62203_Method">
    <vt:lpwstr>Standard</vt:lpwstr>
  </property>
  <property fmtid="{D5CDD505-2E9C-101B-9397-08002B2CF9AE}" pid="11" name="MSIP_Label_4e6cdb53-fd15-486d-84de-c510e3a62203_Name">
    <vt:lpwstr>UNCLASSIFIED - NON-CLASSIFIÉ</vt:lpwstr>
  </property>
  <property fmtid="{D5CDD505-2E9C-101B-9397-08002B2CF9AE}" pid="12" name="MSIP_Label_4e6cdb53-fd15-486d-84de-c510e3a62203_SiteId">
    <vt:lpwstr>1594fdae-a1d9-4405-915d-011467234338</vt:lpwstr>
  </property>
  <property fmtid="{D5CDD505-2E9C-101B-9397-08002B2CF9AE}" pid="13" name="MSIP_Label_4e6cdb53-fd15-486d-84de-c510e3a62203_ActionId">
    <vt:lpwstr>0b498b2c-225f-4a78-8321-f0494113c60e</vt:lpwstr>
  </property>
  <property fmtid="{D5CDD505-2E9C-101B-9397-08002B2CF9AE}" pid="14" name="MSIP_Label_4e6cdb53-fd15-486d-84de-c510e3a62203_ContentBits">
    <vt:lpwstr>1</vt:lpwstr>
  </property>
  <property fmtid="{D5CDD505-2E9C-101B-9397-08002B2CF9AE}" pid="15" name="MSIP_Label_4e6cdb53-fd15-486d-84de-c510e3a62203_Tag">
    <vt:lpwstr>10, 3, 0, 1</vt:lpwstr>
  </property>
</Properties>
</file>