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D4B7" w14:textId="77777777" w:rsidR="002B1F23" w:rsidRDefault="002B1F23" w:rsidP="002B1F23">
      <w:r>
        <w:t xml:space="preserve">SM4: Supplementary Principal Component Analyses </w:t>
      </w:r>
    </w:p>
    <w:p w14:paraId="18BF11CA" w14:textId="77777777" w:rsidR="002B1F23" w:rsidRDefault="002B1F23" w:rsidP="002B1F23"/>
    <w:tbl>
      <w:tblPr>
        <w:tblStyle w:val="TableGrid"/>
        <w:tblW w:w="0" w:type="auto"/>
        <w:tblLook w:val="04A0" w:firstRow="1" w:lastRow="0" w:firstColumn="1" w:lastColumn="0" w:noHBand="0" w:noVBand="1"/>
      </w:tblPr>
      <w:tblGrid>
        <w:gridCol w:w="3116"/>
        <w:gridCol w:w="3117"/>
        <w:gridCol w:w="3117"/>
      </w:tblGrid>
      <w:tr w:rsidR="002B1F23" w:rsidRPr="002B1F23" w14:paraId="049C36B8" w14:textId="77777777" w:rsidTr="002B1F23">
        <w:tc>
          <w:tcPr>
            <w:tcW w:w="3116" w:type="dxa"/>
          </w:tcPr>
          <w:p w14:paraId="30F9BFAA" w14:textId="77777777" w:rsidR="002B1F23" w:rsidRPr="002B1F23" w:rsidRDefault="002B1F23" w:rsidP="00975E8A">
            <w:r w:rsidRPr="002B1F23">
              <w:t>Variable</w:t>
            </w:r>
          </w:p>
        </w:tc>
        <w:tc>
          <w:tcPr>
            <w:tcW w:w="3117" w:type="dxa"/>
          </w:tcPr>
          <w:p w14:paraId="783AB3AD" w14:textId="77777777" w:rsidR="002B1F23" w:rsidRPr="002B1F23" w:rsidRDefault="002B1F23" w:rsidP="00975E8A">
            <w:r w:rsidRPr="002B1F23">
              <w:t>PC1_loading</w:t>
            </w:r>
          </w:p>
        </w:tc>
        <w:tc>
          <w:tcPr>
            <w:tcW w:w="3117" w:type="dxa"/>
          </w:tcPr>
          <w:p w14:paraId="7F0BD94C" w14:textId="77777777" w:rsidR="002B1F23" w:rsidRPr="002B1F23" w:rsidRDefault="002B1F23" w:rsidP="00975E8A">
            <w:r w:rsidRPr="002B1F23">
              <w:t>PC2_loading</w:t>
            </w:r>
          </w:p>
        </w:tc>
      </w:tr>
      <w:tr w:rsidR="002B1F23" w:rsidRPr="002B1F23" w14:paraId="0A74E220" w14:textId="77777777" w:rsidTr="002B1F23">
        <w:tc>
          <w:tcPr>
            <w:tcW w:w="3116" w:type="dxa"/>
          </w:tcPr>
          <w:p w14:paraId="77EBD8ED" w14:textId="77777777" w:rsidR="002B1F23" w:rsidRPr="002B1F23" w:rsidRDefault="002B1F23" w:rsidP="00975E8A">
            <w:r w:rsidRPr="002B1F23">
              <w:t>Calling effort (pulses/min)</w:t>
            </w:r>
          </w:p>
        </w:tc>
        <w:tc>
          <w:tcPr>
            <w:tcW w:w="3117" w:type="dxa"/>
          </w:tcPr>
          <w:p w14:paraId="2DEE031F" w14:textId="77777777" w:rsidR="002B1F23" w:rsidRPr="002B1F23" w:rsidRDefault="002B1F23" w:rsidP="00975E8A">
            <w:r w:rsidRPr="002B1F23">
              <w:t>0.980</w:t>
            </w:r>
          </w:p>
        </w:tc>
        <w:tc>
          <w:tcPr>
            <w:tcW w:w="3117" w:type="dxa"/>
          </w:tcPr>
          <w:p w14:paraId="1EFA7C07" w14:textId="77777777" w:rsidR="002B1F23" w:rsidRPr="002B1F23" w:rsidRDefault="002B1F23" w:rsidP="00975E8A">
            <w:r w:rsidRPr="002B1F23">
              <w:t>-0.188</w:t>
            </w:r>
          </w:p>
        </w:tc>
      </w:tr>
      <w:tr w:rsidR="002B1F23" w:rsidRPr="002B1F23" w14:paraId="463D0FA2" w14:textId="77777777" w:rsidTr="002B1F23">
        <w:tc>
          <w:tcPr>
            <w:tcW w:w="3116" w:type="dxa"/>
          </w:tcPr>
          <w:p w14:paraId="4113A756" w14:textId="77777777" w:rsidR="002B1F23" w:rsidRPr="002B1F23" w:rsidRDefault="002B1F23" w:rsidP="00975E8A">
            <w:r w:rsidRPr="002B1F23">
              <w:t>Call duration (pulses/call)</w:t>
            </w:r>
          </w:p>
        </w:tc>
        <w:tc>
          <w:tcPr>
            <w:tcW w:w="3117" w:type="dxa"/>
          </w:tcPr>
          <w:p w14:paraId="2A07738C" w14:textId="77777777" w:rsidR="002B1F23" w:rsidRPr="002B1F23" w:rsidRDefault="002B1F23" w:rsidP="00975E8A">
            <w:r w:rsidRPr="002B1F23">
              <w:t>0.692</w:t>
            </w:r>
          </w:p>
        </w:tc>
        <w:tc>
          <w:tcPr>
            <w:tcW w:w="3117" w:type="dxa"/>
          </w:tcPr>
          <w:p w14:paraId="7AE88B83" w14:textId="77777777" w:rsidR="002B1F23" w:rsidRPr="002B1F23" w:rsidRDefault="002B1F23" w:rsidP="00975E8A">
            <w:r w:rsidRPr="002B1F23">
              <w:t>0.720</w:t>
            </w:r>
          </w:p>
        </w:tc>
      </w:tr>
      <w:tr w:rsidR="002B1F23" w:rsidRPr="002B1F23" w14:paraId="3005BA56" w14:textId="77777777" w:rsidTr="002B1F23">
        <w:tc>
          <w:tcPr>
            <w:tcW w:w="3116" w:type="dxa"/>
          </w:tcPr>
          <w:p w14:paraId="2F8D9B2F" w14:textId="77777777" w:rsidR="002B1F23" w:rsidRPr="002B1F23" w:rsidRDefault="002B1F23" w:rsidP="00975E8A">
            <w:r w:rsidRPr="002B1F23">
              <w:t>Call rate (calls/min)</w:t>
            </w:r>
          </w:p>
        </w:tc>
        <w:tc>
          <w:tcPr>
            <w:tcW w:w="3117" w:type="dxa"/>
          </w:tcPr>
          <w:p w14:paraId="6687320A" w14:textId="77777777" w:rsidR="002B1F23" w:rsidRPr="002B1F23" w:rsidRDefault="002B1F23" w:rsidP="00975E8A">
            <w:r w:rsidRPr="002B1F23">
              <w:t>0.333</w:t>
            </w:r>
          </w:p>
        </w:tc>
        <w:tc>
          <w:tcPr>
            <w:tcW w:w="3117" w:type="dxa"/>
          </w:tcPr>
          <w:p w14:paraId="6B978CE9" w14:textId="77777777" w:rsidR="002B1F23" w:rsidRPr="002B1F23" w:rsidRDefault="002B1F23" w:rsidP="00975E8A">
            <w:r w:rsidRPr="002B1F23">
              <w:t>-0.941</w:t>
            </w:r>
          </w:p>
        </w:tc>
      </w:tr>
      <w:tr w:rsidR="002B1F23" w:rsidRPr="002B1F23" w14:paraId="74C0764F" w14:textId="77777777" w:rsidTr="002B1F23">
        <w:tc>
          <w:tcPr>
            <w:tcW w:w="3116" w:type="dxa"/>
          </w:tcPr>
          <w:p w14:paraId="66CA3A19" w14:textId="77777777" w:rsidR="002B1F23" w:rsidRPr="002B1F23" w:rsidRDefault="002B1F23" w:rsidP="00975E8A"/>
        </w:tc>
        <w:tc>
          <w:tcPr>
            <w:tcW w:w="3117" w:type="dxa"/>
          </w:tcPr>
          <w:p w14:paraId="7723CE82" w14:textId="77777777" w:rsidR="002B1F23" w:rsidRPr="002B1F23" w:rsidRDefault="002B1F23" w:rsidP="00975E8A"/>
        </w:tc>
        <w:tc>
          <w:tcPr>
            <w:tcW w:w="3117" w:type="dxa"/>
          </w:tcPr>
          <w:p w14:paraId="33B653FA" w14:textId="77777777" w:rsidR="002B1F23" w:rsidRPr="002B1F23" w:rsidRDefault="002B1F23" w:rsidP="00975E8A"/>
        </w:tc>
      </w:tr>
      <w:tr w:rsidR="002B1F23" w:rsidRPr="002B1F23" w14:paraId="0BEBDA2F" w14:textId="77777777" w:rsidTr="002B1F23">
        <w:tc>
          <w:tcPr>
            <w:tcW w:w="3116" w:type="dxa"/>
          </w:tcPr>
          <w:p w14:paraId="1687A266" w14:textId="77777777" w:rsidR="002B1F23" w:rsidRPr="002B1F23" w:rsidRDefault="002B1F23" w:rsidP="00975E8A">
            <w:r w:rsidRPr="002B1F23">
              <w:t>Component</w:t>
            </w:r>
          </w:p>
        </w:tc>
        <w:tc>
          <w:tcPr>
            <w:tcW w:w="3117" w:type="dxa"/>
          </w:tcPr>
          <w:p w14:paraId="6C6DD388" w14:textId="77777777" w:rsidR="002B1F23" w:rsidRPr="002B1F23" w:rsidRDefault="002B1F23" w:rsidP="00975E8A">
            <w:r w:rsidRPr="002B1F23">
              <w:t>Eigenvalue</w:t>
            </w:r>
          </w:p>
        </w:tc>
        <w:tc>
          <w:tcPr>
            <w:tcW w:w="3117" w:type="dxa"/>
          </w:tcPr>
          <w:p w14:paraId="4C58F640" w14:textId="77777777" w:rsidR="002B1F23" w:rsidRPr="002B1F23" w:rsidRDefault="002B1F23" w:rsidP="00975E8A">
            <w:r w:rsidRPr="002B1F23">
              <w:t>Variance explained</w:t>
            </w:r>
          </w:p>
        </w:tc>
      </w:tr>
      <w:tr w:rsidR="002B1F23" w:rsidRPr="002B1F23" w14:paraId="278A0409" w14:textId="77777777" w:rsidTr="002B1F23">
        <w:tc>
          <w:tcPr>
            <w:tcW w:w="3116" w:type="dxa"/>
          </w:tcPr>
          <w:p w14:paraId="721DE3E2" w14:textId="77777777" w:rsidR="002B1F23" w:rsidRPr="002B1F23" w:rsidRDefault="002B1F23" w:rsidP="00975E8A">
            <w:r w:rsidRPr="002B1F23">
              <w:t>PC1</w:t>
            </w:r>
          </w:p>
        </w:tc>
        <w:tc>
          <w:tcPr>
            <w:tcW w:w="3117" w:type="dxa"/>
          </w:tcPr>
          <w:p w14:paraId="7FBC58BF" w14:textId="77777777" w:rsidR="002B1F23" w:rsidRPr="002B1F23" w:rsidRDefault="002B1F23" w:rsidP="00975E8A">
            <w:r w:rsidRPr="002B1F23">
              <w:t>1.550</w:t>
            </w:r>
          </w:p>
        </w:tc>
        <w:tc>
          <w:tcPr>
            <w:tcW w:w="3117" w:type="dxa"/>
          </w:tcPr>
          <w:p w14:paraId="77A59D21" w14:textId="77777777" w:rsidR="002B1F23" w:rsidRPr="002B1F23" w:rsidRDefault="002B1F23" w:rsidP="00975E8A">
            <w:r w:rsidRPr="002B1F23">
              <w:t>51.66%</w:t>
            </w:r>
          </w:p>
        </w:tc>
      </w:tr>
      <w:tr w:rsidR="002B1F23" w:rsidRPr="002B1F23" w14:paraId="141AAE86" w14:textId="77777777" w:rsidTr="002B1F23">
        <w:tc>
          <w:tcPr>
            <w:tcW w:w="3116" w:type="dxa"/>
          </w:tcPr>
          <w:p w14:paraId="74C98949" w14:textId="77777777" w:rsidR="002B1F23" w:rsidRPr="002B1F23" w:rsidRDefault="002B1F23" w:rsidP="00975E8A">
            <w:r w:rsidRPr="002B1F23">
              <w:t>PC2</w:t>
            </w:r>
          </w:p>
        </w:tc>
        <w:tc>
          <w:tcPr>
            <w:tcW w:w="3117" w:type="dxa"/>
          </w:tcPr>
          <w:p w14:paraId="72A4A250" w14:textId="77777777" w:rsidR="002B1F23" w:rsidRPr="002B1F23" w:rsidRDefault="002B1F23" w:rsidP="00975E8A">
            <w:r w:rsidRPr="002B1F23">
              <w:t>1.439</w:t>
            </w:r>
          </w:p>
        </w:tc>
        <w:tc>
          <w:tcPr>
            <w:tcW w:w="3117" w:type="dxa"/>
          </w:tcPr>
          <w:p w14:paraId="30F3CD60" w14:textId="77777777" w:rsidR="002B1F23" w:rsidRPr="002B1F23" w:rsidRDefault="002B1F23" w:rsidP="00975E8A">
            <w:r w:rsidRPr="002B1F23">
              <w:t>47.95%</w:t>
            </w:r>
          </w:p>
        </w:tc>
      </w:tr>
    </w:tbl>
    <w:p w14:paraId="3990DB74" w14:textId="77777777" w:rsidR="002B1F23" w:rsidRDefault="002B1F23" w:rsidP="002B1F23">
      <w:r>
        <w:t>A. PCA from Hormone-behavior relationships in the population</w:t>
      </w:r>
    </w:p>
    <w:p w14:paraId="053FB5C7" w14:textId="77777777" w:rsidR="002B1F23" w:rsidRDefault="002B1F23" w:rsidP="002B1F23">
      <w:r>
        <w:t>PCA of standardized calling traits (n = 24 males)</w:t>
      </w:r>
    </w:p>
    <w:p w14:paraId="782D5574" w14:textId="77777777" w:rsidR="002B1F23" w:rsidRDefault="002B1F23" w:rsidP="002B1F23">
      <w:r>
        <w:t>Sample definition: Excluded 2L, 8L, 13L, 14L</w:t>
      </w:r>
    </w:p>
    <w:p w14:paraId="7E342BE3" w14:textId="4CACFACE" w:rsidR="002B1F23" w:rsidRDefault="002B1F23" w:rsidP="002B1F23">
      <w:r>
        <w:t>Standardization</w:t>
      </w:r>
      <w:r w:rsidR="0082150C">
        <w:t xml:space="preserve">: </w:t>
      </w:r>
      <w:r>
        <w:t>All three calling traits were z-standardized prior to PCA  </w:t>
      </w:r>
    </w:p>
    <w:p w14:paraId="3284A145" w14:textId="77777777" w:rsidR="002B1F23" w:rsidRDefault="002B1F23" w:rsidP="002B1F23"/>
    <w:tbl>
      <w:tblPr>
        <w:tblStyle w:val="TableGrid"/>
        <w:tblW w:w="0" w:type="auto"/>
        <w:tblLook w:val="04A0" w:firstRow="1" w:lastRow="0" w:firstColumn="1" w:lastColumn="0" w:noHBand="0" w:noVBand="1"/>
      </w:tblPr>
      <w:tblGrid>
        <w:gridCol w:w="3116"/>
        <w:gridCol w:w="3117"/>
        <w:gridCol w:w="3117"/>
      </w:tblGrid>
      <w:tr w:rsidR="002B1F23" w:rsidRPr="002B1F23" w14:paraId="279FBD58" w14:textId="77777777" w:rsidTr="002B1F23">
        <w:tc>
          <w:tcPr>
            <w:tcW w:w="3116" w:type="dxa"/>
          </w:tcPr>
          <w:p w14:paraId="4EF247EC" w14:textId="77777777" w:rsidR="002B1F23" w:rsidRPr="002B1F23" w:rsidRDefault="002B1F23" w:rsidP="004E6A90">
            <w:r w:rsidRPr="002B1F23">
              <w:t>Variable</w:t>
            </w:r>
          </w:p>
        </w:tc>
        <w:tc>
          <w:tcPr>
            <w:tcW w:w="3117" w:type="dxa"/>
          </w:tcPr>
          <w:p w14:paraId="3FBE0964" w14:textId="77777777" w:rsidR="002B1F23" w:rsidRPr="002B1F23" w:rsidRDefault="002B1F23" w:rsidP="004E6A90">
            <w:r w:rsidRPr="002B1F23">
              <w:t>PC1_loading</w:t>
            </w:r>
          </w:p>
        </w:tc>
        <w:tc>
          <w:tcPr>
            <w:tcW w:w="3117" w:type="dxa"/>
          </w:tcPr>
          <w:p w14:paraId="787B274D" w14:textId="77777777" w:rsidR="002B1F23" w:rsidRPr="002B1F23" w:rsidRDefault="002B1F23" w:rsidP="004E6A90">
            <w:r w:rsidRPr="002B1F23">
              <w:t>PC2_loading</w:t>
            </w:r>
          </w:p>
        </w:tc>
      </w:tr>
      <w:tr w:rsidR="002B1F23" w:rsidRPr="002B1F23" w14:paraId="023806A9" w14:textId="77777777" w:rsidTr="002B1F23">
        <w:tc>
          <w:tcPr>
            <w:tcW w:w="3116" w:type="dxa"/>
          </w:tcPr>
          <w:p w14:paraId="362FA2ED" w14:textId="77777777" w:rsidR="002B1F23" w:rsidRPr="002B1F23" w:rsidRDefault="002B1F23" w:rsidP="004E6A90">
            <w:r w:rsidRPr="002B1F23">
              <w:t>Calling effort (pulses/min)</w:t>
            </w:r>
          </w:p>
        </w:tc>
        <w:tc>
          <w:tcPr>
            <w:tcW w:w="3117" w:type="dxa"/>
          </w:tcPr>
          <w:p w14:paraId="5C8A1C49" w14:textId="77777777" w:rsidR="002B1F23" w:rsidRPr="002B1F23" w:rsidRDefault="002B1F23" w:rsidP="004E6A90">
            <w:r w:rsidRPr="002B1F23">
              <w:t>0.923</w:t>
            </w:r>
          </w:p>
        </w:tc>
        <w:tc>
          <w:tcPr>
            <w:tcW w:w="3117" w:type="dxa"/>
          </w:tcPr>
          <w:p w14:paraId="396C1395" w14:textId="77777777" w:rsidR="002B1F23" w:rsidRPr="002B1F23" w:rsidRDefault="002B1F23" w:rsidP="004E6A90">
            <w:r w:rsidRPr="002B1F23">
              <w:t>-0.379</w:t>
            </w:r>
          </w:p>
        </w:tc>
      </w:tr>
      <w:tr w:rsidR="002B1F23" w:rsidRPr="002B1F23" w14:paraId="6CFEFDFC" w14:textId="77777777" w:rsidTr="002B1F23">
        <w:tc>
          <w:tcPr>
            <w:tcW w:w="3116" w:type="dxa"/>
          </w:tcPr>
          <w:p w14:paraId="3A643878" w14:textId="77777777" w:rsidR="002B1F23" w:rsidRPr="002B1F23" w:rsidRDefault="002B1F23" w:rsidP="004E6A90">
            <w:r w:rsidRPr="002B1F23">
              <w:t>Call duration (pulses/call)</w:t>
            </w:r>
          </w:p>
        </w:tc>
        <w:tc>
          <w:tcPr>
            <w:tcW w:w="3117" w:type="dxa"/>
          </w:tcPr>
          <w:p w14:paraId="31D71A7B" w14:textId="77777777" w:rsidR="002B1F23" w:rsidRPr="002B1F23" w:rsidRDefault="002B1F23" w:rsidP="004E6A90">
            <w:r w:rsidRPr="002B1F23">
              <w:t>0.883</w:t>
            </w:r>
          </w:p>
        </w:tc>
        <w:tc>
          <w:tcPr>
            <w:tcW w:w="3117" w:type="dxa"/>
          </w:tcPr>
          <w:p w14:paraId="241FA4B8" w14:textId="77777777" w:rsidR="002B1F23" w:rsidRPr="002B1F23" w:rsidRDefault="002B1F23" w:rsidP="004E6A90">
            <w:r w:rsidRPr="002B1F23">
              <w:t>0.466</w:t>
            </w:r>
          </w:p>
        </w:tc>
      </w:tr>
      <w:tr w:rsidR="002B1F23" w:rsidRPr="002B1F23" w14:paraId="7918D110" w14:textId="77777777" w:rsidTr="002B1F23">
        <w:tc>
          <w:tcPr>
            <w:tcW w:w="3116" w:type="dxa"/>
          </w:tcPr>
          <w:p w14:paraId="0D628FE8" w14:textId="77777777" w:rsidR="002B1F23" w:rsidRPr="002B1F23" w:rsidRDefault="002B1F23" w:rsidP="004E6A90">
            <w:r w:rsidRPr="002B1F23">
              <w:t>Call rate (calls/min)</w:t>
            </w:r>
          </w:p>
        </w:tc>
        <w:tc>
          <w:tcPr>
            <w:tcW w:w="3117" w:type="dxa"/>
          </w:tcPr>
          <w:p w14:paraId="1937655D" w14:textId="77777777" w:rsidR="002B1F23" w:rsidRPr="002B1F23" w:rsidRDefault="002B1F23" w:rsidP="004E6A90">
            <w:r w:rsidRPr="002B1F23">
              <w:t>0.062</w:t>
            </w:r>
          </w:p>
        </w:tc>
        <w:tc>
          <w:tcPr>
            <w:tcW w:w="3117" w:type="dxa"/>
          </w:tcPr>
          <w:p w14:paraId="7D386F75" w14:textId="77777777" w:rsidR="002B1F23" w:rsidRPr="002B1F23" w:rsidRDefault="002B1F23" w:rsidP="004E6A90">
            <w:r w:rsidRPr="002B1F23">
              <w:t>-0.997</w:t>
            </w:r>
          </w:p>
        </w:tc>
      </w:tr>
      <w:tr w:rsidR="002B1F23" w:rsidRPr="002B1F23" w14:paraId="0B80C42B" w14:textId="77777777" w:rsidTr="002B1F23">
        <w:tc>
          <w:tcPr>
            <w:tcW w:w="3116" w:type="dxa"/>
          </w:tcPr>
          <w:p w14:paraId="481952DD" w14:textId="77777777" w:rsidR="002B1F23" w:rsidRPr="002B1F23" w:rsidRDefault="002B1F23" w:rsidP="004E6A90"/>
        </w:tc>
        <w:tc>
          <w:tcPr>
            <w:tcW w:w="3117" w:type="dxa"/>
          </w:tcPr>
          <w:p w14:paraId="0E8CD276" w14:textId="77777777" w:rsidR="002B1F23" w:rsidRPr="002B1F23" w:rsidRDefault="002B1F23" w:rsidP="004E6A90"/>
        </w:tc>
        <w:tc>
          <w:tcPr>
            <w:tcW w:w="3117" w:type="dxa"/>
          </w:tcPr>
          <w:p w14:paraId="4B72BB1A" w14:textId="77777777" w:rsidR="002B1F23" w:rsidRPr="002B1F23" w:rsidRDefault="002B1F23" w:rsidP="004E6A90"/>
        </w:tc>
      </w:tr>
      <w:tr w:rsidR="002B1F23" w:rsidRPr="002B1F23" w14:paraId="1F979F0B" w14:textId="77777777" w:rsidTr="002B1F23">
        <w:tc>
          <w:tcPr>
            <w:tcW w:w="3116" w:type="dxa"/>
          </w:tcPr>
          <w:p w14:paraId="65F2526D" w14:textId="77777777" w:rsidR="002B1F23" w:rsidRPr="002B1F23" w:rsidRDefault="002B1F23" w:rsidP="004E6A90">
            <w:r w:rsidRPr="002B1F23">
              <w:t>Component</w:t>
            </w:r>
          </w:p>
        </w:tc>
        <w:tc>
          <w:tcPr>
            <w:tcW w:w="3117" w:type="dxa"/>
          </w:tcPr>
          <w:p w14:paraId="1C511144" w14:textId="77777777" w:rsidR="002B1F23" w:rsidRPr="002B1F23" w:rsidRDefault="002B1F23" w:rsidP="004E6A90">
            <w:r w:rsidRPr="002B1F23">
              <w:t>Eigenvalue</w:t>
            </w:r>
          </w:p>
        </w:tc>
        <w:tc>
          <w:tcPr>
            <w:tcW w:w="3117" w:type="dxa"/>
          </w:tcPr>
          <w:p w14:paraId="6D10263B" w14:textId="77777777" w:rsidR="002B1F23" w:rsidRPr="002B1F23" w:rsidRDefault="002B1F23" w:rsidP="004E6A90">
            <w:r w:rsidRPr="002B1F23">
              <w:t>Variance explained</w:t>
            </w:r>
          </w:p>
        </w:tc>
      </w:tr>
      <w:tr w:rsidR="002B1F23" w:rsidRPr="002B1F23" w14:paraId="78A96593" w14:textId="77777777" w:rsidTr="002B1F23">
        <w:tc>
          <w:tcPr>
            <w:tcW w:w="3116" w:type="dxa"/>
          </w:tcPr>
          <w:p w14:paraId="16BD3B58" w14:textId="77777777" w:rsidR="002B1F23" w:rsidRPr="002B1F23" w:rsidRDefault="002B1F23" w:rsidP="004E6A90">
            <w:r w:rsidRPr="002B1F23">
              <w:t>PC1</w:t>
            </w:r>
          </w:p>
        </w:tc>
        <w:tc>
          <w:tcPr>
            <w:tcW w:w="3117" w:type="dxa"/>
          </w:tcPr>
          <w:p w14:paraId="749A6A58" w14:textId="77777777" w:rsidR="002B1F23" w:rsidRPr="002B1F23" w:rsidRDefault="002B1F23" w:rsidP="004E6A90">
            <w:r w:rsidRPr="002B1F23">
              <w:t>1.636</w:t>
            </w:r>
          </w:p>
        </w:tc>
        <w:tc>
          <w:tcPr>
            <w:tcW w:w="3117" w:type="dxa"/>
          </w:tcPr>
          <w:p w14:paraId="62EEA7D4" w14:textId="77777777" w:rsidR="002B1F23" w:rsidRPr="002B1F23" w:rsidRDefault="002B1F23" w:rsidP="004E6A90">
            <w:r w:rsidRPr="002B1F23">
              <w:t>54.52%</w:t>
            </w:r>
          </w:p>
        </w:tc>
      </w:tr>
      <w:tr w:rsidR="002B1F23" w:rsidRPr="002B1F23" w14:paraId="0497FE06" w14:textId="77777777" w:rsidTr="002B1F23">
        <w:tc>
          <w:tcPr>
            <w:tcW w:w="3116" w:type="dxa"/>
          </w:tcPr>
          <w:p w14:paraId="15AAB862" w14:textId="77777777" w:rsidR="002B1F23" w:rsidRPr="002B1F23" w:rsidRDefault="002B1F23" w:rsidP="004E6A90">
            <w:r w:rsidRPr="002B1F23">
              <w:t>PC2</w:t>
            </w:r>
          </w:p>
        </w:tc>
        <w:tc>
          <w:tcPr>
            <w:tcW w:w="3117" w:type="dxa"/>
          </w:tcPr>
          <w:p w14:paraId="5170445E" w14:textId="77777777" w:rsidR="002B1F23" w:rsidRPr="002B1F23" w:rsidRDefault="002B1F23" w:rsidP="004E6A90">
            <w:r w:rsidRPr="002B1F23">
              <w:t>1.354</w:t>
            </w:r>
          </w:p>
        </w:tc>
        <w:tc>
          <w:tcPr>
            <w:tcW w:w="3117" w:type="dxa"/>
          </w:tcPr>
          <w:p w14:paraId="5AFBAFE6" w14:textId="77777777" w:rsidR="002B1F23" w:rsidRPr="002B1F23" w:rsidRDefault="002B1F23" w:rsidP="004E6A90">
            <w:r w:rsidRPr="002B1F23">
              <w:t>45.12%</w:t>
            </w:r>
          </w:p>
        </w:tc>
      </w:tr>
    </w:tbl>
    <w:p w14:paraId="128C1DC2" w14:textId="77777777" w:rsidR="002B1F23" w:rsidRDefault="002B1F23" w:rsidP="002B1F23">
      <w:r>
        <w:t>B. PCA from Hormone-behavior relationships between competing males</w:t>
      </w:r>
    </w:p>
    <w:p w14:paraId="245E6954" w14:textId="77777777" w:rsidR="002B1F23" w:rsidRDefault="002B1F23" w:rsidP="002B1F23">
      <w:r>
        <w:t>PCA of standardized calling traits (n = 20 males from 10 pairs)</w:t>
      </w:r>
    </w:p>
    <w:p w14:paraId="54FB8ACA" w14:textId="77777777" w:rsidR="002B1F23" w:rsidRDefault="002B1F23" w:rsidP="002B1F23">
      <w:r>
        <w:t>Sample definition: Excluded incomplete pairs: 2L/2R, 8L/8R, 13L/13R, 14L/14R</w:t>
      </w:r>
    </w:p>
    <w:p w14:paraId="2177609C" w14:textId="5E7DFA32" w:rsidR="00781318" w:rsidRDefault="002B1F23" w:rsidP="002B1F23">
      <w:r>
        <w:t>Standardization</w:t>
      </w:r>
      <w:r w:rsidR="0082150C">
        <w:t xml:space="preserve">: </w:t>
      </w:r>
      <w:r>
        <w:t>All three calling traits were z-standardized prior to PCA</w:t>
      </w:r>
    </w:p>
    <w:p w14:paraId="21F42D27" w14:textId="2F74F49B" w:rsidR="0082150C" w:rsidRDefault="0082150C" w:rsidP="002B1F23"/>
    <w:p w14:paraId="1CFF6588" w14:textId="298CB863" w:rsidR="0082150C" w:rsidRPr="0082150C" w:rsidRDefault="0082150C" w:rsidP="0082150C">
      <w:pPr>
        <w:rPr>
          <w:rFonts w:ascii="Times New Roman" w:eastAsia="Times New Roman" w:hAnsi="Times New Roman" w:cs="Times New Roman"/>
        </w:rPr>
      </w:pPr>
      <w:r w:rsidRPr="0082150C">
        <w:rPr>
          <w:rFonts w:ascii="Times New Roman" w:eastAsia="Times New Roman" w:hAnsi="Times New Roman" w:cs="Times New Roman"/>
          <w:b/>
        </w:rPr>
        <w:t>Note</w:t>
      </w:r>
      <w:r>
        <w:rPr>
          <w:rFonts w:ascii="Times New Roman" w:eastAsia="Times New Roman" w:hAnsi="Times New Roman" w:cs="Times New Roman"/>
        </w:rPr>
        <w:t xml:space="preserve">: </w:t>
      </w:r>
      <w:r w:rsidRPr="0082150C">
        <w:rPr>
          <w:rFonts w:ascii="Times New Roman" w:eastAsia="Times New Roman" w:hAnsi="Times New Roman" w:cs="Times New Roman"/>
        </w:rPr>
        <w:t xml:space="preserve">Although numerical factor loadings differed modestly across </w:t>
      </w:r>
      <w:r>
        <w:rPr>
          <w:rFonts w:ascii="Times New Roman" w:eastAsia="Times New Roman" w:hAnsi="Times New Roman" w:cs="Times New Roman"/>
        </w:rPr>
        <w:t xml:space="preserve">all three </w:t>
      </w:r>
      <w:r w:rsidRPr="0082150C">
        <w:rPr>
          <w:rFonts w:ascii="Times New Roman" w:eastAsia="Times New Roman" w:hAnsi="Times New Roman" w:cs="Times New Roman"/>
        </w:rPr>
        <w:t>PCA runs due to differences in sample composition, the biological interpretation of each principal component was highly conserved. Across all three PCAs, PC1 consistently loaded positively on pulses per minute, pulse number p</w:t>
      </w:r>
      <w:bookmarkStart w:id="0" w:name="_GoBack"/>
      <w:bookmarkEnd w:id="0"/>
      <w:r w:rsidRPr="0082150C">
        <w:rPr>
          <w:rFonts w:ascii="Times New Roman" w:eastAsia="Times New Roman" w:hAnsi="Times New Roman" w:cs="Times New Roman"/>
        </w:rPr>
        <w:t xml:space="preserve">er call, and call rate, identifying a stable axis of </w:t>
      </w:r>
      <w:r w:rsidRPr="0082150C">
        <w:rPr>
          <w:rFonts w:ascii="Times New Roman" w:eastAsia="Times New Roman" w:hAnsi="Times New Roman" w:cs="Times New Roman"/>
          <w:b/>
          <w:bCs/>
        </w:rPr>
        <w:t>overall calling effort</w:t>
      </w:r>
      <w:r w:rsidRPr="0082150C">
        <w:rPr>
          <w:rFonts w:ascii="Times New Roman" w:eastAsia="Times New Roman" w:hAnsi="Times New Roman" w:cs="Times New Roman"/>
        </w:rPr>
        <w:t xml:space="preserve">. In contrast, PC2 consistently captured a </w:t>
      </w:r>
      <w:r w:rsidRPr="0082150C">
        <w:rPr>
          <w:rFonts w:ascii="Times New Roman" w:eastAsia="Times New Roman" w:hAnsi="Times New Roman" w:cs="Times New Roman"/>
          <w:b/>
          <w:bCs/>
        </w:rPr>
        <w:t>rate–duration trade-off</w:t>
      </w:r>
      <w:r w:rsidRPr="0082150C">
        <w:rPr>
          <w:rFonts w:ascii="Times New Roman" w:eastAsia="Times New Roman" w:hAnsi="Times New Roman" w:cs="Times New Roman"/>
        </w:rPr>
        <w:t>, loading strongly and oppositely on call rate versus call duration, with minimal contribution from overall effort. Thus, despite minor variation in coefficient magnitudes, the underlying multivariate structure of calling behavior was highly stable across analytical subsets.</w:t>
      </w:r>
    </w:p>
    <w:p w14:paraId="34D8A411" w14:textId="77777777" w:rsidR="0082150C" w:rsidRDefault="0082150C" w:rsidP="002B1F23"/>
    <w:sectPr w:rsidR="0082150C" w:rsidSect="00930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23"/>
    <w:rsid w:val="002B1F23"/>
    <w:rsid w:val="00781318"/>
    <w:rsid w:val="0082150C"/>
    <w:rsid w:val="0093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9ACE"/>
  <w15:chartTrackingRefBased/>
  <w15:docId w15:val="{552E43F0-1D04-5349-AF41-423041E6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1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33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2026-01-25T19:42:00Z</dcterms:created>
  <dcterms:modified xsi:type="dcterms:W3CDTF">2026-01-25T19:57:00Z</dcterms:modified>
</cp:coreProperties>
</file>