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0C1F4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Suplementary Table S1</w:t>
      </w: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>. Distribution of Peak Cortisol Levels by Sampling Time During the Low-Dose ACTH Stimulation Test (n = 177)</w:t>
      </w:r>
    </w:p>
    <w:tbl>
      <w:tblPr>
        <w:tblW w:w="82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1082"/>
        <w:gridCol w:w="2552"/>
        <w:gridCol w:w="2091"/>
      </w:tblGrid>
      <w:tr w:rsidR="00B71F6D" w:rsidRPr="00AC2BC0" w14:paraId="7191D38F" w14:textId="77777777" w:rsidTr="007A5508">
        <w:trPr>
          <w:trHeight w:val="500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6D6F3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Sampling Time</w:t>
            </w:r>
          </w:p>
        </w:tc>
        <w:tc>
          <w:tcPr>
            <w:tcW w:w="0" w:type="auto"/>
            <w:vAlign w:val="center"/>
            <w:hideMark/>
          </w:tcPr>
          <w:p w14:paraId="524FF54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n (%)</w:t>
            </w:r>
          </w:p>
        </w:tc>
        <w:tc>
          <w:tcPr>
            <w:tcW w:w="0" w:type="auto"/>
            <w:vAlign w:val="center"/>
            <w:hideMark/>
          </w:tcPr>
          <w:p w14:paraId="6080B6D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Mean ± SD (Range)</w:t>
            </w:r>
          </w:p>
        </w:tc>
        <w:tc>
          <w:tcPr>
            <w:tcW w:w="0" w:type="auto"/>
            <w:vAlign w:val="center"/>
            <w:hideMark/>
          </w:tcPr>
          <w:p w14:paraId="44F4774E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Median (Q1–Q3)</w:t>
            </w:r>
          </w:p>
        </w:tc>
      </w:tr>
      <w:tr w:rsidR="00B71F6D" w:rsidRPr="00AC2BC0" w14:paraId="566FD267" w14:textId="77777777" w:rsidTr="007A5508">
        <w:trPr>
          <w:trHeight w:val="500"/>
          <w:tblCellSpacing w:w="15" w:type="dxa"/>
        </w:trPr>
        <w:tc>
          <w:tcPr>
            <w:tcW w:w="0" w:type="auto"/>
            <w:vAlign w:val="center"/>
            <w:hideMark/>
          </w:tcPr>
          <w:p w14:paraId="026E083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at 0 min</w:t>
            </w:r>
          </w:p>
        </w:tc>
        <w:tc>
          <w:tcPr>
            <w:tcW w:w="0" w:type="auto"/>
            <w:vAlign w:val="center"/>
            <w:hideMark/>
          </w:tcPr>
          <w:p w14:paraId="523D015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19 (10.7)</w:t>
            </w:r>
          </w:p>
        </w:tc>
        <w:tc>
          <w:tcPr>
            <w:tcW w:w="0" w:type="auto"/>
            <w:vAlign w:val="center"/>
            <w:hideMark/>
          </w:tcPr>
          <w:p w14:paraId="096A2428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10.6 ± 5.8 (0.5–29.0)</w:t>
            </w:r>
          </w:p>
        </w:tc>
        <w:tc>
          <w:tcPr>
            <w:tcW w:w="0" w:type="auto"/>
            <w:vAlign w:val="center"/>
            <w:hideMark/>
          </w:tcPr>
          <w:p w14:paraId="47F9D51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9.1 (6.3–14.3)</w:t>
            </w:r>
          </w:p>
        </w:tc>
      </w:tr>
      <w:tr w:rsidR="00B71F6D" w:rsidRPr="00AC2BC0" w14:paraId="3E6DDD7D" w14:textId="77777777" w:rsidTr="007A5508">
        <w:trPr>
          <w:trHeight w:val="500"/>
          <w:tblCellSpacing w:w="15" w:type="dxa"/>
        </w:trPr>
        <w:tc>
          <w:tcPr>
            <w:tcW w:w="0" w:type="auto"/>
            <w:vAlign w:val="center"/>
            <w:hideMark/>
          </w:tcPr>
          <w:p w14:paraId="1AE7A278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at 15 min</w:t>
            </w:r>
          </w:p>
        </w:tc>
        <w:tc>
          <w:tcPr>
            <w:tcW w:w="0" w:type="auto"/>
            <w:vAlign w:val="center"/>
            <w:hideMark/>
          </w:tcPr>
          <w:p w14:paraId="4350A26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86 (48.6)</w:t>
            </w:r>
          </w:p>
        </w:tc>
        <w:tc>
          <w:tcPr>
            <w:tcW w:w="0" w:type="auto"/>
            <w:vAlign w:val="center"/>
            <w:hideMark/>
          </w:tcPr>
          <w:p w14:paraId="0772DD8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20.2 ± 5.6 (8.1–42.4)</w:t>
            </w:r>
          </w:p>
        </w:tc>
        <w:tc>
          <w:tcPr>
            <w:tcW w:w="0" w:type="auto"/>
            <w:vAlign w:val="center"/>
            <w:hideMark/>
          </w:tcPr>
          <w:p w14:paraId="5CA8450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19.2 (16.3–23.6)</w:t>
            </w:r>
          </w:p>
        </w:tc>
      </w:tr>
      <w:tr w:rsidR="00B71F6D" w:rsidRPr="00AC2BC0" w14:paraId="37419069" w14:textId="77777777" w:rsidTr="007A5508">
        <w:trPr>
          <w:trHeight w:val="514"/>
          <w:tblCellSpacing w:w="15" w:type="dxa"/>
        </w:trPr>
        <w:tc>
          <w:tcPr>
            <w:tcW w:w="0" w:type="auto"/>
            <w:vAlign w:val="center"/>
            <w:hideMark/>
          </w:tcPr>
          <w:p w14:paraId="17D6CF1E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at 30 min</w:t>
            </w:r>
          </w:p>
        </w:tc>
        <w:tc>
          <w:tcPr>
            <w:tcW w:w="0" w:type="auto"/>
            <w:vAlign w:val="center"/>
            <w:hideMark/>
          </w:tcPr>
          <w:p w14:paraId="26D4690C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51 (28.8)</w:t>
            </w:r>
          </w:p>
        </w:tc>
        <w:tc>
          <w:tcPr>
            <w:tcW w:w="0" w:type="auto"/>
            <w:vAlign w:val="center"/>
            <w:hideMark/>
          </w:tcPr>
          <w:p w14:paraId="3DCEBF3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24.3 ± 6.0 (14.6–54.3)</w:t>
            </w:r>
          </w:p>
        </w:tc>
        <w:tc>
          <w:tcPr>
            <w:tcW w:w="0" w:type="auto"/>
            <w:vAlign w:val="center"/>
            <w:hideMark/>
          </w:tcPr>
          <w:p w14:paraId="3F8A49E4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23.6 (20.1–28.2)</w:t>
            </w:r>
          </w:p>
        </w:tc>
      </w:tr>
      <w:tr w:rsidR="00B71F6D" w:rsidRPr="00AC2BC0" w14:paraId="175541A3" w14:textId="77777777" w:rsidTr="007A5508">
        <w:trPr>
          <w:trHeight w:val="500"/>
          <w:tblCellSpacing w:w="15" w:type="dxa"/>
        </w:trPr>
        <w:tc>
          <w:tcPr>
            <w:tcW w:w="0" w:type="auto"/>
            <w:vAlign w:val="center"/>
            <w:hideMark/>
          </w:tcPr>
          <w:p w14:paraId="694DEB2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at 45 min</w:t>
            </w:r>
          </w:p>
        </w:tc>
        <w:tc>
          <w:tcPr>
            <w:tcW w:w="0" w:type="auto"/>
            <w:vAlign w:val="center"/>
            <w:hideMark/>
          </w:tcPr>
          <w:p w14:paraId="6D431D4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16 (9.0)</w:t>
            </w:r>
          </w:p>
        </w:tc>
        <w:tc>
          <w:tcPr>
            <w:tcW w:w="0" w:type="auto"/>
            <w:vAlign w:val="center"/>
            <w:hideMark/>
          </w:tcPr>
          <w:p w14:paraId="42C7B630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26.4 ± 6.0 (16.1–51.4)</w:t>
            </w:r>
          </w:p>
        </w:tc>
        <w:tc>
          <w:tcPr>
            <w:tcW w:w="0" w:type="auto"/>
            <w:vAlign w:val="center"/>
            <w:hideMark/>
          </w:tcPr>
          <w:p w14:paraId="02A537A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25.6 (22.0–30.3)</w:t>
            </w:r>
          </w:p>
        </w:tc>
      </w:tr>
      <w:tr w:rsidR="00B71F6D" w:rsidRPr="00AC2BC0" w14:paraId="69750C15" w14:textId="77777777" w:rsidTr="007A5508">
        <w:trPr>
          <w:trHeight w:val="500"/>
          <w:tblCellSpacing w:w="15" w:type="dxa"/>
        </w:trPr>
        <w:tc>
          <w:tcPr>
            <w:tcW w:w="0" w:type="auto"/>
            <w:vAlign w:val="center"/>
            <w:hideMark/>
          </w:tcPr>
          <w:p w14:paraId="3CC3CBA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Peak at 60 min</w:t>
            </w:r>
          </w:p>
        </w:tc>
        <w:tc>
          <w:tcPr>
            <w:tcW w:w="0" w:type="auto"/>
            <w:vAlign w:val="center"/>
            <w:hideMark/>
          </w:tcPr>
          <w:p w14:paraId="3E67BFEC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 (2.8)</w:t>
            </w:r>
          </w:p>
        </w:tc>
        <w:tc>
          <w:tcPr>
            <w:tcW w:w="0" w:type="auto"/>
            <w:vAlign w:val="center"/>
            <w:hideMark/>
          </w:tcPr>
          <w:p w14:paraId="2D3A91C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28.1 ± 6.3 (14.8–59.5)</w:t>
            </w:r>
          </w:p>
        </w:tc>
        <w:tc>
          <w:tcPr>
            <w:tcW w:w="0" w:type="auto"/>
            <w:vAlign w:val="center"/>
            <w:hideMark/>
          </w:tcPr>
          <w:p w14:paraId="3AF87A3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27.3 (23.8–31.9)</w:t>
            </w:r>
          </w:p>
        </w:tc>
      </w:tr>
    </w:tbl>
    <w:p w14:paraId="4A5D70BF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AC2BC0">
        <w:rPr>
          <w:rFonts w:ascii="Times New Roman" w:hAnsi="Times New Roman" w:cs="Times New Roman"/>
          <w:sz w:val="24"/>
          <w:szCs w:val="24"/>
          <w:lang w:val="tr-TR"/>
        </w:rPr>
        <w:t>Data are presented as number (percentage), mean ± standard deviation (SD) with range, and median with interquartile range (Q1–Q3).</w:t>
      </w:r>
      <w:r w:rsidRPr="00AC2BC0">
        <w:rPr>
          <w:rFonts w:ascii="Times New Roman" w:hAnsi="Times New Roman" w:cs="Times New Roman"/>
          <w:sz w:val="24"/>
          <w:szCs w:val="24"/>
          <w:lang w:val="tr-TR"/>
        </w:rPr>
        <w:br/>
        <w:t>Peak cortisol was defined as the highest serum cortisol concentration observed at any sampling point during the low-dose ACTH stimulation test.</w:t>
      </w:r>
    </w:p>
    <w:p w14:paraId="7DBB3789" w14:textId="77777777" w:rsidR="00B71F6D" w:rsidRDefault="00B71F6D" w:rsidP="00B71F6D">
      <w:pPr>
        <w:pStyle w:val="NormalWeb"/>
        <w:spacing w:line="600" w:lineRule="auto"/>
      </w:pPr>
    </w:p>
    <w:p w14:paraId="71B4F5D2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Table S</w:t>
      </w: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>2. Incremental Diagnostic Contribution of Extended Sampling During LDST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9"/>
        <w:gridCol w:w="4180"/>
        <w:gridCol w:w="582"/>
      </w:tblGrid>
      <w:tr w:rsidR="00B71F6D" w:rsidRPr="00AC2BC0" w14:paraId="40FB189A" w14:textId="77777777" w:rsidTr="007A550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477AD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lastRenderedPageBreak/>
              <w:t>Comparison</w:t>
            </w:r>
          </w:p>
        </w:tc>
        <w:tc>
          <w:tcPr>
            <w:tcW w:w="0" w:type="auto"/>
            <w:vAlign w:val="center"/>
            <w:hideMark/>
          </w:tcPr>
          <w:p w14:paraId="3F40663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Patients Reclassified to Sufficient, n (%)</w:t>
            </w:r>
          </w:p>
        </w:tc>
        <w:tc>
          <w:tcPr>
            <w:tcW w:w="0" w:type="auto"/>
            <w:vAlign w:val="center"/>
            <w:hideMark/>
          </w:tcPr>
          <w:p w14:paraId="249D48B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NNT</w:t>
            </w:r>
          </w:p>
        </w:tc>
      </w:tr>
      <w:tr w:rsidR="00B71F6D" w:rsidRPr="00AC2BC0" w14:paraId="5B7CCF62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EBA568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15 → 30 min</w:t>
            </w:r>
          </w:p>
        </w:tc>
        <w:tc>
          <w:tcPr>
            <w:tcW w:w="0" w:type="auto"/>
            <w:vAlign w:val="center"/>
            <w:hideMark/>
          </w:tcPr>
          <w:p w14:paraId="1A35825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51 (28.8%)</w:t>
            </w:r>
          </w:p>
        </w:tc>
        <w:tc>
          <w:tcPr>
            <w:tcW w:w="0" w:type="auto"/>
            <w:vAlign w:val="center"/>
            <w:hideMark/>
          </w:tcPr>
          <w:p w14:paraId="11D60B5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</w:t>
            </w:r>
          </w:p>
        </w:tc>
      </w:tr>
      <w:tr w:rsidR="00B71F6D" w:rsidRPr="00AC2BC0" w14:paraId="2305B043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2CBBD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15 → 45 min</w:t>
            </w:r>
          </w:p>
        </w:tc>
        <w:tc>
          <w:tcPr>
            <w:tcW w:w="0" w:type="auto"/>
            <w:vAlign w:val="center"/>
            <w:hideMark/>
          </w:tcPr>
          <w:p w14:paraId="752F0DC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66 (37.3%)</w:t>
            </w:r>
          </w:p>
        </w:tc>
        <w:tc>
          <w:tcPr>
            <w:tcW w:w="0" w:type="auto"/>
            <w:vAlign w:val="center"/>
            <w:hideMark/>
          </w:tcPr>
          <w:p w14:paraId="292F9F7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</w:t>
            </w:r>
          </w:p>
        </w:tc>
      </w:tr>
      <w:tr w:rsidR="00B71F6D" w:rsidRPr="00AC2BC0" w14:paraId="6165F1A8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47C2D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 → 45 min</w:t>
            </w:r>
          </w:p>
        </w:tc>
        <w:tc>
          <w:tcPr>
            <w:tcW w:w="0" w:type="auto"/>
            <w:vAlign w:val="center"/>
            <w:hideMark/>
          </w:tcPr>
          <w:p w14:paraId="580BB84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16 (9.0%)</w:t>
            </w:r>
          </w:p>
        </w:tc>
        <w:tc>
          <w:tcPr>
            <w:tcW w:w="0" w:type="auto"/>
            <w:vAlign w:val="center"/>
            <w:hideMark/>
          </w:tcPr>
          <w:p w14:paraId="54A88E3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11</w:t>
            </w:r>
          </w:p>
        </w:tc>
      </w:tr>
      <w:tr w:rsidR="00B71F6D" w:rsidRPr="00AC2BC0" w14:paraId="6029BDF1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F4B404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45 → 60 min</w:t>
            </w:r>
          </w:p>
        </w:tc>
        <w:tc>
          <w:tcPr>
            <w:tcW w:w="0" w:type="auto"/>
            <w:vAlign w:val="center"/>
            <w:hideMark/>
          </w:tcPr>
          <w:p w14:paraId="2CAACC34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 (3.4%)</w:t>
            </w:r>
          </w:p>
        </w:tc>
        <w:tc>
          <w:tcPr>
            <w:tcW w:w="0" w:type="auto"/>
            <w:vAlign w:val="center"/>
            <w:hideMark/>
          </w:tcPr>
          <w:p w14:paraId="2F68BD0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</w:t>
            </w:r>
          </w:p>
        </w:tc>
      </w:tr>
      <w:tr w:rsidR="00B71F6D" w:rsidRPr="00AC2BC0" w14:paraId="4D66E7B6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68AA0E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0–15 → 30 min</w:t>
            </w:r>
          </w:p>
        </w:tc>
        <w:tc>
          <w:tcPr>
            <w:tcW w:w="0" w:type="auto"/>
            <w:vAlign w:val="center"/>
            <w:hideMark/>
          </w:tcPr>
          <w:p w14:paraId="1650BD5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(28.2%)</w:t>
            </w:r>
          </w:p>
        </w:tc>
        <w:tc>
          <w:tcPr>
            <w:tcW w:w="0" w:type="auto"/>
            <w:vAlign w:val="center"/>
            <w:hideMark/>
          </w:tcPr>
          <w:p w14:paraId="327BAB4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</w:t>
            </w:r>
          </w:p>
        </w:tc>
      </w:tr>
      <w:tr w:rsidR="00B71F6D" w:rsidRPr="00AC2BC0" w14:paraId="20ED3490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402E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0–15 → 45 min</w:t>
            </w:r>
          </w:p>
        </w:tc>
        <w:tc>
          <w:tcPr>
            <w:tcW w:w="0" w:type="auto"/>
            <w:vAlign w:val="center"/>
            <w:hideMark/>
          </w:tcPr>
          <w:p w14:paraId="0381988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65 (36.7%)</w:t>
            </w:r>
          </w:p>
        </w:tc>
        <w:tc>
          <w:tcPr>
            <w:tcW w:w="0" w:type="auto"/>
            <w:vAlign w:val="center"/>
            <w:hideMark/>
          </w:tcPr>
          <w:p w14:paraId="1DC4C60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</w:t>
            </w:r>
          </w:p>
        </w:tc>
      </w:tr>
      <w:tr w:rsidR="00B71F6D" w:rsidRPr="00AC2BC0" w14:paraId="660FAAA3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063920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0–45 → 60 min</w:t>
            </w:r>
          </w:p>
        </w:tc>
        <w:tc>
          <w:tcPr>
            <w:tcW w:w="0" w:type="auto"/>
            <w:vAlign w:val="center"/>
            <w:hideMark/>
          </w:tcPr>
          <w:p w14:paraId="54CA5F0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 (2.8%)</w:t>
            </w:r>
          </w:p>
        </w:tc>
        <w:tc>
          <w:tcPr>
            <w:tcW w:w="0" w:type="auto"/>
            <w:vAlign w:val="center"/>
            <w:hideMark/>
          </w:tcPr>
          <w:p w14:paraId="72ACB10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35</w:t>
            </w:r>
          </w:p>
        </w:tc>
      </w:tr>
    </w:tbl>
    <w:p w14:paraId="02121472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Table S</w:t>
      </w: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>3. False-Low Rates Using a Fixed Cortisol Cut-off (18 µg/dL)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5"/>
        <w:gridCol w:w="2457"/>
        <w:gridCol w:w="1602"/>
      </w:tblGrid>
      <w:tr w:rsidR="00B71F6D" w:rsidRPr="00AC2BC0" w14:paraId="7E64517F" w14:textId="77777777" w:rsidTr="007A550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A71C1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Time Point</w:t>
            </w:r>
          </w:p>
        </w:tc>
        <w:tc>
          <w:tcPr>
            <w:tcW w:w="0" w:type="auto"/>
            <w:vAlign w:val="center"/>
            <w:hideMark/>
          </w:tcPr>
          <w:p w14:paraId="47EDDE40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Cortisol ≥18 µg/dL (%)</w:t>
            </w:r>
          </w:p>
        </w:tc>
        <w:tc>
          <w:tcPr>
            <w:tcW w:w="0" w:type="auto"/>
            <w:vAlign w:val="center"/>
            <w:hideMark/>
          </w:tcPr>
          <w:p w14:paraId="0B740EB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False-Low (%)</w:t>
            </w:r>
          </w:p>
        </w:tc>
      </w:tr>
      <w:tr w:rsidR="00B71F6D" w:rsidRPr="00AC2BC0" w14:paraId="376C448B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9773F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15 min</w:t>
            </w:r>
          </w:p>
        </w:tc>
        <w:tc>
          <w:tcPr>
            <w:tcW w:w="0" w:type="auto"/>
            <w:vAlign w:val="center"/>
            <w:hideMark/>
          </w:tcPr>
          <w:p w14:paraId="72499EA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59.7</w:t>
            </w:r>
          </w:p>
        </w:tc>
        <w:tc>
          <w:tcPr>
            <w:tcW w:w="0" w:type="auto"/>
            <w:vAlign w:val="center"/>
            <w:hideMark/>
          </w:tcPr>
          <w:p w14:paraId="0D59570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40.3</w:t>
            </w:r>
          </w:p>
        </w:tc>
      </w:tr>
      <w:tr w:rsidR="00B71F6D" w:rsidRPr="00AC2BC0" w14:paraId="0F0D3E16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8E474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 min</w:t>
            </w:r>
          </w:p>
        </w:tc>
        <w:tc>
          <w:tcPr>
            <w:tcW w:w="0" w:type="auto"/>
            <w:vAlign w:val="center"/>
            <w:hideMark/>
          </w:tcPr>
          <w:p w14:paraId="20519D9A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88.6</w:t>
            </w:r>
          </w:p>
        </w:tc>
        <w:tc>
          <w:tcPr>
            <w:tcW w:w="0" w:type="auto"/>
            <w:vAlign w:val="center"/>
            <w:hideMark/>
          </w:tcPr>
          <w:p w14:paraId="7617EDD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11.4</w:t>
            </w:r>
          </w:p>
        </w:tc>
      </w:tr>
      <w:tr w:rsidR="00B71F6D" w:rsidRPr="00AC2BC0" w14:paraId="6C283F6C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37CC8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45 min</w:t>
            </w:r>
          </w:p>
        </w:tc>
        <w:tc>
          <w:tcPr>
            <w:tcW w:w="0" w:type="auto"/>
            <w:vAlign w:val="center"/>
            <w:hideMark/>
          </w:tcPr>
          <w:p w14:paraId="28A6AD4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96.6</w:t>
            </w:r>
          </w:p>
        </w:tc>
        <w:tc>
          <w:tcPr>
            <w:tcW w:w="0" w:type="auto"/>
            <w:vAlign w:val="center"/>
            <w:hideMark/>
          </w:tcPr>
          <w:p w14:paraId="1D51F4C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3.4</w:t>
            </w:r>
          </w:p>
        </w:tc>
      </w:tr>
      <w:tr w:rsidR="00B71F6D" w:rsidRPr="00AC2BC0" w14:paraId="12E63710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15F6D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 min</w:t>
            </w:r>
          </w:p>
        </w:tc>
        <w:tc>
          <w:tcPr>
            <w:tcW w:w="0" w:type="auto"/>
            <w:vAlign w:val="center"/>
            <w:hideMark/>
          </w:tcPr>
          <w:p w14:paraId="68AC540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98.9</w:t>
            </w:r>
          </w:p>
        </w:tc>
        <w:tc>
          <w:tcPr>
            <w:tcW w:w="0" w:type="auto"/>
            <w:vAlign w:val="center"/>
            <w:hideMark/>
          </w:tcPr>
          <w:p w14:paraId="36205EE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1.1</w:t>
            </w:r>
          </w:p>
        </w:tc>
      </w:tr>
    </w:tbl>
    <w:p w14:paraId="24DB248D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14:paraId="431C57C5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s4</w:t>
      </w:r>
      <w:r w:rsidRPr="00AC2BC0">
        <w:rPr>
          <w:rFonts w:ascii="Times New Roman" w:hAnsi="Times New Roman" w:cs="Times New Roman"/>
          <w:b/>
          <w:bCs/>
          <w:sz w:val="24"/>
          <w:szCs w:val="24"/>
          <w:lang w:val="tr-TR"/>
        </w:rPr>
        <w:t>. Comparison of Low-Dose ACTH Stimulation Test Protocols and Key Findings in the Pediatric Literature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7"/>
        <w:gridCol w:w="1689"/>
        <w:gridCol w:w="1348"/>
        <w:gridCol w:w="2063"/>
        <w:gridCol w:w="2589"/>
      </w:tblGrid>
      <w:tr w:rsidR="00B71F6D" w:rsidRPr="00AC2BC0" w14:paraId="4FB01E0B" w14:textId="77777777" w:rsidTr="007A550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160090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Study (Year)</w:t>
            </w:r>
          </w:p>
        </w:tc>
        <w:tc>
          <w:tcPr>
            <w:tcW w:w="0" w:type="auto"/>
            <w:vAlign w:val="center"/>
            <w:hideMark/>
          </w:tcPr>
          <w:p w14:paraId="4C46C03C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Population</w:t>
            </w:r>
          </w:p>
        </w:tc>
        <w:tc>
          <w:tcPr>
            <w:tcW w:w="0" w:type="auto"/>
            <w:vAlign w:val="center"/>
            <w:hideMark/>
          </w:tcPr>
          <w:p w14:paraId="5149993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Sampling Times (min)</w:t>
            </w:r>
          </w:p>
        </w:tc>
        <w:tc>
          <w:tcPr>
            <w:tcW w:w="0" w:type="auto"/>
            <w:vAlign w:val="center"/>
            <w:hideMark/>
          </w:tcPr>
          <w:p w14:paraId="0F87772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Cortisol Cut-off for Normal Response</w:t>
            </w:r>
          </w:p>
        </w:tc>
        <w:tc>
          <w:tcPr>
            <w:tcW w:w="0" w:type="auto"/>
            <w:vAlign w:val="center"/>
            <w:hideMark/>
          </w:tcPr>
          <w:p w14:paraId="5AF3A28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Key Recommendation</w:t>
            </w:r>
          </w:p>
        </w:tc>
      </w:tr>
      <w:tr w:rsidR="00B71F6D" w:rsidRPr="00AC2BC0" w14:paraId="0B5EED41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7D5A8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Weintrob et al., 1998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&lt;EndNote&gt;&lt;Cite&gt;&lt;Author&gt;Weintrob&lt;/Author&gt;&lt;Year&gt;1998&lt;/Year&gt;&lt;RecNum&gt;1421&lt;/RecNum&gt;&lt;DisplayText&gt;(1)&lt;/DisplayText&gt;&lt;record&gt;&lt;rec-number&gt;1421&lt;/rec-number&gt;&lt;foreign-keys&gt;&lt;key app="EN" db-id="xv5sp900c2ddzler0d650avufxepd9s92z5z" timestamp="1766340957"&gt;1421&lt;/key&gt;&lt;/foreign-keys&gt;&lt;ref-type name="Journal Article"&gt;17&lt;/ref-type&gt;&lt;contributors&gt;&lt;authors&gt;&lt;author&gt;Weintrob, Naomi&lt;/author&gt;&lt;author&gt;Sprecher, Elliot&lt;/author&gt;&lt;author&gt;Josefsberg, Zeev&lt;/author&gt;&lt;author&gt;Weininger, Clara&lt;/author&gt;&lt;author&gt;Aurbach-Klipper, Yaffa&lt;/author&gt;&lt;author&gt;Lazard, Daniel&lt;/author&gt;&lt;author&gt;Karp, Moshe&lt;/author&gt;&lt;author&gt;Pertzelan, Athalia&lt;/author&gt;&lt;/authors&gt;&lt;/contributors&gt;&lt;titles&gt;&lt;title&gt;Standard and Low-Dose Short Adrenocorticotropin Test Compared with Insulin-Induced Hypoglycemia for Assessment of the Hypothalamic-Pituitary-Adrenal Axis in Children with Idiopathic Multiple Pituitary Hormone Deficiencies&lt;/title&gt;&lt;secondary-title&gt;The Journal of Clinical Endocrinology &amp;amp;amp; Metabolism&lt;/secondary-title&gt;&lt;alt-title&gt;The Journal of Clinical Endocrinology &amp;amp;amp; Metabolism&lt;/alt-title&gt;&lt;/titles&gt;&lt;periodical&gt;&lt;full-title&gt;The Journal of Clinical Endocrinology &amp;amp;amp; Metabolism&lt;/full-title&gt;&lt;abbr-1&gt;The Journal of Clinical Endocrinology &amp;amp;amp; Metabolism&lt;/abbr-1&gt;&lt;/periodical&gt;&lt;alt-periodical&gt;&lt;full-title&gt;The Journal of Clinical Endocrinology &amp;amp;amp; Metabolism&lt;/full-title&gt;&lt;abbr-1&gt;The Journal of Clinical Endocrinology &amp;amp;amp; Metabolism&lt;/abbr-1&gt;&lt;/alt-periodical&gt;&lt;pages&gt;88-92&lt;/pages&gt;&lt;volume&gt;83&lt;/volume&gt;&lt;number&gt;1&lt;/number&gt;&lt;dates&gt;&lt;year&gt;1998&lt;/year&gt;&lt;pub-dates&gt;&lt;date&gt;1998/1//&lt;/date&gt;&lt;/pub-dates&gt;&lt;/dates&gt;&lt;isbn&gt;0021-972X&lt;/isbn&gt;&lt;urls&gt;&lt;related-urls&gt;&lt;url&gt;http://dx.doi.org/10.1210/JCEM.83.1.4496&lt;/url&gt;&lt;/related-urls&gt;&lt;/urls&gt;&lt;electronic-resource-num&gt;10.1210/jcem.83.1.4496&lt;/electronic-resource-num&gt;&lt;remote-database-name&gt;Crossref&lt;/remote-database-name&gt;&lt;language&gt;en&lt;/languag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0E0687F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MPHD children</w:t>
            </w:r>
          </w:p>
        </w:tc>
        <w:tc>
          <w:tcPr>
            <w:tcW w:w="0" w:type="auto"/>
            <w:vAlign w:val="center"/>
            <w:hideMark/>
          </w:tcPr>
          <w:p w14:paraId="2B9A0A6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0, 30</w:t>
            </w:r>
          </w:p>
        </w:tc>
        <w:tc>
          <w:tcPr>
            <w:tcW w:w="0" w:type="auto"/>
            <w:vAlign w:val="center"/>
            <w:hideMark/>
          </w:tcPr>
          <w:p w14:paraId="4F8E1A2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≥520 nmol/L (~18.8 µg/dL)</w:t>
            </w:r>
          </w:p>
        </w:tc>
        <w:tc>
          <w:tcPr>
            <w:tcW w:w="0" w:type="auto"/>
            <w:vAlign w:val="center"/>
            <w:hideMark/>
          </w:tcPr>
          <w:p w14:paraId="198E83B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 min sufficient for most</w:t>
            </w:r>
          </w:p>
        </w:tc>
      </w:tr>
      <w:tr w:rsidR="00B71F6D" w:rsidRPr="00AC2BC0" w14:paraId="0FEA363F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C082D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Mushtaq et al., 2008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&lt;EndNote&gt;&lt;Cite&gt;&lt;Author&gt;Mushtaq&lt;/Author&gt;&lt;Year&gt;2008&lt;/Year&gt;&lt;RecNum&gt;1419&lt;/RecNum&gt;&lt;DisplayText&gt;(12)&lt;/DisplayText&gt;&lt;record&gt;&lt;rec-number&gt;1419&lt;/rec-number&gt;&lt;foreign-keys&gt;&lt;key app="EN" db-id="xv5sp900c2ddzler0d650avufxepd9s92z5z" timestamp="1766340957"&gt;1419&lt;/key&gt;&lt;/foreign-keys&gt;&lt;ref-type name="Journal Article"&gt;17&lt;/ref-type&gt;&lt;contributors&gt;&lt;authors&gt;&lt;author&gt;Mushtaq, T.&lt;/author&gt;&lt;author&gt;Shakur, F.&lt;/author&gt;&lt;author&gt;Wales, J. K.&lt;/author&gt;&lt;author&gt;Wright, N. P.&lt;/author&gt;&lt;/authors&gt;&lt;/contributors&gt;&lt;titles&gt;&lt;title&gt;Reliability of the Low Dose Synacthen Test in Children Undergoing Pituitary Function Testing&lt;/title&gt;&lt;secondary-title&gt;Journal of Pediatric Endocrinology and Metabolism&lt;/secondary-title&gt;&lt;/titles&gt;&lt;periodical&gt;&lt;full-title&gt;Journal of Pediatric Endocrinology and Metabolism&lt;/full-title&gt;&lt;/periodical&gt;&lt;volume&gt;21&lt;/volume&gt;&lt;number&gt;12&lt;/number&gt;&lt;dates&gt;&lt;year&gt;2008&lt;/year&gt;&lt;pub-dates&gt;&lt;date&gt;2008/1//&lt;/date&gt;&lt;/pub-dates&gt;&lt;/dates&gt;&lt;isbn&gt;2191-0251&lt;/isbn&gt;&lt;urls&gt;&lt;related-urls&gt;&lt;url&gt;http://dx.doi.org/10.1515/JPEM.2008.21.12.1129&lt;/url&gt;&lt;/related-urls&gt;&lt;/urls&gt;&lt;electronic-resource-num&gt;10.1515/jpem.2008.21.12.1129&lt;/electronic-resource-num&gt;&lt;remote-database-name&gt;Crossref&lt;/remote-database-nam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(12)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1B67929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Children (2–17 yr)</w:t>
            </w:r>
          </w:p>
        </w:tc>
        <w:tc>
          <w:tcPr>
            <w:tcW w:w="0" w:type="auto"/>
            <w:vAlign w:val="center"/>
            <w:hideMark/>
          </w:tcPr>
          <w:p w14:paraId="6F6ED489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0, 10, 20, 30, 60</w:t>
            </w:r>
          </w:p>
        </w:tc>
        <w:tc>
          <w:tcPr>
            <w:tcW w:w="0" w:type="auto"/>
            <w:vAlign w:val="center"/>
            <w:hideMark/>
          </w:tcPr>
          <w:p w14:paraId="09DC826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&gt;550 nmol/L or Δ&gt;200 nmol/L</w:t>
            </w:r>
          </w:p>
        </w:tc>
        <w:tc>
          <w:tcPr>
            <w:tcW w:w="0" w:type="auto"/>
            <w:vAlign w:val="center"/>
            <w:hideMark/>
          </w:tcPr>
          <w:p w14:paraId="6B82B1C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Single time-point testing risks false positives</w:t>
            </w:r>
          </w:p>
        </w:tc>
      </w:tr>
      <w:tr w:rsidR="00B71F6D" w:rsidRPr="00AC2BC0" w14:paraId="2419A5FE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2FCF8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Gill et al., 2019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&lt;EndNote&gt;&lt;Cite&gt;&lt;Author&gt;Gill&lt;/Author&gt;&lt;Year&gt;2019&lt;/Year&gt;&lt;RecNum&gt;1415&lt;/RecNum&gt;&lt;DisplayText&gt;(10)&lt;/DisplayText&gt;&lt;record&gt;&lt;rec-number&gt;1415&lt;/rec-number&gt;&lt;foreign-keys&gt;&lt;key app="EN" db-id="xv5sp900c2ddzler0d650avufxepd9s92z5z" timestamp="1766340956"&gt;1415&lt;/key&gt;&lt;/foreign-keys&gt;&lt;ref-type name="Journal Article"&gt;17&lt;/ref-type&gt;&lt;contributors&gt;&lt;authors&gt;&lt;author&gt;Gill, Harpreet&lt;/author&gt;&lt;author&gt;Barrowman, Nick&lt;/author&gt;&lt;author&gt;Webster, Richard&lt;/author&gt;&lt;author&gt;Ahmet, Alexandra&lt;/author&gt;&lt;/authors&gt;&lt;/contributors&gt;&lt;titles&gt;&lt;title&gt;Evaluating the Low-Dose ACTH Stimulation Test in Children: Ideal Times for Cortisol Measurement&lt;/title&gt;&lt;secondary-title&gt;The Journal of Clinical Endocrinology &amp;amp;amp; Metabolism&lt;/secondary-title&gt;&lt;/titles&gt;&lt;periodical&gt;&lt;full-title&gt;The Journal of Clinical Endocrinology &amp;amp;amp; Metabolism&lt;/full-title&gt;&lt;abbr-1&gt;The Journal of Clinical Endocrinology &amp;amp;amp; Metabolism&lt;/abbr-1&gt;&lt;/periodical&gt;&lt;pages&gt;4587-4593&lt;/pages&gt;&lt;volume&gt;104&lt;/volume&gt;&lt;number&gt;10&lt;/number&gt;&lt;dates&gt;&lt;year&gt;2019&lt;/year&gt;&lt;pub-dates&gt;&lt;date&gt;2019/6/20/&lt;/date&gt;&lt;/pub-dates&gt;&lt;/dates&gt;&lt;isbn&gt;0021-972X&lt;/isbn&gt;&lt;urls&gt;&lt;related-urls&gt;&lt;url&gt;http://dx.doi.org/10.1210/jc.2019-00295&lt;/url&gt;&lt;/related-urls&gt;&lt;/urls&gt;&lt;electronic-resource-num&gt;10.1210/jc.2019-00295&lt;/electronic-resource-num&gt;&lt;remote-database-name&gt;Crossref&lt;/remote-database-name&gt;&lt;language&gt;en&lt;/languag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(10)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703A24B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Children (3 mo–20 yr)</w:t>
            </w:r>
          </w:p>
        </w:tc>
        <w:tc>
          <w:tcPr>
            <w:tcW w:w="0" w:type="auto"/>
            <w:vAlign w:val="center"/>
            <w:hideMark/>
          </w:tcPr>
          <w:p w14:paraId="019E9DA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0, 15, 30, 60</w:t>
            </w:r>
          </w:p>
        </w:tc>
        <w:tc>
          <w:tcPr>
            <w:tcW w:w="0" w:type="auto"/>
            <w:vAlign w:val="center"/>
            <w:hideMark/>
          </w:tcPr>
          <w:p w14:paraId="3D12D32E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≥500 nmol/L (18 µg/dL)</w:t>
            </w:r>
          </w:p>
        </w:tc>
        <w:tc>
          <w:tcPr>
            <w:tcW w:w="0" w:type="auto"/>
            <w:vAlign w:val="center"/>
            <w:hideMark/>
          </w:tcPr>
          <w:p w14:paraId="163C587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Multiple sampling points reduce misdiagnosis</w:t>
            </w:r>
          </w:p>
        </w:tc>
      </w:tr>
      <w:tr w:rsidR="00B71F6D" w:rsidRPr="00AC2BC0" w14:paraId="59B110F3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1CAE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Karlsson et al., 1999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&lt;EndNote&gt;&lt;Cite&gt;&lt;Author&gt;Karlsson&lt;/Author&gt;&lt;Year&gt;1999&lt;/Year&gt;&lt;RecNum&gt;1417&lt;/RecNum&gt;&lt;DisplayText&gt;(14)&lt;/DisplayText&gt;&lt;record&gt;&lt;rec-number&gt;1417&lt;/rec-number&gt;&lt;foreign-keys&gt;&lt;key app="EN" db-id="xv5sp900c2ddzler0d650avufxepd9s92z5z" timestamp="1766340956"&gt;1417&lt;/key&gt;&lt;/foreign-keys&gt;&lt;ref-type name="Journal Article"&gt;17&lt;/ref-type&gt;&lt;contributors&gt;&lt;authors&gt;&lt;author&gt;Karlsson, Riikka&lt;/author&gt;&lt;author&gt;Kallio, Jaana&lt;/author&gt;&lt;author&gt;Toppari, Jorma&lt;/author&gt;&lt;author&gt;Kero, Pentti&lt;/author&gt;&lt;/authors&gt;&lt;/contributors&gt;&lt;titles&gt;&lt;title&gt;Timing of Peak Serum Cortisol Values in Preterm Infants in Low-Dose and the Standard ACTH Tests&lt;/title&gt;&lt;secondary-title&gt;Pediatric Research&lt;/secondary-title&gt;&lt;alt-title&gt;Pediatr Res&lt;/alt-title&gt;&lt;/titles&gt;&lt;periodical&gt;&lt;full-title&gt;Pediatric research&lt;/full-title&gt;&lt;/periodical&gt;&lt;pages&gt;367-369&lt;/pages&gt;&lt;volume&gt;45&lt;/volume&gt;&lt;number&gt;3&lt;/number&gt;&lt;dates&gt;&lt;year&gt;1999&lt;/year&gt;&lt;pub-dates&gt;&lt;date&gt;1999/3//&lt;/date&gt;&lt;/pub-dates&gt;&lt;/dates&gt;&lt;isbn&gt;0031-3998&lt;/isbn&gt;&lt;urls&gt;&lt;related-urls&gt;&lt;url&gt;http://dx.doi.org/10.1203/00006450-199903000-00013&lt;/url&gt;&lt;/related-urls&gt;&lt;/urls&gt;&lt;electronic-resource-num&gt;10.1203/00006450-199903000-00013&lt;/electronic-resource-num&gt;&lt;remote-database-name&gt;Crossref&lt;/remote-database-nam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(14)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6AD2D524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Preterm/term infants</w:t>
            </w:r>
          </w:p>
        </w:tc>
        <w:tc>
          <w:tcPr>
            <w:tcW w:w="0" w:type="auto"/>
            <w:vAlign w:val="center"/>
            <w:hideMark/>
          </w:tcPr>
          <w:p w14:paraId="3547A74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0, 30, 40, 60</w:t>
            </w:r>
          </w:p>
        </w:tc>
        <w:tc>
          <w:tcPr>
            <w:tcW w:w="0" w:type="auto"/>
            <w:vAlign w:val="center"/>
            <w:hideMark/>
          </w:tcPr>
          <w:p w14:paraId="18E87F7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Not specified</w:t>
            </w:r>
          </w:p>
        </w:tc>
        <w:tc>
          <w:tcPr>
            <w:tcW w:w="0" w:type="auto"/>
            <w:vAlign w:val="center"/>
            <w:hideMark/>
          </w:tcPr>
          <w:p w14:paraId="2A6E048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Peak at 30–40 min in infants</w:t>
            </w:r>
          </w:p>
        </w:tc>
      </w:tr>
      <w:tr w:rsidR="00B71F6D" w:rsidRPr="00AC2BC0" w14:paraId="31316F04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E42CEA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LeDrew et al., 2020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&lt;EndNote&gt;&lt;Cite&gt;&lt;Author&gt;LeDrew&lt;/Author&gt;&lt;Year&gt;2020&lt;/Year&gt;&lt;RecNum&gt;1416&lt;/RecNum&gt;&lt;DisplayText&gt;(13)&lt;/DisplayText&gt;&lt;record&gt;&lt;rec-number&gt;1416&lt;/rec-number&gt;&lt;foreign-keys&gt;&lt;key app="EN" db-id="xv5sp900c2ddzler0d650avufxepd9s92z5z" timestamp="1766340956"&gt;1416&lt;/key&gt;&lt;/foreign-keys&gt;&lt;ref-type name="Journal Article"&gt;17&lt;/ref-type&gt;&lt;contributors&gt;&lt;authors&gt;&lt;author&gt;LeDrew, Robyn&lt;/author&gt;&lt;author&gt;Bariciak, Erika&lt;/author&gt;&lt;author&gt;Webster, Richard&lt;/author&gt;&lt;author&gt;Barrowman, Nick&lt;/author&gt;&lt;author&gt;Ahmet, Alexandra&lt;/author&gt;&lt;/authors&gt;&lt;/contributors&gt;&lt;titles&gt;&lt;title&gt;Evaluating the Low-Dose ACTH Stimulation Test in Neonates: Ideal Times for Cortisol Measurement&lt;/title&gt;&lt;secondary-title&gt;The Journal of Clinical Endocrinology &amp;amp;amp; Metabolism&lt;/secondary-title&gt;&lt;/titles&gt;&lt;periodical&gt;&lt;full-title&gt;The Journal of Clinical Endocrinology &amp;amp;amp; Metabolism&lt;/full-title&gt;&lt;abbr-1&gt;The Journal of Clinical Endocrinology &amp;amp;amp; Metabolism&lt;/abbr-1&gt;&lt;/periodical&gt;&lt;pages&gt;e4543-e4550&lt;/pages&gt;&lt;volume&gt;105&lt;/volume&gt;&lt;number&gt;12&lt;/number&gt;&lt;dates&gt;&lt;year&gt;2020&lt;/year&gt;&lt;pub-dates&gt;&lt;date&gt;2020/9/8/&lt;/date&gt;&lt;/pub-dates&gt;&lt;/dates&gt;&lt;isbn&gt;0021-972X&lt;/isbn&gt;&lt;urls&gt;&lt;related-urls&gt;&lt;url&gt;http://dx.doi.org/10.1210/clinem/dgaa635&lt;/url&gt;&lt;/related-urls&gt;&lt;/urls&gt;&lt;electronic-resource-num&gt;10.1210/clinem/dgaa635&lt;/electronic-resource-num&gt;&lt;remote-database-name&gt;Crossref&lt;/remote-database-name&gt;&lt;language&gt;en&lt;/languag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(13)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649C09C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Neonates</w:t>
            </w:r>
          </w:p>
        </w:tc>
        <w:tc>
          <w:tcPr>
            <w:tcW w:w="0" w:type="auto"/>
            <w:vAlign w:val="center"/>
            <w:hideMark/>
          </w:tcPr>
          <w:p w14:paraId="512F6850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0, 15, 30, 60</w:t>
            </w:r>
          </w:p>
        </w:tc>
        <w:tc>
          <w:tcPr>
            <w:tcW w:w="0" w:type="auto"/>
            <w:vAlign w:val="center"/>
            <w:hideMark/>
          </w:tcPr>
          <w:p w14:paraId="22C1A32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≥500 nmol/L</w:t>
            </w:r>
          </w:p>
        </w:tc>
        <w:tc>
          <w:tcPr>
            <w:tcW w:w="0" w:type="auto"/>
            <w:vAlign w:val="center"/>
            <w:hideMark/>
          </w:tcPr>
          <w:p w14:paraId="799DAE3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Prioritize 60 min in neonates</w:t>
            </w:r>
          </w:p>
        </w:tc>
      </w:tr>
      <w:tr w:rsidR="00B71F6D" w:rsidRPr="00AC2BC0" w14:paraId="5CAD4C10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7CA9D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Vaiani et al., 2019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&lt;EndNote&gt;&lt;Cite&gt;&lt;Author&gt;Vaiani&lt;/Author&gt;&lt;Year&gt;2019&lt;/Year&gt;&lt;RecNum&gt;1420&lt;/RecNum&gt;&lt;DisplayText&gt;(15)&lt;/DisplayText&gt;&lt;record&gt;&lt;rec-number&gt;1420&lt;/rec-number&gt;&lt;foreign-keys&gt;&lt;key app="EN" db-id="xv5sp900c2ddzler0d650avufxepd9s92z5z" timestamp="1766340957"&gt;1420&lt;/key&gt;&lt;/foreign-keys&gt;&lt;ref-type name="Journal Article"&gt;17&lt;/ref-type&gt;&lt;contributors&gt;&lt;authors&gt;&lt;author&gt;Vaiani, Elisa&lt;/author&gt;&lt;author&gt;Lazzati, Juan Manuel&lt;/author&gt;&lt;author&gt;Ramirez, Pablo&lt;/author&gt;&lt;author&gt;Costanzo, Mariana&lt;/author&gt;&lt;author&gt;Gil, Silvia&lt;/author&gt;&lt;author&gt;Dratler, Gustavo&lt;/author&gt;&lt;author&gt;Zaidman, Veronica&lt;/author&gt;&lt;author&gt;Chaler, Eduardo&lt;/author&gt;&lt;author&gt;Belgorosky, Alicia&lt;/author&gt;&lt;/authors&gt;&lt;/contributors&gt;&lt;titles&gt;&lt;title&gt;The Low-Dose ACTH Test: Usefulness of Combined Analysis of Serum and Salivary Maximum Cortisol Response in Pediatrics&lt;/title&gt;&lt;secondary-title&gt;The Journal of Clinical Endocrinology &amp;amp;amp; Metabolism&lt;/secondary-title&gt;&lt;/titles&gt;&lt;periodical&gt;&lt;full-title&gt;The Journal of Clinical Endocrinology &amp;amp;amp; Metabolism&lt;/full-title&gt;&lt;abbr-1&gt;The Journal of Clinical Endocrinology &amp;amp;amp; Metabolism&lt;/abbr-1&gt;&lt;/periodical&gt;&lt;pages&gt;4323-4330&lt;/pages&gt;&lt;volume&gt;104&lt;/volume&gt;&lt;number&gt;10&lt;/number&gt;&lt;dates&gt;&lt;year&gt;2019&lt;/year&gt;&lt;pub-dates&gt;&lt;date&gt;2019/5/28/&lt;/date&gt;&lt;/pub-dates&gt;&lt;/dates&gt;&lt;isbn&gt;0021-972X&lt;/isbn&gt;&lt;urls&gt;&lt;related-urls&gt;&lt;url&gt;http://dx.doi.org/10.1210/jc.2019-00304&lt;/url&gt;&lt;/related-urls&gt;&lt;/urls&gt;&lt;electronic-resource-num&gt;10.1210/jc.2019-00304&lt;/electronic-resource-num&gt;&lt;remote-database-name&gt;Crossref&lt;/remote-database-name&gt;&lt;language&gt;en&lt;/languag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(15)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598BAE0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Mixed pediatric</w:t>
            </w:r>
          </w:p>
        </w:tc>
        <w:tc>
          <w:tcPr>
            <w:tcW w:w="0" w:type="auto"/>
            <w:vAlign w:val="center"/>
            <w:hideMark/>
          </w:tcPr>
          <w:p w14:paraId="5EA16E4F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0, 30, 60</w:t>
            </w:r>
          </w:p>
        </w:tc>
        <w:tc>
          <w:tcPr>
            <w:tcW w:w="0" w:type="auto"/>
            <w:vAlign w:val="center"/>
            <w:hideMark/>
          </w:tcPr>
          <w:p w14:paraId="7211A60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≥497 nmol/L</w:t>
            </w:r>
          </w:p>
        </w:tc>
        <w:tc>
          <w:tcPr>
            <w:tcW w:w="0" w:type="auto"/>
            <w:vAlign w:val="center"/>
            <w:hideMark/>
          </w:tcPr>
          <w:p w14:paraId="2A1AAEB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Evaluate both 30 and 60 min</w:t>
            </w:r>
          </w:p>
        </w:tc>
      </w:tr>
      <w:tr w:rsidR="00B71F6D" w:rsidRPr="00AC2BC0" w14:paraId="7F79B8FB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4BFABE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lastRenderedPageBreak/>
              <w:t>Cortez et al., 2023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&lt;EndNote&gt;&lt;Cite&gt;&lt;Author&gt;Cortez&lt;/Author&gt;&lt;Year&gt;2023&lt;/Year&gt;&lt;RecNum&gt;1433&lt;/RecNum&gt;&lt;DisplayText&gt;(16)&lt;/DisplayText&gt;&lt;record&gt;&lt;rec-number&gt;1433&lt;/rec-number&gt;&lt;foreign-keys&gt;&lt;key app="EN" db-id="xv5sp900c2ddzler0d650avufxepd9s92z5z" timestamp="1766340957"&gt;1433&lt;/key&gt;&lt;/foreign-keys&gt;&lt;ref-type name="Journal Article"&gt;17&lt;/ref-type&gt;&lt;contributors&gt;&lt;authors&gt;&lt;author&gt;Cortez, Samuel&lt;/author&gt;&lt;author&gt;Arbeláez, Ana Maria&lt;/author&gt;&lt;author&gt;Wallendorf, Michael&lt;/author&gt;&lt;author&gt;McNerney, Kyle&lt;/author&gt;&lt;/authors&gt;&lt;/contributors&gt;&lt;titles&gt;&lt;title&gt;Peak Serum Cortisol Cutoffs to Diagnose Adrenal Insufficiency Across Different Cortisol Assays in Children&lt;/title&gt;&lt;secondary-title&gt;Journal of Clinical Research in Pediatric Endocrinology&lt;/secondary-title&gt;&lt;alt-title&gt;Jcrpe&lt;/alt-title&gt;&lt;/titles&gt;&lt;periodical&gt;&lt;full-title&gt;Journal of clinical research in pediatric endocrinology&lt;/full-title&gt;&lt;/periodical&gt;&lt;pages&gt;375-379&lt;/pages&gt;&lt;volume&gt;15&lt;/volume&gt;&lt;number&gt;4&lt;/number&gt;&lt;dates&gt;&lt;year&gt;2023&lt;/year&gt;&lt;pub-dates&gt;&lt;date&gt;2023/11/21/&lt;/date&gt;&lt;/pub-dates&gt;&lt;/dates&gt;&lt;isbn&gt;1308-5727&lt;/isbn&gt;&lt;urls&gt;&lt;related-urls&gt;&lt;url&gt;http://dx.doi.org/10.4274/jcrpe.galenos.2023.2023-2-3&lt;/url&gt;&lt;/related-urls&gt;&lt;/urls&gt;&lt;electronic-resource-num&gt;10.4274/jcrpe.galenos.2023.2023-2-3&lt;/electronic-resource-num&gt;&lt;remote-database-name&gt;Crossref&lt;/remote-database-nam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(16)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20DF51AC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Pediatric (assay comparison)</w:t>
            </w:r>
          </w:p>
        </w:tc>
        <w:tc>
          <w:tcPr>
            <w:tcW w:w="0" w:type="auto"/>
            <w:vAlign w:val="center"/>
            <w:hideMark/>
          </w:tcPr>
          <w:p w14:paraId="324CF6B2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20, 30, 60</w:t>
            </w:r>
          </w:p>
        </w:tc>
        <w:tc>
          <w:tcPr>
            <w:tcW w:w="0" w:type="auto"/>
            <w:vAlign w:val="center"/>
            <w:hideMark/>
          </w:tcPr>
          <w:p w14:paraId="4DA0E1E1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pAb: 18 µg/dL; mAb: ~12.5 µg/dL</w:t>
            </w:r>
          </w:p>
        </w:tc>
        <w:tc>
          <w:tcPr>
            <w:tcW w:w="0" w:type="auto"/>
            <w:vAlign w:val="center"/>
            <w:hideMark/>
          </w:tcPr>
          <w:p w14:paraId="30065F10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Assay-specific cut-offs required</w:t>
            </w:r>
          </w:p>
        </w:tc>
      </w:tr>
      <w:tr w:rsidR="00B71F6D" w:rsidRPr="00AC2BC0" w14:paraId="461A0E33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BA830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Ciancia et al., 2023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begin"/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instrText xml:space="preserve"> ADDIN EN.CITE &lt;EndNote&gt;&lt;Cite&gt;&lt;Author&gt;Ciancia&lt;/Author&gt;&lt;Year&gt;2023&lt;/Year&gt;&lt;RecNum&gt;1442&lt;/RecNum&gt;&lt;DisplayText&gt;(17)&lt;/DisplayText&gt;&lt;record&gt;&lt;rec-number&gt;1442&lt;/rec-number&gt;&lt;foreign-keys&gt;&lt;key app="EN" db-id="xv5sp900c2ddzler0d650avufxepd9s92z5z" timestamp="1766340958"&gt;1442&lt;/key&gt;&lt;/foreign-keys&gt;&lt;ref-type name="Journal Article"&gt;17&lt;/ref-type&gt;&lt;contributors&gt;&lt;authors&gt;&lt;author&gt;Ciancia, Silvia&lt;/author&gt;&lt;author&gt;van den Berg, Sjoerd A. A.&lt;/author&gt;&lt;author&gt;van den Akker, Erica L. T.&lt;/author&gt;&lt;/authors&gt;&lt;/contributors&gt;&lt;titles&gt;&lt;title&gt;The Reliability of Salivary Cortisol Compared to Serum Cortisol for Diagnosing Adrenal Insufficiency with the Gold Standard ACTH Stimulation Test in Children&lt;/title&gt;&lt;secondary-title&gt;Children&lt;/secondary-title&gt;&lt;alt-title&gt;Children&lt;/alt-title&gt;&lt;/titles&gt;&lt;periodical&gt;&lt;full-title&gt;Children&lt;/full-title&gt;&lt;/periodical&gt;&lt;alt-periodical&gt;&lt;full-title&gt;Children&lt;/full-title&gt;&lt;/alt-periodical&gt;&lt;pages&gt;1569&lt;/pages&gt;&lt;volume&gt;10&lt;/volume&gt;&lt;number&gt;9&lt;/number&gt;&lt;dates&gt;&lt;year&gt;2023&lt;/year&gt;&lt;pub-dates&gt;&lt;date&gt;2023/9/19/&lt;/date&gt;&lt;/pub-dates&gt;&lt;/dates&gt;&lt;isbn&gt;2227-9067&lt;/isbn&gt;&lt;urls&gt;&lt;related-urls&gt;&lt;url&gt;http://dx.doi.org/10.3390/children10091569&lt;/url&gt;&lt;/related-urls&gt;&lt;/urls&gt;&lt;electronic-resource-num&gt;10.3390/children10091569&lt;/electronic-resource-num&gt;&lt;remote-database-name&gt;Crossref&lt;/remote-database-name&gt;&lt;language&gt;en&lt;/language&gt;&lt;/record&gt;&lt;/Cite&gt;&lt;/EndNote&gt;</w:instrTex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separate"/>
            </w:r>
            <w:r w:rsidRPr="00AC2BC0">
              <w:rPr>
                <w:rFonts w:ascii="Times New Roman" w:hAnsi="Times New Roman" w:cs="Times New Roman"/>
                <w:noProof/>
                <w:sz w:val="24"/>
                <w:szCs w:val="24"/>
                <w:lang w:val="tr-TR"/>
              </w:rPr>
              <w:t>(17)</w:t>
            </w: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3D41512D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Mixed pediatric</w:t>
            </w:r>
          </w:p>
        </w:tc>
        <w:tc>
          <w:tcPr>
            <w:tcW w:w="0" w:type="auto"/>
            <w:vAlign w:val="center"/>
            <w:hideMark/>
          </w:tcPr>
          <w:p w14:paraId="0DD3F6A7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0–60 (multiple)</w:t>
            </w:r>
          </w:p>
        </w:tc>
        <w:tc>
          <w:tcPr>
            <w:tcW w:w="0" w:type="auto"/>
            <w:vAlign w:val="center"/>
            <w:hideMark/>
          </w:tcPr>
          <w:p w14:paraId="17AA2D34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~420 nmol/L</w:t>
            </w:r>
          </w:p>
        </w:tc>
        <w:tc>
          <w:tcPr>
            <w:tcW w:w="0" w:type="auto"/>
            <w:vAlign w:val="center"/>
            <w:hideMark/>
          </w:tcPr>
          <w:p w14:paraId="7694D0C5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Time- and assay-aware interpretation</w:t>
            </w:r>
          </w:p>
        </w:tc>
      </w:tr>
      <w:tr w:rsidR="00B71F6D" w:rsidRPr="00AC2BC0" w14:paraId="099D8F1B" w14:textId="77777777" w:rsidTr="007A550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9FA573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Present study</w:t>
            </w:r>
          </w:p>
        </w:tc>
        <w:tc>
          <w:tcPr>
            <w:tcW w:w="0" w:type="auto"/>
            <w:vAlign w:val="center"/>
            <w:hideMark/>
          </w:tcPr>
          <w:p w14:paraId="379B0E5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Pediatric (non-AI)</w:t>
            </w:r>
          </w:p>
        </w:tc>
        <w:tc>
          <w:tcPr>
            <w:tcW w:w="0" w:type="auto"/>
            <w:vAlign w:val="center"/>
            <w:hideMark/>
          </w:tcPr>
          <w:p w14:paraId="5281BFE6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0, 15, 30, 45, 60</w:t>
            </w:r>
          </w:p>
        </w:tc>
        <w:tc>
          <w:tcPr>
            <w:tcW w:w="0" w:type="auto"/>
            <w:vAlign w:val="center"/>
            <w:hideMark/>
          </w:tcPr>
          <w:p w14:paraId="56ABBF68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Time-specific P2.5 (15: ~12; 30: ~16; 45: ~17 µg/dL)</w:t>
            </w:r>
          </w:p>
        </w:tc>
        <w:tc>
          <w:tcPr>
            <w:tcW w:w="0" w:type="auto"/>
            <w:vAlign w:val="center"/>
            <w:hideMark/>
          </w:tcPr>
          <w:p w14:paraId="15DAE55B" w14:textId="77777777" w:rsidR="00B71F6D" w:rsidRPr="00AC2BC0" w:rsidRDefault="00B71F6D" w:rsidP="007A5508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B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r-TR"/>
              </w:rPr>
              <w:t>Extend to 45 min; avoid early uniform cut-offs</w:t>
            </w:r>
          </w:p>
        </w:tc>
      </w:tr>
    </w:tbl>
    <w:p w14:paraId="7C87B760" w14:textId="77777777" w:rsidR="00B71F6D" w:rsidRPr="00AC2BC0" w:rsidRDefault="00B71F6D" w:rsidP="00B71F6D">
      <w:pPr>
        <w:spacing w:line="60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14:paraId="33DD9FF3" w14:textId="77777777" w:rsidR="00A91650" w:rsidRPr="00B71F6D" w:rsidRDefault="00A91650">
      <w:pPr>
        <w:rPr>
          <w:b/>
          <w:bCs/>
        </w:rPr>
      </w:pPr>
    </w:p>
    <w:sectPr w:rsidR="00A91650" w:rsidRPr="00B71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F6D"/>
    <w:rsid w:val="000E2EDD"/>
    <w:rsid w:val="001A71C9"/>
    <w:rsid w:val="00A91650"/>
    <w:rsid w:val="00B71F6D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5C222"/>
  <w15:chartTrackingRefBased/>
  <w15:docId w15:val="{D5E6BD0A-CCC5-4ABB-B4DE-E2896371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F6D"/>
    <w:pPr>
      <w:spacing w:line="259" w:lineRule="auto"/>
    </w:pPr>
    <w:rPr>
      <w:kern w:val="0"/>
      <w:sz w:val="22"/>
      <w:szCs w:val="22"/>
      <w:lang w:val="en-US"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1F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1F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1F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1F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1F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1F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1F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1F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1F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1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1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1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1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1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1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1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1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1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1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1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F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1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1F6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1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1F6D"/>
    <w:pPr>
      <w:spacing w:line="278" w:lineRule="auto"/>
      <w:ind w:left="720"/>
      <w:contextualSpacing/>
    </w:pPr>
    <w:rPr>
      <w:kern w:val="2"/>
      <w:sz w:val="24"/>
      <w:szCs w:val="24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1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1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1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1F6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71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2592</Words>
  <Characters>11099</Characters>
  <Application>Microsoft Office Word</Application>
  <DocSecurity>0</DocSecurity>
  <Lines>792</Lines>
  <Paragraphs>855</Paragraphs>
  <ScaleCrop>false</ScaleCrop>
  <Company/>
  <LinksUpToDate>false</LinksUpToDate>
  <CharactersWithSpaces>12836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2026-02-17T14:18:00Z</dcterms:created>
  <dcterms:modified xsi:type="dcterms:W3CDTF">2026-02-17T14:19:00Z</dcterms:modified>
</cp:coreProperties>
</file>