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25FA5D" w14:textId="77777777" w:rsidR="00BA2E21" w:rsidRDefault="00BA2E21" w:rsidP="00BA2E21">
      <w:pPr>
        <w:spacing w:before="200" w:after="200" w:line="480" w:lineRule="auto"/>
      </w:pPr>
      <w:r>
        <w:rPr>
          <w:b/>
          <w:bCs/>
        </w:rPr>
        <w:t>Figure 1</w:t>
      </w:r>
    </w:p>
    <w:p w14:paraId="51028B37" w14:textId="77777777" w:rsidR="00BA2E21" w:rsidRDefault="00BA2E21" w:rsidP="00BA2E21">
      <w:pPr>
        <w:spacing w:line="480" w:lineRule="auto"/>
        <w:jc w:val="center"/>
      </w:pPr>
    </w:p>
    <w:p w14:paraId="69A3971E" w14:textId="77777777" w:rsidR="00BA2E21" w:rsidRDefault="00BA2E21" w:rsidP="00BA2E21">
      <w:pPr>
        <w:spacing w:before="200" w:after="400" w:line="480" w:lineRule="auto"/>
        <w:jc w:val="both"/>
      </w:pPr>
      <w:r>
        <w:rPr>
          <w:b/>
          <w:bCs/>
          <w:sz w:val="22"/>
          <w:szCs w:val="22"/>
        </w:rPr>
        <w:t xml:space="preserve">Figure 1. STROBE flow diagram illustrating patient selection in both study cohorts. </w:t>
      </w:r>
      <w:r>
        <w:rPr>
          <w:sz w:val="22"/>
          <w:szCs w:val="22"/>
        </w:rPr>
        <w:t xml:space="preserve">The primary cohort was derived from the PhysioNet database (Clínica Universidad de La Sabana, Colombia; January 2018–December 2022), a prospective VAP pathogenesis study requiring ≥48 hours of mechanical ventilation. The validation cohort was extracted from the CARPEDIEM dataset (Northwestern Medicine, Chicago, USA; March 2020–December 2022), a comprehensive ICU database including all mechanically ventilated patients regardless of duration. Patients were included if they were ≥18 years old, required invasive mechanical ventilation, and had complete laboratory data available within 24 hours of ICU admission. Exclusion criteria included incomplete baseline laboratory values, ICU length of stay &lt;6 hours, and readmissions during the same hospitalization. After applying standardized eligibility criteria, 141 and 686 patients were included in the primary and validation cohorts, respectively. The incidence of ventilator-associated pneumonia was 33.3% (n=47) in the primary cohort and 41.1% (n=282) in the validation cohort. </w:t>
      </w:r>
      <w:r>
        <w:rPr>
          <w:b/>
          <w:bCs/>
          <w:sz w:val="22"/>
          <w:szCs w:val="22"/>
        </w:rPr>
        <w:t xml:space="preserve">Abbreviations: </w:t>
      </w:r>
      <w:r>
        <w:rPr>
          <w:sz w:val="22"/>
          <w:szCs w:val="22"/>
        </w:rPr>
        <w:t>CBC, complete blood count; ICU, intensive care unit; MV, mechanical ventilation; STROBE, Strengthening the Reporting of Observational Studies in Epidemiology; VAP, ventilator-associated pneumonia.</w:t>
      </w:r>
    </w:p>
    <w:p w14:paraId="43E94772" w14:textId="77777777" w:rsidR="00BA2E21" w:rsidRDefault="00BA2E21" w:rsidP="00BA2E21">
      <w:pPr>
        <w:spacing w:line="480" w:lineRule="auto"/>
      </w:pPr>
      <w:r>
        <w:br w:type="page"/>
      </w:r>
    </w:p>
    <w:p w14:paraId="6766A951" w14:textId="77777777" w:rsidR="00BA2E21" w:rsidRDefault="00BA2E21" w:rsidP="00BA2E21">
      <w:pPr>
        <w:spacing w:before="200" w:after="200" w:line="480" w:lineRule="auto"/>
      </w:pPr>
      <w:r>
        <w:rPr>
          <w:b/>
          <w:bCs/>
        </w:rPr>
        <w:lastRenderedPageBreak/>
        <w:t>Figure 2</w:t>
      </w:r>
    </w:p>
    <w:p w14:paraId="687A7E83" w14:textId="77777777" w:rsidR="00BA2E21" w:rsidRDefault="00BA2E21" w:rsidP="00BA2E21">
      <w:pPr>
        <w:spacing w:line="480" w:lineRule="auto"/>
        <w:jc w:val="center"/>
      </w:pPr>
    </w:p>
    <w:p w14:paraId="3E544B9F" w14:textId="77777777" w:rsidR="00BA2E21" w:rsidRDefault="00BA2E21" w:rsidP="00BA2E21">
      <w:pPr>
        <w:spacing w:before="200" w:after="400" w:line="480" w:lineRule="auto"/>
        <w:jc w:val="both"/>
      </w:pPr>
      <w:r>
        <w:rPr>
          <w:b/>
          <w:bCs/>
          <w:sz w:val="22"/>
          <w:szCs w:val="22"/>
        </w:rPr>
        <w:t xml:space="preserve">Figure 2. Correlations between CBC-derived inflammatory indices and mechanical ventilation parameters (Validation cohort, n=686). (A) </w:t>
      </w:r>
      <w:r>
        <w:rPr>
          <w:sz w:val="22"/>
          <w:szCs w:val="22"/>
        </w:rPr>
        <w:t xml:space="preserve">Heatmap displaying Spearman correlation coefficients between inflammatory indices and ventilator parameters. Color intensity indicates correlation strength; red indicates positive correlations (higher index associated with higher FiO₂/PEEP or worse ARDS severity) and green indicates inverse correlations (higher index associated with better P/F ratio). </w:t>
      </w:r>
      <w:r>
        <w:rPr>
          <w:b/>
          <w:bCs/>
          <w:sz w:val="22"/>
          <w:szCs w:val="22"/>
        </w:rPr>
        <w:t xml:space="preserve">(B) </w:t>
      </w:r>
      <w:r>
        <w:rPr>
          <w:sz w:val="22"/>
          <w:szCs w:val="22"/>
        </w:rPr>
        <w:t xml:space="preserve">Bar plot of correlations with P/F ratio, where positive values (green) indicate protective associations with better oxygenation. </w:t>
      </w:r>
      <w:r>
        <w:rPr>
          <w:b/>
          <w:bCs/>
          <w:sz w:val="22"/>
          <w:szCs w:val="22"/>
        </w:rPr>
        <w:t xml:space="preserve">(C) </w:t>
      </w:r>
      <w:r>
        <w:rPr>
          <w:sz w:val="22"/>
          <w:szCs w:val="22"/>
        </w:rPr>
        <w:t xml:space="preserve">Comparison of inflammatory indices between patients with severe ARDS (P/F &lt;100, n=187) and non-ARDS patients. Patients with severe ARDS demonstrated significantly higher SII and NLR, and lower HALP. </w:t>
      </w:r>
      <w:r>
        <w:rPr>
          <w:b/>
          <w:bCs/>
          <w:sz w:val="22"/>
          <w:szCs w:val="22"/>
        </w:rPr>
        <w:t xml:space="preserve">(D) </w:t>
      </w:r>
      <w:r>
        <w:rPr>
          <w:sz w:val="22"/>
          <w:szCs w:val="22"/>
        </w:rPr>
        <w:t xml:space="preserve">Bar plot of correlations with FiO₂ requirement, where positive values (red) indicate association with more severe hypoxemia. Higher inflammatory indices (NLR, SII, PLR) correlated with increased oxygen requirements, while higher nutritional-immunological indices (PNI, HALP) correlated with lower oxygen requirements. </w:t>
      </w:r>
      <w:r>
        <w:rPr>
          <w:b/>
          <w:bCs/>
          <w:sz w:val="22"/>
          <w:szCs w:val="22"/>
        </w:rPr>
        <w:t xml:space="preserve">Abbreviations: </w:t>
      </w:r>
      <w:r>
        <w:rPr>
          <w:sz w:val="22"/>
          <w:szCs w:val="22"/>
        </w:rPr>
        <w:t>ARDS, acute respiratory distress syndrome; FiO₂, fraction of inspired oxygen; MV, minute ventilation; PEEP, positive end-expiratory pressure; P/F ratio, PaO₂/FiO₂ ratio. *p&lt;0.05, **p&lt;0.01, ***p&lt;0.001.</w:t>
      </w:r>
    </w:p>
    <w:p w14:paraId="42E5D90B" w14:textId="77777777" w:rsidR="00BA2E21" w:rsidRDefault="00BA2E21" w:rsidP="00BA2E21">
      <w:pPr>
        <w:spacing w:line="480" w:lineRule="auto"/>
      </w:pPr>
      <w:r>
        <w:br w:type="page"/>
      </w:r>
    </w:p>
    <w:p w14:paraId="06C46360" w14:textId="77777777" w:rsidR="00BA2E21" w:rsidRDefault="00BA2E21" w:rsidP="00BA2E21">
      <w:pPr>
        <w:spacing w:before="200" w:after="200" w:line="480" w:lineRule="auto"/>
      </w:pPr>
      <w:r>
        <w:rPr>
          <w:b/>
          <w:bCs/>
        </w:rPr>
        <w:lastRenderedPageBreak/>
        <w:t>Figure 3</w:t>
      </w:r>
    </w:p>
    <w:p w14:paraId="37250E53" w14:textId="77777777" w:rsidR="00BA2E21" w:rsidRDefault="00BA2E21" w:rsidP="00BA2E21">
      <w:pPr>
        <w:spacing w:line="480" w:lineRule="auto"/>
        <w:jc w:val="center"/>
      </w:pPr>
    </w:p>
    <w:p w14:paraId="23A365B0" w14:textId="77777777" w:rsidR="00BA2E21" w:rsidRDefault="00BA2E21" w:rsidP="00BA2E21">
      <w:pPr>
        <w:spacing w:before="200" w:after="400" w:line="480" w:lineRule="auto"/>
        <w:jc w:val="both"/>
      </w:pPr>
      <w:r>
        <w:rPr>
          <w:b/>
          <w:bCs/>
          <w:sz w:val="22"/>
          <w:szCs w:val="22"/>
        </w:rPr>
        <w:t xml:space="preserve">Figure 3. Time-to-event analysis for ventilator-associated pneumonia development (Validation cohort, n=686). (A) </w:t>
      </w:r>
      <w:r>
        <w:rPr>
          <w:sz w:val="22"/>
          <w:szCs w:val="22"/>
        </w:rPr>
        <w:t xml:space="preserve">Kaplan-Meier curves for VAP-free survival stratified by SII median (1.91×10³). Patients with high SII demonstrated significantly shorter time to VAP development (median 7.0 days vs. 9.0 days, log-rank p=0.003). </w:t>
      </w:r>
      <w:r>
        <w:rPr>
          <w:b/>
          <w:bCs/>
          <w:sz w:val="22"/>
          <w:szCs w:val="22"/>
        </w:rPr>
        <w:t xml:space="preserve">(B) </w:t>
      </w:r>
      <w:r>
        <w:rPr>
          <w:sz w:val="22"/>
          <w:szCs w:val="22"/>
        </w:rPr>
        <w:t xml:space="preserve">Kaplan-Meier curves stratified by HALP median (15.4). Low HALP, reflecting poor nutritional-immunological status, was associated with earlier VAP development (log-rank p=0.011). </w:t>
      </w:r>
      <w:r>
        <w:rPr>
          <w:b/>
          <w:bCs/>
          <w:sz w:val="22"/>
          <w:szCs w:val="22"/>
        </w:rPr>
        <w:t xml:space="preserve">(C) </w:t>
      </w:r>
      <w:r>
        <w:rPr>
          <w:sz w:val="22"/>
          <w:szCs w:val="22"/>
        </w:rPr>
        <w:t xml:space="preserve">Cumulative incidence function for VAP stratified by SII tertiles, accounting for death without VAP as a competing event using the Fine-Gray model. The 28-day cumulative incidence of VAP was 32.1% in the lowest tertile versus 48.7% in the highest tertile (Gray's test p=0.002), demonstrating a clear dose-response relationship. </w:t>
      </w:r>
      <w:r>
        <w:rPr>
          <w:b/>
          <w:bCs/>
          <w:sz w:val="22"/>
          <w:szCs w:val="22"/>
        </w:rPr>
        <w:t xml:space="preserve">(D) </w:t>
      </w:r>
      <w:r>
        <w:rPr>
          <w:sz w:val="22"/>
          <w:szCs w:val="22"/>
        </w:rPr>
        <w:t xml:space="preserve">Forest plot displaying hazard ratios from Cox proportional hazards regression (per 1-SD increase in index value). SII (HR=1.18, 95% CI: 1.06–1.32, p=0.003), PLR (HR=1.14, p=0.012), and HALP (HR=0.84, p=0.006) demonstrated significant associations with VAP hazard. </w:t>
      </w:r>
      <w:r>
        <w:rPr>
          <w:b/>
          <w:bCs/>
          <w:sz w:val="22"/>
          <w:szCs w:val="22"/>
        </w:rPr>
        <w:t xml:space="preserve">Abbreviations: </w:t>
      </w:r>
      <w:r>
        <w:rPr>
          <w:sz w:val="22"/>
          <w:szCs w:val="22"/>
        </w:rPr>
        <w:t>CI, confidence interval; HR, hazard ratio; SHR, subdistribution hazard ratio; VAP, ventilator-associated pneumonia.</w:t>
      </w:r>
    </w:p>
    <w:p w14:paraId="4E80DB1E" w14:textId="77777777" w:rsidR="00BA2E21" w:rsidRDefault="00BA2E21" w:rsidP="00BA2E21">
      <w:pPr>
        <w:spacing w:line="480" w:lineRule="auto"/>
      </w:pPr>
      <w:r>
        <w:br w:type="page"/>
      </w:r>
    </w:p>
    <w:p w14:paraId="4062E0FF" w14:textId="77777777" w:rsidR="00BA2E21" w:rsidRDefault="00BA2E21" w:rsidP="00BA2E21">
      <w:pPr>
        <w:spacing w:before="200" w:after="200" w:line="480" w:lineRule="auto"/>
      </w:pPr>
      <w:r>
        <w:rPr>
          <w:b/>
          <w:bCs/>
        </w:rPr>
        <w:lastRenderedPageBreak/>
        <w:t>Figure 4</w:t>
      </w:r>
    </w:p>
    <w:p w14:paraId="2C5E5AF9" w14:textId="77777777" w:rsidR="00BA2E21" w:rsidRDefault="00BA2E21" w:rsidP="00BA2E21">
      <w:pPr>
        <w:spacing w:line="480" w:lineRule="auto"/>
        <w:jc w:val="center"/>
      </w:pPr>
    </w:p>
    <w:p w14:paraId="3AD4CF1C" w14:textId="77777777" w:rsidR="00BA2E21" w:rsidRDefault="00BA2E21" w:rsidP="00BA2E21">
      <w:pPr>
        <w:spacing w:before="200" w:after="400" w:line="480" w:lineRule="auto"/>
        <w:jc w:val="both"/>
      </w:pPr>
      <w:r>
        <w:rPr>
          <w:b/>
          <w:bCs/>
          <w:sz w:val="22"/>
          <w:szCs w:val="22"/>
        </w:rPr>
        <w:t xml:space="preserve">Figure 4. Mortality analysis in the validation cohort (n=686; survivors 377, non-survivors 309). (A) </w:t>
      </w:r>
      <w:r>
        <w:rPr>
          <w:sz w:val="22"/>
          <w:szCs w:val="22"/>
        </w:rPr>
        <w:t xml:space="preserve">Kaplan-Meier survival curves stratified by PNI cut-off (36.0, determined by Youden index). Patients with low PNI demonstrated significantly worse 28-day survival (46.1% vs. 64.5%, log-rank p&lt;0.001). </w:t>
      </w:r>
      <w:r>
        <w:rPr>
          <w:b/>
          <w:bCs/>
          <w:sz w:val="22"/>
          <w:szCs w:val="22"/>
        </w:rPr>
        <w:t xml:space="preserve">(B) </w:t>
      </w:r>
      <w:r>
        <w:rPr>
          <w:sz w:val="22"/>
          <w:szCs w:val="22"/>
        </w:rPr>
        <w:t xml:space="preserve">Kaplan-Meier survival curves stratified by NLR cut-off (12.0). High NLR was associated with increased mortality (28-day survival 48.2% vs. 62.7%, log-rank p&lt;0.001). </w:t>
      </w:r>
      <w:r>
        <w:rPr>
          <w:b/>
          <w:bCs/>
          <w:sz w:val="22"/>
          <w:szCs w:val="22"/>
        </w:rPr>
        <w:t xml:space="preserve">(C) </w:t>
      </w:r>
      <w:r>
        <w:rPr>
          <w:sz w:val="22"/>
          <w:szCs w:val="22"/>
        </w:rPr>
        <w:t xml:space="preserve">Forest plot displaying multivariate analysis results adjusted for age and SOFA score. PNI emerged as the only CBC-derived index independently associated with ICU mortality (adjusted OR=0.62, 95% CI: 0.47–0.78, p&lt;0.001). Each standard deviation decrease in PNI was associated with 62% higher odds of death. NLR lost significance after adjustment (adjusted OR=1.08, p=0.565), suggesting confounding by illness severity. Age was independently associated with mortality (adjusted OR=1.48, p&lt;0.001). </w:t>
      </w:r>
      <w:r>
        <w:rPr>
          <w:b/>
          <w:bCs/>
          <w:sz w:val="22"/>
          <w:szCs w:val="22"/>
        </w:rPr>
        <w:t xml:space="preserve">(D) </w:t>
      </w:r>
      <w:r>
        <w:rPr>
          <w:sz w:val="22"/>
          <w:szCs w:val="22"/>
        </w:rPr>
        <w:t xml:space="preserve">Mortality rates stratified by PNI and NLR cut-offs. Combined risk stratification demonstrated clinically meaningful separation: the high-risk group (Low PNI + High NLR) had mortality of 62.4%, compared to 28.7% in the low-risk group (High PNI + Low NLR), representing an absolute difference of 33.7%. </w:t>
      </w:r>
      <w:r>
        <w:rPr>
          <w:b/>
          <w:bCs/>
          <w:sz w:val="22"/>
          <w:szCs w:val="22"/>
        </w:rPr>
        <w:t xml:space="preserve">Abbreviations: </w:t>
      </w:r>
      <w:r>
        <w:rPr>
          <w:sz w:val="22"/>
          <w:szCs w:val="22"/>
        </w:rPr>
        <w:t>CI, confidence interval; NLR, neutrophil-to-lymphocyte ratio; OR, odds ratio; PNI, prognostic nutritional index; SD, standard deviation; SOFA, Sequential Organ Failure Assessment.</w:t>
      </w:r>
    </w:p>
    <w:p w14:paraId="6D3EAFD2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E21"/>
    <w:rsid w:val="00254EBF"/>
    <w:rsid w:val="002C7D54"/>
    <w:rsid w:val="0033371E"/>
    <w:rsid w:val="005C0D39"/>
    <w:rsid w:val="0070406C"/>
    <w:rsid w:val="00724754"/>
    <w:rsid w:val="00BA2E21"/>
    <w:rsid w:val="00C321FA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73A6AA"/>
  <w15:chartTrackingRefBased/>
  <w15:docId w15:val="{66A48267-0BAB-40E8-AB4B-8CF8DF727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2E21"/>
    <w:pPr>
      <w:spacing w:after="0" w:line="240" w:lineRule="auto"/>
    </w:pPr>
    <w:rPr>
      <w:rFonts w:ascii="Times New Roman" w:eastAsia="Times New Roman" w:hAnsi="Times New Roman" w:cs="Times New Roman"/>
      <w:kern w:val="0"/>
      <w:lang w:eastAsia="tr-T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A2E2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2E2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2E2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2E2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2E2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2E2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2E2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2E2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2E2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2E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2E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2E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2E2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2E2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2E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2E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2E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2E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2E2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A2E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2E2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A2E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2E2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A2E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2E2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A2E2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2E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2E2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2E2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724</Words>
  <Characters>4716</Characters>
  <Application>Microsoft Office Word</Application>
  <DocSecurity>0</DocSecurity>
  <Lines>104</Lines>
  <Paragraphs>48</Paragraphs>
  <ScaleCrop>false</ScaleCrop>
  <Company/>
  <LinksUpToDate>false</LinksUpToDate>
  <CharactersWithSpaces>5392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2026-02-23T09:06:00Z</dcterms:created>
  <dcterms:modified xsi:type="dcterms:W3CDTF">2026-02-23T09:06:00Z</dcterms:modified>
</cp:coreProperties>
</file>